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856C0">
      <w:pPr>
        <w:pStyle w:val="2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default" w:ascii="Times New Roman" w:hAnsi="Times New Roman" w:eastAsia="宋体" w:cs="Times New Roman"/>
          <w:b/>
          <w:bCs/>
          <w:snapToGrid w:val="0"/>
          <w:color w:val="auto"/>
          <w:sz w:val="32"/>
          <w:szCs w:val="32"/>
        </w:rPr>
      </w:pPr>
      <w:r>
        <w:rPr>
          <w:rFonts w:hint="default" w:ascii="Times New Roman" w:hAnsi="Times New Roman" w:eastAsia="宋体" w:cs="Times New Roman"/>
          <w:b/>
          <w:bCs/>
          <w:snapToGrid w:val="0"/>
          <w:color w:val="auto"/>
          <w:sz w:val="32"/>
          <w:szCs w:val="32"/>
        </w:rPr>
        <w:t>一、建设项目基本情况</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197"/>
        <w:gridCol w:w="3016"/>
        <w:gridCol w:w="1305"/>
        <w:gridCol w:w="3580"/>
      </w:tblGrid>
      <w:tr w14:paraId="04498A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8" w:type="pct"/>
            <w:noWrap w:val="0"/>
            <w:tcMar>
              <w:top w:w="16" w:type="dxa"/>
              <w:left w:w="16" w:type="dxa"/>
              <w:right w:w="16" w:type="dxa"/>
            </w:tcMar>
            <w:vAlign w:val="center"/>
          </w:tcPr>
          <w:p w14:paraId="5A28FC91">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建设项目名称</w:t>
            </w:r>
          </w:p>
        </w:tc>
        <w:tc>
          <w:tcPr>
            <w:tcW w:w="4341" w:type="pct"/>
            <w:gridSpan w:val="3"/>
            <w:noWrap w:val="0"/>
            <w:vAlign w:val="center"/>
          </w:tcPr>
          <w:p w14:paraId="073FFE27">
            <w:pPr>
              <w:adjustRightInd w:val="0"/>
              <w:snapToGrid w:val="0"/>
              <w:jc w:val="center"/>
              <w:rPr>
                <w:rFonts w:hint="eastAsia" w:ascii="Times New Roman" w:hAnsi="Times New Roman" w:eastAsia="宋体" w:cs="Times New Roman"/>
                <w:color w:val="auto"/>
                <w:sz w:val="24"/>
                <w:szCs w:val="24"/>
                <w:lang w:eastAsia="zh-CN"/>
              </w:rPr>
            </w:pPr>
            <w:r>
              <w:rPr>
                <w:rFonts w:hint="eastAsia" w:cs="Times New Roman"/>
                <w:color w:val="auto"/>
                <w:sz w:val="24"/>
                <w:szCs w:val="24"/>
                <w:lang w:eastAsia="zh-CN"/>
              </w:rPr>
              <w:t>淮南市第五人民医院综合能力提升项目</w:t>
            </w:r>
          </w:p>
        </w:tc>
      </w:tr>
      <w:tr w14:paraId="253C25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8" w:type="pct"/>
            <w:noWrap w:val="0"/>
            <w:tcMar>
              <w:top w:w="16" w:type="dxa"/>
              <w:left w:w="16" w:type="dxa"/>
              <w:right w:w="16" w:type="dxa"/>
            </w:tcMar>
            <w:vAlign w:val="center"/>
          </w:tcPr>
          <w:p w14:paraId="1B50C445">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项目代码</w:t>
            </w:r>
          </w:p>
        </w:tc>
        <w:tc>
          <w:tcPr>
            <w:tcW w:w="4341" w:type="pct"/>
            <w:gridSpan w:val="3"/>
            <w:noWrap w:val="0"/>
            <w:vAlign w:val="center"/>
          </w:tcPr>
          <w:p w14:paraId="3F847F13">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2604-340406-04-01-310972</w:t>
            </w:r>
          </w:p>
        </w:tc>
      </w:tr>
      <w:tr w14:paraId="6CEF32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8" w:type="pct"/>
            <w:noWrap w:val="0"/>
            <w:tcMar>
              <w:top w:w="16" w:type="dxa"/>
              <w:left w:w="16" w:type="dxa"/>
              <w:right w:w="16" w:type="dxa"/>
            </w:tcMar>
            <w:vAlign w:val="center"/>
          </w:tcPr>
          <w:p w14:paraId="34CAD434">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建设单位联系人</w:t>
            </w:r>
          </w:p>
        </w:tc>
        <w:tc>
          <w:tcPr>
            <w:tcW w:w="3016" w:type="dxa"/>
            <w:noWrap w:val="0"/>
            <w:vAlign w:val="center"/>
          </w:tcPr>
          <w:p w14:paraId="488CAF46">
            <w:pPr>
              <w:adjustRightInd w:val="0"/>
              <w:snapToGrid w:val="0"/>
              <w:jc w:val="center"/>
              <w:rPr>
                <w:rFonts w:hint="default" w:ascii="Times New Roman" w:hAnsi="Times New Roman" w:eastAsia="宋体" w:cs="Times New Roman"/>
                <w:color w:val="auto"/>
                <w:sz w:val="24"/>
                <w:szCs w:val="24"/>
                <w:lang w:val="en-US" w:eastAsia="zh-CN"/>
              </w:rPr>
            </w:pPr>
            <w:r>
              <w:rPr>
                <w:rFonts w:hint="eastAsia"/>
                <w:color w:val="auto"/>
                <w:sz w:val="24"/>
                <w:lang w:val="en-US" w:eastAsia="zh-CN"/>
              </w:rPr>
              <w:t>马传玉</w:t>
            </w:r>
          </w:p>
        </w:tc>
        <w:tc>
          <w:tcPr>
            <w:tcW w:w="1305" w:type="dxa"/>
            <w:noWrap w:val="0"/>
            <w:vAlign w:val="center"/>
          </w:tcPr>
          <w:p w14:paraId="31A45D81">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cs="Times New Roman"/>
                <w:color w:val="auto"/>
                <w:sz w:val="24"/>
                <w:szCs w:val="24"/>
              </w:rPr>
              <w:t>联系方式</w:t>
            </w:r>
          </w:p>
        </w:tc>
        <w:tc>
          <w:tcPr>
            <w:tcW w:w="3580" w:type="dxa"/>
            <w:noWrap w:val="0"/>
            <w:vAlign w:val="center"/>
          </w:tcPr>
          <w:p w14:paraId="2FF82532">
            <w:pPr>
              <w:adjustRightInd w:val="0"/>
              <w:snapToGrid w:val="0"/>
              <w:jc w:val="center"/>
              <w:rPr>
                <w:rFonts w:hint="default" w:ascii="Times New Roman" w:hAnsi="Times New Roman" w:eastAsia="宋体" w:cs="Times New Roman"/>
                <w:color w:val="auto"/>
                <w:sz w:val="24"/>
                <w:szCs w:val="24"/>
                <w:lang w:val="en-US" w:eastAsia="zh-CN"/>
              </w:rPr>
            </w:pPr>
            <w:r>
              <w:rPr>
                <w:rFonts w:hint="eastAsia"/>
                <w:color w:val="auto"/>
                <w:sz w:val="24"/>
                <w:lang w:val="en-US" w:eastAsia="zh-CN"/>
              </w:rPr>
              <w:t>13625625986</w:t>
            </w:r>
          </w:p>
        </w:tc>
      </w:tr>
      <w:tr w14:paraId="41330E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8" w:type="pct"/>
            <w:noWrap w:val="0"/>
            <w:tcMar>
              <w:top w:w="16" w:type="dxa"/>
              <w:left w:w="16" w:type="dxa"/>
              <w:right w:w="16" w:type="dxa"/>
            </w:tcMar>
            <w:vAlign w:val="center"/>
          </w:tcPr>
          <w:p w14:paraId="139F9223">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建设地点</w:t>
            </w:r>
          </w:p>
        </w:tc>
        <w:tc>
          <w:tcPr>
            <w:tcW w:w="4341" w:type="pct"/>
            <w:gridSpan w:val="3"/>
            <w:noWrap w:val="0"/>
            <w:vAlign w:val="center"/>
          </w:tcPr>
          <w:p w14:paraId="7723882C">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i w:val="0"/>
                <w:iCs w:val="0"/>
                <w:color w:val="auto"/>
                <w:sz w:val="24"/>
                <w:szCs w:val="24"/>
                <w:u w:val="none"/>
                <w:lang w:val="en-US" w:eastAsia="zh-CN"/>
              </w:rPr>
              <w:t>安徽省淮南市潘集区珠江路北侧、武夷山路西侧</w:t>
            </w:r>
          </w:p>
        </w:tc>
      </w:tr>
      <w:tr w14:paraId="21CB62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8" w:type="pct"/>
            <w:noWrap w:val="0"/>
            <w:tcMar>
              <w:top w:w="16" w:type="dxa"/>
              <w:left w:w="16" w:type="dxa"/>
              <w:right w:w="16" w:type="dxa"/>
            </w:tcMar>
            <w:vAlign w:val="center"/>
          </w:tcPr>
          <w:p w14:paraId="0E3A6E35">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地理坐标</w:t>
            </w:r>
          </w:p>
        </w:tc>
        <w:tc>
          <w:tcPr>
            <w:tcW w:w="4341" w:type="pct"/>
            <w:gridSpan w:val="3"/>
            <w:noWrap w:val="0"/>
            <w:vAlign w:val="center"/>
          </w:tcPr>
          <w:p w14:paraId="197D9870">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u w:val="none"/>
              </w:rPr>
              <w:t>11</w:t>
            </w:r>
            <w:r>
              <w:rPr>
                <w:rFonts w:hint="eastAsia" w:cs="Times New Roman"/>
                <w:color w:val="auto"/>
                <w:sz w:val="24"/>
                <w:szCs w:val="24"/>
                <w:u w:val="none"/>
                <w:lang w:val="en-US" w:eastAsia="zh-CN"/>
              </w:rPr>
              <w:t>6</w:t>
            </w:r>
            <w:r>
              <w:rPr>
                <w:rFonts w:hint="default" w:ascii="Times New Roman" w:hAnsi="Times New Roman" w:eastAsia="宋体" w:cs="Times New Roman"/>
                <w:color w:val="auto"/>
                <w:sz w:val="24"/>
                <w:szCs w:val="24"/>
                <w:u w:val="none"/>
              </w:rPr>
              <w:t>度</w:t>
            </w:r>
            <w:r>
              <w:rPr>
                <w:rFonts w:hint="eastAsia" w:cs="Times New Roman"/>
                <w:color w:val="auto"/>
                <w:sz w:val="24"/>
                <w:szCs w:val="24"/>
                <w:u w:val="none"/>
                <w:lang w:val="en-US" w:eastAsia="zh-CN"/>
              </w:rPr>
              <w:t>49</w:t>
            </w:r>
            <w:r>
              <w:rPr>
                <w:rFonts w:hint="default" w:ascii="Times New Roman" w:hAnsi="Times New Roman" w:eastAsia="宋体" w:cs="Times New Roman"/>
                <w:color w:val="auto"/>
                <w:sz w:val="24"/>
                <w:szCs w:val="24"/>
                <w:u w:val="none"/>
              </w:rPr>
              <w:t>分</w:t>
            </w:r>
            <w:r>
              <w:rPr>
                <w:rFonts w:hint="eastAsia" w:cs="Times New Roman"/>
                <w:color w:val="auto"/>
                <w:sz w:val="24"/>
                <w:szCs w:val="24"/>
                <w:u w:val="none"/>
                <w:lang w:val="en-US" w:eastAsia="zh-CN"/>
              </w:rPr>
              <w:t>30.196</w:t>
            </w:r>
            <w:r>
              <w:rPr>
                <w:rFonts w:hint="default" w:ascii="Times New Roman" w:hAnsi="Times New Roman" w:eastAsia="宋体" w:cs="Times New Roman"/>
                <w:color w:val="auto"/>
                <w:sz w:val="24"/>
                <w:szCs w:val="24"/>
                <w:u w:val="none"/>
              </w:rPr>
              <w:t>秒，3</w:t>
            </w:r>
            <w:r>
              <w:rPr>
                <w:rFonts w:hint="eastAsia" w:cs="Times New Roman"/>
                <w:color w:val="auto"/>
                <w:sz w:val="24"/>
                <w:szCs w:val="24"/>
                <w:u w:val="none"/>
                <w:lang w:val="en-US" w:eastAsia="zh-CN"/>
              </w:rPr>
              <w:t>2</w:t>
            </w:r>
            <w:r>
              <w:rPr>
                <w:rFonts w:hint="default" w:ascii="Times New Roman" w:hAnsi="Times New Roman" w:eastAsia="宋体" w:cs="Times New Roman"/>
                <w:color w:val="auto"/>
                <w:sz w:val="24"/>
                <w:szCs w:val="24"/>
                <w:u w:val="none"/>
              </w:rPr>
              <w:t>度</w:t>
            </w:r>
            <w:r>
              <w:rPr>
                <w:rFonts w:hint="eastAsia" w:cs="Times New Roman"/>
                <w:color w:val="auto"/>
                <w:sz w:val="24"/>
                <w:szCs w:val="24"/>
                <w:u w:val="none"/>
                <w:lang w:val="en-US" w:eastAsia="zh-CN"/>
              </w:rPr>
              <w:t>46</w:t>
            </w:r>
            <w:r>
              <w:rPr>
                <w:rFonts w:hint="default" w:ascii="Times New Roman" w:hAnsi="Times New Roman" w:eastAsia="宋体" w:cs="Times New Roman"/>
                <w:color w:val="auto"/>
                <w:sz w:val="24"/>
                <w:szCs w:val="24"/>
                <w:u w:val="none"/>
              </w:rPr>
              <w:t>分</w:t>
            </w:r>
            <w:r>
              <w:rPr>
                <w:rFonts w:hint="eastAsia" w:cs="Times New Roman"/>
                <w:color w:val="auto"/>
                <w:sz w:val="24"/>
                <w:szCs w:val="24"/>
                <w:u w:val="none"/>
                <w:lang w:val="en-US" w:eastAsia="zh-CN"/>
              </w:rPr>
              <w:t>18.696</w:t>
            </w:r>
            <w:r>
              <w:rPr>
                <w:rFonts w:hint="default" w:ascii="Times New Roman" w:hAnsi="Times New Roman" w:eastAsia="宋体" w:cs="Times New Roman"/>
                <w:color w:val="auto"/>
                <w:sz w:val="24"/>
                <w:szCs w:val="24"/>
                <w:u w:val="none"/>
              </w:rPr>
              <w:t>秒</w:t>
            </w:r>
          </w:p>
        </w:tc>
      </w:tr>
      <w:tr w14:paraId="11BB48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8" w:type="pct"/>
            <w:noWrap w:val="0"/>
            <w:tcMar>
              <w:top w:w="16" w:type="dxa"/>
              <w:left w:w="16" w:type="dxa"/>
              <w:right w:w="16" w:type="dxa"/>
            </w:tcMar>
            <w:vAlign w:val="center"/>
          </w:tcPr>
          <w:p w14:paraId="666512BD">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国民经济</w:t>
            </w:r>
          </w:p>
          <w:p w14:paraId="77E9C16C">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行业类别</w:t>
            </w:r>
          </w:p>
        </w:tc>
        <w:tc>
          <w:tcPr>
            <w:tcW w:w="1657" w:type="pct"/>
            <w:noWrap w:val="0"/>
            <w:vAlign w:val="center"/>
          </w:tcPr>
          <w:p w14:paraId="07A709EB">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eastAsia="zh-CN"/>
              </w:rPr>
              <w:t>Q8411综合医院</w:t>
            </w:r>
          </w:p>
        </w:tc>
        <w:tc>
          <w:tcPr>
            <w:tcW w:w="717" w:type="pct"/>
            <w:noWrap w:val="0"/>
            <w:vAlign w:val="center"/>
          </w:tcPr>
          <w:p w14:paraId="39401693">
            <w:pPr>
              <w:adjustRightInd w:val="0"/>
              <w:snapToGrid w:val="0"/>
              <w:jc w:val="center"/>
              <w:rPr>
                <w:rFonts w:hint="default" w:ascii="Times New Roman" w:hAnsi="Times New Roman" w:eastAsia="宋体" w:cs="Times New Roman"/>
                <w:color w:val="auto"/>
                <w:sz w:val="24"/>
                <w:szCs w:val="24"/>
              </w:rPr>
            </w:pPr>
            <w:bookmarkStart w:id="0" w:name="_Hlk49843745"/>
            <w:r>
              <w:rPr>
                <w:rFonts w:hint="default" w:ascii="Times New Roman" w:hAnsi="Times New Roman" w:eastAsia="宋体" w:cs="Times New Roman"/>
                <w:color w:val="auto"/>
                <w:sz w:val="24"/>
                <w:szCs w:val="24"/>
              </w:rPr>
              <w:t>建设项目</w:t>
            </w:r>
          </w:p>
          <w:p w14:paraId="76DB115A">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行业类别</w:t>
            </w:r>
            <w:bookmarkEnd w:id="0"/>
          </w:p>
        </w:tc>
        <w:tc>
          <w:tcPr>
            <w:tcW w:w="1965" w:type="pct"/>
            <w:noWrap w:val="0"/>
            <w:vAlign w:val="center"/>
          </w:tcPr>
          <w:p w14:paraId="395FC9E3">
            <w:pPr>
              <w:adjustRightInd w:val="0"/>
              <w:snapToGrid w:val="0"/>
              <w:jc w:val="center"/>
              <w:rPr>
                <w:rFonts w:hint="eastAsia" w:ascii="Times New Roman" w:hAnsi="Times New Roman" w:eastAsia="宋体" w:cs="Times New Roman"/>
                <w:color w:val="auto"/>
                <w:sz w:val="24"/>
                <w:szCs w:val="24"/>
                <w:lang w:val="en-US" w:eastAsia="zh-CN"/>
              </w:rPr>
            </w:pPr>
            <w:r>
              <w:rPr>
                <w:rFonts w:hint="eastAsia" w:eastAsia="宋体" w:cs="Times New Roman"/>
                <w:color w:val="auto"/>
                <w:w w:val="100"/>
                <w:sz w:val="24"/>
                <w:szCs w:val="24"/>
                <w:highlight w:val="none"/>
                <w:lang w:val="en-US" w:eastAsia="zh-CN"/>
              </w:rPr>
              <w:t>四十九、卫生—108医院841—其他（住院床位20张以下的除外）</w:t>
            </w:r>
          </w:p>
        </w:tc>
      </w:tr>
      <w:tr w14:paraId="1972D6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8" w:type="pct"/>
            <w:noWrap w:val="0"/>
            <w:tcMar>
              <w:top w:w="16" w:type="dxa"/>
              <w:left w:w="16" w:type="dxa"/>
              <w:right w:w="16" w:type="dxa"/>
            </w:tcMar>
            <w:vAlign w:val="center"/>
          </w:tcPr>
          <w:p w14:paraId="3A792190">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建设性质</w:t>
            </w:r>
          </w:p>
        </w:tc>
        <w:tc>
          <w:tcPr>
            <w:tcW w:w="1657" w:type="pct"/>
            <w:noWrap w:val="0"/>
            <w:vAlign w:val="center"/>
          </w:tcPr>
          <w:p w14:paraId="1C8841D9">
            <w:pPr>
              <w:jc w:val="both"/>
              <w:rPr>
                <w:rFonts w:hint="default" w:ascii="Times New Roman" w:hAnsi="Times New Roman" w:eastAsia="宋体" w:cs="Times New Roman"/>
                <w:color w:val="auto"/>
                <w:sz w:val="24"/>
                <w:szCs w:val="24"/>
              </w:rPr>
            </w:pPr>
            <w:r>
              <w:rPr>
                <w:rFonts w:hint="eastAsia" w:cs="Times New Roman"/>
                <w:color w:val="auto"/>
                <w:sz w:val="24"/>
                <w:szCs w:val="24"/>
                <w:lang w:eastAsia="zh-CN"/>
              </w:rPr>
              <w:t>□</w:t>
            </w:r>
            <w:r>
              <w:rPr>
                <w:rFonts w:hint="eastAsia" w:cs="Times New Roman"/>
                <w:color w:val="auto"/>
                <w:sz w:val="24"/>
                <w:szCs w:val="24"/>
                <w:lang w:val="en-US" w:eastAsia="zh-CN"/>
              </w:rPr>
              <w:t>新</w:t>
            </w:r>
            <w:r>
              <w:rPr>
                <w:rFonts w:hint="default" w:ascii="Times New Roman" w:hAnsi="Times New Roman" w:eastAsia="宋体" w:cs="Times New Roman"/>
                <w:color w:val="auto"/>
                <w:sz w:val="24"/>
                <w:szCs w:val="24"/>
              </w:rPr>
              <w:t>建</w:t>
            </w:r>
          </w:p>
          <w:p w14:paraId="0FCE0D57">
            <w:pPr>
              <w:jc w:val="both"/>
              <w:rPr>
                <w:rFonts w:hint="default" w:ascii="Times New Roman" w:hAnsi="Times New Roman" w:eastAsia="宋体" w:cs="Times New Roman"/>
                <w:color w:val="auto"/>
                <w:sz w:val="24"/>
                <w:szCs w:val="24"/>
              </w:rPr>
            </w:pP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改建</w:t>
            </w:r>
          </w:p>
          <w:p w14:paraId="468D0D00">
            <w:pPr>
              <w:jc w:val="both"/>
              <w:rPr>
                <w:rFonts w:hint="default" w:ascii="Times New Roman" w:hAnsi="Times New Roman" w:eastAsia="宋体" w:cs="Times New Roman"/>
                <w:color w:val="auto"/>
                <w:sz w:val="24"/>
                <w:szCs w:val="24"/>
              </w:rPr>
            </w:pP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扩建</w:t>
            </w:r>
          </w:p>
          <w:p w14:paraId="47B34E85">
            <w:pPr>
              <w:jc w:val="both"/>
              <w:rPr>
                <w:rFonts w:hint="default" w:ascii="Times New Roman" w:hAnsi="Times New Roman" w:eastAsia="宋体" w:cs="Times New Roman"/>
                <w:color w:val="auto"/>
                <w:sz w:val="24"/>
                <w:szCs w:val="24"/>
              </w:rPr>
            </w:pP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技术改造</w:t>
            </w:r>
          </w:p>
        </w:tc>
        <w:tc>
          <w:tcPr>
            <w:tcW w:w="717" w:type="pct"/>
            <w:noWrap w:val="0"/>
            <w:vAlign w:val="center"/>
          </w:tcPr>
          <w:p w14:paraId="2F3894F8">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w:t>
            </w:r>
          </w:p>
          <w:p w14:paraId="3697A59C">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申报情形</w:t>
            </w:r>
          </w:p>
        </w:tc>
        <w:tc>
          <w:tcPr>
            <w:tcW w:w="1965" w:type="pct"/>
            <w:noWrap w:val="0"/>
            <w:vAlign w:val="center"/>
          </w:tcPr>
          <w:p w14:paraId="1B913FF6">
            <w:pPr>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首次申报项目</w:t>
            </w:r>
          </w:p>
          <w:p w14:paraId="5C5D1274">
            <w:pPr>
              <w:jc w:val="left"/>
              <w:rPr>
                <w:rFonts w:hint="default" w:ascii="Times New Roman" w:hAnsi="Times New Roman" w:eastAsia="宋体" w:cs="Times New Roman"/>
                <w:color w:val="auto"/>
                <w:sz w:val="24"/>
                <w:szCs w:val="24"/>
              </w:rPr>
            </w:pPr>
            <w:r>
              <w:rPr>
                <w:rFonts w:hint="eastAsia" w:cs="Times New Roman"/>
                <w:color w:val="auto"/>
                <w:sz w:val="24"/>
                <w:szCs w:val="24"/>
                <w:lang w:eastAsia="zh-CN"/>
              </w:rPr>
              <w:t>□</w:t>
            </w:r>
            <w:r>
              <w:rPr>
                <w:rFonts w:hint="default" w:ascii="Times New Roman" w:hAnsi="Times New Roman" w:eastAsia="宋体" w:cs="Times New Roman"/>
                <w:color w:val="auto"/>
                <w:sz w:val="24"/>
                <w:szCs w:val="24"/>
              </w:rPr>
              <w:t>不予批准后再次申报项目</w:t>
            </w:r>
          </w:p>
          <w:p w14:paraId="4F3053BF">
            <w:pPr>
              <w:jc w:val="left"/>
              <w:rPr>
                <w:rFonts w:hint="default" w:ascii="Times New Roman" w:hAnsi="Times New Roman" w:eastAsia="宋体" w:cs="Times New Roman"/>
                <w:color w:val="auto"/>
                <w:sz w:val="24"/>
                <w:szCs w:val="24"/>
              </w:rPr>
            </w:pPr>
            <w:r>
              <w:rPr>
                <w:rFonts w:hint="eastAsia" w:cs="Times New Roman"/>
                <w:color w:val="auto"/>
                <w:sz w:val="24"/>
                <w:szCs w:val="24"/>
                <w:lang w:eastAsia="zh-CN"/>
              </w:rPr>
              <w:t>□</w:t>
            </w:r>
            <w:r>
              <w:rPr>
                <w:rFonts w:hint="default" w:ascii="Times New Roman" w:hAnsi="Times New Roman" w:eastAsia="宋体" w:cs="Times New Roman"/>
                <w:color w:val="auto"/>
                <w:sz w:val="24"/>
                <w:szCs w:val="24"/>
              </w:rPr>
              <w:t xml:space="preserve">超五年重新审核项目     </w:t>
            </w:r>
          </w:p>
          <w:p w14:paraId="0E38D347">
            <w:pPr>
              <w:jc w:val="left"/>
              <w:rPr>
                <w:rFonts w:hint="default" w:ascii="Times New Roman" w:hAnsi="Times New Roman" w:eastAsia="宋体" w:cs="Times New Roman"/>
                <w:color w:val="auto"/>
                <w:sz w:val="24"/>
                <w:szCs w:val="24"/>
              </w:rPr>
            </w:pPr>
            <w:r>
              <w:rPr>
                <w:rFonts w:hint="eastAsia" w:cs="Times New Roman"/>
                <w:color w:val="auto"/>
                <w:sz w:val="24"/>
                <w:szCs w:val="24"/>
                <w:lang w:eastAsia="zh-CN"/>
              </w:rPr>
              <w:t>□</w:t>
            </w:r>
            <w:r>
              <w:rPr>
                <w:rFonts w:hint="default" w:ascii="Times New Roman" w:hAnsi="Times New Roman" w:eastAsia="宋体" w:cs="Times New Roman"/>
                <w:color w:val="auto"/>
                <w:sz w:val="24"/>
                <w:szCs w:val="24"/>
              </w:rPr>
              <w:t>重大变动重新报批项目</w:t>
            </w:r>
          </w:p>
        </w:tc>
      </w:tr>
      <w:tr w14:paraId="183DAF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8" w:type="pct"/>
            <w:noWrap w:val="0"/>
            <w:tcMar>
              <w:top w:w="16" w:type="dxa"/>
              <w:left w:w="16" w:type="dxa"/>
              <w:right w:w="16" w:type="dxa"/>
            </w:tcMar>
            <w:vAlign w:val="center"/>
          </w:tcPr>
          <w:p w14:paraId="0F0A6C5C">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项目审批（核准/备案）部门</w:t>
            </w:r>
          </w:p>
        </w:tc>
        <w:tc>
          <w:tcPr>
            <w:tcW w:w="1657" w:type="pct"/>
            <w:noWrap w:val="0"/>
            <w:vAlign w:val="center"/>
          </w:tcPr>
          <w:p w14:paraId="42F346C5">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淮南市潘集区发展和改革委员会</w:t>
            </w:r>
          </w:p>
        </w:tc>
        <w:tc>
          <w:tcPr>
            <w:tcW w:w="717" w:type="pct"/>
            <w:noWrap w:val="0"/>
            <w:vAlign w:val="center"/>
          </w:tcPr>
          <w:p w14:paraId="5E2742ED">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项目审批（核准/备案）文号</w:t>
            </w:r>
          </w:p>
        </w:tc>
        <w:tc>
          <w:tcPr>
            <w:tcW w:w="1965" w:type="pct"/>
            <w:noWrap w:val="0"/>
            <w:vAlign w:val="center"/>
          </w:tcPr>
          <w:p w14:paraId="0646173B">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潘发改审批[2026]47号</w:t>
            </w:r>
          </w:p>
        </w:tc>
      </w:tr>
      <w:tr w14:paraId="7C32C2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8" w:type="pct"/>
            <w:noWrap w:val="0"/>
            <w:tcMar>
              <w:top w:w="16" w:type="dxa"/>
              <w:left w:w="16" w:type="dxa"/>
              <w:right w:w="16" w:type="dxa"/>
            </w:tcMar>
            <w:vAlign w:val="center"/>
          </w:tcPr>
          <w:p w14:paraId="11A7D976">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总投资</w:t>
            </w:r>
          </w:p>
          <w:p w14:paraId="2C71A0DB">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（万元）</w:t>
            </w:r>
          </w:p>
        </w:tc>
        <w:tc>
          <w:tcPr>
            <w:tcW w:w="1657" w:type="pct"/>
            <w:noWrap w:val="0"/>
            <w:vAlign w:val="center"/>
          </w:tcPr>
          <w:p w14:paraId="4D37B005">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17134</w:t>
            </w:r>
          </w:p>
        </w:tc>
        <w:tc>
          <w:tcPr>
            <w:tcW w:w="717" w:type="pct"/>
            <w:noWrap w:val="0"/>
            <w:tcMar>
              <w:top w:w="16" w:type="dxa"/>
              <w:left w:w="16" w:type="dxa"/>
              <w:right w:w="16" w:type="dxa"/>
            </w:tcMar>
            <w:vAlign w:val="center"/>
          </w:tcPr>
          <w:p w14:paraId="7401CA53">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环保投资</w:t>
            </w:r>
          </w:p>
          <w:p w14:paraId="26155490">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（万元）</w:t>
            </w:r>
          </w:p>
        </w:tc>
        <w:tc>
          <w:tcPr>
            <w:tcW w:w="1965" w:type="pct"/>
            <w:noWrap w:val="0"/>
            <w:vAlign w:val="center"/>
          </w:tcPr>
          <w:p w14:paraId="4769B6C5">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40</w:t>
            </w:r>
          </w:p>
        </w:tc>
      </w:tr>
      <w:tr w14:paraId="086CB2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8" w:type="pct"/>
            <w:noWrap w:val="0"/>
            <w:tcMar>
              <w:top w:w="16" w:type="dxa"/>
              <w:left w:w="16" w:type="dxa"/>
              <w:right w:w="16" w:type="dxa"/>
            </w:tcMar>
            <w:vAlign w:val="center"/>
          </w:tcPr>
          <w:p w14:paraId="5157FFDF">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环保投资占比（%）</w:t>
            </w:r>
          </w:p>
        </w:tc>
        <w:tc>
          <w:tcPr>
            <w:tcW w:w="1657" w:type="pct"/>
            <w:noWrap w:val="0"/>
            <w:vAlign w:val="center"/>
          </w:tcPr>
          <w:p w14:paraId="40CA9250">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0.2</w:t>
            </w:r>
          </w:p>
        </w:tc>
        <w:tc>
          <w:tcPr>
            <w:tcW w:w="717" w:type="pct"/>
            <w:noWrap w:val="0"/>
            <w:tcMar>
              <w:top w:w="16" w:type="dxa"/>
              <w:left w:w="16" w:type="dxa"/>
              <w:right w:w="16" w:type="dxa"/>
            </w:tcMar>
            <w:vAlign w:val="center"/>
          </w:tcPr>
          <w:p w14:paraId="3D544C0B">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施工工期</w:t>
            </w:r>
          </w:p>
        </w:tc>
        <w:tc>
          <w:tcPr>
            <w:tcW w:w="1965" w:type="pct"/>
            <w:noWrap w:val="0"/>
            <w:vAlign w:val="center"/>
          </w:tcPr>
          <w:p w14:paraId="138F537A">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24个月</w:t>
            </w:r>
          </w:p>
        </w:tc>
      </w:tr>
      <w:tr w14:paraId="07ED47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8" w:type="pct"/>
            <w:noWrap w:val="0"/>
            <w:tcMar>
              <w:top w:w="16" w:type="dxa"/>
              <w:left w:w="16" w:type="dxa"/>
              <w:right w:w="16" w:type="dxa"/>
            </w:tcMar>
            <w:vAlign w:val="center"/>
          </w:tcPr>
          <w:p w14:paraId="6E262FE1">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是否开工建设</w:t>
            </w:r>
          </w:p>
        </w:tc>
        <w:tc>
          <w:tcPr>
            <w:tcW w:w="1657" w:type="pct"/>
            <w:noWrap w:val="0"/>
            <w:vAlign w:val="center"/>
          </w:tcPr>
          <w:p w14:paraId="5361EB2D">
            <w:pPr>
              <w:adjustRightInd w:val="0"/>
              <w:snapToGrid w:val="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否</w:t>
            </w:r>
          </w:p>
          <w:p w14:paraId="4100DAC1">
            <w:pPr>
              <w:adjustRightInd w:val="0"/>
              <w:snapToGrid w:val="0"/>
              <w:jc w:val="both"/>
              <w:rPr>
                <w:rFonts w:hint="default" w:ascii="Times New Roman" w:hAnsi="Times New Roman" w:eastAsia="宋体" w:cs="Times New Roman"/>
                <w:color w:val="auto"/>
                <w:sz w:val="24"/>
                <w:szCs w:val="24"/>
              </w:rPr>
            </w:pP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是：</w:t>
            </w:r>
          </w:p>
        </w:tc>
        <w:tc>
          <w:tcPr>
            <w:tcW w:w="717" w:type="pct"/>
            <w:noWrap w:val="0"/>
            <w:tcMar>
              <w:top w:w="16" w:type="dxa"/>
              <w:left w:w="16" w:type="dxa"/>
              <w:right w:w="16" w:type="dxa"/>
            </w:tcMar>
            <w:vAlign w:val="center"/>
          </w:tcPr>
          <w:p w14:paraId="0BC12264">
            <w:pPr>
              <w:adjustRightInd w:val="0"/>
              <w:snapToGrid w:val="0"/>
              <w:jc w:val="center"/>
              <w:rPr>
                <w:rFonts w:hint="default" w:ascii="Times New Roman" w:hAnsi="Times New Roman" w:eastAsia="宋体" w:cs="Times New Roman"/>
                <w:color w:val="auto"/>
                <w:spacing w:val="-6"/>
                <w:sz w:val="24"/>
                <w:szCs w:val="24"/>
              </w:rPr>
            </w:pPr>
            <w:r>
              <w:rPr>
                <w:rFonts w:hint="default" w:ascii="Times New Roman" w:hAnsi="Times New Roman" w:eastAsia="宋体" w:cs="Times New Roman"/>
                <w:color w:val="auto"/>
                <w:spacing w:val="-6"/>
                <w:sz w:val="24"/>
                <w:szCs w:val="24"/>
              </w:rPr>
              <w:t>用地（用海）</w:t>
            </w:r>
          </w:p>
          <w:p w14:paraId="53345DE9">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6"/>
                <w:sz w:val="24"/>
                <w:szCs w:val="24"/>
              </w:rPr>
              <w:t>面积（m</w:t>
            </w:r>
            <w:r>
              <w:rPr>
                <w:rFonts w:hint="default" w:ascii="Times New Roman" w:hAnsi="Times New Roman" w:eastAsia="宋体" w:cs="Times New Roman"/>
                <w:color w:val="auto"/>
                <w:spacing w:val="-6"/>
                <w:sz w:val="24"/>
                <w:szCs w:val="24"/>
                <w:vertAlign w:val="superscript"/>
              </w:rPr>
              <w:t>2</w:t>
            </w:r>
            <w:r>
              <w:rPr>
                <w:rFonts w:hint="default" w:ascii="Times New Roman" w:hAnsi="Times New Roman" w:eastAsia="宋体" w:cs="Times New Roman"/>
                <w:color w:val="auto"/>
                <w:spacing w:val="-6"/>
                <w:sz w:val="24"/>
                <w:szCs w:val="24"/>
              </w:rPr>
              <w:t>）</w:t>
            </w:r>
          </w:p>
        </w:tc>
        <w:tc>
          <w:tcPr>
            <w:tcW w:w="1965" w:type="pct"/>
            <w:noWrap w:val="0"/>
            <w:vAlign w:val="center"/>
          </w:tcPr>
          <w:p w14:paraId="444AE700">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40711.8</w:t>
            </w:r>
          </w:p>
        </w:tc>
      </w:tr>
      <w:tr w14:paraId="459DFC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8" w:type="pct"/>
            <w:noWrap w:val="0"/>
            <w:vAlign w:val="center"/>
          </w:tcPr>
          <w:p w14:paraId="40C41DE6">
            <w:pPr>
              <w:autoSpaceDE w:val="0"/>
              <w:autoSpaceDN w:val="0"/>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专项评价设置情况</w:t>
            </w:r>
          </w:p>
        </w:tc>
        <w:tc>
          <w:tcPr>
            <w:tcW w:w="7901" w:type="dxa"/>
            <w:gridSpan w:val="3"/>
            <w:noWrap w:val="0"/>
            <w:vAlign w:val="center"/>
          </w:tcPr>
          <w:p w14:paraId="5E269F9C">
            <w:pPr>
              <w:adjustRightInd w:val="0"/>
              <w:snapToGrid w:val="0"/>
              <w:jc w:val="center"/>
              <w:rPr>
                <w:rFonts w:hint="default" w:ascii="Times New Roman" w:hAnsi="Times New Roman" w:eastAsia="宋体" w:cs="Times New Roman"/>
                <w:color w:val="auto"/>
                <w:sz w:val="24"/>
                <w:szCs w:val="24"/>
              </w:rPr>
            </w:pPr>
            <w:r>
              <w:rPr>
                <w:rFonts w:hint="eastAsia" w:cs="Times New Roman"/>
                <w:color w:val="auto"/>
                <w:sz w:val="24"/>
                <w:szCs w:val="24"/>
                <w:lang w:eastAsia="zh-CN"/>
              </w:rPr>
              <w:t>无</w:t>
            </w:r>
          </w:p>
        </w:tc>
      </w:tr>
      <w:tr w14:paraId="6E48A1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8" w:type="pct"/>
            <w:noWrap w:val="0"/>
            <w:vAlign w:val="center"/>
          </w:tcPr>
          <w:p w14:paraId="1A92FA1A">
            <w:pPr>
              <w:autoSpaceDE w:val="0"/>
              <w:autoSpaceDN w:val="0"/>
              <w:adjustRightInd w:val="0"/>
              <w:snapToGrid w:val="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4"/>
                <w:szCs w:val="24"/>
              </w:rPr>
              <w:t>规划情况</w:t>
            </w:r>
          </w:p>
        </w:tc>
        <w:tc>
          <w:tcPr>
            <w:tcW w:w="7901" w:type="dxa"/>
            <w:gridSpan w:val="3"/>
            <w:noWrap w:val="0"/>
            <w:vAlign w:val="center"/>
          </w:tcPr>
          <w:p w14:paraId="1867358A">
            <w:pPr>
              <w:pStyle w:val="106"/>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Times New Roman" w:hAnsi="Times New Roman" w:eastAsia="宋体" w:cs="Times New Roman"/>
                <w:kern w:val="2"/>
                <w:sz w:val="24"/>
                <w:szCs w:val="24"/>
                <w:lang w:val="en-US" w:eastAsia="zh-CN"/>
              </w:rPr>
            </w:pPr>
            <w:r>
              <w:rPr>
                <w:rFonts w:hint="eastAsia" w:ascii="Times New Roman" w:hAnsi="Times New Roman" w:eastAsia="宋体" w:cs="Times New Roman"/>
                <w:kern w:val="2"/>
                <w:sz w:val="24"/>
                <w:szCs w:val="24"/>
                <w:lang w:val="en-US" w:eastAsia="zh-CN"/>
              </w:rPr>
              <w:t>规划名称：《淮南市国土空间总体规划（2021—2035年）》</w:t>
            </w:r>
          </w:p>
          <w:p w14:paraId="55A0920B">
            <w:pPr>
              <w:pStyle w:val="106"/>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kern w:val="2"/>
                <w:sz w:val="24"/>
                <w:szCs w:val="24"/>
                <w:lang w:val="en-US" w:eastAsia="zh-CN"/>
              </w:rPr>
            </w:pPr>
            <w:r>
              <w:rPr>
                <w:rFonts w:hint="eastAsia" w:ascii="Times New Roman" w:hAnsi="Times New Roman" w:eastAsia="宋体" w:cs="Times New Roman"/>
                <w:kern w:val="2"/>
                <w:sz w:val="24"/>
                <w:szCs w:val="24"/>
                <w:lang w:val="en-US" w:eastAsia="zh-CN"/>
              </w:rPr>
              <w:t>审批机关：安徽省</w:t>
            </w:r>
            <w:r>
              <w:rPr>
                <w:kern w:val="2"/>
                <w:sz w:val="24"/>
                <w:szCs w:val="24"/>
                <w:lang w:val="en-US" w:eastAsia="zh-CN"/>
              </w:rPr>
              <w:t>人民政府</w:t>
            </w:r>
          </w:p>
          <w:p w14:paraId="04E31949">
            <w:pPr>
              <w:pStyle w:val="106"/>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color w:val="auto"/>
                <w:kern w:val="2"/>
                <w:sz w:val="24"/>
                <w:szCs w:val="24"/>
                <w:lang w:val="en-US" w:eastAsia="zh-CN"/>
              </w:rPr>
            </w:pPr>
            <w:r>
              <w:rPr>
                <w:kern w:val="2"/>
                <w:sz w:val="24"/>
                <w:szCs w:val="24"/>
                <w:lang w:val="en-US" w:eastAsia="zh-CN"/>
              </w:rPr>
              <w:t>审批</w:t>
            </w:r>
            <w:r>
              <w:rPr>
                <w:color w:val="auto"/>
                <w:kern w:val="2"/>
                <w:sz w:val="24"/>
                <w:szCs w:val="24"/>
                <w:lang w:val="en-US" w:eastAsia="zh-CN"/>
              </w:rPr>
              <w:t>文件：</w:t>
            </w:r>
            <w:r>
              <w:rPr>
                <w:rFonts w:hint="eastAsia"/>
                <w:color w:val="auto"/>
                <w:kern w:val="2"/>
                <w:sz w:val="24"/>
                <w:szCs w:val="24"/>
                <w:lang w:val="en-US" w:eastAsia="zh-CN"/>
              </w:rPr>
              <w:t>安徽省人民政府关于</w:t>
            </w:r>
            <w:r>
              <w:rPr>
                <w:color w:val="auto"/>
                <w:kern w:val="2"/>
                <w:sz w:val="24"/>
                <w:szCs w:val="24"/>
                <w:lang w:val="en-US" w:eastAsia="zh-CN"/>
              </w:rPr>
              <w:t>《</w:t>
            </w:r>
            <w:r>
              <w:rPr>
                <w:rFonts w:hint="eastAsia" w:ascii="Times New Roman" w:hAnsi="Times New Roman" w:eastAsia="宋体" w:cs="Times New Roman"/>
                <w:kern w:val="2"/>
                <w:sz w:val="24"/>
                <w:szCs w:val="24"/>
                <w:lang w:val="en-US" w:eastAsia="zh-CN"/>
              </w:rPr>
              <w:t>淮南市国土空间总体规划（2021—2035年）</w:t>
            </w:r>
            <w:r>
              <w:rPr>
                <w:color w:val="auto"/>
                <w:kern w:val="2"/>
                <w:sz w:val="24"/>
                <w:szCs w:val="24"/>
                <w:lang w:val="en-US" w:eastAsia="zh-CN"/>
              </w:rPr>
              <w:t>》</w:t>
            </w:r>
            <w:r>
              <w:rPr>
                <w:rFonts w:hint="eastAsia"/>
                <w:color w:val="auto"/>
                <w:kern w:val="2"/>
                <w:sz w:val="24"/>
                <w:szCs w:val="24"/>
                <w:lang w:val="en-US" w:eastAsia="zh-CN"/>
              </w:rPr>
              <w:t>的批复</w:t>
            </w:r>
          </w:p>
          <w:p w14:paraId="25A54714">
            <w:pPr>
              <w:keepNext w:val="0"/>
              <w:keepLines w:val="0"/>
              <w:pageBreakBefore w:val="0"/>
              <w:widowControl w:val="0"/>
              <w:numPr>
                <w:ilvl w:val="0"/>
                <w:numId w:val="0"/>
              </w:numPr>
              <w:kinsoku/>
              <w:wordWrap/>
              <w:overflowPunct/>
              <w:topLinePunct w:val="0"/>
              <w:autoSpaceDE/>
              <w:autoSpaceDN/>
              <w:bidi w:val="0"/>
              <w:adjustRightInd/>
              <w:snapToGrid/>
              <w:spacing w:line="312" w:lineRule="auto"/>
              <w:ind w:left="0" w:leftChars="0" w:firstLine="0" w:firstLineChars="0"/>
              <w:jc w:val="both"/>
              <w:textAlignment w:val="auto"/>
              <w:rPr>
                <w:rFonts w:hint="default" w:ascii="Times New Roman" w:hAnsi="Times New Roman" w:cs="Times New Roman"/>
                <w:b w:val="0"/>
                <w:bCs w:val="0"/>
                <w:color w:val="auto"/>
                <w:lang w:val="en-US" w:eastAsia="zh-CN"/>
              </w:rPr>
            </w:pPr>
            <w:r>
              <w:rPr>
                <w:color w:val="auto"/>
                <w:kern w:val="2"/>
                <w:sz w:val="24"/>
                <w:szCs w:val="24"/>
                <w:lang w:val="en-US" w:eastAsia="zh-CN"/>
              </w:rPr>
              <w:t>审批文号</w:t>
            </w:r>
            <w:r>
              <w:rPr>
                <w:rFonts w:hint="eastAsia"/>
                <w:color w:val="auto"/>
                <w:kern w:val="2"/>
                <w:sz w:val="24"/>
                <w:szCs w:val="24"/>
                <w:lang w:val="en-US" w:eastAsia="zh-CN"/>
              </w:rPr>
              <w:t>：皖政</w:t>
            </w:r>
            <w:r>
              <w:rPr>
                <w:color w:val="auto"/>
                <w:kern w:val="2"/>
                <w:sz w:val="24"/>
                <w:szCs w:val="24"/>
                <w:lang w:val="en-US" w:eastAsia="zh-CN"/>
              </w:rPr>
              <w:t>秘〔20</w:t>
            </w:r>
            <w:r>
              <w:rPr>
                <w:rFonts w:hint="eastAsia"/>
                <w:color w:val="auto"/>
                <w:kern w:val="2"/>
                <w:sz w:val="24"/>
                <w:szCs w:val="24"/>
                <w:lang w:val="en-US" w:eastAsia="zh-CN"/>
              </w:rPr>
              <w:t>24</w:t>
            </w:r>
            <w:r>
              <w:rPr>
                <w:color w:val="auto"/>
                <w:kern w:val="2"/>
                <w:sz w:val="24"/>
                <w:szCs w:val="24"/>
                <w:lang w:val="en-US" w:eastAsia="zh-CN"/>
              </w:rPr>
              <w:t>〕</w:t>
            </w:r>
            <w:r>
              <w:rPr>
                <w:rFonts w:hint="eastAsia"/>
                <w:color w:val="auto"/>
                <w:kern w:val="2"/>
                <w:sz w:val="24"/>
                <w:szCs w:val="24"/>
                <w:lang w:val="en-US" w:eastAsia="zh-CN"/>
              </w:rPr>
              <w:t>46</w:t>
            </w:r>
            <w:r>
              <w:rPr>
                <w:color w:val="auto"/>
                <w:kern w:val="2"/>
                <w:sz w:val="24"/>
                <w:szCs w:val="24"/>
                <w:lang w:val="en-US" w:eastAsia="zh-CN"/>
              </w:rPr>
              <w:t>号</w:t>
            </w:r>
          </w:p>
        </w:tc>
      </w:tr>
      <w:tr w14:paraId="5D2C2B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8" w:type="pct"/>
            <w:noWrap w:val="0"/>
            <w:vAlign w:val="center"/>
          </w:tcPr>
          <w:p w14:paraId="2E41A174">
            <w:pPr>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规划环境影响评价情况</w:t>
            </w:r>
          </w:p>
        </w:tc>
        <w:tc>
          <w:tcPr>
            <w:tcW w:w="7901" w:type="dxa"/>
            <w:gridSpan w:val="3"/>
            <w:noWrap w:val="0"/>
            <w:vAlign w:val="center"/>
          </w:tcPr>
          <w:p w14:paraId="441A1586">
            <w:pPr>
              <w:spacing w:line="360" w:lineRule="auto"/>
              <w:jc w:val="center"/>
              <w:rPr>
                <w:rFonts w:hint="default" w:ascii="Times New Roman" w:hAnsi="Times New Roman"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无</w:t>
            </w:r>
          </w:p>
        </w:tc>
      </w:tr>
      <w:tr w14:paraId="79CAF1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58" w:type="pct"/>
            <w:noWrap w:val="0"/>
            <w:vAlign w:val="center"/>
          </w:tcPr>
          <w:p w14:paraId="6B71E847">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FF0000"/>
                <w:kern w:val="0"/>
                <w:sz w:val="24"/>
                <w:szCs w:val="24"/>
              </w:rPr>
            </w:pPr>
            <w:r>
              <w:rPr>
                <w:rFonts w:hint="default" w:ascii="Times New Roman" w:hAnsi="Times New Roman" w:eastAsia="宋体" w:cs="Times New Roman"/>
                <w:color w:val="auto"/>
                <w:kern w:val="0"/>
                <w:sz w:val="24"/>
                <w:szCs w:val="24"/>
              </w:rPr>
              <w:t>规划及规划环境影响评价符合性分析</w:t>
            </w:r>
          </w:p>
        </w:tc>
        <w:tc>
          <w:tcPr>
            <w:tcW w:w="7901" w:type="dxa"/>
            <w:gridSpan w:val="3"/>
            <w:noWrap w:val="0"/>
            <w:vAlign w:val="center"/>
          </w:tcPr>
          <w:p w14:paraId="3581ABB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jc w:val="both"/>
              <w:textAlignment w:val="auto"/>
              <w:rPr>
                <w:rFonts w:hint="eastAsia" w:ascii="Times New Roman" w:hAnsi="Times New Roman" w:eastAsia="宋体" w:cs="Times New Roman"/>
                <w:b/>
                <w:bCs/>
                <w:color w:val="auto"/>
                <w:sz w:val="24"/>
                <w:szCs w:val="24"/>
                <w:lang w:val="en-US" w:eastAsia="zh-CN" w:bidi="ar-SA"/>
              </w:rPr>
            </w:pPr>
            <w:r>
              <w:rPr>
                <w:rFonts w:hint="eastAsia" w:ascii="Times New Roman" w:hAnsi="Times New Roman" w:cs="Times New Roman"/>
                <w:b/>
                <w:bCs/>
                <w:color w:val="auto"/>
                <w:sz w:val="24"/>
                <w:szCs w:val="24"/>
                <w:lang w:val="en-US" w:eastAsia="zh-CN" w:bidi="ar-SA"/>
              </w:rPr>
              <w:t>1</w:t>
            </w:r>
            <w:r>
              <w:rPr>
                <w:rFonts w:hint="eastAsia" w:ascii="Times New Roman" w:hAnsi="Times New Roman" w:eastAsia="宋体" w:cs="Times New Roman"/>
                <w:b/>
                <w:bCs/>
                <w:color w:val="auto"/>
                <w:sz w:val="24"/>
                <w:szCs w:val="24"/>
                <w:lang w:val="en-US" w:eastAsia="zh-CN" w:bidi="ar-SA"/>
              </w:rPr>
              <w:t>、与《</w:t>
            </w:r>
            <w:r>
              <w:rPr>
                <w:rFonts w:hint="eastAsia" w:ascii="Times New Roman" w:hAnsi="Times New Roman" w:eastAsia="宋体" w:cs="Times New Roman"/>
                <w:b/>
                <w:bCs/>
                <w:kern w:val="2"/>
                <w:sz w:val="24"/>
                <w:szCs w:val="24"/>
                <w:lang w:val="en-US" w:eastAsia="zh-CN"/>
              </w:rPr>
              <w:t>淮南市国土空间总体规划（2021—2035年）</w:t>
            </w:r>
            <w:r>
              <w:rPr>
                <w:rFonts w:hint="eastAsia" w:ascii="Times New Roman" w:hAnsi="Times New Roman" w:eastAsia="宋体" w:cs="Times New Roman"/>
                <w:b/>
                <w:bCs/>
                <w:color w:val="auto"/>
                <w:sz w:val="24"/>
                <w:szCs w:val="24"/>
                <w:lang w:val="en-US" w:eastAsia="zh-CN" w:bidi="ar-SA"/>
              </w:rPr>
              <w:t>》相符性分析</w:t>
            </w:r>
          </w:p>
          <w:p w14:paraId="1A87C13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cs="Times New Roman"/>
                <w:b w:val="0"/>
                <w:bCs w:val="0"/>
                <w:color w:val="auto"/>
                <w:kern w:val="2"/>
                <w:sz w:val="24"/>
                <w:szCs w:val="24"/>
                <w:highlight w:val="none"/>
                <w:lang w:val="en-US" w:eastAsia="zh-CN" w:bidi="ar-SA"/>
              </w:rPr>
            </w:pPr>
            <w:r>
              <w:rPr>
                <w:rFonts w:hint="eastAsia" w:cs="Times New Roman"/>
                <w:b w:val="0"/>
                <w:bCs w:val="0"/>
                <w:color w:val="auto"/>
                <w:kern w:val="2"/>
                <w:sz w:val="24"/>
                <w:szCs w:val="24"/>
                <w:highlight w:val="none"/>
                <w:lang w:val="en-US" w:eastAsia="zh-CN" w:bidi="ar-SA"/>
              </w:rPr>
              <w:t>规划内容：</w:t>
            </w:r>
          </w:p>
          <w:p w14:paraId="7C833515">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优化建设用地结构。</w:t>
            </w:r>
            <w:r>
              <w:rPr>
                <w:rFonts w:hint="default" w:ascii="Times New Roman" w:hAnsi="Times New Roman" w:eastAsia="宋体" w:cs="Times New Roman"/>
                <w:b w:val="0"/>
                <w:bCs w:val="0"/>
                <w:color w:val="auto"/>
                <w:kern w:val="2"/>
                <w:sz w:val="24"/>
                <w:szCs w:val="24"/>
                <w:highlight w:val="none"/>
                <w:lang w:val="en-US" w:eastAsia="zh-CN" w:bidi="ar-SA"/>
              </w:rPr>
              <w:t>严格按</w:t>
            </w:r>
            <w:r>
              <w:rPr>
                <w:rFonts w:hint="eastAsia" w:ascii="宋体" w:hAnsi="宋体" w:eastAsia="宋体" w:cs="宋体"/>
                <w:b w:val="0"/>
                <w:bCs w:val="0"/>
                <w:color w:val="auto"/>
                <w:kern w:val="2"/>
                <w:sz w:val="24"/>
                <w:szCs w:val="24"/>
                <w:highlight w:val="none"/>
                <w:lang w:val="en-US" w:eastAsia="zh-CN" w:bidi="ar-SA"/>
              </w:rPr>
              <w:t>照城镇开发边界范围开展城镇集中建设，推进村庄建设用地集约化发展，合理保障区域基础设施和其他建设用地。节约集约利用建设用地，引导建设用地由“增量扩张”向“增存并举”转型，有序推动建设用地在城镇和农村内部、城乡之间合理流动。适度增加城镇建设用地规模，在合理保障乡村振兴用地需求的同</w:t>
            </w:r>
            <w:r>
              <w:rPr>
                <w:rFonts w:hint="default" w:ascii="Times New Roman" w:hAnsi="Times New Roman" w:eastAsia="宋体" w:cs="Times New Roman"/>
                <w:b w:val="0"/>
                <w:bCs w:val="0"/>
                <w:color w:val="auto"/>
                <w:kern w:val="2"/>
                <w:sz w:val="24"/>
                <w:szCs w:val="24"/>
                <w:highlight w:val="none"/>
                <w:lang w:val="en-US" w:eastAsia="zh-CN" w:bidi="ar-SA"/>
              </w:rPr>
              <w:t>时，逐步降低村庄建设用地规模。</w:t>
            </w:r>
          </w:p>
          <w:p w14:paraId="6BABE90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科学保护利用其他土地。加强其他土地开发的生态影响评价，严禁在生态脆弱和环境敏感地区进行土地开发</w:t>
            </w:r>
            <w:r>
              <w:rPr>
                <w:rFonts w:hint="eastAsia" w:ascii="Times New Roman" w:hAnsi="Times New Roman" w:cs="Times New Roman"/>
                <w:b w:val="0"/>
                <w:bCs w:val="0"/>
                <w:color w:val="auto"/>
                <w:kern w:val="2"/>
                <w:sz w:val="24"/>
                <w:szCs w:val="24"/>
                <w:highlight w:val="none"/>
                <w:lang w:val="en-US" w:eastAsia="zh-CN" w:bidi="ar-SA"/>
              </w:rPr>
              <w:t>。</w:t>
            </w:r>
          </w:p>
          <w:p w14:paraId="43F7BB5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严控建设用地总量和强度。坚持节约集约、高效利用，实行建设用地总量和强度双控，引导工业向开发区集中、人口向城镇集中、住宅向社区集中。推动农村人口向中心村、集镇集聚，产业向功能区集中，不断提高土地资源综合利用效率</w:t>
            </w:r>
            <w:r>
              <w:rPr>
                <w:rFonts w:hint="eastAsia" w:ascii="Times New Roman" w:hAnsi="Times New Roman" w:eastAsia="宋体" w:cs="Times New Roman"/>
                <w:b w:val="0"/>
                <w:bCs w:val="0"/>
                <w:color w:val="auto"/>
                <w:kern w:val="2"/>
                <w:sz w:val="24"/>
                <w:szCs w:val="24"/>
                <w:highlight w:val="none"/>
                <w:lang w:val="en-US" w:eastAsia="zh-CN" w:bidi="ar-SA"/>
              </w:rPr>
              <w:t>。</w:t>
            </w:r>
          </w:p>
          <w:p w14:paraId="2964D10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建立自然资源</w:t>
            </w:r>
            <w:r>
              <w:rPr>
                <w:rFonts w:hint="eastAsia" w:ascii="宋体" w:hAnsi="宋体" w:eastAsia="宋体" w:cs="宋体"/>
                <w:b w:val="0"/>
                <w:bCs w:val="0"/>
                <w:color w:val="auto"/>
                <w:kern w:val="2"/>
                <w:sz w:val="24"/>
                <w:szCs w:val="24"/>
                <w:highlight w:val="none"/>
                <w:lang w:val="en-US" w:eastAsia="zh-CN" w:bidi="ar-SA"/>
              </w:rPr>
              <w:t>用途管制制度。落实耕地和永久基本农田、生态保护红线、城镇开发边界“三线”管控制</w:t>
            </w:r>
            <w:r>
              <w:rPr>
                <w:rFonts w:hint="default" w:ascii="Times New Roman" w:hAnsi="Times New Roman" w:eastAsia="宋体" w:cs="Times New Roman"/>
                <w:b w:val="0"/>
                <w:bCs w:val="0"/>
                <w:color w:val="auto"/>
                <w:kern w:val="2"/>
                <w:sz w:val="24"/>
                <w:szCs w:val="24"/>
                <w:highlight w:val="none"/>
                <w:lang w:val="en-US" w:eastAsia="zh-CN" w:bidi="ar-SA"/>
              </w:rPr>
              <w:t>度，实施全域全类型统一的国土空间用途管制。坚决落实最严格的耕地保护制度、最严格的节约用地制度和最严格的生态环境保护制度，落实耕地和生态用地占用补偿制度</w:t>
            </w:r>
            <w:r>
              <w:rPr>
                <w:rFonts w:hint="eastAsia" w:cs="Times New Roman"/>
                <w:b w:val="0"/>
                <w:bCs w:val="0"/>
                <w:color w:val="auto"/>
                <w:kern w:val="2"/>
                <w:sz w:val="24"/>
                <w:szCs w:val="24"/>
                <w:highlight w:val="none"/>
                <w:lang w:val="en-US" w:eastAsia="zh-CN" w:bidi="ar-SA"/>
              </w:rPr>
              <w:t>。</w:t>
            </w:r>
          </w:p>
          <w:p w14:paraId="3E55AB2D">
            <w:pPr>
              <w:spacing w:line="336" w:lineRule="auto"/>
              <w:ind w:firstLine="480" w:firstLineChars="200"/>
              <w:rPr>
                <w:rFonts w:hint="eastAsia" w:ascii="Times New Roman" w:hAnsi="Times New Roman" w:eastAsia="宋体" w:cs="Times New Roman"/>
                <w:color w:val="auto"/>
                <w:sz w:val="24"/>
                <w:szCs w:val="24"/>
                <w:lang w:eastAsia="zh-CN"/>
              </w:rPr>
            </w:pPr>
            <w:r>
              <w:rPr>
                <w:rFonts w:hint="eastAsia" w:cs="Times New Roman"/>
                <w:b w:val="0"/>
                <w:bCs w:val="0"/>
                <w:color w:val="auto"/>
                <w:kern w:val="2"/>
                <w:sz w:val="24"/>
                <w:szCs w:val="24"/>
                <w:highlight w:val="none"/>
                <w:lang w:val="en-US" w:eastAsia="zh-CN" w:bidi="ar-SA"/>
              </w:rPr>
              <w:t>符合性分析：本项目位于</w:t>
            </w:r>
            <w:r>
              <w:rPr>
                <w:rFonts w:hint="eastAsia" w:cs="Times New Roman"/>
                <w:i w:val="0"/>
                <w:iCs w:val="0"/>
                <w:color w:val="auto"/>
                <w:sz w:val="24"/>
                <w:szCs w:val="24"/>
                <w:u w:val="none"/>
                <w:lang w:val="en-US" w:eastAsia="zh-CN"/>
              </w:rPr>
              <w:t>安徽省淮南市潘集区珠江路北侧、武夷山路西侧</w:t>
            </w:r>
            <w:r>
              <w:rPr>
                <w:rFonts w:hint="eastAsia" w:cs="Times New Roman"/>
                <w:b w:val="0"/>
                <w:bCs w:val="0"/>
                <w:color w:val="auto"/>
                <w:kern w:val="2"/>
                <w:sz w:val="24"/>
                <w:szCs w:val="24"/>
                <w:highlight w:val="none"/>
                <w:lang w:val="en-US" w:eastAsia="zh-CN" w:bidi="ar-SA"/>
              </w:rPr>
              <w:t>，用地性质属于医卫慈善用地（详见附件），根据</w:t>
            </w:r>
            <w:r>
              <w:rPr>
                <w:rFonts w:hint="eastAsia" w:ascii="Times New Roman" w:hAnsi="Times New Roman" w:eastAsia="宋体" w:cs="Times New Roman"/>
                <w:color w:val="auto"/>
                <w:kern w:val="2"/>
                <w:sz w:val="24"/>
                <w:szCs w:val="24"/>
                <w:lang w:val="en-US" w:eastAsia="zh-CN"/>
              </w:rPr>
              <w:t>《淮南市国土空间总体规划（2021—2035年）》</w:t>
            </w:r>
            <w:r>
              <w:rPr>
                <w:rFonts w:hint="eastAsia" w:cs="Times New Roman"/>
                <w:kern w:val="2"/>
                <w:sz w:val="24"/>
                <w:szCs w:val="24"/>
                <w:lang w:val="en-US" w:eastAsia="zh-CN"/>
              </w:rPr>
              <w:t>市域国土空间规划分区图（详见附图），本项目属于城镇集中建设区，不占用永久基本农田，不涉及生态保护红线，因此本项目与</w:t>
            </w:r>
            <w:r>
              <w:rPr>
                <w:rFonts w:hint="eastAsia" w:ascii="Times New Roman" w:hAnsi="Times New Roman" w:eastAsia="宋体" w:cs="Times New Roman"/>
                <w:kern w:val="2"/>
                <w:sz w:val="24"/>
                <w:szCs w:val="24"/>
                <w:lang w:val="en-US" w:eastAsia="zh-CN"/>
              </w:rPr>
              <w:t>《淮南市国土空间总体规划（2021—2035年）》</w:t>
            </w:r>
            <w:r>
              <w:rPr>
                <w:rFonts w:hint="eastAsia" w:cs="Times New Roman"/>
                <w:kern w:val="2"/>
                <w:sz w:val="24"/>
                <w:szCs w:val="24"/>
                <w:lang w:val="en-US" w:eastAsia="zh-CN"/>
              </w:rPr>
              <w:t>相符</w:t>
            </w:r>
            <w:r>
              <w:rPr>
                <w:rFonts w:hint="eastAsia" w:ascii="Times New Roman" w:hAnsi="Times New Roman" w:eastAsia="宋体" w:cs="Times New Roman"/>
                <w:color w:val="000000"/>
                <w:sz w:val="24"/>
                <w:highlight w:val="none"/>
                <w:lang w:eastAsia="zh-CN"/>
              </w:rPr>
              <w:t>。</w:t>
            </w:r>
          </w:p>
        </w:tc>
      </w:tr>
      <w:tr w14:paraId="0C333E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658" w:type="pct"/>
            <w:noWrap w:val="0"/>
            <w:vAlign w:val="center"/>
          </w:tcPr>
          <w:p w14:paraId="51CD4CE0">
            <w:pPr>
              <w:autoSpaceDE w:val="0"/>
              <w:autoSpaceDN w:val="0"/>
              <w:adjustRightInd w:val="0"/>
              <w:snapToGrid w:val="0"/>
              <w:jc w:val="center"/>
              <w:rPr>
                <w:rFonts w:hint="default" w:ascii="Times New Roman" w:hAnsi="Times New Roman" w:eastAsia="宋体" w:cs="Times New Roman"/>
                <w:color w:val="FF0000"/>
                <w:kern w:val="0"/>
                <w:sz w:val="24"/>
                <w:szCs w:val="24"/>
              </w:rPr>
            </w:pPr>
            <w:r>
              <w:rPr>
                <w:rFonts w:hint="default" w:ascii="Times New Roman" w:hAnsi="Times New Roman" w:eastAsia="宋体" w:cs="Times New Roman"/>
                <w:color w:val="auto"/>
                <w:kern w:val="0"/>
                <w:sz w:val="24"/>
                <w:szCs w:val="24"/>
              </w:rPr>
              <w:t>其他符合性分析</w:t>
            </w:r>
          </w:p>
        </w:tc>
        <w:tc>
          <w:tcPr>
            <w:tcW w:w="4341" w:type="pct"/>
            <w:gridSpan w:val="3"/>
            <w:noWrap w:val="0"/>
            <w:vAlign w:val="center"/>
          </w:tcPr>
          <w:p w14:paraId="20506F03">
            <w:pPr>
              <w:pStyle w:val="7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outlineLvl w:val="2"/>
              <w:rPr>
                <w:rFonts w:hint="default" w:ascii="Times New Roman" w:hAnsi="Times New Roman" w:cs="Times New Roman"/>
                <w:b/>
                <w:color w:val="auto"/>
                <w:kern w:val="0"/>
                <w:sz w:val="24"/>
                <w:lang w:val="en-US" w:eastAsia="zh-CN"/>
              </w:rPr>
            </w:pPr>
            <w:r>
              <w:rPr>
                <w:rFonts w:hint="eastAsia" w:ascii="Times New Roman" w:hAnsi="Times New Roman" w:cs="Times New Roman"/>
                <w:b/>
                <w:color w:val="auto"/>
                <w:kern w:val="0"/>
                <w:sz w:val="24"/>
                <w:lang w:val="en-US" w:eastAsia="zh-CN"/>
              </w:rPr>
              <w:t>1</w:t>
            </w:r>
            <w:r>
              <w:rPr>
                <w:rFonts w:hint="default" w:ascii="Times New Roman" w:hAnsi="Times New Roman" w:cs="Times New Roman"/>
                <w:b/>
                <w:color w:val="auto"/>
                <w:kern w:val="0"/>
                <w:sz w:val="24"/>
                <w:lang w:val="en-US" w:eastAsia="zh-CN"/>
              </w:rPr>
              <w:t>、</w:t>
            </w:r>
            <w:r>
              <w:rPr>
                <w:rFonts w:hint="eastAsia" w:ascii="Times New Roman" w:hAnsi="Times New Roman" w:cs="Times New Roman"/>
                <w:b/>
                <w:color w:val="auto"/>
                <w:kern w:val="0"/>
                <w:sz w:val="24"/>
                <w:lang w:val="en-US" w:eastAsia="zh-CN"/>
              </w:rPr>
              <w:t>生态环境分区管控符合性</w:t>
            </w:r>
            <w:r>
              <w:rPr>
                <w:rFonts w:hint="default" w:ascii="Times New Roman" w:hAnsi="Times New Roman" w:cs="Times New Roman"/>
                <w:b/>
                <w:color w:val="auto"/>
                <w:kern w:val="0"/>
                <w:sz w:val="24"/>
                <w:lang w:val="en-US" w:eastAsia="zh-CN"/>
              </w:rPr>
              <w:t>分析</w:t>
            </w:r>
          </w:p>
          <w:p w14:paraId="0ACF511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sz w:val="24"/>
                <w:highlight w:val="none"/>
              </w:rPr>
            </w:pPr>
            <w:r>
              <w:rPr>
                <w:rFonts w:hint="default" w:ascii="Times New Roman" w:hAnsi="Times New Roman" w:eastAsia="宋体" w:cs="Times New Roman"/>
                <w:color w:val="000000"/>
                <w:sz w:val="24"/>
                <w:highlight w:val="none"/>
              </w:rPr>
              <w:t>根据环境保护部2016年10月27日下发的环评[2016]150号《关于以改善环境质量为核心加强环境影响评价管理的通知》</w:t>
            </w:r>
            <w:r>
              <w:rPr>
                <w:rFonts w:hint="eastAsia" w:cs="Times New Roman"/>
                <w:color w:val="000000"/>
                <w:sz w:val="24"/>
                <w:highlight w:val="none"/>
                <w:lang w:eastAsia="zh-CN"/>
              </w:rPr>
              <w:t>和安徽省生态环境厅关于印发《安徽省“三线一单”生态环境分区管控管理办法（暂行）的通知》（皖环发</w:t>
            </w:r>
            <w:r>
              <w:rPr>
                <w:rFonts w:hint="eastAsia" w:cs="Times New Roman"/>
                <w:color w:val="000000"/>
                <w:sz w:val="24"/>
                <w:highlight w:val="none"/>
                <w:lang w:val="en-US" w:eastAsia="zh-CN"/>
              </w:rPr>
              <w:t>[2022]5号</w:t>
            </w:r>
            <w:r>
              <w:rPr>
                <w:rFonts w:hint="eastAsia" w:cs="Times New Roman"/>
                <w:color w:val="000000"/>
                <w:sz w:val="24"/>
                <w:highlight w:val="none"/>
                <w:lang w:eastAsia="zh-CN"/>
              </w:rPr>
              <w:t>）</w:t>
            </w:r>
            <w:r>
              <w:rPr>
                <w:rFonts w:hint="default" w:ascii="Times New Roman" w:hAnsi="Times New Roman" w:eastAsia="宋体" w:cs="Times New Roman"/>
                <w:color w:val="000000"/>
                <w:sz w:val="24"/>
                <w:highlight w:val="none"/>
              </w:rPr>
              <w:t>要求，切实加强环境影响评价管理，落实“生态保护红线、环境质量底线、资源利用上线”约束</w:t>
            </w:r>
            <w:r>
              <w:rPr>
                <w:rFonts w:hint="eastAsia" w:cs="Times New Roman"/>
                <w:color w:val="000000"/>
                <w:sz w:val="24"/>
                <w:highlight w:val="none"/>
                <w:lang w:eastAsia="zh-CN"/>
              </w:rPr>
              <w:t>，</w:t>
            </w:r>
            <w:r>
              <w:rPr>
                <w:rFonts w:ascii="宋体" w:hAnsi="宋体" w:eastAsia="宋体" w:cs="宋体"/>
                <w:sz w:val="24"/>
                <w:szCs w:val="24"/>
              </w:rPr>
              <w:t>加快推进“三线一单”生态环境分区管控落地应用</w:t>
            </w:r>
            <w:r>
              <w:rPr>
                <w:rFonts w:hint="default" w:ascii="Times New Roman" w:hAnsi="Times New Roman" w:eastAsia="宋体" w:cs="Times New Roman"/>
                <w:color w:val="000000"/>
                <w:sz w:val="24"/>
                <w:highlight w:val="none"/>
              </w:rPr>
              <w:t>，建立项目环评审批与规划环评、现有项目环境管理、区域环境质量联动机制，更好地发挥环评制度从源头防范环境污染和生态破坏的作用，加快推进改善环境质量。</w:t>
            </w:r>
          </w:p>
          <w:p w14:paraId="194EAEBA">
            <w:pPr>
              <w:spacing w:line="360" w:lineRule="auto"/>
              <w:ind w:firstLine="480" w:firstLineChars="200"/>
              <w:rPr>
                <w:rFonts w:hint="eastAsia" w:cs="Times New Roman"/>
                <w:b w:val="0"/>
                <w:bCs w:val="0"/>
                <w:sz w:val="24"/>
                <w:szCs w:val="24"/>
                <w:lang w:eastAsia="zh-CN"/>
              </w:rPr>
            </w:pPr>
            <w:r>
              <w:rPr>
                <w:rFonts w:hint="eastAsia" w:cs="Times New Roman"/>
                <w:color w:val="auto"/>
                <w:sz w:val="24"/>
                <w:szCs w:val="24"/>
                <w:highlight w:val="none"/>
                <w:lang w:eastAsia="zh-CN"/>
              </w:rPr>
              <w:t>经安徽省“三线一单”公众服务平台查询，</w:t>
            </w:r>
            <w:r>
              <w:rPr>
                <w:rFonts w:hint="eastAsia" w:ascii="Times New Roman" w:hAnsi="Times New Roman" w:eastAsia="宋体" w:cs="Times New Roman"/>
                <w:b w:val="0"/>
                <w:bCs w:val="0"/>
                <w:sz w:val="24"/>
                <w:szCs w:val="24"/>
                <w:lang w:val="en-US" w:eastAsia="zh-CN"/>
              </w:rPr>
              <w:t>本项目所在区域属</w:t>
            </w:r>
            <w:r>
              <w:rPr>
                <w:rFonts w:hint="eastAsia" w:ascii="Times New Roman" w:hAnsi="Times New Roman" w:eastAsia="宋体" w:cs="Times New Roman"/>
                <w:b w:val="0"/>
                <w:bCs w:val="0"/>
                <w:sz w:val="24"/>
                <w:szCs w:val="24"/>
              </w:rPr>
              <w:t>于</w:t>
            </w:r>
            <w:r>
              <w:rPr>
                <w:rFonts w:hint="eastAsia" w:cs="Times New Roman"/>
                <w:b w:val="0"/>
                <w:bCs w:val="0"/>
                <w:sz w:val="24"/>
                <w:szCs w:val="24"/>
                <w:lang w:val="en-US" w:eastAsia="zh-CN"/>
              </w:rPr>
              <w:t>重点</w:t>
            </w:r>
            <w:r>
              <w:rPr>
                <w:rFonts w:hint="eastAsia" w:ascii="Times New Roman" w:hAnsi="Times New Roman" w:eastAsia="宋体" w:cs="Times New Roman"/>
                <w:b w:val="0"/>
                <w:bCs w:val="0"/>
                <w:sz w:val="24"/>
                <w:szCs w:val="24"/>
              </w:rPr>
              <w:t>管控单元</w:t>
            </w:r>
            <w:r>
              <w:rPr>
                <w:rFonts w:hint="eastAsia" w:cs="Times New Roman"/>
                <w:b w:val="0"/>
                <w:bCs w:val="0"/>
                <w:sz w:val="24"/>
                <w:szCs w:val="24"/>
                <w:lang w:eastAsia="zh-CN"/>
              </w:rPr>
              <w:t>，</w:t>
            </w:r>
            <w:r>
              <w:rPr>
                <w:rFonts w:hint="eastAsia"/>
                <w:sz w:val="24"/>
              </w:rPr>
              <w:t>环境管控单元编码为</w:t>
            </w:r>
            <w:r>
              <w:rPr>
                <w:rFonts w:hint="eastAsia"/>
                <w:sz w:val="24"/>
                <w:lang w:eastAsia="zh-CN"/>
              </w:rPr>
              <w:t>ZH34040620019</w:t>
            </w:r>
            <w:r>
              <w:rPr>
                <w:rFonts w:hint="eastAsia" w:cs="Times New Roman"/>
                <w:b w:val="0"/>
                <w:bCs w:val="0"/>
                <w:sz w:val="24"/>
                <w:szCs w:val="24"/>
                <w:lang w:eastAsia="zh-CN"/>
              </w:rPr>
              <w:t>。</w:t>
            </w:r>
          </w:p>
          <w:p w14:paraId="715CD19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本项目与</w:t>
            </w:r>
            <w:r>
              <w:rPr>
                <w:rFonts w:hint="eastAsia" w:cs="Times New Roman"/>
                <w:b w:val="0"/>
                <w:bCs w:val="0"/>
                <w:color w:val="auto"/>
                <w:kern w:val="0"/>
                <w:sz w:val="24"/>
                <w:szCs w:val="24"/>
                <w:highlight w:val="none"/>
                <w:lang w:val="en-US" w:eastAsia="zh-CN" w:bidi="ar"/>
              </w:rPr>
              <w:t>环境分区管控要求的符合性分析如下：</w:t>
            </w:r>
          </w:p>
          <w:p w14:paraId="61567DEC">
            <w:pPr>
              <w:pStyle w:val="2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color w:val="auto"/>
                <w:sz w:val="24"/>
                <w:highlight w:val="none"/>
                <w:lang w:eastAsia="zh-CN"/>
              </w:rPr>
              <w:t>表</w:t>
            </w:r>
            <w:r>
              <w:rPr>
                <w:rFonts w:hint="eastAsia" w:ascii="Times New Roman" w:hAnsi="Times New Roman" w:eastAsia="宋体" w:cs="Times New Roman"/>
                <w:b/>
                <w:bCs/>
                <w:color w:val="auto"/>
                <w:sz w:val="24"/>
                <w:highlight w:val="none"/>
                <w:lang w:val="en-US" w:eastAsia="zh-CN"/>
              </w:rPr>
              <w:t>1-</w:t>
            </w:r>
            <w:r>
              <w:rPr>
                <w:rFonts w:hint="eastAsia" w:cs="Times New Roman"/>
                <w:b/>
                <w:bCs/>
                <w:color w:val="auto"/>
                <w:sz w:val="24"/>
                <w:highlight w:val="none"/>
                <w:lang w:val="en-US" w:eastAsia="zh-CN"/>
              </w:rPr>
              <w:t>1</w:t>
            </w:r>
            <w:r>
              <w:rPr>
                <w:rFonts w:hint="eastAsia" w:ascii="Times New Roman" w:hAnsi="Times New Roman" w:eastAsia="宋体" w:cs="Times New Roman"/>
                <w:b/>
                <w:bCs/>
                <w:color w:val="auto"/>
                <w:sz w:val="24"/>
                <w:highlight w:val="none"/>
                <w:lang w:val="en-US" w:eastAsia="zh-CN"/>
              </w:rPr>
              <w:t xml:space="preserve">  </w:t>
            </w:r>
            <w:r>
              <w:rPr>
                <w:rFonts w:hint="eastAsia" w:cs="Times New Roman"/>
                <w:b/>
                <w:bCs/>
                <w:color w:val="auto"/>
                <w:kern w:val="0"/>
                <w:sz w:val="24"/>
                <w:szCs w:val="24"/>
                <w:highlight w:val="none"/>
                <w:lang w:val="en-US" w:eastAsia="zh-CN" w:bidi="ar"/>
              </w:rPr>
              <w:t>项目与环境分区管控要求符合性分析</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900"/>
              <w:gridCol w:w="722"/>
              <w:gridCol w:w="3333"/>
              <w:gridCol w:w="1602"/>
            </w:tblGrid>
            <w:tr w14:paraId="7728E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8" w:type="pct"/>
                  <w:shd w:val="clear" w:color="auto" w:fill="auto"/>
                  <w:vAlign w:val="center"/>
                </w:tcPr>
                <w:p w14:paraId="662A37D8">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val="0"/>
                      <w:color w:val="auto"/>
                      <w:kern w:val="2"/>
                      <w:sz w:val="21"/>
                      <w:szCs w:val="21"/>
                      <w:highlight w:val="none"/>
                      <w:vertAlign w:val="baseline"/>
                      <w:lang w:val="en-US" w:eastAsia="zh-CN" w:bidi="zh-CN"/>
                    </w:rPr>
                  </w:pPr>
                  <w:r>
                    <w:rPr>
                      <w:rFonts w:hint="eastAsia" w:ascii="Times New Roman" w:hAnsi="Times New Roman" w:eastAsia="宋体" w:cs="Times New Roman"/>
                      <w:b/>
                      <w:bCs w:val="0"/>
                      <w:color w:val="auto"/>
                      <w:sz w:val="21"/>
                      <w:szCs w:val="21"/>
                      <w:highlight w:val="none"/>
                      <w:vertAlign w:val="baseline"/>
                      <w:lang w:eastAsia="zh-CN"/>
                    </w:rPr>
                    <w:t>单元编码</w:t>
                  </w:r>
                </w:p>
              </w:tc>
              <w:tc>
                <w:tcPr>
                  <w:tcW w:w="586" w:type="pct"/>
                  <w:shd w:val="clear" w:color="auto" w:fill="auto"/>
                  <w:vAlign w:val="center"/>
                </w:tcPr>
                <w:p w14:paraId="1D4FDAA9">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val="0"/>
                      <w:color w:val="auto"/>
                      <w:kern w:val="2"/>
                      <w:sz w:val="21"/>
                      <w:szCs w:val="21"/>
                      <w:highlight w:val="none"/>
                      <w:vertAlign w:val="baseline"/>
                      <w:lang w:val="en-US" w:eastAsia="zh-CN" w:bidi="zh-CN"/>
                    </w:rPr>
                  </w:pPr>
                  <w:r>
                    <w:rPr>
                      <w:rFonts w:hint="eastAsia" w:ascii="Times New Roman" w:hAnsi="Times New Roman" w:eastAsia="宋体" w:cs="Times New Roman"/>
                      <w:b/>
                      <w:bCs w:val="0"/>
                      <w:color w:val="auto"/>
                      <w:sz w:val="21"/>
                      <w:szCs w:val="21"/>
                      <w:highlight w:val="none"/>
                      <w:vertAlign w:val="baseline"/>
                      <w:lang w:eastAsia="zh-CN"/>
                    </w:rPr>
                    <w:t>管控单元分类</w:t>
                  </w:r>
                </w:p>
              </w:tc>
              <w:tc>
                <w:tcPr>
                  <w:tcW w:w="470" w:type="pct"/>
                  <w:shd w:val="clear" w:color="auto" w:fill="auto"/>
                  <w:vAlign w:val="center"/>
                </w:tcPr>
                <w:p w14:paraId="753AB786">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bCs w:val="0"/>
                      <w:color w:val="auto"/>
                      <w:sz w:val="21"/>
                      <w:szCs w:val="21"/>
                      <w:highlight w:val="none"/>
                      <w:vertAlign w:val="baseline"/>
                      <w:lang w:eastAsia="zh-CN"/>
                    </w:rPr>
                  </w:pPr>
                  <w:r>
                    <w:rPr>
                      <w:rFonts w:hint="eastAsia" w:ascii="Times New Roman" w:hAnsi="Times New Roman" w:cs="Times New Roman"/>
                      <w:b/>
                      <w:bCs w:val="0"/>
                      <w:color w:val="auto"/>
                      <w:sz w:val="21"/>
                      <w:szCs w:val="21"/>
                      <w:highlight w:val="none"/>
                      <w:vertAlign w:val="baseline"/>
                      <w:lang w:eastAsia="zh-CN"/>
                    </w:rPr>
                    <w:t>管控类别</w:t>
                  </w:r>
                </w:p>
              </w:tc>
              <w:tc>
                <w:tcPr>
                  <w:tcW w:w="2171" w:type="pct"/>
                  <w:shd w:val="clear" w:color="auto" w:fill="auto"/>
                  <w:vAlign w:val="center"/>
                </w:tcPr>
                <w:p w14:paraId="3832B5A1">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val="0"/>
                      <w:color w:val="auto"/>
                      <w:kern w:val="2"/>
                      <w:sz w:val="21"/>
                      <w:szCs w:val="21"/>
                      <w:highlight w:val="none"/>
                      <w:vertAlign w:val="baseline"/>
                      <w:lang w:val="en-US" w:eastAsia="zh-CN" w:bidi="zh-CN"/>
                    </w:rPr>
                  </w:pPr>
                  <w:r>
                    <w:rPr>
                      <w:rFonts w:hint="eastAsia" w:ascii="Times New Roman" w:hAnsi="Times New Roman" w:eastAsia="宋体" w:cs="Times New Roman"/>
                      <w:b/>
                      <w:bCs w:val="0"/>
                      <w:color w:val="auto"/>
                      <w:sz w:val="21"/>
                      <w:szCs w:val="21"/>
                      <w:highlight w:val="none"/>
                      <w:vertAlign w:val="baseline"/>
                      <w:lang w:eastAsia="zh-CN"/>
                    </w:rPr>
                    <w:t>管控要求</w:t>
                  </w:r>
                  <w:r>
                    <w:rPr>
                      <w:rFonts w:hint="eastAsia" w:ascii="Times New Roman" w:hAnsi="Times New Roman" w:cs="Times New Roman"/>
                      <w:b/>
                      <w:bCs w:val="0"/>
                      <w:color w:val="auto"/>
                      <w:sz w:val="21"/>
                      <w:szCs w:val="21"/>
                      <w:highlight w:val="none"/>
                      <w:vertAlign w:val="baseline"/>
                      <w:lang w:eastAsia="zh-CN"/>
                    </w:rPr>
                    <w:t>（摘录）</w:t>
                  </w:r>
                </w:p>
              </w:tc>
              <w:tc>
                <w:tcPr>
                  <w:tcW w:w="1043" w:type="pct"/>
                  <w:shd w:val="clear" w:color="auto" w:fill="auto"/>
                  <w:vAlign w:val="center"/>
                </w:tcPr>
                <w:p w14:paraId="37BFB3A8">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val="0"/>
                      <w:color w:val="auto"/>
                      <w:kern w:val="2"/>
                      <w:sz w:val="21"/>
                      <w:szCs w:val="21"/>
                      <w:highlight w:val="none"/>
                      <w:vertAlign w:val="baseline"/>
                      <w:lang w:val="en-US" w:eastAsia="zh-CN" w:bidi="zh-CN"/>
                    </w:rPr>
                  </w:pPr>
                  <w:r>
                    <w:rPr>
                      <w:rFonts w:hint="eastAsia" w:ascii="Times New Roman" w:hAnsi="Times New Roman" w:eastAsia="宋体" w:cs="Times New Roman"/>
                      <w:b/>
                      <w:bCs w:val="0"/>
                      <w:color w:val="auto"/>
                      <w:sz w:val="21"/>
                      <w:szCs w:val="21"/>
                      <w:highlight w:val="none"/>
                      <w:vertAlign w:val="baseline"/>
                      <w:lang w:eastAsia="zh-CN"/>
                    </w:rPr>
                    <w:t>符合性分析</w:t>
                  </w:r>
                </w:p>
              </w:tc>
            </w:tr>
            <w:tr w14:paraId="7E58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8" w:type="pct"/>
                  <w:vMerge w:val="restart"/>
                  <w:vAlign w:val="center"/>
                </w:tcPr>
                <w:p w14:paraId="63A0D3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color w:val="auto"/>
                      <w:sz w:val="21"/>
                      <w:szCs w:val="21"/>
                      <w:highlight w:val="none"/>
                      <w:lang w:eastAsia="zh-CN"/>
                    </w:rPr>
                    <w:t>ZH34040620019</w:t>
                  </w:r>
                </w:p>
              </w:tc>
              <w:tc>
                <w:tcPr>
                  <w:tcW w:w="586" w:type="pct"/>
                  <w:vMerge w:val="restart"/>
                  <w:vAlign w:val="center"/>
                </w:tcPr>
                <w:p w14:paraId="48D5FF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auto"/>
                      <w:sz w:val="21"/>
                      <w:szCs w:val="21"/>
                      <w:highlight w:val="none"/>
                      <w:vertAlign w:val="baseline"/>
                    </w:rPr>
                    <w:t>重点管控单元</w:t>
                  </w:r>
                </w:p>
              </w:tc>
              <w:tc>
                <w:tcPr>
                  <w:tcW w:w="470" w:type="pct"/>
                  <w:vMerge w:val="restart"/>
                  <w:vAlign w:val="center"/>
                </w:tcPr>
                <w:p w14:paraId="60E621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auto"/>
                      <w:sz w:val="21"/>
                      <w:szCs w:val="21"/>
                      <w:highlight w:val="none"/>
                      <w:vertAlign w:val="baseline"/>
                      <w:lang w:eastAsia="zh-CN"/>
                    </w:rPr>
                  </w:pPr>
                  <w:r>
                    <w:rPr>
                      <w:rFonts w:hint="eastAsia" w:cs="Times New Roman"/>
                      <w:b w:val="0"/>
                      <w:bCs/>
                      <w:color w:val="auto"/>
                      <w:sz w:val="21"/>
                      <w:szCs w:val="21"/>
                      <w:highlight w:val="none"/>
                      <w:vertAlign w:val="baseline"/>
                      <w:lang w:eastAsia="zh-CN"/>
                    </w:rPr>
                    <w:t>空间布局约束</w:t>
                  </w:r>
                </w:p>
              </w:tc>
              <w:tc>
                <w:tcPr>
                  <w:tcW w:w="2171" w:type="pct"/>
                  <w:vAlign w:val="center"/>
                </w:tcPr>
                <w:p w14:paraId="72ED04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zh-CN"/>
                    </w:rPr>
                  </w:pPr>
                  <w:r>
                    <w:rPr>
                      <w:rFonts w:hint="eastAsia" w:ascii="Times New Roman" w:hAnsi="Times New Roman" w:eastAsia="宋体" w:cs="Times New Roman"/>
                      <w:b w:val="0"/>
                      <w:bCs/>
                      <w:color w:val="auto"/>
                      <w:kern w:val="2"/>
                      <w:sz w:val="21"/>
                      <w:szCs w:val="21"/>
                      <w:highlight w:val="none"/>
                      <w:vertAlign w:val="baseline"/>
                      <w:lang w:val="en-US" w:eastAsia="zh-CN" w:bidi="zh-CN"/>
                    </w:rPr>
                    <w:t>城市建成区排放污水的工业企业应依法持有排污许可证，并严格按证排污。排入城镇水体的工业污水应符合相关行业标准及地方标准要求，严禁任何企业、单位超标和超总量排污，对超标或超总量的排污单位一律限制生产或停产整顿。</w:t>
                  </w:r>
                </w:p>
              </w:tc>
              <w:tc>
                <w:tcPr>
                  <w:tcW w:w="1043" w:type="pct"/>
                  <w:vMerge w:val="restart"/>
                  <w:vAlign w:val="center"/>
                </w:tcPr>
                <w:p w14:paraId="68A148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color w:val="auto"/>
                      <w:kern w:val="2"/>
                      <w:sz w:val="21"/>
                      <w:szCs w:val="21"/>
                      <w:highlight w:val="none"/>
                      <w:vertAlign w:val="baseline"/>
                      <w:lang w:val="en-US" w:eastAsia="zh-CN" w:bidi="zh-CN"/>
                    </w:rPr>
                    <w:t>本项目须在正式投产和产污前变更排污许可证，严格按证排污。项目厂区实行雨污分流制，废水不会排入雨水口。</w:t>
                  </w:r>
                </w:p>
              </w:tc>
            </w:tr>
            <w:tr w14:paraId="5C84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pct"/>
                  <w:vMerge w:val="continue"/>
                  <w:vAlign w:val="center"/>
                </w:tcPr>
                <w:p w14:paraId="0E16C3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highlight w:val="none"/>
                      <w:lang w:eastAsia="zh-CN"/>
                    </w:rPr>
                  </w:pPr>
                </w:p>
              </w:tc>
              <w:tc>
                <w:tcPr>
                  <w:tcW w:w="586" w:type="pct"/>
                  <w:vMerge w:val="continue"/>
                  <w:vAlign w:val="center"/>
                </w:tcPr>
                <w:p w14:paraId="4761FE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rPr>
                  </w:pPr>
                </w:p>
              </w:tc>
              <w:tc>
                <w:tcPr>
                  <w:tcW w:w="470" w:type="pct"/>
                  <w:vMerge w:val="continue"/>
                  <w:vAlign w:val="center"/>
                </w:tcPr>
                <w:p w14:paraId="674ABC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color w:val="auto"/>
                      <w:sz w:val="21"/>
                      <w:szCs w:val="21"/>
                      <w:highlight w:val="none"/>
                      <w:vertAlign w:val="baseline"/>
                      <w:lang w:eastAsia="zh-CN"/>
                    </w:rPr>
                  </w:pPr>
                </w:p>
              </w:tc>
              <w:tc>
                <w:tcPr>
                  <w:tcW w:w="2171" w:type="pct"/>
                  <w:vAlign w:val="center"/>
                </w:tcPr>
                <w:p w14:paraId="3F57BF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auto"/>
                      <w:kern w:val="2"/>
                      <w:sz w:val="21"/>
                      <w:szCs w:val="21"/>
                      <w:highlight w:val="none"/>
                      <w:vertAlign w:val="baseline"/>
                      <w:lang w:val="en-US" w:eastAsia="zh-CN" w:bidi="zh-CN"/>
                    </w:rPr>
                  </w:pPr>
                  <w:r>
                    <w:rPr>
                      <w:rFonts w:hint="eastAsia" w:ascii="Times New Roman" w:hAnsi="Times New Roman" w:eastAsia="宋体" w:cs="Times New Roman"/>
                      <w:b w:val="0"/>
                      <w:bCs/>
                      <w:color w:val="auto"/>
                      <w:kern w:val="2"/>
                      <w:sz w:val="21"/>
                      <w:szCs w:val="21"/>
                      <w:highlight w:val="none"/>
                      <w:vertAlign w:val="baseline"/>
                      <w:lang w:val="en-US" w:eastAsia="zh-CN" w:bidi="zh-CN"/>
                    </w:rPr>
                    <w:t>严肃执法监督，严格执行排污许可、排水许可制度，严禁生活污水和工业废水直排水体。严防道路冲洗污水、洗车冲洗污水、餐饮泔水、施工排水等污水进入雨水口。</w:t>
                  </w:r>
                </w:p>
              </w:tc>
              <w:tc>
                <w:tcPr>
                  <w:tcW w:w="1043" w:type="pct"/>
                  <w:vMerge w:val="continue"/>
                  <w:vAlign w:val="center"/>
                </w:tcPr>
                <w:p w14:paraId="17E74C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lang w:val="en-US" w:eastAsia="zh-CN"/>
                      <w14:textFill>
                        <w14:solidFill>
                          <w14:schemeClr w14:val="tx1"/>
                        </w14:solidFill>
                      </w14:textFill>
                    </w:rPr>
                  </w:pPr>
                </w:p>
              </w:tc>
            </w:tr>
            <w:tr w14:paraId="56A2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8" w:type="pct"/>
                  <w:vMerge w:val="continue"/>
                  <w:vAlign w:val="center"/>
                </w:tcPr>
                <w:p w14:paraId="37C21D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highlight w:val="none"/>
                      <w:lang w:eastAsia="zh-CN"/>
                    </w:rPr>
                  </w:pPr>
                </w:p>
              </w:tc>
              <w:tc>
                <w:tcPr>
                  <w:tcW w:w="586" w:type="pct"/>
                  <w:vMerge w:val="continue"/>
                  <w:vAlign w:val="center"/>
                </w:tcPr>
                <w:p w14:paraId="050981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rPr>
                  </w:pPr>
                </w:p>
              </w:tc>
              <w:tc>
                <w:tcPr>
                  <w:tcW w:w="470" w:type="pct"/>
                  <w:vMerge w:val="continue"/>
                  <w:vAlign w:val="center"/>
                </w:tcPr>
                <w:p w14:paraId="01C1F7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color w:val="auto"/>
                      <w:sz w:val="21"/>
                      <w:szCs w:val="21"/>
                      <w:highlight w:val="none"/>
                      <w:vertAlign w:val="baseline"/>
                      <w:lang w:eastAsia="zh-CN"/>
                    </w:rPr>
                  </w:pPr>
                </w:p>
              </w:tc>
              <w:tc>
                <w:tcPr>
                  <w:tcW w:w="2171" w:type="pct"/>
                  <w:vAlign w:val="center"/>
                </w:tcPr>
                <w:p w14:paraId="3D5630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auto"/>
                      <w:kern w:val="2"/>
                      <w:sz w:val="21"/>
                      <w:szCs w:val="21"/>
                      <w:highlight w:val="none"/>
                      <w:vertAlign w:val="baseline"/>
                      <w:lang w:val="en-US" w:eastAsia="zh-CN" w:bidi="zh-CN"/>
                    </w:rPr>
                  </w:pPr>
                  <w:r>
                    <w:rPr>
                      <w:rFonts w:hint="eastAsia" w:ascii="Times New Roman" w:hAnsi="Times New Roman" w:eastAsia="宋体" w:cs="Times New Roman"/>
                      <w:b w:val="0"/>
                      <w:bCs/>
                      <w:color w:val="auto"/>
                      <w:kern w:val="2"/>
                      <w:sz w:val="21"/>
                      <w:szCs w:val="21"/>
                      <w:highlight w:val="none"/>
                      <w:vertAlign w:val="baseline"/>
                      <w:lang w:val="en-US" w:eastAsia="zh-CN" w:bidi="zh-CN"/>
                    </w:rPr>
                    <w:t>在城市城区及其近郊禁止新建、扩建钢铁、有色、石化、水泥、化工等重污染企业；禁止新建燃料类煤气发生炉（园区现有企业统一建设的清洁煤制气中心除外）；严禁新增钢铁、焦化、电解铝、铸造、水泥和平板玻璃等产能。</w:t>
                  </w:r>
                </w:p>
              </w:tc>
              <w:tc>
                <w:tcPr>
                  <w:tcW w:w="1043" w:type="pct"/>
                  <w:vAlign w:val="center"/>
                </w:tcPr>
                <w:p w14:paraId="51BDCA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lang w:val="en-US" w:eastAsia="zh-CN"/>
                      <w14:textFill>
                        <w14:solidFill>
                          <w14:schemeClr w14:val="tx1"/>
                        </w14:solidFill>
                      </w14:textFill>
                    </w:rPr>
                  </w:pPr>
                  <w:r>
                    <w:rPr>
                      <w:rFonts w:hint="default"/>
                      <w:color w:val="000000" w:themeColor="text1"/>
                      <w:sz w:val="21"/>
                      <w:szCs w:val="21"/>
                      <w:lang w:val="en-US" w:eastAsia="zh-CN"/>
                      <w14:textFill>
                        <w14:solidFill>
                          <w14:schemeClr w14:val="tx1"/>
                        </w14:solidFill>
                      </w14:textFill>
                    </w:rPr>
                    <w:t>本项目为</w:t>
                  </w:r>
                  <w:r>
                    <w:rPr>
                      <w:rFonts w:hint="eastAsia" w:cs="Times New Roman"/>
                      <w:color w:val="auto"/>
                      <w:kern w:val="0"/>
                      <w:sz w:val="21"/>
                      <w:szCs w:val="21"/>
                      <w:lang w:val="en-US" w:eastAsia="zh-CN" w:bidi="ar-SA"/>
                    </w:rPr>
                    <w:t>Q8411综合医院</w:t>
                  </w:r>
                  <w:r>
                    <w:rPr>
                      <w:rFonts w:hint="eastAsia" w:ascii="Times New Roman" w:hAnsi="Times New Roman" w:cs="Times New Roman"/>
                      <w:color w:val="auto"/>
                      <w:sz w:val="21"/>
                      <w:szCs w:val="21"/>
                      <w:highlight w:val="none"/>
                      <w:lang w:val="en-US" w:eastAsia="zh-CN"/>
                    </w:rPr>
                    <w:t>，</w:t>
                  </w:r>
                  <w:r>
                    <w:rPr>
                      <w:rFonts w:hint="eastAsia" w:cs="Times New Roman"/>
                      <w:b w:val="0"/>
                      <w:bCs/>
                      <w:color w:val="auto"/>
                      <w:kern w:val="2"/>
                      <w:sz w:val="21"/>
                      <w:szCs w:val="21"/>
                      <w:highlight w:val="none"/>
                      <w:vertAlign w:val="baseline"/>
                      <w:lang w:val="en-US" w:eastAsia="zh-CN" w:bidi="zh-CN"/>
                    </w:rPr>
                    <w:t>不属于</w:t>
                  </w:r>
                  <w:r>
                    <w:rPr>
                      <w:rFonts w:hint="eastAsia" w:ascii="Times New Roman" w:hAnsi="Times New Roman" w:eastAsia="宋体" w:cs="Times New Roman"/>
                      <w:b w:val="0"/>
                      <w:bCs/>
                      <w:color w:val="auto"/>
                      <w:kern w:val="2"/>
                      <w:sz w:val="21"/>
                      <w:szCs w:val="21"/>
                      <w:highlight w:val="none"/>
                      <w:vertAlign w:val="baseline"/>
                      <w:lang w:val="en-US" w:eastAsia="zh-CN" w:bidi="zh-CN"/>
                    </w:rPr>
                    <w:t>钢铁、有色、石化、水泥、化工等重污染企业</w:t>
                  </w:r>
                  <w:r>
                    <w:rPr>
                      <w:rFonts w:hint="eastAsia" w:ascii="Times New Roman" w:hAnsi="Times New Roman" w:cs="Times New Roman"/>
                      <w:color w:val="auto"/>
                      <w:sz w:val="21"/>
                      <w:szCs w:val="21"/>
                      <w:highlight w:val="none"/>
                      <w:lang w:val="en-US" w:eastAsia="zh-CN"/>
                    </w:rPr>
                    <w:t>。</w:t>
                  </w:r>
                </w:p>
              </w:tc>
            </w:tr>
            <w:tr w14:paraId="187E3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8" w:type="pct"/>
                  <w:vMerge w:val="continue"/>
                  <w:vAlign w:val="center"/>
                </w:tcPr>
                <w:p w14:paraId="2DF28A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586" w:type="pct"/>
                  <w:vMerge w:val="continue"/>
                  <w:vAlign w:val="center"/>
                </w:tcPr>
                <w:p w14:paraId="5BCAFF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470" w:type="pct"/>
                  <w:vMerge w:val="continue"/>
                  <w:vAlign w:val="center"/>
                </w:tcPr>
                <w:p w14:paraId="26EAA0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2171" w:type="pct"/>
                  <w:vAlign w:val="center"/>
                </w:tcPr>
                <w:p w14:paraId="0637A6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auto"/>
                      <w:kern w:val="2"/>
                      <w:sz w:val="21"/>
                      <w:szCs w:val="21"/>
                      <w:highlight w:val="none"/>
                      <w:vertAlign w:val="baseline"/>
                      <w:lang w:val="en-US" w:eastAsia="zh-CN" w:bidi="zh-CN"/>
                    </w:rPr>
                  </w:pPr>
                  <w:r>
                    <w:rPr>
                      <w:rFonts w:hint="eastAsia" w:ascii="Times New Roman" w:hAnsi="Times New Roman" w:eastAsia="宋体" w:cs="Times New Roman"/>
                      <w:b w:val="0"/>
                      <w:bCs/>
                      <w:color w:val="auto"/>
                      <w:kern w:val="2"/>
                      <w:sz w:val="21"/>
                      <w:szCs w:val="21"/>
                      <w:highlight w:val="none"/>
                      <w:vertAlign w:val="baseline"/>
                      <w:lang w:val="en-US" w:eastAsia="zh-CN" w:bidi="zh-CN"/>
                    </w:rPr>
                    <w:t>严格控制新增“两高”项目审批，认真分析评估拟建项目必要性、可行性和对产业高质量发展、能耗双控、碳排放和环境质量的影响，严格审查项目是否符合产业政策、产业规划、“三线一单”、规划环评要求，是否依法依规落实产能置换、能耗置换、煤炭消费减量替代、污染物排放区域削减等要求。对已建成投产的存量“两高”项目，有节能减排潜力的加快改造升级，属于落后产能的加快淘汰。</w:t>
                  </w:r>
                </w:p>
              </w:tc>
              <w:tc>
                <w:tcPr>
                  <w:tcW w:w="1043" w:type="pct"/>
                  <w:vAlign w:val="center"/>
                </w:tcPr>
                <w:p w14:paraId="76B99B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color w:val="auto"/>
                      <w:kern w:val="2"/>
                      <w:sz w:val="21"/>
                      <w:szCs w:val="21"/>
                      <w:highlight w:val="none"/>
                      <w:vertAlign w:val="baseline"/>
                      <w:lang w:val="en-US" w:eastAsia="zh-CN" w:bidi="zh-CN"/>
                    </w:rPr>
                    <w:t>本项目不属于“两高”项目，项目符合</w:t>
                  </w:r>
                  <w:r>
                    <w:rPr>
                      <w:rFonts w:hint="eastAsia" w:ascii="Times New Roman" w:hAnsi="Times New Roman" w:eastAsia="宋体" w:cs="Times New Roman"/>
                      <w:b w:val="0"/>
                      <w:bCs/>
                      <w:color w:val="auto"/>
                      <w:kern w:val="2"/>
                      <w:sz w:val="21"/>
                      <w:szCs w:val="21"/>
                      <w:highlight w:val="none"/>
                      <w:vertAlign w:val="baseline"/>
                      <w:lang w:val="en-US" w:eastAsia="zh-CN" w:bidi="zh-CN"/>
                    </w:rPr>
                    <w:t>产业政策、产业规划、“三线一单”要求。</w:t>
                  </w:r>
                </w:p>
              </w:tc>
            </w:tr>
            <w:tr w14:paraId="7A980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8" w:type="pct"/>
                  <w:vMerge w:val="continue"/>
                  <w:vAlign w:val="center"/>
                </w:tcPr>
                <w:p w14:paraId="4E47FD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586" w:type="pct"/>
                  <w:vMerge w:val="continue"/>
                  <w:vAlign w:val="center"/>
                </w:tcPr>
                <w:p w14:paraId="6D8E1B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470" w:type="pct"/>
                  <w:vMerge w:val="continue"/>
                  <w:vAlign w:val="center"/>
                </w:tcPr>
                <w:p w14:paraId="36772E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2171" w:type="pct"/>
                  <w:vAlign w:val="center"/>
                </w:tcPr>
                <w:p w14:paraId="2EA062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auto"/>
                      <w:kern w:val="2"/>
                      <w:sz w:val="21"/>
                      <w:szCs w:val="21"/>
                      <w:highlight w:val="none"/>
                      <w:vertAlign w:val="baseline"/>
                      <w:lang w:val="en-US" w:eastAsia="zh-CN" w:bidi="zh-CN"/>
                    </w:rPr>
                  </w:pPr>
                  <w:r>
                    <w:rPr>
                      <w:rFonts w:hint="eastAsia" w:ascii="Times New Roman" w:hAnsi="Times New Roman" w:eastAsia="宋体" w:cs="Times New Roman"/>
                      <w:b w:val="0"/>
                      <w:bCs/>
                      <w:color w:val="auto"/>
                      <w:kern w:val="2"/>
                      <w:sz w:val="21"/>
                      <w:szCs w:val="21"/>
                      <w:highlight w:val="none"/>
                      <w:vertAlign w:val="baseline"/>
                      <w:lang w:val="en-US" w:eastAsia="zh-CN" w:bidi="zh-CN"/>
                    </w:rPr>
                    <w:t>禁止建设生产和使用高挥发性有机物含量涂料、油墨、胶粘剂、清洗剂等项目；禁止新建不符合国家规定的燃煤发电机组、燃油发电机组和燃煤热电机组；禁止新建、扩建分散燃煤供热锅炉；在城市规划区内禁止新建、扩建大气污染严重的建设项目</w:t>
                  </w:r>
                  <w:r>
                    <w:rPr>
                      <w:rFonts w:hint="eastAsia" w:cs="Times New Roman"/>
                      <w:b w:val="0"/>
                      <w:bCs/>
                      <w:color w:val="auto"/>
                      <w:kern w:val="2"/>
                      <w:sz w:val="21"/>
                      <w:szCs w:val="21"/>
                      <w:highlight w:val="none"/>
                      <w:vertAlign w:val="baseline"/>
                      <w:lang w:val="en-US" w:eastAsia="zh-CN" w:bidi="zh-CN"/>
                    </w:rPr>
                    <w:t>。</w:t>
                  </w:r>
                </w:p>
              </w:tc>
              <w:tc>
                <w:tcPr>
                  <w:tcW w:w="1043" w:type="pct"/>
                  <w:vAlign w:val="center"/>
                </w:tcPr>
                <w:p w14:paraId="650BB1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bCs/>
                      <w:color w:val="auto"/>
                      <w:kern w:val="2"/>
                      <w:sz w:val="21"/>
                      <w:szCs w:val="21"/>
                      <w:highlight w:val="none"/>
                      <w:vertAlign w:val="baseline"/>
                      <w:lang w:val="en-US" w:eastAsia="zh-CN" w:bidi="zh-CN"/>
                    </w:rPr>
                  </w:pPr>
                  <w:r>
                    <w:rPr>
                      <w:rFonts w:hint="eastAsia" w:cs="Times New Roman"/>
                      <w:b w:val="0"/>
                      <w:bCs/>
                      <w:color w:val="auto"/>
                      <w:kern w:val="2"/>
                      <w:sz w:val="21"/>
                      <w:szCs w:val="21"/>
                      <w:highlight w:val="none"/>
                      <w:vertAlign w:val="baseline"/>
                      <w:lang w:val="en-US" w:eastAsia="zh-CN" w:bidi="zh-CN"/>
                    </w:rPr>
                    <w:t>本项目不涉及使用</w:t>
                  </w:r>
                  <w:r>
                    <w:rPr>
                      <w:rFonts w:hint="eastAsia" w:ascii="Times New Roman" w:hAnsi="Times New Roman" w:eastAsia="宋体" w:cs="Times New Roman"/>
                      <w:b w:val="0"/>
                      <w:bCs/>
                      <w:color w:val="auto"/>
                      <w:kern w:val="2"/>
                      <w:sz w:val="21"/>
                      <w:szCs w:val="21"/>
                      <w:highlight w:val="none"/>
                      <w:vertAlign w:val="baseline"/>
                      <w:lang w:val="en-US" w:eastAsia="zh-CN" w:bidi="zh-CN"/>
                    </w:rPr>
                    <w:t>高挥发性有机物含量涂料、油墨、胶粘剂、清洗剂等</w:t>
                  </w:r>
                  <w:r>
                    <w:rPr>
                      <w:rFonts w:hint="eastAsia" w:cs="Times New Roman"/>
                      <w:b w:val="0"/>
                      <w:bCs/>
                      <w:color w:val="auto"/>
                      <w:kern w:val="2"/>
                      <w:sz w:val="21"/>
                      <w:szCs w:val="21"/>
                      <w:highlight w:val="none"/>
                      <w:vertAlign w:val="baseline"/>
                      <w:lang w:val="en-US" w:eastAsia="zh-CN" w:bidi="zh-CN"/>
                    </w:rPr>
                    <w:t>，不涉及燃煤</w:t>
                  </w:r>
                  <w:r>
                    <w:rPr>
                      <w:rFonts w:hint="eastAsia" w:ascii="Times New Roman" w:hAnsi="Times New Roman" w:eastAsia="宋体" w:cs="Times New Roman"/>
                      <w:b w:val="0"/>
                      <w:bCs/>
                      <w:color w:val="auto"/>
                      <w:kern w:val="2"/>
                      <w:sz w:val="21"/>
                      <w:szCs w:val="21"/>
                      <w:highlight w:val="none"/>
                      <w:vertAlign w:val="baseline"/>
                      <w:lang w:val="en-US" w:eastAsia="zh-CN" w:bidi="zh-CN"/>
                    </w:rPr>
                    <w:t>发电机组、燃油发电机组和燃煤热电机组</w:t>
                  </w:r>
                  <w:r>
                    <w:rPr>
                      <w:rFonts w:hint="eastAsia" w:cs="Times New Roman"/>
                      <w:b w:val="0"/>
                      <w:bCs/>
                      <w:color w:val="auto"/>
                      <w:kern w:val="2"/>
                      <w:sz w:val="21"/>
                      <w:szCs w:val="21"/>
                      <w:highlight w:val="none"/>
                      <w:vertAlign w:val="baseline"/>
                      <w:lang w:val="en-US" w:eastAsia="zh-CN" w:bidi="zh-CN"/>
                    </w:rPr>
                    <w:t>，不涉及</w:t>
                  </w:r>
                  <w:r>
                    <w:rPr>
                      <w:rFonts w:hint="eastAsia" w:ascii="Times New Roman" w:hAnsi="Times New Roman" w:eastAsia="宋体" w:cs="Times New Roman"/>
                      <w:b w:val="0"/>
                      <w:bCs/>
                      <w:color w:val="auto"/>
                      <w:kern w:val="2"/>
                      <w:sz w:val="21"/>
                      <w:szCs w:val="21"/>
                      <w:highlight w:val="none"/>
                      <w:vertAlign w:val="baseline"/>
                      <w:lang w:val="en-US" w:eastAsia="zh-CN" w:bidi="zh-CN"/>
                    </w:rPr>
                    <w:t>分散燃煤供热锅炉</w:t>
                  </w:r>
                  <w:r>
                    <w:rPr>
                      <w:rFonts w:hint="eastAsia" w:cs="Times New Roman"/>
                      <w:b w:val="0"/>
                      <w:bCs/>
                      <w:color w:val="auto"/>
                      <w:kern w:val="2"/>
                      <w:sz w:val="21"/>
                      <w:szCs w:val="21"/>
                      <w:highlight w:val="none"/>
                      <w:vertAlign w:val="baseline"/>
                      <w:lang w:val="en-US" w:eastAsia="zh-CN" w:bidi="zh-CN"/>
                    </w:rPr>
                    <w:t>，不属于</w:t>
                  </w:r>
                  <w:r>
                    <w:rPr>
                      <w:rFonts w:hint="eastAsia" w:ascii="Times New Roman" w:hAnsi="Times New Roman" w:eastAsia="宋体" w:cs="Times New Roman"/>
                      <w:b w:val="0"/>
                      <w:bCs/>
                      <w:color w:val="auto"/>
                      <w:kern w:val="2"/>
                      <w:sz w:val="21"/>
                      <w:szCs w:val="21"/>
                      <w:highlight w:val="none"/>
                      <w:vertAlign w:val="baseline"/>
                      <w:lang w:val="en-US" w:eastAsia="zh-CN" w:bidi="zh-CN"/>
                    </w:rPr>
                    <w:t>大气污染严重的建设项目</w:t>
                  </w:r>
                  <w:r>
                    <w:rPr>
                      <w:rFonts w:hint="eastAsia" w:cs="Times New Roman"/>
                      <w:b w:val="0"/>
                      <w:bCs/>
                      <w:color w:val="auto"/>
                      <w:kern w:val="2"/>
                      <w:sz w:val="21"/>
                      <w:szCs w:val="21"/>
                      <w:highlight w:val="none"/>
                      <w:vertAlign w:val="baseline"/>
                      <w:lang w:val="en-US" w:eastAsia="zh-CN" w:bidi="zh-CN"/>
                    </w:rPr>
                    <w:t>。</w:t>
                  </w:r>
                </w:p>
              </w:tc>
            </w:tr>
            <w:tr w14:paraId="7B97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8" w:type="pct"/>
                  <w:vMerge w:val="continue"/>
                  <w:vAlign w:val="center"/>
                </w:tcPr>
                <w:p w14:paraId="057B7F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586" w:type="pct"/>
                  <w:vMerge w:val="continue"/>
                  <w:vAlign w:val="center"/>
                </w:tcPr>
                <w:p w14:paraId="6C1725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470" w:type="pct"/>
                  <w:vMerge w:val="restart"/>
                  <w:vAlign w:val="center"/>
                </w:tcPr>
                <w:p w14:paraId="4A87BAA6">
                  <w:pPr>
                    <w:pStyle w:val="113"/>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firstLine="0" w:firstLineChars="0"/>
                    <w:jc w:val="center"/>
                    <w:textAlignment w:val="auto"/>
                  </w:pPr>
                  <w:r>
                    <w:rPr>
                      <w:rFonts w:hint="default" w:ascii="Times New Roman" w:hAnsi="Times New Roman" w:eastAsia="宋体" w:cs="Times New Roman"/>
                      <w:color w:val="auto"/>
                      <w:sz w:val="21"/>
                      <w:szCs w:val="21"/>
                      <w:lang w:val="en-US" w:eastAsia="zh-CN" w:bidi="ar-SA"/>
                    </w:rPr>
                    <w:t>污染物排放管控</w:t>
                  </w:r>
                </w:p>
              </w:tc>
              <w:tc>
                <w:tcPr>
                  <w:tcW w:w="2171" w:type="pct"/>
                  <w:vAlign w:val="center"/>
                </w:tcPr>
                <w:p w14:paraId="3EA8CFB8">
                  <w:pPr>
                    <w:pStyle w:val="113"/>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firstLine="0" w:firstLine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实行重点排放源排放浓度与去除效率双重控制。车间或生产设施收集排放的废气VOCs初始排放速率大于等于2千克/小时的，应加大控制力度，除确保排放浓度稳定达标外，还应实行去除效率控制，去除效率不低于80%；采用的原辅材料符合国家有关低V0Cs含量产品规定的除外，有行业排放标准的按其相关规定执行。</w:t>
                  </w:r>
                </w:p>
                <w:p w14:paraId="65512426">
                  <w:pPr>
                    <w:pStyle w:val="113"/>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firstLine="0" w:firstLine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使用粉末、水性、高固体分、辐射固化等低V0Cs含量的涂料替代溶剂型涂料。</w:t>
                  </w:r>
                </w:p>
                <w:p w14:paraId="55FD2413">
                  <w:pPr>
                    <w:pStyle w:val="113"/>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firstLine="0" w:firstLineChars="0"/>
                    <w:jc w:val="center"/>
                    <w:textAlignment w:val="auto"/>
                    <w:rPr>
                      <w:rFonts w:hint="eastAsia" w:ascii="Times New Roman" w:hAnsi="Times New Roman" w:eastAsia="宋体" w:cs="Times New Roman"/>
                      <w:b w:val="0"/>
                      <w:bCs/>
                      <w:color w:val="auto"/>
                      <w:kern w:val="2"/>
                      <w:sz w:val="21"/>
                      <w:szCs w:val="21"/>
                      <w:highlight w:val="none"/>
                      <w:vertAlign w:val="baseline"/>
                      <w:lang w:val="en-US" w:eastAsia="zh-CN" w:bidi="zh-CN"/>
                    </w:rPr>
                  </w:pPr>
                  <w:r>
                    <w:rPr>
                      <w:rFonts w:hint="default" w:ascii="Times New Roman" w:hAnsi="Times New Roman" w:eastAsia="宋体" w:cs="Times New Roman"/>
                      <w:color w:val="auto"/>
                      <w:sz w:val="21"/>
                      <w:szCs w:val="21"/>
                      <w:lang w:val="en-US" w:eastAsia="zh-CN" w:bidi="ar-SA"/>
                    </w:rPr>
                    <w:t>新建、迁建V0Cs排放量大的企业应入工业园区并符合规划要求，必须建设挥发性有机物污染治理</w:t>
                  </w:r>
                  <w:r>
                    <w:rPr>
                      <w:rFonts w:hint="eastAsia" w:cs="Times New Roman"/>
                      <w:color w:val="auto"/>
                      <w:sz w:val="21"/>
                      <w:szCs w:val="21"/>
                      <w:lang w:val="en-US" w:eastAsia="zh-CN" w:bidi="ar-SA"/>
                    </w:rPr>
                    <w:t>设施</w:t>
                  </w:r>
                  <w:r>
                    <w:rPr>
                      <w:rFonts w:hint="default" w:ascii="Times New Roman" w:hAnsi="Times New Roman" w:eastAsia="宋体" w:cs="Times New Roman"/>
                      <w:color w:val="auto"/>
                      <w:sz w:val="21"/>
                      <w:szCs w:val="21"/>
                      <w:lang w:val="en-US" w:eastAsia="zh-CN" w:bidi="ar-SA"/>
                    </w:rPr>
                    <w:t>，安装废气收集、回收或净化装置，原则上总净化效率不得低于90%。</w:t>
                  </w:r>
                </w:p>
              </w:tc>
              <w:tc>
                <w:tcPr>
                  <w:tcW w:w="1043" w:type="pct"/>
                  <w:vAlign w:val="center"/>
                </w:tcPr>
                <w:p w14:paraId="760F945F">
                  <w:pPr>
                    <w:pStyle w:val="113"/>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firstLine="0" w:firstLineChars="0"/>
                    <w:jc w:val="center"/>
                    <w:textAlignment w:val="auto"/>
                    <w:rPr>
                      <w:rFonts w:hint="eastAsia" w:cs="Times New Roman"/>
                      <w:b w:val="0"/>
                      <w:bCs/>
                      <w:color w:val="auto"/>
                      <w:kern w:val="2"/>
                      <w:sz w:val="21"/>
                      <w:szCs w:val="21"/>
                      <w:highlight w:val="none"/>
                      <w:vertAlign w:val="baseline"/>
                      <w:lang w:val="en-US" w:eastAsia="zh-CN" w:bidi="zh-CN"/>
                    </w:rPr>
                  </w:pPr>
                  <w:r>
                    <w:rPr>
                      <w:rFonts w:hint="eastAsia" w:ascii="Times New Roman" w:hAnsi="Times New Roman" w:eastAsia="宋体" w:cs="Times New Roman"/>
                      <w:color w:val="auto"/>
                      <w:sz w:val="21"/>
                      <w:szCs w:val="21"/>
                      <w:lang w:val="en-US" w:eastAsia="zh-CN" w:bidi="ar-SA"/>
                    </w:rPr>
                    <w:t>本项目生产过程中产生的工业污染物均可达标排放；本项目不涉及使用涂料。</w:t>
                  </w:r>
                </w:p>
              </w:tc>
            </w:tr>
            <w:tr w14:paraId="0769F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8" w:type="pct"/>
                  <w:vMerge w:val="continue"/>
                  <w:vAlign w:val="center"/>
                </w:tcPr>
                <w:p w14:paraId="3C6D0B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586" w:type="pct"/>
                  <w:vMerge w:val="continue"/>
                  <w:vAlign w:val="center"/>
                </w:tcPr>
                <w:p w14:paraId="7CA2B2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470" w:type="pct"/>
                  <w:vMerge w:val="continue"/>
                  <w:vAlign w:val="center"/>
                </w:tcPr>
                <w:p w14:paraId="69177C7A">
                  <w:pPr>
                    <w:pStyle w:val="113"/>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firstLine="0" w:firstLineChars="0"/>
                    <w:jc w:val="center"/>
                    <w:textAlignment w:val="auto"/>
                    <w:rPr>
                      <w:rFonts w:hint="default" w:ascii="Times New Roman" w:hAnsi="Times New Roman" w:eastAsia="宋体" w:cs="Times New Roman"/>
                      <w:color w:val="auto"/>
                      <w:sz w:val="21"/>
                      <w:szCs w:val="21"/>
                      <w:lang w:val="en-US" w:eastAsia="zh-CN" w:bidi="ar-SA"/>
                    </w:rPr>
                  </w:pPr>
                </w:p>
              </w:tc>
              <w:tc>
                <w:tcPr>
                  <w:tcW w:w="2171" w:type="pct"/>
                  <w:vAlign w:val="center"/>
                </w:tcPr>
                <w:p w14:paraId="12B4CB75">
                  <w:pPr>
                    <w:pStyle w:val="113"/>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ascii="宋体" w:hAnsi="宋体" w:eastAsia="宋体" w:cs="宋体"/>
                      <w:sz w:val="21"/>
                      <w:szCs w:val="21"/>
                    </w:rPr>
                    <w:t>持续推进城镇污水处理厂建设，推进老旧城区、城中村、城乡结合部生活污水收集和处理，加快补齐生活污水收集处理设施短板。推进建成区污水管网全覆盖，生活污水全收集、全处理。加快城市雨污分流制改造，系统治理雨污错接、混接、漏接等问题。加强管网新建和提标改造，对于近期设施难以覆盖的地区，因地制宜建设分散污水处理设施，处理达标后排放。</w:t>
                  </w:r>
                </w:p>
              </w:tc>
              <w:tc>
                <w:tcPr>
                  <w:tcW w:w="1043" w:type="pct"/>
                  <w:vAlign w:val="center"/>
                </w:tcPr>
                <w:p w14:paraId="0A11387D">
                  <w:pPr>
                    <w:pStyle w:val="113"/>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firstLine="0" w:firstLineChars="0"/>
                    <w:jc w:val="center"/>
                    <w:textAlignment w:val="auto"/>
                    <w:rPr>
                      <w:rFonts w:hint="eastAsia" w:ascii="Times New Roman" w:hAnsi="Times New Roman" w:eastAsia="宋体" w:cs="Times New Roman"/>
                      <w:color w:val="auto"/>
                      <w:sz w:val="21"/>
                      <w:szCs w:val="21"/>
                      <w:lang w:val="en-US" w:eastAsia="zh-CN" w:bidi="ar-SA"/>
                    </w:rPr>
                  </w:pPr>
                  <w:r>
                    <w:rPr>
                      <w:rFonts w:hint="eastAsia" w:cs="Times New Roman"/>
                      <w:b w:val="0"/>
                      <w:bCs/>
                      <w:color w:val="auto"/>
                      <w:kern w:val="2"/>
                      <w:sz w:val="21"/>
                      <w:szCs w:val="21"/>
                      <w:highlight w:val="none"/>
                      <w:vertAlign w:val="baseline"/>
                      <w:lang w:val="en-US" w:eastAsia="zh-CN" w:bidi="zh-CN"/>
                    </w:rPr>
                    <w:t>项目厂区实行雨污分流制，项目地市政管网已铺设到位，废水可以纳管到相应污水处理厂集中处置。</w:t>
                  </w:r>
                </w:p>
              </w:tc>
            </w:tr>
            <w:tr w14:paraId="5D9DB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8" w:type="pct"/>
                  <w:vMerge w:val="continue"/>
                  <w:vAlign w:val="center"/>
                </w:tcPr>
                <w:p w14:paraId="578926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586" w:type="pct"/>
                  <w:vMerge w:val="continue"/>
                  <w:vAlign w:val="center"/>
                </w:tcPr>
                <w:p w14:paraId="0E775C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470" w:type="pct"/>
                  <w:vMerge w:val="restart"/>
                  <w:vAlign w:val="center"/>
                </w:tcPr>
                <w:p w14:paraId="0946A3B7">
                  <w:pPr>
                    <w:pStyle w:val="113"/>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eastAsia" w:cs="Times New Roman"/>
                      <w:color w:val="auto"/>
                      <w:sz w:val="21"/>
                      <w:szCs w:val="21"/>
                      <w:lang w:val="en-US" w:eastAsia="zh-CN" w:bidi="ar-SA"/>
                    </w:rPr>
                    <w:t>环境风险管控</w:t>
                  </w:r>
                </w:p>
              </w:tc>
              <w:tc>
                <w:tcPr>
                  <w:tcW w:w="2171" w:type="pct"/>
                  <w:vAlign w:val="center"/>
                </w:tcPr>
                <w:p w14:paraId="5798CAE6">
                  <w:pPr>
                    <w:pStyle w:val="113"/>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firstLine="0" w:firstLineChars="0"/>
                    <w:jc w:val="center"/>
                    <w:textAlignment w:val="auto"/>
                    <w:rPr>
                      <w:rFonts w:ascii="宋体" w:hAnsi="宋体" w:eastAsia="宋体" w:cs="宋体"/>
                      <w:sz w:val="21"/>
                      <w:szCs w:val="21"/>
                    </w:rPr>
                  </w:pPr>
                  <w:r>
                    <w:rPr>
                      <w:rFonts w:ascii="宋体" w:hAnsi="宋体" w:eastAsia="宋体" w:cs="宋体"/>
                      <w:sz w:val="21"/>
                      <w:szCs w:val="21"/>
                    </w:rPr>
                    <w:t>排污单位发生事故或者其他突发性事件，造成或者可能造成水污染事故的，应当立即启动本单位的应急方案，采取隔离等应急措施，防止水污染物进入水体，并向事故发生地的县级以上人民政府或者生态环境行政主管部门报告。</w:t>
                  </w:r>
                </w:p>
              </w:tc>
              <w:tc>
                <w:tcPr>
                  <w:tcW w:w="1043" w:type="pct"/>
                  <w:vMerge w:val="restart"/>
                  <w:vAlign w:val="center"/>
                </w:tcPr>
                <w:p w14:paraId="0CF43DCF">
                  <w:pPr>
                    <w:pStyle w:val="113"/>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firstLine="0" w:firstLineChars="0"/>
                    <w:jc w:val="center"/>
                    <w:textAlignment w:val="auto"/>
                    <w:rPr>
                      <w:rFonts w:hint="eastAsia" w:cs="Times New Roman"/>
                      <w:b w:val="0"/>
                      <w:bCs/>
                      <w:color w:val="auto"/>
                      <w:kern w:val="2"/>
                      <w:sz w:val="21"/>
                      <w:szCs w:val="21"/>
                      <w:highlight w:val="none"/>
                      <w:vertAlign w:val="baseline"/>
                      <w:lang w:val="en-US" w:eastAsia="zh-CN" w:bidi="zh-CN"/>
                    </w:rPr>
                  </w:pPr>
                  <w:r>
                    <w:rPr>
                      <w:rFonts w:hint="eastAsia" w:cs="Times New Roman"/>
                      <w:b w:val="0"/>
                      <w:bCs/>
                      <w:color w:val="auto"/>
                      <w:kern w:val="2"/>
                      <w:sz w:val="21"/>
                      <w:szCs w:val="21"/>
                      <w:highlight w:val="none"/>
                      <w:vertAlign w:val="baseline"/>
                      <w:lang w:val="en-US" w:eastAsia="zh-CN" w:bidi="zh-CN"/>
                    </w:rPr>
                    <w:t>建设单位已编制突发环境事件应急预案并报送环保局备案，建议企业注意每三年更新一次突发环境事件应急预案。</w:t>
                  </w:r>
                </w:p>
              </w:tc>
            </w:tr>
            <w:tr w14:paraId="69492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8" w:type="pct"/>
                  <w:vMerge w:val="continue"/>
                  <w:vAlign w:val="center"/>
                </w:tcPr>
                <w:p w14:paraId="337013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586" w:type="pct"/>
                  <w:vMerge w:val="continue"/>
                  <w:vAlign w:val="center"/>
                </w:tcPr>
                <w:p w14:paraId="5F5CEE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470" w:type="pct"/>
                  <w:vMerge w:val="continue"/>
                  <w:vAlign w:val="center"/>
                </w:tcPr>
                <w:p w14:paraId="5CEB1130">
                  <w:pPr>
                    <w:pStyle w:val="113"/>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firstLine="0" w:firstLineChars="0"/>
                    <w:jc w:val="center"/>
                    <w:textAlignment w:val="auto"/>
                    <w:rPr>
                      <w:rFonts w:hint="eastAsia" w:cs="Times New Roman"/>
                      <w:color w:val="auto"/>
                      <w:sz w:val="21"/>
                      <w:szCs w:val="21"/>
                      <w:lang w:val="en-US" w:eastAsia="zh-CN" w:bidi="ar-SA"/>
                    </w:rPr>
                  </w:pPr>
                </w:p>
              </w:tc>
              <w:tc>
                <w:tcPr>
                  <w:tcW w:w="2171" w:type="pct"/>
                  <w:vAlign w:val="center"/>
                </w:tcPr>
                <w:p w14:paraId="23B6FC6C">
                  <w:pPr>
                    <w:pStyle w:val="113"/>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将水环境污染事故应急响应纳入突发事件应急管理体系，制定和完善水污染事故应急预案，落实责任主体，明确应对措施，定期开展应急演练。</w:t>
                  </w:r>
                </w:p>
              </w:tc>
              <w:tc>
                <w:tcPr>
                  <w:tcW w:w="1043" w:type="pct"/>
                  <w:vMerge w:val="continue"/>
                  <w:vAlign w:val="center"/>
                </w:tcPr>
                <w:p w14:paraId="3F25FDBD">
                  <w:pPr>
                    <w:pStyle w:val="113"/>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firstLine="0" w:firstLineChars="0"/>
                    <w:jc w:val="center"/>
                    <w:textAlignment w:val="auto"/>
                    <w:rPr>
                      <w:rFonts w:hint="eastAsia" w:cs="Times New Roman"/>
                      <w:b w:val="0"/>
                      <w:bCs/>
                      <w:color w:val="auto"/>
                      <w:kern w:val="2"/>
                      <w:sz w:val="21"/>
                      <w:szCs w:val="21"/>
                      <w:highlight w:val="none"/>
                      <w:vertAlign w:val="baseline"/>
                      <w:lang w:val="en-US" w:eastAsia="zh-CN" w:bidi="zh-CN"/>
                    </w:rPr>
                  </w:pPr>
                </w:p>
              </w:tc>
            </w:tr>
            <w:tr w14:paraId="5777C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8" w:type="pct"/>
                  <w:vMerge w:val="continue"/>
                  <w:vAlign w:val="center"/>
                </w:tcPr>
                <w:p w14:paraId="1EA114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586" w:type="pct"/>
                  <w:vMerge w:val="continue"/>
                  <w:vAlign w:val="center"/>
                </w:tcPr>
                <w:p w14:paraId="066428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470" w:type="pct"/>
                  <w:vMerge w:val="restart"/>
                  <w:vAlign w:val="center"/>
                </w:tcPr>
                <w:p w14:paraId="7D19A5AC">
                  <w:pPr>
                    <w:pStyle w:val="113"/>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firstLine="0" w:firstLineChars="0"/>
                    <w:jc w:val="center"/>
                    <w:textAlignment w:val="auto"/>
                  </w:pPr>
                  <w:r>
                    <w:rPr>
                      <w:rFonts w:hint="default" w:ascii="Times New Roman" w:hAnsi="Times New Roman" w:eastAsia="宋体" w:cs="Times New Roman"/>
                      <w:color w:val="auto"/>
                      <w:sz w:val="21"/>
                      <w:szCs w:val="21"/>
                      <w:lang w:val="en-US" w:eastAsia="zh-CN" w:bidi="ar-SA"/>
                    </w:rPr>
                    <w:t>资源开发效率要求</w:t>
                  </w:r>
                </w:p>
              </w:tc>
              <w:tc>
                <w:tcPr>
                  <w:tcW w:w="2171" w:type="pct"/>
                  <w:vAlign w:val="center"/>
                </w:tcPr>
                <w:p w14:paraId="0361301E">
                  <w:pPr>
                    <w:pStyle w:val="113"/>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禁燃区内禁止燃用《高污染燃料目录》中的Ⅱ类燃料组合，即在禁燃区内，禁止使用除单台出力大于等于20蒸吨/小时的锅炉以外燃用的煤炭及其制品，及石油焦、油页岩、原油、重油、渣油、煤焦油。</w:t>
                  </w:r>
                </w:p>
              </w:tc>
              <w:tc>
                <w:tcPr>
                  <w:tcW w:w="1043" w:type="pct"/>
                  <w:vMerge w:val="restart"/>
                  <w:vAlign w:val="center"/>
                </w:tcPr>
                <w:p w14:paraId="2D9E1850">
                  <w:pPr>
                    <w:pStyle w:val="113"/>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firstLine="0" w:firstLineChars="0"/>
                    <w:jc w:val="center"/>
                    <w:textAlignment w:val="auto"/>
                    <w:rPr>
                      <w:rFonts w:hint="eastAsia" w:cs="Times New Roman"/>
                      <w:b w:val="0"/>
                      <w:bCs/>
                      <w:color w:val="auto"/>
                      <w:kern w:val="2"/>
                      <w:sz w:val="21"/>
                      <w:szCs w:val="21"/>
                      <w:highlight w:val="none"/>
                      <w:vertAlign w:val="baseline"/>
                      <w:lang w:val="en-US" w:eastAsia="zh-CN" w:bidi="zh-CN"/>
                    </w:rPr>
                  </w:pPr>
                  <w:r>
                    <w:rPr>
                      <w:rFonts w:hint="eastAsia" w:ascii="Times New Roman" w:hAnsi="Times New Roman" w:eastAsia="宋体" w:cs="Times New Roman"/>
                      <w:color w:val="auto"/>
                      <w:sz w:val="21"/>
                      <w:szCs w:val="21"/>
                      <w:lang w:val="en-US" w:eastAsia="zh-CN" w:bidi="ar-SA"/>
                    </w:rPr>
                    <w:t>本项目蒸汽发生器采用能源为电，符合要求。</w:t>
                  </w:r>
                </w:p>
              </w:tc>
            </w:tr>
            <w:tr w14:paraId="2A902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8" w:type="pct"/>
                  <w:vMerge w:val="continue"/>
                  <w:vAlign w:val="center"/>
                </w:tcPr>
                <w:p w14:paraId="1D4383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586" w:type="pct"/>
                  <w:vMerge w:val="continue"/>
                  <w:vAlign w:val="center"/>
                </w:tcPr>
                <w:p w14:paraId="55B4AC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470" w:type="pct"/>
                  <w:vMerge w:val="continue"/>
                  <w:vAlign w:val="center"/>
                </w:tcPr>
                <w:p w14:paraId="2FB26A01">
                  <w:pPr>
                    <w:pStyle w:val="113"/>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firstLine="0" w:firstLineChars="0"/>
                    <w:jc w:val="center"/>
                    <w:textAlignment w:val="auto"/>
                  </w:pPr>
                </w:p>
              </w:tc>
              <w:tc>
                <w:tcPr>
                  <w:tcW w:w="2171" w:type="pct"/>
                  <w:vAlign w:val="center"/>
                </w:tcPr>
                <w:p w14:paraId="04CB445C">
                  <w:pPr>
                    <w:pStyle w:val="113"/>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firstLine="0" w:firstLineChars="0"/>
                    <w:jc w:val="both"/>
                    <w:textAlignment w:val="auto"/>
                    <w:rPr>
                      <w:rFonts w:ascii="宋体" w:hAnsi="宋体" w:eastAsia="宋体" w:cs="宋体"/>
                      <w:sz w:val="21"/>
                      <w:szCs w:val="21"/>
                    </w:rPr>
                  </w:pPr>
                  <w:r>
                    <w:rPr>
                      <w:rFonts w:ascii="宋体" w:hAnsi="宋体" w:eastAsia="宋体" w:cs="宋体"/>
                      <w:sz w:val="21"/>
                      <w:szCs w:val="21"/>
                    </w:rPr>
                    <w:t>淮南市禁燃区范围：</w:t>
                  </w:r>
                </w:p>
                <w:p w14:paraId="61CD0E5F">
                  <w:pPr>
                    <w:pStyle w:val="113"/>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firstLine="0" w:firstLineChars="0"/>
                    <w:jc w:val="center"/>
                    <w:textAlignment w:val="auto"/>
                    <w:rPr>
                      <w:rFonts w:hint="eastAsia" w:ascii="Times New Roman" w:hAnsi="Times New Roman" w:eastAsia="宋体" w:cs="Times New Roman"/>
                      <w:b w:val="0"/>
                      <w:bCs/>
                      <w:color w:val="auto"/>
                      <w:kern w:val="2"/>
                      <w:sz w:val="21"/>
                      <w:szCs w:val="21"/>
                      <w:highlight w:val="none"/>
                      <w:vertAlign w:val="baseline"/>
                      <w:lang w:val="en-US" w:eastAsia="zh-CN" w:bidi="zh-CN"/>
                    </w:rPr>
                  </w:pPr>
                  <w:r>
                    <w:rPr>
                      <w:rFonts w:ascii="宋体" w:hAnsi="宋体" w:eastAsia="宋体" w:cs="宋体"/>
                      <w:sz w:val="21"/>
                      <w:szCs w:val="21"/>
                    </w:rPr>
                    <w:t>（七）潘集区：东至齐云山路，西至西外环路，南至珠江路，北至滨河路</w:t>
                  </w:r>
                  <w:r>
                    <w:rPr>
                      <w:rFonts w:hint="default" w:ascii="Times New Roman" w:hAnsi="Times New Roman" w:eastAsia="宋体" w:cs="Times New Roman"/>
                      <w:color w:val="auto"/>
                      <w:sz w:val="21"/>
                      <w:szCs w:val="21"/>
                      <w:lang w:val="en-US" w:eastAsia="zh-CN" w:bidi="ar-SA"/>
                    </w:rPr>
                    <w:t>。</w:t>
                  </w:r>
                </w:p>
              </w:tc>
              <w:tc>
                <w:tcPr>
                  <w:tcW w:w="1043" w:type="pct"/>
                  <w:vMerge w:val="continue"/>
                  <w:vAlign w:val="center"/>
                </w:tcPr>
                <w:p w14:paraId="0190AF6D">
                  <w:pPr>
                    <w:pStyle w:val="113"/>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firstLine="0" w:firstLineChars="0"/>
                    <w:jc w:val="center"/>
                    <w:textAlignment w:val="auto"/>
                    <w:rPr>
                      <w:rFonts w:hint="eastAsia" w:cs="Times New Roman"/>
                      <w:b w:val="0"/>
                      <w:bCs/>
                      <w:color w:val="auto"/>
                      <w:kern w:val="2"/>
                      <w:sz w:val="21"/>
                      <w:szCs w:val="21"/>
                      <w:highlight w:val="none"/>
                      <w:vertAlign w:val="baseline"/>
                      <w:lang w:val="en-US" w:eastAsia="zh-CN" w:bidi="zh-CN"/>
                    </w:rPr>
                  </w:pPr>
                </w:p>
              </w:tc>
            </w:tr>
          </w:tbl>
          <w:p w14:paraId="09F3289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default" w:ascii="Times New Roman" w:hAnsi="Times New Roman" w:eastAsia="宋体" w:cs="Times New Roman"/>
                <w:color w:val="000000"/>
                <w:sz w:val="24"/>
                <w:highlight w:val="none"/>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结合区域生态红线、环境质量底线、资源利用上线、生态环境准入清单分析，项目</w:t>
            </w:r>
            <w:r>
              <w:rPr>
                <w:rFonts w:hint="eastAsia" w:cs="Times New Roman"/>
                <w:color w:val="000000" w:themeColor="text1"/>
                <w:kern w:val="0"/>
                <w:sz w:val="24"/>
                <w:szCs w:val="24"/>
                <w:highlight w:val="none"/>
                <w:lang w:val="en-US" w:eastAsia="zh-CN" w:bidi="ar-SA"/>
                <w14:textFill>
                  <w14:solidFill>
                    <w14:schemeClr w14:val="tx1"/>
                  </w14:solidFill>
                </w14:textFill>
              </w:rPr>
              <w:t>生态环境分区管控</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符合性分析如下：</w:t>
            </w:r>
          </w:p>
          <w:p w14:paraId="1966A1B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cs="Times New Roman"/>
                <w:b/>
                <w:bCs/>
                <w:color w:val="000000"/>
                <w:sz w:val="24"/>
                <w:szCs w:val="24"/>
                <w:highlight w:val="none"/>
                <w:lang w:eastAsia="zh-CN"/>
              </w:rPr>
            </w:pPr>
            <w:r>
              <w:rPr>
                <w:rFonts w:hint="default" w:ascii="Times New Roman" w:hAnsi="Times New Roman" w:eastAsia="宋体" w:cs="Times New Roman"/>
                <w:b/>
                <w:bCs/>
                <w:color w:val="000000"/>
                <w:sz w:val="24"/>
                <w:szCs w:val="24"/>
                <w:highlight w:val="none"/>
              </w:rPr>
              <w:t>（1）生态保护红线</w:t>
            </w:r>
            <w:r>
              <w:rPr>
                <w:rFonts w:hint="eastAsia" w:cs="Times New Roman"/>
                <w:b/>
                <w:bCs/>
                <w:color w:val="000000"/>
                <w:sz w:val="24"/>
                <w:szCs w:val="24"/>
                <w:highlight w:val="none"/>
                <w:lang w:eastAsia="zh-CN"/>
              </w:rPr>
              <w:t>及生态分区管控</w:t>
            </w:r>
          </w:p>
          <w:p w14:paraId="323D8DF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依据中办、国办印发的《关于划定并严守生态保护红线的若干意见》，生态保护红线原则上按禁止开发区域的要求进行管理。严禁不符合主体功能定位的各类开发活动，严禁任意改变用途，确保生态保护红线的生态功能不降低、面积不减少、性质不改变。对生态保护红线内的国家公园、自然保护区、风景名胜区、森林公园、地质公园、世界自然遗产、湿地公园、饮用水水源保护区、天然林、生态公益林等各类保护地的管理，按照</w:t>
            </w:r>
            <w:r>
              <w:rPr>
                <w:rFonts w:hint="eastAsia" w:cs="Times New Roman"/>
                <w:color w:val="auto"/>
                <w:sz w:val="24"/>
                <w:szCs w:val="24"/>
                <w:lang w:val="en-US" w:eastAsia="zh-CN"/>
              </w:rPr>
              <w:t>法律法规</w:t>
            </w:r>
            <w:r>
              <w:rPr>
                <w:rFonts w:hint="eastAsia" w:ascii="Times New Roman" w:hAnsi="Times New Roman" w:eastAsia="宋体" w:cs="Times New Roman"/>
                <w:color w:val="auto"/>
                <w:sz w:val="24"/>
                <w:szCs w:val="24"/>
                <w:lang w:val="en-US" w:eastAsia="zh-CN"/>
              </w:rPr>
              <w:t>和规章等要求执行。</w:t>
            </w:r>
          </w:p>
          <w:p w14:paraId="0134347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依据中办、国办印发的《关于划定并严守生态保护红线的若干意见》，生态保护红线原则上按禁止开发区域的要求进行管理。严禁不符合主体功能定位的各类开发活动，严禁任意改变用途，确保生态保护红线的生态功能不降低、面积不减少、性质不改变。</w:t>
            </w:r>
          </w:p>
          <w:p w14:paraId="239123D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依据中办、国办印发的《关于在国土空间规划中统筹划定落实三条控制线的指导意见》，生态保护红线内，自然保护地核心保护区原则上禁止人为活动，其他区域严格禁止开发性、生产性建设活动，在符合现行法律法规前提下，除国家重大战略项目外，仅允许对生态功能不造成破坏的有限人为活动</w:t>
            </w:r>
            <w:r>
              <w:rPr>
                <w:rFonts w:hint="eastAsia" w:cs="Times New Roman"/>
                <w:color w:val="auto"/>
                <w:sz w:val="24"/>
                <w:szCs w:val="24"/>
                <w:lang w:val="en-US" w:eastAsia="zh-CN"/>
              </w:rPr>
              <w:t>。</w:t>
            </w:r>
          </w:p>
          <w:p w14:paraId="56FFEA4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sz w:val="24"/>
                <w:szCs w:val="24"/>
                <w:highlight w:val="none"/>
                <w:lang w:eastAsia="zh-CN"/>
              </w:rPr>
            </w:pPr>
            <w:r>
              <w:rPr>
                <w:rFonts w:hint="eastAsia" w:cs="Times New Roman"/>
                <w:color w:val="auto"/>
                <w:sz w:val="24"/>
                <w:szCs w:val="24"/>
                <w:lang w:eastAsia="zh-CN"/>
              </w:rPr>
              <w:t>根据淮南市生态保护红线图</w:t>
            </w:r>
            <w:r>
              <w:rPr>
                <w:rFonts w:hint="eastAsia" w:ascii="Times New Roman" w:hAnsi="Times New Roman" w:cs="Times New Roman"/>
                <w:color w:val="auto"/>
                <w:sz w:val="24"/>
                <w:szCs w:val="24"/>
                <w:lang w:eastAsia="zh-CN"/>
              </w:rPr>
              <w:t>（详见附图）</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本项目</w:t>
            </w:r>
            <w:r>
              <w:rPr>
                <w:rFonts w:hint="eastAsia" w:ascii="Times New Roman" w:hAnsi="Times New Roman" w:eastAsia="宋体" w:cs="Times New Roman"/>
                <w:color w:val="auto"/>
                <w:sz w:val="24"/>
                <w:szCs w:val="24"/>
                <w:lang w:eastAsia="zh-CN"/>
              </w:rPr>
              <w:t>位</w:t>
            </w:r>
            <w:r>
              <w:rPr>
                <w:rFonts w:hint="default" w:ascii="Times New Roman" w:hAnsi="Times New Roman" w:eastAsia="宋体" w:cs="Times New Roman"/>
                <w:color w:val="auto"/>
                <w:sz w:val="24"/>
                <w:szCs w:val="24"/>
              </w:rPr>
              <w:t>于</w:t>
            </w:r>
            <w:r>
              <w:rPr>
                <w:rFonts w:hint="eastAsia" w:cs="Times New Roman"/>
                <w:b w:val="0"/>
                <w:bCs w:val="0"/>
                <w:color w:val="auto"/>
                <w:kern w:val="2"/>
                <w:sz w:val="24"/>
                <w:szCs w:val="24"/>
                <w:highlight w:val="none"/>
                <w:lang w:val="en-US" w:eastAsia="zh-CN" w:bidi="ar-SA"/>
              </w:rPr>
              <w:t>安徽省淮南市潘集区珠江路北侧、武夷山路西侧</w:t>
            </w:r>
            <w:r>
              <w:rPr>
                <w:rFonts w:hint="default" w:ascii="Times New Roman" w:hAnsi="Times New Roman" w:eastAsia="宋体" w:cs="Times New Roman"/>
                <w:color w:val="auto"/>
                <w:sz w:val="24"/>
                <w:szCs w:val="24"/>
                <w:highlight w:val="none"/>
              </w:rPr>
              <w:t>，</w:t>
            </w:r>
            <w:r>
              <w:rPr>
                <w:rFonts w:hint="default" w:ascii="Times New Roman" w:hAnsi="Times New Roman" w:cs="Times New Roman"/>
                <w:color w:val="auto"/>
                <w:sz w:val="24"/>
                <w:szCs w:val="24"/>
              </w:rPr>
              <w:t>不在生态保护红线范围内，且项目选址周边无自然保护区、风景名胜区、世界文化和自然遗产地、饮用水水源保护区以及基本农田保护区、基本草原、森林公园、地质公园、重要湿地等敏感点存在。因此本项目符合生态保护红线</w:t>
            </w:r>
            <w:r>
              <w:rPr>
                <w:rFonts w:hint="eastAsia" w:cs="Times New Roman"/>
                <w:color w:val="auto"/>
                <w:sz w:val="24"/>
                <w:szCs w:val="24"/>
                <w:lang w:eastAsia="zh-CN"/>
              </w:rPr>
              <w:t>及生态分区管控</w:t>
            </w:r>
            <w:r>
              <w:rPr>
                <w:rFonts w:hint="default" w:ascii="Times New Roman" w:hAnsi="Times New Roman" w:cs="Times New Roman"/>
                <w:color w:val="auto"/>
                <w:sz w:val="24"/>
                <w:szCs w:val="24"/>
              </w:rPr>
              <w:t>要求</w:t>
            </w:r>
            <w:r>
              <w:rPr>
                <w:rFonts w:hint="default" w:ascii="Times New Roman" w:hAnsi="Times New Roman" w:eastAsia="宋体" w:cs="Times New Roman"/>
                <w:color w:val="000000"/>
                <w:sz w:val="24"/>
                <w:szCs w:val="24"/>
                <w:highlight w:val="none"/>
                <w:lang w:eastAsia="zh-CN"/>
              </w:rPr>
              <w:t>。</w:t>
            </w:r>
          </w:p>
          <w:p w14:paraId="30985002">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000000"/>
                <w:sz w:val="24"/>
                <w:szCs w:val="24"/>
                <w:highlight w:val="none"/>
                <w:lang w:eastAsia="zh-CN"/>
              </w:rPr>
            </w:pPr>
            <w:r>
              <w:rPr>
                <w:rFonts w:hint="default" w:ascii="Times New Roman" w:hAnsi="Times New Roman" w:eastAsia="宋体" w:cs="Times New Roman"/>
                <w:b/>
                <w:bCs/>
                <w:color w:val="000000"/>
                <w:sz w:val="24"/>
                <w:szCs w:val="24"/>
                <w:highlight w:val="none"/>
                <w:lang w:eastAsia="zh-CN"/>
              </w:rPr>
              <w:t>（2）环境质量底线</w:t>
            </w:r>
            <w:r>
              <w:rPr>
                <w:rFonts w:hint="eastAsia" w:cs="Times New Roman"/>
                <w:b/>
                <w:bCs/>
                <w:color w:val="000000"/>
                <w:sz w:val="24"/>
                <w:szCs w:val="24"/>
                <w:highlight w:val="none"/>
                <w:lang w:eastAsia="zh-CN"/>
              </w:rPr>
              <w:t>及环境分区管控</w:t>
            </w:r>
          </w:p>
          <w:p w14:paraId="6F158F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①水环境质量底线及分区管控</w:t>
            </w:r>
          </w:p>
          <w:p w14:paraId="029800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A.</w:t>
            </w:r>
            <w:r>
              <w:rPr>
                <w:rFonts w:hint="default" w:ascii="Times New Roman" w:hAnsi="Times New Roman" w:eastAsia="宋体" w:cs="Times New Roman"/>
                <w:color w:val="auto"/>
                <w:sz w:val="24"/>
                <w:szCs w:val="24"/>
                <w:lang w:val="en-US" w:eastAsia="zh-CN"/>
              </w:rPr>
              <w:t>水环境质量底线</w:t>
            </w:r>
          </w:p>
          <w:p w14:paraId="7394C35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eastAsia="宋体"/>
                <w:sz w:val="24"/>
                <w:lang w:eastAsia="zh-CN"/>
              </w:rPr>
            </w:pPr>
            <w:r>
              <w:rPr>
                <w:rFonts w:hint="eastAsia"/>
                <w:sz w:val="24"/>
                <w:lang w:eastAsia="zh-CN"/>
              </w:rPr>
              <w:t>本项目</w:t>
            </w:r>
            <w:r>
              <w:rPr>
                <w:rFonts w:hint="eastAsia"/>
                <w:sz w:val="24"/>
                <w:lang w:val="en-US" w:eastAsia="zh-CN"/>
              </w:rPr>
              <w:t>评价区域的纳污水体</w:t>
            </w:r>
            <w:r>
              <w:rPr>
                <w:rFonts w:hint="eastAsia"/>
                <w:sz w:val="24"/>
                <w:lang w:eastAsia="zh-CN"/>
              </w:rPr>
              <w:t>为泥河</w:t>
            </w:r>
            <w:r>
              <w:rPr>
                <w:rFonts w:hint="eastAsia"/>
                <w:sz w:val="24"/>
                <w:lang w:val="en-US" w:eastAsia="zh-CN"/>
              </w:rPr>
              <w:t>，最终排入</w:t>
            </w:r>
            <w:r>
              <w:rPr>
                <w:rFonts w:hint="eastAsia"/>
                <w:sz w:val="24"/>
                <w:lang w:eastAsia="zh-CN"/>
              </w:rPr>
              <w:t>淮河，</w:t>
            </w:r>
            <w:r>
              <w:rPr>
                <w:rFonts w:hint="eastAsia" w:cs="Times New Roman"/>
                <w:color w:val="auto"/>
                <w:sz w:val="24"/>
                <w:highlight w:val="none"/>
                <w:lang w:eastAsia="zh-CN"/>
              </w:rPr>
              <w:t>淮河</w:t>
            </w:r>
            <w:r>
              <w:rPr>
                <w:rFonts w:hint="default" w:ascii="Times New Roman" w:hAnsi="Times New Roman" w:cs="Times New Roman"/>
                <w:color w:val="auto"/>
                <w:sz w:val="24"/>
                <w:highlight w:val="none"/>
              </w:rPr>
              <w:t>执行《地表水环境质量标准》（GB3838-2002）</w:t>
            </w:r>
            <w:r>
              <w:rPr>
                <w:rFonts w:hint="eastAsia" w:cs="Times New Roman"/>
                <w:color w:val="auto"/>
                <w:sz w:val="24"/>
                <w:highlight w:val="none"/>
                <w:lang w:val="en-US" w:eastAsia="zh-CN"/>
              </w:rPr>
              <w:t>III</w:t>
            </w:r>
            <w:r>
              <w:rPr>
                <w:rFonts w:hint="default" w:ascii="Times New Roman" w:hAnsi="Times New Roman" w:cs="Times New Roman"/>
                <w:color w:val="auto"/>
                <w:sz w:val="24"/>
                <w:highlight w:val="none"/>
              </w:rPr>
              <w:t>类标准。</w:t>
            </w:r>
            <w:r>
              <w:rPr>
                <w:rFonts w:hint="eastAsia" w:ascii="Times New Roman" w:hAnsi="Times New Roman" w:cs="Times New Roman"/>
                <w:color w:val="auto"/>
                <w:sz w:val="24"/>
                <w:highlight w:val="none"/>
                <w:lang w:eastAsia="zh-CN"/>
              </w:rPr>
              <w:t>根据</w:t>
            </w:r>
            <w:r>
              <w:rPr>
                <w:rFonts w:hint="default" w:ascii="Times New Roman" w:hAnsi="Times New Roman" w:eastAsia="宋体" w:cs="Times New Roman"/>
                <w:color w:val="auto"/>
                <w:sz w:val="24"/>
                <w:highlight w:val="none"/>
                <w:lang w:eastAsia="zh-CN"/>
              </w:rPr>
              <w:t>《</w:t>
            </w:r>
            <w:r>
              <w:rPr>
                <w:rFonts w:hint="eastAsia" w:cs="Times New Roman"/>
                <w:color w:val="auto"/>
                <w:sz w:val="24"/>
                <w:highlight w:val="none"/>
                <w:lang w:eastAsia="zh-CN"/>
              </w:rPr>
              <w:t>202</w:t>
            </w:r>
            <w:r>
              <w:rPr>
                <w:rFonts w:hint="eastAsia" w:cs="Times New Roman"/>
                <w:color w:val="auto"/>
                <w:sz w:val="24"/>
                <w:highlight w:val="none"/>
                <w:lang w:val="en-US" w:eastAsia="zh-CN"/>
              </w:rPr>
              <w:t>4</w:t>
            </w:r>
            <w:r>
              <w:rPr>
                <w:rFonts w:hint="eastAsia" w:cs="Times New Roman"/>
                <w:color w:val="auto"/>
                <w:sz w:val="24"/>
                <w:highlight w:val="none"/>
                <w:lang w:eastAsia="zh-CN"/>
              </w:rPr>
              <w:t>年淮南市生态环境质量状况公报</w:t>
            </w:r>
            <w:r>
              <w:rPr>
                <w:rFonts w:hint="default" w:ascii="Times New Roman" w:hAnsi="Times New Roman" w:eastAsia="宋体" w:cs="Times New Roman"/>
                <w:color w:val="auto"/>
                <w:sz w:val="24"/>
                <w:highlight w:val="none"/>
                <w:lang w:eastAsia="zh-CN"/>
              </w:rPr>
              <w:t>》</w:t>
            </w:r>
            <w:r>
              <w:rPr>
                <w:rFonts w:hint="eastAsia" w:cs="Times New Roman"/>
                <w:color w:val="auto"/>
                <w:sz w:val="24"/>
                <w:szCs w:val="24"/>
                <w:lang w:val="en-US" w:eastAsia="zh-CN" w:bidi="ar"/>
              </w:rPr>
              <w:t>，</w:t>
            </w:r>
            <w:r>
              <w:rPr>
                <w:rFonts w:hint="eastAsia" w:eastAsia="宋体"/>
                <w:sz w:val="24"/>
              </w:rPr>
              <w:t>地表水</w:t>
            </w:r>
            <w:r>
              <w:rPr>
                <w:rFonts w:hint="eastAsia" w:eastAsia="宋体"/>
                <w:sz w:val="24"/>
                <w:lang w:val="en-US" w:eastAsia="zh-CN"/>
              </w:rPr>
              <w:t>淮河</w:t>
            </w:r>
            <w:r>
              <w:rPr>
                <w:rFonts w:eastAsia="宋体"/>
                <w:sz w:val="24"/>
                <w:lang w:val="zh-CN"/>
              </w:rPr>
              <w:t>水质</w:t>
            </w:r>
            <w:r>
              <w:rPr>
                <w:rFonts w:eastAsia="宋体"/>
                <w:sz w:val="24"/>
              </w:rPr>
              <w:t>能满足《地表水环境质量标准》（GB3838-20</w:t>
            </w:r>
            <w:r>
              <w:rPr>
                <w:sz w:val="24"/>
              </w:rPr>
              <w:t>02）中</w:t>
            </w:r>
            <w:r>
              <w:rPr>
                <w:rFonts w:hint="eastAsia"/>
                <w:sz w:val="24"/>
                <w:lang w:val="en-US" w:eastAsia="zh-CN"/>
              </w:rPr>
              <w:t>III</w:t>
            </w:r>
            <w:r>
              <w:rPr>
                <w:sz w:val="24"/>
              </w:rPr>
              <w:t>类标准，表明该区域内地表水能满足相应功能区划的要求</w:t>
            </w:r>
            <w:r>
              <w:rPr>
                <w:rFonts w:hint="eastAsia"/>
                <w:sz w:val="24"/>
                <w:lang w:eastAsia="zh-CN"/>
              </w:rPr>
              <w:t>。</w:t>
            </w:r>
          </w:p>
          <w:p w14:paraId="1A1E55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eastAsia="宋体" w:cs="Times New Roman"/>
                <w:color w:val="auto"/>
                <w:sz w:val="24"/>
                <w:szCs w:val="24"/>
                <w:lang w:val="en-US" w:eastAsia="zh-CN"/>
              </w:rPr>
              <w:t>B.</w:t>
            </w:r>
            <w:r>
              <w:rPr>
                <w:rFonts w:hint="default" w:ascii="Times New Roman" w:hAnsi="Times New Roman" w:eastAsia="宋体" w:cs="Times New Roman"/>
                <w:color w:val="auto"/>
                <w:sz w:val="24"/>
                <w:szCs w:val="24"/>
                <w:lang w:val="en-US" w:eastAsia="zh-CN"/>
              </w:rPr>
              <w:t>水环境管控分区</w:t>
            </w:r>
          </w:p>
          <w:p w14:paraId="0E22E0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eastAsia="宋体"/>
                <w:sz w:val="24"/>
              </w:rPr>
            </w:pPr>
            <w:r>
              <w:rPr>
                <w:rFonts w:hint="default" w:ascii="Times New Roman" w:hAnsi="Times New Roman" w:eastAsia="宋体" w:cs="Times New Roman"/>
                <w:color w:val="auto"/>
                <w:sz w:val="24"/>
                <w:szCs w:val="24"/>
                <w:lang w:val="en-US" w:eastAsia="zh-CN"/>
              </w:rPr>
              <w:t>对照《长江经济带战略环境评价安徽省</w:t>
            </w:r>
            <w:r>
              <w:rPr>
                <w:rFonts w:hint="eastAsia" w:ascii="Times New Roman" w:hAnsi="Times New Roman" w:eastAsia="宋体" w:cs="Times New Roman"/>
                <w:color w:val="auto"/>
                <w:sz w:val="24"/>
                <w:szCs w:val="24"/>
                <w:lang w:val="en-US" w:eastAsia="zh-CN"/>
              </w:rPr>
              <w:t>淮南</w:t>
            </w:r>
            <w:r>
              <w:rPr>
                <w:rFonts w:hint="default" w:ascii="Times New Roman" w:hAnsi="Times New Roman" w:eastAsia="宋体" w:cs="Times New Roman"/>
                <w:color w:val="auto"/>
                <w:sz w:val="24"/>
                <w:szCs w:val="24"/>
                <w:lang w:val="en-US" w:eastAsia="zh-CN"/>
              </w:rPr>
              <w:t>市</w:t>
            </w:r>
            <w:r>
              <w:rPr>
                <w:rFonts w:hint="eastAsia" w:cs="Times New Roman"/>
                <w:color w:val="auto"/>
                <w:sz w:val="24"/>
                <w:szCs w:val="24"/>
                <w:lang w:val="en-US" w:eastAsia="zh-CN"/>
              </w:rPr>
              <w:t>生态环境分区管控编制</w:t>
            </w:r>
            <w:r>
              <w:rPr>
                <w:rFonts w:hint="default" w:ascii="Times New Roman" w:hAnsi="Times New Roman" w:eastAsia="宋体" w:cs="Times New Roman"/>
                <w:color w:val="auto"/>
                <w:sz w:val="24"/>
                <w:szCs w:val="24"/>
                <w:lang w:val="en-US" w:eastAsia="zh-CN"/>
              </w:rPr>
              <w:t>文本》</w:t>
            </w:r>
            <w:r>
              <w:rPr>
                <w:rFonts w:hint="eastAsia" w:cs="Times New Roman"/>
                <w:color w:val="auto"/>
                <w:sz w:val="24"/>
                <w:szCs w:val="24"/>
                <w:lang w:val="en-US" w:eastAsia="zh-CN"/>
              </w:rPr>
              <w:t>（2023年8月）</w:t>
            </w:r>
            <w:r>
              <w:rPr>
                <w:rFonts w:hint="default" w:ascii="Times New Roman" w:hAnsi="Times New Roman" w:eastAsia="宋体" w:cs="Times New Roman"/>
                <w:color w:val="auto"/>
                <w:sz w:val="24"/>
                <w:szCs w:val="24"/>
                <w:lang w:val="en-US" w:eastAsia="zh-CN"/>
              </w:rPr>
              <w:t>及</w:t>
            </w:r>
            <w:r>
              <w:rPr>
                <w:rFonts w:hint="eastAsia" w:ascii="Times New Roman" w:hAnsi="Times New Roman" w:eastAsia="宋体" w:cs="Times New Roman"/>
                <w:color w:val="auto"/>
                <w:sz w:val="24"/>
                <w:szCs w:val="24"/>
                <w:lang w:val="en-US" w:eastAsia="zh-CN"/>
              </w:rPr>
              <w:t>淮南</w:t>
            </w:r>
            <w:r>
              <w:rPr>
                <w:rFonts w:hint="default" w:ascii="Times New Roman" w:hAnsi="Times New Roman" w:eastAsia="宋体" w:cs="Times New Roman"/>
                <w:color w:val="auto"/>
                <w:sz w:val="24"/>
                <w:szCs w:val="24"/>
                <w:lang w:val="en-US" w:eastAsia="zh-CN"/>
              </w:rPr>
              <w:t>市水环境分区管控图，本项目位于</w:t>
            </w:r>
            <w:r>
              <w:rPr>
                <w:rFonts w:hint="eastAsia" w:cs="Times New Roman"/>
                <w:color w:val="auto"/>
                <w:sz w:val="24"/>
                <w:szCs w:val="24"/>
                <w:lang w:val="en-US" w:eastAsia="zh-CN"/>
              </w:rPr>
              <w:t>城镇生活污染重点管控</w:t>
            </w:r>
            <w:r>
              <w:rPr>
                <w:rFonts w:hint="default" w:ascii="Times New Roman" w:hAnsi="Times New Roman" w:eastAsia="宋体" w:cs="Times New Roman"/>
                <w:color w:val="auto"/>
                <w:sz w:val="24"/>
                <w:szCs w:val="24"/>
                <w:lang w:val="en-US" w:eastAsia="zh-CN"/>
              </w:rPr>
              <w:t>区</w:t>
            </w:r>
            <w:r>
              <w:rPr>
                <w:rFonts w:hint="eastAsia" w:ascii="Times New Roman" w:hAnsi="Times New Roman" w:eastAsia="宋体" w:cs="Times New Roman"/>
                <w:color w:val="auto"/>
                <w:sz w:val="24"/>
                <w:szCs w:val="24"/>
                <w:lang w:val="en-US" w:eastAsia="zh-CN"/>
              </w:rPr>
              <w:t>。</w:t>
            </w:r>
          </w:p>
          <w:p w14:paraId="21EE4422">
            <w:pPr>
              <w:keepNext w:val="0"/>
              <w:keepLines w:val="0"/>
              <w:pageBreakBefore w:val="0"/>
              <w:widowControl w:val="0"/>
              <w:suppressLineNumbers w:val="0"/>
              <w:kinsoku/>
              <w:overflowPunct/>
              <w:bidi w:val="0"/>
              <w:spacing w:before="0" w:beforeAutospacing="0" w:after="0" w:afterAutospacing="0" w:line="360" w:lineRule="auto"/>
              <w:ind w:left="0" w:right="0" w:firstLine="480"/>
              <w:rPr>
                <w:rFonts w:hint="default" w:ascii="Times New Roman" w:hAnsi="Times New Roman" w:eastAsia="宋体" w:cs="Times New Roman"/>
                <w:b w:val="0"/>
                <w:bCs/>
                <w:color w:val="auto"/>
                <w:kern w:val="0"/>
                <w:sz w:val="24"/>
                <w:szCs w:val="24"/>
                <w:lang w:val="en-US" w:eastAsia="zh-CN"/>
              </w:rPr>
            </w:pPr>
            <w:r>
              <w:rPr>
                <w:rFonts w:hint="eastAsia" w:ascii="Times New Roman" w:hAnsi="Times New Roman" w:cs="Times New Roman"/>
                <w:b w:val="0"/>
                <w:bCs/>
                <w:color w:val="auto"/>
                <w:kern w:val="0"/>
                <w:sz w:val="24"/>
                <w:szCs w:val="24"/>
                <w:lang w:val="en-US" w:eastAsia="zh-CN"/>
              </w:rPr>
              <w:t>C.</w:t>
            </w:r>
            <w:r>
              <w:rPr>
                <w:rFonts w:hint="eastAsia" w:ascii="Times New Roman" w:hAnsi="Times New Roman" w:eastAsia="宋体" w:cs="Times New Roman"/>
                <w:b w:val="0"/>
                <w:bCs/>
                <w:color w:val="auto"/>
                <w:kern w:val="0"/>
                <w:sz w:val="24"/>
                <w:szCs w:val="24"/>
                <w:lang w:val="en-US" w:eastAsia="zh-CN"/>
              </w:rPr>
              <w:t>水环境分区管控要求</w:t>
            </w:r>
          </w:p>
          <w:p w14:paraId="29CFCE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重点管控区：</w:t>
            </w:r>
            <w:r>
              <w:rPr>
                <w:rFonts w:hint="default" w:ascii="Times New Roman" w:hAnsi="Times New Roman" w:eastAsia="宋体" w:cs="Times New Roman"/>
                <w:color w:val="auto"/>
                <w:sz w:val="24"/>
                <w:szCs w:val="24"/>
                <w:lang w:val="en-US" w:eastAsia="zh-CN"/>
              </w:rPr>
              <w:t>依据《中华人民共和国水污染防治法》《水污染防</w:t>
            </w:r>
            <w:r>
              <w:rPr>
                <w:rFonts w:hint="eastAsia" w:ascii="Times New Roman" w:hAnsi="Times New Roman" w:eastAsia="宋体" w:cs="Times New Roman"/>
                <w:color w:val="auto"/>
                <w:sz w:val="24"/>
                <w:szCs w:val="24"/>
                <w:lang w:val="en-US" w:eastAsia="zh-CN"/>
              </w:rPr>
              <w:t>治行动计划》《安徽省水污染防治工作方案》及《淮南市水生态环境保护“十四五”规划》（淮环通[2022]97号）对重点管控区实施管控；依据《安徽省淮河流域水污染防治条例》对淮河流域实施管控；依据开发区规划、规划环评及审查意见相关要求对开发区实施管控；落实《“十四五”生态环境保护规划》《安徽省“十四五”环境保护规划》《安徽省“十四五”节能减排实施方案》《安徽省“十四五”重点流域水生态环境保护规划》等要求，新建、改建和扩建项目水污染物实施“等量替代”。</w:t>
            </w:r>
          </w:p>
          <w:p w14:paraId="4138C4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s="Times New Roman"/>
                <w:color w:val="auto"/>
                <w:kern w:val="0"/>
                <w:sz w:val="24"/>
                <w:lang w:val="en-US" w:eastAsia="zh-CN"/>
              </w:rPr>
            </w:pPr>
            <w:r>
              <w:rPr>
                <w:rFonts w:hint="eastAsia" w:cs="Times New Roman"/>
                <w:color w:val="auto"/>
                <w:sz w:val="24"/>
                <w:szCs w:val="24"/>
                <w:highlight w:val="none"/>
                <w:lang w:val="en-US" w:eastAsia="zh-CN"/>
              </w:rPr>
              <w:t>本项目</w:t>
            </w:r>
            <w:r>
              <w:rPr>
                <w:rFonts w:hint="eastAsia" w:ascii="Times New Roman" w:hAnsi="Times New Roman" w:eastAsia="宋体" w:cs="Times New Roman"/>
                <w:color w:val="auto"/>
                <w:sz w:val="24"/>
                <w:szCs w:val="24"/>
                <w:lang w:val="en-US" w:eastAsia="zh-CN"/>
              </w:rPr>
              <w:t>执行雨污分流制，</w:t>
            </w:r>
            <w:r>
              <w:rPr>
                <w:rFonts w:hint="eastAsia" w:cs="Times New Roman"/>
                <w:color w:val="auto"/>
                <w:sz w:val="24"/>
                <w:szCs w:val="24"/>
                <w:lang w:val="en-US" w:eastAsia="zh-CN"/>
              </w:rPr>
              <w:t>本次扩建项目</w:t>
            </w:r>
            <w:r>
              <w:rPr>
                <w:rFonts w:hint="eastAsia" w:ascii="Times New Roman" w:hAnsi="Times New Roman" w:eastAsia="宋体" w:cs="Times New Roman"/>
                <w:color w:val="auto"/>
                <w:kern w:val="0"/>
                <w:sz w:val="24"/>
                <w:szCs w:val="24"/>
                <w:lang w:val="en-US" w:eastAsia="zh-CN" w:bidi="ar-SA"/>
              </w:rPr>
              <w:t>食堂废水</w:t>
            </w:r>
            <w:r>
              <w:rPr>
                <w:rFonts w:hint="eastAsia" w:cs="Times New Roman"/>
                <w:color w:val="auto"/>
                <w:kern w:val="0"/>
                <w:sz w:val="24"/>
                <w:szCs w:val="24"/>
                <w:lang w:val="en-US" w:eastAsia="zh-CN" w:bidi="ar-SA"/>
              </w:rPr>
              <w:t>经隔油池预处理后汇同</w:t>
            </w:r>
            <w:r>
              <w:rPr>
                <w:rFonts w:hint="eastAsia" w:ascii="Times New Roman" w:hAnsi="Times New Roman" w:eastAsia="宋体" w:cs="Times New Roman"/>
                <w:color w:val="auto"/>
                <w:kern w:val="0"/>
                <w:sz w:val="24"/>
                <w:szCs w:val="24"/>
                <w:lang w:val="en-US" w:eastAsia="zh-CN" w:bidi="ar-SA"/>
              </w:rPr>
              <w:t>生活污水</w:t>
            </w:r>
            <w:r>
              <w:rPr>
                <w:rFonts w:hint="eastAsia" w:cs="Times New Roman"/>
                <w:color w:val="auto"/>
                <w:kern w:val="0"/>
                <w:sz w:val="24"/>
                <w:szCs w:val="24"/>
                <w:lang w:val="en-US" w:eastAsia="zh-CN" w:bidi="ar-SA"/>
              </w:rPr>
              <w:t>一起</w:t>
            </w:r>
            <w:r>
              <w:rPr>
                <w:rFonts w:hint="eastAsia" w:ascii="Times New Roman" w:hAnsi="Times New Roman" w:eastAsia="宋体" w:cs="Times New Roman"/>
                <w:color w:val="auto"/>
                <w:kern w:val="0"/>
                <w:sz w:val="24"/>
                <w:szCs w:val="24"/>
                <w:lang w:val="en-US" w:eastAsia="zh-CN" w:bidi="ar-SA"/>
              </w:rPr>
              <w:t>经化粪池处理后进入厂区</w:t>
            </w:r>
            <w:r>
              <w:rPr>
                <w:rFonts w:hint="eastAsia" w:cs="Times New Roman"/>
                <w:color w:val="auto"/>
                <w:kern w:val="0"/>
                <w:sz w:val="24"/>
                <w:szCs w:val="24"/>
                <w:lang w:val="en-US" w:eastAsia="zh-CN" w:bidi="ar-SA"/>
              </w:rPr>
              <w:t>污水处理站</w:t>
            </w:r>
            <w:r>
              <w:rPr>
                <w:rFonts w:hint="eastAsia" w:ascii="Times New Roman" w:hAnsi="Times New Roman" w:eastAsia="宋体" w:cs="Times New Roman"/>
                <w:color w:val="auto"/>
                <w:kern w:val="0"/>
                <w:sz w:val="24"/>
                <w:szCs w:val="24"/>
                <w:lang w:val="en-US" w:eastAsia="zh-CN" w:bidi="ar-SA"/>
              </w:rPr>
              <w:t>处理后，排入市政污水管网进入</w:t>
            </w:r>
            <w:r>
              <w:rPr>
                <w:rFonts w:hint="eastAsia" w:cs="Times New Roman"/>
                <w:color w:val="auto"/>
                <w:kern w:val="0"/>
                <w:sz w:val="24"/>
                <w:szCs w:val="24"/>
                <w:lang w:val="en-US" w:eastAsia="zh-CN" w:bidi="ar-SA"/>
              </w:rPr>
              <w:t>潘集污水处理厂</w:t>
            </w:r>
            <w:r>
              <w:rPr>
                <w:rFonts w:hint="eastAsia" w:ascii="Times New Roman" w:hAnsi="Times New Roman" w:eastAsia="宋体" w:cs="Times New Roman"/>
                <w:color w:val="auto"/>
                <w:kern w:val="0"/>
                <w:sz w:val="24"/>
                <w:szCs w:val="24"/>
                <w:lang w:val="en-US" w:eastAsia="zh-CN" w:bidi="ar-SA"/>
              </w:rPr>
              <w:t>处理；</w:t>
            </w:r>
            <w:r>
              <w:rPr>
                <w:rFonts w:hint="eastAsia" w:cs="Times New Roman"/>
                <w:color w:val="auto"/>
                <w:kern w:val="0"/>
                <w:sz w:val="24"/>
                <w:szCs w:val="24"/>
                <w:lang w:val="en-US" w:eastAsia="zh-CN" w:bidi="ar-SA"/>
              </w:rPr>
              <w:t>住院病床废水、医疗器械洗消废水直接进入</w:t>
            </w:r>
            <w:r>
              <w:rPr>
                <w:rFonts w:hint="eastAsia" w:ascii="Times New Roman" w:hAnsi="Times New Roman" w:eastAsia="宋体" w:cs="Times New Roman"/>
                <w:color w:val="auto"/>
                <w:kern w:val="0"/>
                <w:sz w:val="24"/>
                <w:szCs w:val="24"/>
                <w:lang w:val="en-US" w:eastAsia="zh-CN" w:bidi="ar-SA"/>
              </w:rPr>
              <w:t>厂区</w:t>
            </w:r>
            <w:r>
              <w:rPr>
                <w:rFonts w:hint="eastAsia" w:cs="Times New Roman"/>
                <w:color w:val="auto"/>
                <w:kern w:val="0"/>
                <w:sz w:val="24"/>
                <w:szCs w:val="24"/>
                <w:lang w:val="en-US" w:eastAsia="zh-CN" w:bidi="ar-SA"/>
              </w:rPr>
              <w:t>污水处理站</w:t>
            </w:r>
            <w:r>
              <w:rPr>
                <w:rFonts w:hint="eastAsia" w:ascii="Times New Roman" w:hAnsi="Times New Roman" w:eastAsia="宋体" w:cs="Times New Roman"/>
                <w:color w:val="auto"/>
                <w:kern w:val="0"/>
                <w:sz w:val="24"/>
                <w:szCs w:val="24"/>
                <w:lang w:val="en-US" w:eastAsia="zh-CN" w:bidi="ar-SA"/>
              </w:rPr>
              <w:t>处理后，排入市政污水管网进入</w:t>
            </w:r>
            <w:r>
              <w:rPr>
                <w:rFonts w:hint="eastAsia" w:cs="Times New Roman"/>
                <w:color w:val="auto"/>
                <w:kern w:val="0"/>
                <w:sz w:val="24"/>
                <w:szCs w:val="24"/>
                <w:lang w:val="en-US" w:eastAsia="zh-CN" w:bidi="ar-SA"/>
              </w:rPr>
              <w:t>潘集污水处理厂</w:t>
            </w:r>
            <w:r>
              <w:rPr>
                <w:rFonts w:hint="eastAsia" w:ascii="Times New Roman" w:hAnsi="Times New Roman" w:eastAsia="宋体" w:cs="Times New Roman"/>
                <w:color w:val="auto"/>
                <w:kern w:val="0"/>
                <w:sz w:val="24"/>
                <w:szCs w:val="24"/>
                <w:lang w:val="en-US" w:eastAsia="zh-CN" w:bidi="ar-SA"/>
              </w:rPr>
              <w:t>处理</w:t>
            </w:r>
            <w:r>
              <w:rPr>
                <w:rFonts w:hint="eastAsia" w:cs="Times New Roman"/>
                <w:color w:val="auto"/>
                <w:kern w:val="0"/>
                <w:sz w:val="24"/>
                <w:szCs w:val="24"/>
                <w:lang w:val="en-US" w:eastAsia="zh-CN" w:bidi="ar-SA"/>
              </w:rPr>
              <w:t>；蒸汽发生器浓水和纯水制备浓水直接由厂区污水总排口</w:t>
            </w:r>
            <w:r>
              <w:rPr>
                <w:rFonts w:hint="eastAsia" w:ascii="Times New Roman" w:hAnsi="Times New Roman" w:eastAsia="宋体" w:cs="Times New Roman"/>
                <w:color w:val="auto"/>
                <w:kern w:val="0"/>
                <w:sz w:val="24"/>
                <w:szCs w:val="24"/>
                <w:lang w:val="en-US" w:eastAsia="zh-CN" w:bidi="ar-SA"/>
              </w:rPr>
              <w:t>排入市政污水管网进入</w:t>
            </w:r>
            <w:r>
              <w:rPr>
                <w:rFonts w:hint="eastAsia" w:cs="Times New Roman"/>
                <w:color w:val="auto"/>
                <w:kern w:val="0"/>
                <w:sz w:val="24"/>
                <w:szCs w:val="24"/>
                <w:lang w:val="en-US" w:eastAsia="zh-CN" w:bidi="ar-SA"/>
              </w:rPr>
              <w:t>潘集污水处理厂</w:t>
            </w:r>
            <w:r>
              <w:rPr>
                <w:rFonts w:hint="eastAsia" w:ascii="Times New Roman" w:hAnsi="Times New Roman" w:eastAsia="宋体" w:cs="Times New Roman"/>
                <w:color w:val="auto"/>
                <w:kern w:val="0"/>
                <w:sz w:val="24"/>
                <w:szCs w:val="24"/>
                <w:lang w:val="en-US" w:eastAsia="zh-CN" w:bidi="ar-SA"/>
              </w:rPr>
              <w:t>处理</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因此，</w:t>
            </w:r>
            <w:r>
              <w:rPr>
                <w:rFonts w:hint="eastAsia" w:ascii="Times New Roman" w:hAnsi="Times New Roman" w:eastAsia="宋体" w:cs="Times New Roman"/>
                <w:color w:val="auto"/>
                <w:sz w:val="24"/>
                <w:szCs w:val="24"/>
                <w:lang w:val="en-US" w:eastAsia="zh-CN"/>
              </w:rPr>
              <w:t>本项目实施后基本不会对区域水环境产生影响，满足重点管控区管控要求</w:t>
            </w:r>
            <w:r>
              <w:rPr>
                <w:rFonts w:hint="eastAsia" w:cs="Times New Roman"/>
                <w:color w:val="auto"/>
                <w:sz w:val="24"/>
                <w:szCs w:val="24"/>
                <w:highlight w:val="none"/>
                <w:lang w:val="en-US" w:eastAsia="zh-CN"/>
              </w:rPr>
              <w:t>。</w:t>
            </w:r>
          </w:p>
          <w:p w14:paraId="39227CC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②大气环境质量底线及分区管控</w:t>
            </w:r>
          </w:p>
          <w:p w14:paraId="1F52F2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eastAsia="宋体" w:cs="Times New Roman"/>
                <w:color w:val="auto"/>
                <w:sz w:val="24"/>
                <w:szCs w:val="24"/>
                <w:lang w:val="en-US" w:eastAsia="zh-CN"/>
              </w:rPr>
              <w:t>A.</w:t>
            </w:r>
            <w:r>
              <w:rPr>
                <w:rFonts w:hint="default" w:ascii="Times New Roman" w:hAnsi="Times New Roman" w:eastAsia="宋体" w:cs="Times New Roman"/>
                <w:color w:val="auto"/>
                <w:sz w:val="24"/>
                <w:szCs w:val="24"/>
                <w:lang w:val="en-US" w:eastAsia="zh-CN"/>
              </w:rPr>
              <w:t>大气环境质量底线</w:t>
            </w:r>
          </w:p>
          <w:p w14:paraId="0BD88D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lang w:val="en-US" w:eastAsia="zh-CN"/>
              </w:rPr>
            </w:pPr>
            <w:r>
              <w:rPr>
                <w:rFonts w:eastAsia="宋体"/>
                <w:sz w:val="24"/>
              </w:rPr>
              <w:t>根据</w:t>
            </w:r>
            <w:r>
              <w:rPr>
                <w:rFonts w:hint="eastAsia" w:eastAsia="宋体"/>
                <w:sz w:val="24"/>
              </w:rPr>
              <w:t>《</w:t>
            </w:r>
            <w:r>
              <w:rPr>
                <w:rFonts w:hint="eastAsia"/>
                <w:sz w:val="24"/>
                <w:lang w:eastAsia="zh-CN"/>
              </w:rPr>
              <w:t>2024年淮南市生态环境质量状况公报</w:t>
            </w:r>
            <w:r>
              <w:rPr>
                <w:rFonts w:hint="eastAsia" w:eastAsia="宋体"/>
                <w:sz w:val="24"/>
              </w:rPr>
              <w:t>》可知</w:t>
            </w:r>
            <w:r>
              <w:rPr>
                <w:rFonts w:hint="eastAsia"/>
                <w:sz w:val="24"/>
                <w:lang w:eastAsia="zh-CN"/>
              </w:rPr>
              <w:t>，</w:t>
            </w:r>
            <w:r>
              <w:rPr>
                <w:rFonts w:hint="eastAsia" w:ascii="Times New Roman" w:hAnsi="Times New Roman" w:eastAsia="宋体" w:cs="Times New Roman"/>
                <w:color w:val="auto"/>
                <w:sz w:val="24"/>
                <w:szCs w:val="24"/>
                <w:lang w:val="en-US" w:eastAsia="zh-CN"/>
              </w:rPr>
              <w:t>项目所在区域二氧化硫（SO</w:t>
            </w:r>
            <w:r>
              <w:rPr>
                <w:rFonts w:hint="eastAsia" w:ascii="Times New Roman" w:hAnsi="Times New Roman" w:eastAsia="宋体" w:cs="Times New Roman"/>
                <w:color w:val="auto"/>
                <w:sz w:val="24"/>
                <w:szCs w:val="24"/>
                <w:vertAlign w:val="subscript"/>
                <w:lang w:val="en-US" w:eastAsia="zh-CN"/>
              </w:rPr>
              <w:t>2</w:t>
            </w:r>
            <w:r>
              <w:rPr>
                <w:rFonts w:hint="eastAsia" w:ascii="Times New Roman" w:hAnsi="Times New Roman" w:eastAsia="宋体" w:cs="Times New Roman"/>
                <w:color w:val="auto"/>
                <w:sz w:val="24"/>
                <w:szCs w:val="24"/>
                <w:lang w:val="en-US" w:eastAsia="zh-CN"/>
              </w:rPr>
              <w:t>）、二氧化氮（NO</w:t>
            </w:r>
            <w:r>
              <w:rPr>
                <w:rFonts w:hint="eastAsia" w:ascii="Times New Roman" w:hAnsi="Times New Roman" w:eastAsia="宋体" w:cs="Times New Roman"/>
                <w:color w:val="auto"/>
                <w:sz w:val="24"/>
                <w:szCs w:val="24"/>
                <w:vertAlign w:val="subscript"/>
                <w:lang w:val="en-US" w:eastAsia="zh-CN"/>
              </w:rPr>
              <w:t>2</w:t>
            </w:r>
            <w:r>
              <w:rPr>
                <w:rFonts w:hint="eastAsia" w:ascii="Times New Roman" w:hAnsi="Times New Roman" w:eastAsia="宋体" w:cs="Times New Roman"/>
                <w:color w:val="auto"/>
                <w:sz w:val="24"/>
                <w:szCs w:val="24"/>
                <w:lang w:val="en-US" w:eastAsia="zh-CN"/>
              </w:rPr>
              <w:t>）、一氧化碳（CO）年均浓度、臭氧（O</w:t>
            </w:r>
            <w:r>
              <w:rPr>
                <w:rFonts w:hint="eastAsia" w:ascii="Times New Roman" w:hAnsi="Times New Roman" w:eastAsia="宋体" w:cs="Times New Roman"/>
                <w:color w:val="auto"/>
                <w:sz w:val="24"/>
                <w:szCs w:val="24"/>
                <w:vertAlign w:val="subscript"/>
                <w:lang w:val="en-US" w:eastAsia="zh-CN"/>
              </w:rPr>
              <w:t>3</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kern w:val="24"/>
                <w:sz w:val="24"/>
                <w:szCs w:val="24"/>
                <w:highlight w:val="none"/>
                <w:lang w:val="en-US" w:eastAsia="zh-CN" w:bidi="ar-SA"/>
              </w:rPr>
              <w:t>日最大8小时滑动平均值</w:t>
            </w:r>
            <w:r>
              <w:rPr>
                <w:rFonts w:hint="eastAsia" w:ascii="Times New Roman" w:hAnsi="Times New Roman" w:eastAsia="宋体" w:cs="Times New Roman"/>
                <w:color w:val="auto"/>
                <w:sz w:val="24"/>
                <w:szCs w:val="24"/>
                <w:lang w:val="en-US" w:eastAsia="zh-CN"/>
              </w:rPr>
              <w:t>均符合《环境空气质量标准》（</w:t>
            </w:r>
            <w:r>
              <w:rPr>
                <w:rFonts w:hint="eastAsia" w:cs="Times New Roman"/>
                <w:color w:val="auto"/>
                <w:sz w:val="24"/>
                <w:szCs w:val="24"/>
                <w:lang w:val="en-US" w:eastAsia="zh-CN"/>
              </w:rPr>
              <w:t>GB3095-2026</w:t>
            </w:r>
            <w:r>
              <w:rPr>
                <w:rFonts w:hint="eastAsia" w:ascii="Times New Roman" w:hAnsi="Times New Roman" w:eastAsia="宋体" w:cs="Times New Roman"/>
                <w:color w:val="auto"/>
                <w:sz w:val="24"/>
                <w:szCs w:val="24"/>
                <w:lang w:val="en-US" w:eastAsia="zh-CN"/>
              </w:rPr>
              <w:t>）</w:t>
            </w:r>
            <w:r>
              <w:rPr>
                <w:rFonts w:hint="eastAsia"/>
                <w:sz w:val="24"/>
                <w:szCs w:val="24"/>
                <w:lang w:eastAsia="zh-CN"/>
              </w:rPr>
              <w:t>过渡阶段</w:t>
            </w:r>
            <w:r>
              <w:rPr>
                <w:rFonts w:hint="eastAsia" w:ascii="Times New Roman" w:hAnsi="Times New Roman" w:eastAsia="宋体" w:cs="Times New Roman"/>
                <w:color w:val="auto"/>
                <w:sz w:val="24"/>
                <w:szCs w:val="24"/>
                <w:lang w:val="en-US" w:eastAsia="zh-CN"/>
              </w:rPr>
              <w:t>二级标准，细颗粒物（PM</w:t>
            </w:r>
            <w:r>
              <w:rPr>
                <w:rFonts w:hint="eastAsia" w:ascii="Times New Roman" w:hAnsi="Times New Roman" w:eastAsia="宋体" w:cs="Times New Roman"/>
                <w:color w:val="auto"/>
                <w:sz w:val="24"/>
                <w:szCs w:val="24"/>
                <w:vertAlign w:val="subscript"/>
                <w:lang w:val="en-US" w:eastAsia="zh-CN"/>
              </w:rPr>
              <w:t>2.5</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可吸入颗粒物（PM</w:t>
            </w:r>
            <w:r>
              <w:rPr>
                <w:rFonts w:hint="eastAsia" w:ascii="Times New Roman" w:hAnsi="Times New Roman" w:eastAsia="宋体" w:cs="Times New Roman"/>
                <w:color w:val="auto"/>
                <w:sz w:val="24"/>
                <w:szCs w:val="24"/>
                <w:vertAlign w:val="subscript"/>
                <w:lang w:val="en-US" w:eastAsia="zh-CN"/>
              </w:rPr>
              <w:t>10</w:t>
            </w:r>
            <w:r>
              <w:rPr>
                <w:rFonts w:hint="eastAsia" w:ascii="Times New Roman" w:hAnsi="Times New Roman" w:eastAsia="宋体" w:cs="Times New Roman"/>
                <w:color w:val="auto"/>
                <w:sz w:val="24"/>
                <w:szCs w:val="24"/>
                <w:lang w:val="en-US" w:eastAsia="zh-CN"/>
              </w:rPr>
              <w:t>）年均浓度超过《环境空气质量标准》（</w:t>
            </w:r>
            <w:r>
              <w:rPr>
                <w:rFonts w:hint="eastAsia" w:cs="Times New Roman"/>
                <w:color w:val="auto"/>
                <w:sz w:val="24"/>
                <w:szCs w:val="24"/>
                <w:lang w:val="en-US" w:eastAsia="zh-CN"/>
              </w:rPr>
              <w:t>GB3095-2026</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过渡阶段</w:t>
            </w:r>
            <w:r>
              <w:rPr>
                <w:rFonts w:hint="eastAsia" w:ascii="Times New Roman" w:hAnsi="Times New Roman" w:eastAsia="宋体" w:cs="Times New Roman"/>
                <w:color w:val="auto"/>
                <w:sz w:val="24"/>
                <w:szCs w:val="24"/>
                <w:lang w:val="en-US" w:eastAsia="zh-CN"/>
              </w:rPr>
              <w:t>二级标准要求，项目所在区域环境空气质量为不达标区</w:t>
            </w:r>
            <w:r>
              <w:rPr>
                <w:rFonts w:hint="default" w:ascii="Times New Roman" w:hAnsi="Times New Roman" w:eastAsia="宋体" w:cs="Times New Roman"/>
                <w:color w:val="auto"/>
                <w:sz w:val="24"/>
                <w:szCs w:val="24"/>
                <w:lang w:val="en-US" w:eastAsia="zh-CN"/>
              </w:rPr>
              <w:t>。</w:t>
            </w:r>
            <w:r>
              <w:rPr>
                <w:sz w:val="24"/>
              </w:rPr>
              <w:t>根据大气环境质量达标规划，通过进一步控制扬尘污染，机动车尾气污染防治等措施，</w:t>
            </w:r>
            <w:r>
              <w:rPr>
                <w:rFonts w:hint="eastAsia"/>
                <w:sz w:val="24"/>
              </w:rPr>
              <w:t>预计</w:t>
            </w:r>
            <w:r>
              <w:rPr>
                <w:sz w:val="24"/>
              </w:rPr>
              <w:t>大气环境质量状况可以</w:t>
            </w:r>
            <w:r>
              <w:rPr>
                <w:color w:val="auto"/>
                <w:sz w:val="24"/>
              </w:rPr>
              <w:t>得到进一步改善</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评价区域内环境空气质量</w:t>
            </w:r>
            <w:r>
              <w:rPr>
                <w:rFonts w:hint="default" w:ascii="Times New Roman" w:hAnsi="Times New Roman" w:eastAsia="宋体" w:cs="Times New Roman"/>
                <w:b w:val="0"/>
                <w:bCs/>
                <w:color w:val="auto"/>
                <w:sz w:val="24"/>
                <w:szCs w:val="24"/>
              </w:rPr>
              <w:t>现状总体良好</w:t>
            </w:r>
            <w:r>
              <w:rPr>
                <w:rFonts w:hint="eastAsia" w:ascii="Times New Roman" w:hAnsi="Times New Roman" w:eastAsia="宋体" w:cs="Times New Roman"/>
                <w:b w:val="0"/>
                <w:bCs/>
                <w:color w:val="auto"/>
                <w:sz w:val="24"/>
                <w:szCs w:val="24"/>
                <w:lang w:eastAsia="zh-CN"/>
              </w:rPr>
              <w:t>。</w:t>
            </w:r>
          </w:p>
          <w:p w14:paraId="68E01F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eastAsia="宋体" w:cs="Times New Roman"/>
                <w:color w:val="auto"/>
                <w:sz w:val="24"/>
                <w:szCs w:val="24"/>
                <w:lang w:val="en-US" w:eastAsia="zh-CN"/>
              </w:rPr>
              <w:t>B.</w:t>
            </w:r>
            <w:r>
              <w:rPr>
                <w:rFonts w:hint="default" w:ascii="Times New Roman" w:hAnsi="Times New Roman" w:eastAsia="宋体" w:cs="Times New Roman"/>
                <w:color w:val="auto"/>
                <w:sz w:val="24"/>
                <w:szCs w:val="24"/>
                <w:lang w:val="en-US" w:eastAsia="zh-CN"/>
              </w:rPr>
              <w:t>大气环境管控分区</w:t>
            </w:r>
          </w:p>
          <w:p w14:paraId="359F291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eastAsia="宋体"/>
                <w:sz w:val="24"/>
              </w:rPr>
            </w:pPr>
            <w:r>
              <w:rPr>
                <w:rFonts w:hint="default" w:ascii="Times New Roman" w:hAnsi="Times New Roman" w:eastAsia="宋体" w:cs="Times New Roman"/>
                <w:color w:val="auto"/>
                <w:sz w:val="24"/>
                <w:szCs w:val="24"/>
                <w:lang w:val="en-US" w:eastAsia="zh-CN"/>
              </w:rPr>
              <w:t>对照《长江经济带战略环境评价安徽省</w:t>
            </w:r>
            <w:r>
              <w:rPr>
                <w:rFonts w:hint="eastAsia" w:ascii="Times New Roman" w:hAnsi="Times New Roman" w:eastAsia="宋体" w:cs="Times New Roman"/>
                <w:color w:val="auto"/>
                <w:sz w:val="24"/>
                <w:szCs w:val="24"/>
                <w:lang w:val="en-US" w:eastAsia="zh-CN"/>
              </w:rPr>
              <w:t>淮南</w:t>
            </w:r>
            <w:r>
              <w:rPr>
                <w:rFonts w:hint="default" w:ascii="Times New Roman" w:hAnsi="Times New Roman" w:eastAsia="宋体" w:cs="Times New Roman"/>
                <w:color w:val="auto"/>
                <w:sz w:val="24"/>
                <w:szCs w:val="24"/>
                <w:lang w:val="en-US" w:eastAsia="zh-CN"/>
              </w:rPr>
              <w:t>市</w:t>
            </w:r>
            <w:r>
              <w:rPr>
                <w:rFonts w:hint="eastAsia" w:cs="Times New Roman"/>
                <w:color w:val="auto"/>
                <w:sz w:val="24"/>
                <w:szCs w:val="24"/>
                <w:lang w:val="en-US" w:eastAsia="zh-CN"/>
              </w:rPr>
              <w:t>生态环境分区管控编制</w:t>
            </w:r>
            <w:r>
              <w:rPr>
                <w:rFonts w:hint="default" w:ascii="Times New Roman" w:hAnsi="Times New Roman" w:eastAsia="宋体" w:cs="Times New Roman"/>
                <w:color w:val="auto"/>
                <w:sz w:val="24"/>
                <w:szCs w:val="24"/>
                <w:lang w:val="en-US" w:eastAsia="zh-CN"/>
              </w:rPr>
              <w:t>文本》</w:t>
            </w:r>
            <w:r>
              <w:rPr>
                <w:rFonts w:hint="eastAsia" w:cs="Times New Roman"/>
                <w:color w:val="auto"/>
                <w:sz w:val="24"/>
                <w:szCs w:val="24"/>
                <w:lang w:val="en-US" w:eastAsia="zh-CN"/>
              </w:rPr>
              <w:t>（2023年8月）</w:t>
            </w:r>
            <w:r>
              <w:rPr>
                <w:rFonts w:hint="default" w:ascii="Times New Roman" w:hAnsi="Times New Roman" w:eastAsia="宋体" w:cs="Times New Roman"/>
                <w:color w:val="auto"/>
                <w:sz w:val="24"/>
                <w:szCs w:val="24"/>
                <w:lang w:val="en-US" w:eastAsia="zh-CN"/>
              </w:rPr>
              <w:t>及</w:t>
            </w:r>
            <w:r>
              <w:rPr>
                <w:rFonts w:hint="eastAsia" w:ascii="Times New Roman" w:hAnsi="Times New Roman" w:eastAsia="宋体" w:cs="Times New Roman"/>
                <w:color w:val="auto"/>
                <w:sz w:val="24"/>
                <w:szCs w:val="24"/>
                <w:lang w:val="en-US" w:eastAsia="zh-CN"/>
              </w:rPr>
              <w:t>淮南</w:t>
            </w:r>
            <w:r>
              <w:rPr>
                <w:rFonts w:hint="default" w:ascii="Times New Roman" w:hAnsi="Times New Roman" w:eastAsia="宋体" w:cs="Times New Roman"/>
                <w:color w:val="auto"/>
                <w:sz w:val="24"/>
                <w:szCs w:val="24"/>
                <w:lang w:val="en-US" w:eastAsia="zh-CN"/>
              </w:rPr>
              <w:t>市</w:t>
            </w:r>
            <w:r>
              <w:rPr>
                <w:rFonts w:hint="eastAsia" w:ascii="Times New Roman" w:hAnsi="Times New Roman" w:eastAsia="宋体" w:cs="Times New Roman"/>
                <w:color w:val="auto"/>
                <w:sz w:val="24"/>
                <w:szCs w:val="24"/>
                <w:lang w:val="en-US" w:eastAsia="zh-CN"/>
              </w:rPr>
              <w:t>大气</w:t>
            </w:r>
            <w:r>
              <w:rPr>
                <w:rFonts w:hint="default" w:ascii="Times New Roman" w:hAnsi="Times New Roman" w:eastAsia="宋体" w:cs="Times New Roman"/>
                <w:color w:val="auto"/>
                <w:sz w:val="24"/>
                <w:szCs w:val="24"/>
                <w:lang w:val="en-US" w:eastAsia="zh-CN"/>
              </w:rPr>
              <w:t>环境分区管控图，本项目位于</w:t>
            </w:r>
            <w:r>
              <w:rPr>
                <w:rFonts w:hint="eastAsia" w:cs="Times New Roman"/>
                <w:color w:val="auto"/>
                <w:sz w:val="24"/>
                <w:szCs w:val="24"/>
                <w:lang w:val="en-US" w:eastAsia="zh-CN"/>
              </w:rPr>
              <w:t>受体敏感重点管控</w:t>
            </w:r>
            <w:r>
              <w:rPr>
                <w:rFonts w:hint="default" w:ascii="Times New Roman" w:hAnsi="Times New Roman" w:eastAsia="宋体" w:cs="Times New Roman"/>
                <w:color w:val="auto"/>
                <w:sz w:val="24"/>
                <w:szCs w:val="24"/>
                <w:lang w:val="en-US" w:eastAsia="zh-CN"/>
              </w:rPr>
              <w:t>区</w:t>
            </w:r>
            <w:r>
              <w:rPr>
                <w:rFonts w:hint="eastAsia" w:ascii="Times New Roman" w:hAnsi="Times New Roman" w:eastAsia="宋体" w:cs="Times New Roman"/>
                <w:color w:val="auto"/>
                <w:sz w:val="24"/>
                <w:szCs w:val="24"/>
                <w:lang w:val="en-US" w:eastAsia="zh-CN"/>
              </w:rPr>
              <w:t>。</w:t>
            </w:r>
          </w:p>
          <w:p w14:paraId="5CD9DE2A">
            <w:pPr>
              <w:keepNext w:val="0"/>
              <w:keepLines w:val="0"/>
              <w:pageBreakBefore w:val="0"/>
              <w:widowControl w:val="0"/>
              <w:suppressLineNumbers w:val="0"/>
              <w:kinsoku/>
              <w:overflowPunct/>
              <w:bidi w:val="0"/>
              <w:spacing w:before="0" w:beforeAutospacing="0" w:after="0" w:afterAutospacing="0" w:line="360" w:lineRule="auto"/>
              <w:ind w:left="0" w:right="0" w:firstLine="480"/>
              <w:rPr>
                <w:rFonts w:hint="default" w:ascii="Times New Roman" w:hAnsi="Times New Roman" w:eastAsia="宋体" w:cs="Times New Roman"/>
                <w:b w:val="0"/>
                <w:bCs/>
                <w:color w:val="auto"/>
                <w:kern w:val="0"/>
                <w:sz w:val="24"/>
                <w:szCs w:val="24"/>
                <w:lang w:val="en-US" w:eastAsia="zh-CN"/>
              </w:rPr>
            </w:pPr>
            <w:r>
              <w:rPr>
                <w:rFonts w:hint="eastAsia" w:ascii="Times New Roman" w:hAnsi="Times New Roman" w:cs="Times New Roman"/>
                <w:b w:val="0"/>
                <w:bCs/>
                <w:color w:val="auto"/>
                <w:kern w:val="0"/>
                <w:sz w:val="24"/>
                <w:szCs w:val="24"/>
                <w:lang w:val="en-US" w:eastAsia="zh-CN"/>
              </w:rPr>
              <w:t>C.</w:t>
            </w:r>
            <w:r>
              <w:rPr>
                <w:rFonts w:hint="eastAsia" w:cs="Times New Roman"/>
                <w:b w:val="0"/>
                <w:bCs/>
                <w:color w:val="auto"/>
                <w:kern w:val="0"/>
                <w:sz w:val="24"/>
                <w:szCs w:val="24"/>
                <w:lang w:val="en-US" w:eastAsia="zh-CN"/>
              </w:rPr>
              <w:t>大气</w:t>
            </w:r>
            <w:r>
              <w:rPr>
                <w:rFonts w:hint="eastAsia" w:ascii="Times New Roman" w:hAnsi="Times New Roman" w:eastAsia="宋体" w:cs="Times New Roman"/>
                <w:b w:val="0"/>
                <w:bCs/>
                <w:color w:val="auto"/>
                <w:kern w:val="0"/>
                <w:sz w:val="24"/>
                <w:szCs w:val="24"/>
                <w:lang w:val="en-US" w:eastAsia="zh-CN"/>
              </w:rPr>
              <w:t>环境分区管控要求</w:t>
            </w:r>
          </w:p>
          <w:p w14:paraId="0C6AF9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重点管控</w:t>
            </w:r>
            <w:r>
              <w:rPr>
                <w:rFonts w:hint="default" w:ascii="Times New Roman" w:hAnsi="Times New Roman" w:eastAsia="宋体" w:cs="Times New Roman"/>
                <w:color w:val="auto"/>
                <w:sz w:val="24"/>
                <w:szCs w:val="24"/>
                <w:lang w:val="en-US" w:eastAsia="zh-CN"/>
              </w:rPr>
              <w:t>区</w:t>
            </w:r>
            <w:r>
              <w:rPr>
                <w:rFonts w:hint="eastAsia" w:ascii="Times New Roman" w:hAnsi="Times New Roman" w:eastAsia="宋体" w:cs="Times New Roman"/>
                <w:color w:val="auto"/>
                <w:sz w:val="24"/>
                <w:szCs w:val="24"/>
                <w:lang w:val="en-US" w:eastAsia="zh-CN"/>
              </w:rPr>
              <w:t>：落实《“十四五”生态环境保护规划》《安徽省“十四五”环境保护规划》《安徽省自然保护地建设项目准入负面清单（试行）》《淮南市“十四五”生态环境保护规划》（淮环通〔2022〕46号）《淮南市“十四五”大气污染防治规划》（淮环委办[2022]49号）《深入打好污染防治攻坚战行动方案》（淮发〔2022〕17号）等要求，严格目标实施计划，加强环境监管，促进生态环境质量好转。上年度PM</w:t>
            </w:r>
            <w:r>
              <w:rPr>
                <w:rFonts w:hint="eastAsia" w:ascii="Times New Roman" w:hAnsi="Times New Roman" w:eastAsia="宋体" w:cs="Times New Roman"/>
                <w:color w:val="auto"/>
                <w:sz w:val="24"/>
                <w:szCs w:val="24"/>
                <w:vertAlign w:val="subscript"/>
                <w:lang w:val="en-US" w:eastAsia="zh-CN"/>
              </w:rPr>
              <w:t>2.5</w:t>
            </w:r>
            <w:r>
              <w:rPr>
                <w:rFonts w:hint="eastAsia" w:ascii="Times New Roman" w:hAnsi="Times New Roman" w:eastAsia="宋体" w:cs="Times New Roman"/>
                <w:color w:val="auto"/>
                <w:sz w:val="24"/>
                <w:szCs w:val="24"/>
                <w:lang w:val="en-US" w:eastAsia="zh-CN"/>
              </w:rPr>
              <w:t>不达标城市新建、改建和扩建项目大气污染物实施“倍量替代”，执行特别排放标准的行业实施提标升级改造。</w:t>
            </w:r>
          </w:p>
          <w:p w14:paraId="2685C5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eastAsia="宋体"/>
                <w:color w:val="FF0000"/>
                <w:sz w:val="24"/>
              </w:rPr>
            </w:pPr>
            <w:r>
              <w:rPr>
                <w:rFonts w:hint="eastAsia" w:cs="Times New Roman"/>
                <w:color w:val="auto"/>
                <w:sz w:val="24"/>
                <w:szCs w:val="24"/>
                <w:lang w:val="en-US" w:eastAsia="zh-CN"/>
              </w:rPr>
              <w:t>本</w:t>
            </w:r>
            <w:r>
              <w:rPr>
                <w:rFonts w:hint="eastAsia" w:ascii="Times New Roman" w:hAnsi="Times New Roman" w:eastAsia="宋体" w:cs="Times New Roman"/>
                <w:color w:val="auto"/>
                <w:sz w:val="24"/>
                <w:szCs w:val="24"/>
                <w:lang w:val="en-US" w:eastAsia="zh-CN"/>
              </w:rPr>
              <w:t>项目运营期</w:t>
            </w:r>
            <w:r>
              <w:rPr>
                <w:rFonts w:hint="eastAsia" w:ascii="Times New Roman" w:hAnsi="Times New Roman" w:eastAsia="宋体" w:cs="Times New Roman"/>
                <w:color w:val="auto"/>
                <w:kern w:val="2"/>
                <w:sz w:val="24"/>
                <w:szCs w:val="32"/>
                <w:lang w:val="en-US" w:eastAsia="zh-CN" w:bidi="ar-SA"/>
              </w:rPr>
              <w:t>食堂油烟废气配套油烟净化处理后由排气管道排放；污水处理站产生的恶臭气体经收集后通过一套UV光氧装置处理后由一根排气筒排放</w:t>
            </w:r>
            <w:r>
              <w:rPr>
                <w:rFonts w:hint="eastAsia" w:ascii="Times New Roman" w:hAnsi="Times New Roman" w:eastAsia="宋体" w:cs="Times New Roman"/>
                <w:color w:val="auto"/>
                <w:sz w:val="24"/>
                <w:szCs w:val="24"/>
                <w:lang w:val="en-US" w:eastAsia="zh-CN"/>
              </w:rPr>
              <w:t>。采取以上措施后本项目大气污染物排放浓度和排放速率均满足相应排放标准要求，均能实现达标排放，本项目的建设不会导致当地大气环境质量恶化，满足大气环境重点管控区管控要求。</w:t>
            </w:r>
          </w:p>
          <w:p w14:paraId="7C795E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 w:val="0"/>
                <w:bCs w:val="0"/>
                <w:color w:val="000000"/>
                <w:sz w:val="24"/>
                <w:szCs w:val="24"/>
                <w:highlight w:val="none"/>
                <w:lang w:eastAsia="zh-CN"/>
              </w:rPr>
            </w:pPr>
            <w:r>
              <w:rPr>
                <w:rFonts w:hint="default" w:ascii="Times New Roman" w:hAnsi="Times New Roman" w:eastAsia="宋体" w:cs="Times New Roman"/>
                <w:b w:val="0"/>
                <w:bCs w:val="0"/>
                <w:color w:val="000000"/>
                <w:sz w:val="24"/>
                <w:szCs w:val="24"/>
                <w:highlight w:val="none"/>
              </w:rPr>
              <w:t>③</w:t>
            </w:r>
            <w:r>
              <w:rPr>
                <w:rFonts w:hint="eastAsia" w:ascii="Times New Roman" w:hAnsi="Times New Roman" w:cs="Times New Roman"/>
                <w:b w:val="0"/>
                <w:bCs w:val="0"/>
                <w:color w:val="000000"/>
                <w:sz w:val="24"/>
                <w:szCs w:val="24"/>
                <w:highlight w:val="none"/>
                <w:lang w:eastAsia="zh-CN"/>
              </w:rPr>
              <w:t>土壤环境风险防控底线及分区管控</w:t>
            </w:r>
          </w:p>
          <w:p w14:paraId="586E624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eastAsia="宋体" w:cs="Times New Roman"/>
                <w:color w:val="auto"/>
                <w:sz w:val="24"/>
                <w:szCs w:val="24"/>
                <w:lang w:val="en-US" w:eastAsia="zh-CN"/>
              </w:rPr>
              <w:t>A.土壤</w:t>
            </w:r>
            <w:r>
              <w:rPr>
                <w:rFonts w:hint="default" w:ascii="Times New Roman" w:hAnsi="Times New Roman" w:eastAsia="宋体" w:cs="Times New Roman"/>
                <w:color w:val="auto"/>
                <w:sz w:val="24"/>
                <w:szCs w:val="24"/>
                <w:lang w:val="en-US" w:eastAsia="zh-CN"/>
              </w:rPr>
              <w:t>环境</w:t>
            </w:r>
            <w:r>
              <w:rPr>
                <w:rFonts w:hint="eastAsia" w:ascii="Times New Roman" w:hAnsi="Times New Roman" w:eastAsia="宋体" w:cs="Times New Roman"/>
                <w:color w:val="auto"/>
                <w:sz w:val="24"/>
                <w:szCs w:val="24"/>
                <w:lang w:val="en-US" w:eastAsia="zh-CN"/>
              </w:rPr>
              <w:t>风险防控</w:t>
            </w:r>
            <w:r>
              <w:rPr>
                <w:rFonts w:hint="default" w:ascii="Times New Roman" w:hAnsi="Times New Roman" w:eastAsia="宋体" w:cs="Times New Roman"/>
                <w:color w:val="auto"/>
                <w:sz w:val="24"/>
                <w:szCs w:val="24"/>
                <w:lang w:val="en-US" w:eastAsia="zh-CN"/>
              </w:rPr>
              <w:t>底线</w:t>
            </w:r>
          </w:p>
          <w:p w14:paraId="19D2CB1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根据《淮南</w:t>
            </w:r>
            <w:r>
              <w:rPr>
                <w:rFonts w:hint="eastAsia" w:ascii="宋体" w:hAnsi="宋体" w:eastAsia="宋体" w:cs="宋体"/>
                <w:color w:val="auto"/>
                <w:sz w:val="24"/>
                <w:szCs w:val="24"/>
                <w:lang w:val="en-US" w:eastAsia="zh-CN"/>
              </w:rPr>
              <w:t>市“十四五”土</w:t>
            </w:r>
            <w:r>
              <w:rPr>
                <w:rFonts w:hint="default" w:ascii="Times New Roman" w:hAnsi="Times New Roman" w:eastAsia="宋体" w:cs="Times New Roman"/>
                <w:color w:val="auto"/>
                <w:sz w:val="24"/>
                <w:szCs w:val="24"/>
                <w:lang w:val="en-US" w:eastAsia="zh-CN"/>
              </w:rPr>
              <w:t>壤、地下水和农村生态环境保护规划》</w:t>
            </w:r>
            <w:r>
              <w:rPr>
                <w:rFonts w:hint="eastAsia" w:ascii="Times New Roman" w:hAnsi="Times New Roman" w:eastAsia="宋体" w:cs="Times New Roman"/>
                <w:color w:val="auto"/>
                <w:sz w:val="24"/>
                <w:szCs w:val="24"/>
                <w:lang w:val="en-US" w:eastAsia="zh-CN"/>
              </w:rPr>
              <w:t>（淮环通[2023]36号文）要求，到2025年，全市土壤环境质量总体保持稳定，局部地区稳中向好，受污染耕地和污染地块安全利用水平得到巩固提升。到2035年，全市土壤环境质量稳中向好，农用地和重点建设用地地块土壤环境安全得到有效保障，土壤环境风险得到全面管控。</w:t>
            </w:r>
          </w:p>
          <w:p w14:paraId="2D3491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eastAsia="宋体" w:cs="Times New Roman"/>
                <w:color w:val="auto"/>
                <w:sz w:val="24"/>
                <w:szCs w:val="24"/>
                <w:lang w:val="en-US" w:eastAsia="zh-CN"/>
              </w:rPr>
              <w:t>B.土壤</w:t>
            </w:r>
            <w:r>
              <w:rPr>
                <w:rFonts w:hint="default" w:ascii="Times New Roman" w:hAnsi="Times New Roman" w:eastAsia="宋体" w:cs="Times New Roman"/>
                <w:color w:val="auto"/>
                <w:sz w:val="24"/>
                <w:szCs w:val="24"/>
                <w:lang w:val="en-US" w:eastAsia="zh-CN"/>
              </w:rPr>
              <w:t>环境</w:t>
            </w:r>
            <w:r>
              <w:rPr>
                <w:rFonts w:hint="eastAsia" w:ascii="Times New Roman" w:hAnsi="Times New Roman" w:eastAsia="宋体" w:cs="Times New Roman"/>
                <w:color w:val="auto"/>
                <w:sz w:val="24"/>
                <w:szCs w:val="24"/>
                <w:lang w:val="en-US" w:eastAsia="zh-CN"/>
              </w:rPr>
              <w:t>风险防控</w:t>
            </w:r>
            <w:r>
              <w:rPr>
                <w:rFonts w:hint="default" w:ascii="Times New Roman" w:hAnsi="Times New Roman" w:eastAsia="宋体" w:cs="Times New Roman"/>
                <w:color w:val="auto"/>
                <w:sz w:val="24"/>
                <w:szCs w:val="24"/>
                <w:lang w:val="en-US" w:eastAsia="zh-CN"/>
              </w:rPr>
              <w:t>分区</w:t>
            </w:r>
          </w:p>
          <w:p w14:paraId="306DECB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eastAsia="宋体"/>
                <w:sz w:val="24"/>
              </w:rPr>
            </w:pPr>
            <w:r>
              <w:rPr>
                <w:rFonts w:hint="default" w:ascii="Times New Roman" w:hAnsi="Times New Roman" w:eastAsia="宋体" w:cs="Times New Roman"/>
                <w:color w:val="auto"/>
                <w:sz w:val="24"/>
                <w:szCs w:val="24"/>
                <w:lang w:val="en-US" w:eastAsia="zh-CN"/>
              </w:rPr>
              <w:t>对照《长江经济带战略环境评价安徽省</w:t>
            </w:r>
            <w:r>
              <w:rPr>
                <w:rFonts w:hint="eastAsia" w:ascii="Times New Roman" w:hAnsi="Times New Roman" w:eastAsia="宋体" w:cs="Times New Roman"/>
                <w:color w:val="auto"/>
                <w:sz w:val="24"/>
                <w:szCs w:val="24"/>
                <w:lang w:val="en-US" w:eastAsia="zh-CN"/>
              </w:rPr>
              <w:t>淮南</w:t>
            </w:r>
            <w:r>
              <w:rPr>
                <w:rFonts w:hint="default" w:ascii="Times New Roman" w:hAnsi="Times New Roman" w:eastAsia="宋体" w:cs="Times New Roman"/>
                <w:color w:val="auto"/>
                <w:sz w:val="24"/>
                <w:szCs w:val="24"/>
                <w:lang w:val="en-US" w:eastAsia="zh-CN"/>
              </w:rPr>
              <w:t>市</w:t>
            </w:r>
            <w:r>
              <w:rPr>
                <w:rFonts w:hint="eastAsia" w:cs="Times New Roman"/>
                <w:color w:val="auto"/>
                <w:sz w:val="24"/>
                <w:szCs w:val="24"/>
                <w:lang w:val="en-US" w:eastAsia="zh-CN"/>
              </w:rPr>
              <w:t>生态环境分区管控编制</w:t>
            </w:r>
            <w:r>
              <w:rPr>
                <w:rFonts w:hint="default" w:ascii="Times New Roman" w:hAnsi="Times New Roman" w:eastAsia="宋体" w:cs="Times New Roman"/>
                <w:color w:val="auto"/>
                <w:sz w:val="24"/>
                <w:szCs w:val="24"/>
                <w:lang w:val="en-US" w:eastAsia="zh-CN"/>
              </w:rPr>
              <w:t>文本》</w:t>
            </w:r>
            <w:r>
              <w:rPr>
                <w:rFonts w:hint="eastAsia" w:cs="Times New Roman"/>
                <w:color w:val="auto"/>
                <w:sz w:val="24"/>
                <w:szCs w:val="24"/>
                <w:lang w:val="en-US" w:eastAsia="zh-CN"/>
              </w:rPr>
              <w:t>（2023年8月）</w:t>
            </w:r>
            <w:r>
              <w:rPr>
                <w:rFonts w:hint="default" w:ascii="Times New Roman" w:hAnsi="Times New Roman" w:eastAsia="宋体" w:cs="Times New Roman"/>
                <w:color w:val="auto"/>
                <w:sz w:val="24"/>
                <w:szCs w:val="24"/>
                <w:lang w:val="en-US" w:eastAsia="zh-CN"/>
              </w:rPr>
              <w:t>及</w:t>
            </w:r>
            <w:r>
              <w:rPr>
                <w:rFonts w:hint="eastAsia" w:ascii="Times New Roman" w:hAnsi="Times New Roman" w:eastAsia="宋体" w:cs="Times New Roman"/>
                <w:color w:val="auto"/>
                <w:sz w:val="24"/>
                <w:szCs w:val="24"/>
                <w:lang w:val="en-US" w:eastAsia="zh-CN"/>
              </w:rPr>
              <w:t>淮南</w:t>
            </w:r>
            <w:r>
              <w:rPr>
                <w:rFonts w:hint="default" w:ascii="Times New Roman" w:hAnsi="Times New Roman" w:eastAsia="宋体" w:cs="Times New Roman"/>
                <w:color w:val="auto"/>
                <w:sz w:val="24"/>
                <w:szCs w:val="24"/>
                <w:lang w:val="en-US" w:eastAsia="zh-CN"/>
              </w:rPr>
              <w:t>市</w:t>
            </w:r>
            <w:r>
              <w:rPr>
                <w:rFonts w:hint="eastAsia" w:ascii="Times New Roman" w:hAnsi="Times New Roman" w:eastAsia="宋体" w:cs="Times New Roman"/>
                <w:color w:val="auto"/>
                <w:sz w:val="24"/>
                <w:szCs w:val="24"/>
                <w:lang w:val="en-US" w:eastAsia="zh-CN"/>
              </w:rPr>
              <w:t>土壤</w:t>
            </w:r>
            <w:r>
              <w:rPr>
                <w:rFonts w:hint="eastAsia" w:cs="Times New Roman"/>
                <w:color w:val="auto"/>
                <w:sz w:val="24"/>
                <w:szCs w:val="24"/>
                <w:lang w:val="en-US" w:eastAsia="zh-CN"/>
              </w:rPr>
              <w:t>环境</w:t>
            </w:r>
            <w:r>
              <w:rPr>
                <w:rFonts w:hint="eastAsia" w:ascii="Times New Roman" w:hAnsi="Times New Roman" w:eastAsia="宋体" w:cs="Times New Roman"/>
                <w:color w:val="auto"/>
                <w:sz w:val="24"/>
                <w:szCs w:val="24"/>
                <w:lang w:val="en-US" w:eastAsia="zh-CN"/>
              </w:rPr>
              <w:t>风险</w:t>
            </w:r>
            <w:r>
              <w:rPr>
                <w:rFonts w:hint="default" w:ascii="Times New Roman" w:hAnsi="Times New Roman" w:eastAsia="宋体" w:cs="Times New Roman"/>
                <w:color w:val="auto"/>
                <w:sz w:val="24"/>
                <w:szCs w:val="24"/>
                <w:lang w:val="en-US" w:eastAsia="zh-CN"/>
              </w:rPr>
              <w:t>分区管控图，本项目位于</w:t>
            </w:r>
            <w:r>
              <w:rPr>
                <w:rFonts w:hint="eastAsia" w:cs="Times New Roman"/>
                <w:color w:val="auto"/>
                <w:sz w:val="24"/>
                <w:szCs w:val="24"/>
                <w:lang w:val="en-US" w:eastAsia="zh-CN"/>
              </w:rPr>
              <w:t>一般管控区</w:t>
            </w:r>
            <w:r>
              <w:rPr>
                <w:rFonts w:hint="eastAsia" w:ascii="Times New Roman" w:hAnsi="Times New Roman" w:eastAsia="宋体" w:cs="Times New Roman"/>
                <w:color w:val="auto"/>
                <w:sz w:val="24"/>
                <w:szCs w:val="24"/>
                <w:lang w:val="en-US" w:eastAsia="zh-CN"/>
              </w:rPr>
              <w:t>。</w:t>
            </w:r>
          </w:p>
          <w:p w14:paraId="18AC1F8D">
            <w:pPr>
              <w:keepNext w:val="0"/>
              <w:keepLines w:val="0"/>
              <w:pageBreakBefore w:val="0"/>
              <w:widowControl w:val="0"/>
              <w:suppressLineNumbers w:val="0"/>
              <w:kinsoku/>
              <w:overflowPunct/>
              <w:bidi w:val="0"/>
              <w:spacing w:before="0" w:beforeAutospacing="0" w:after="0" w:afterAutospacing="0" w:line="360" w:lineRule="auto"/>
              <w:ind w:left="0" w:right="0" w:firstLine="480"/>
              <w:rPr>
                <w:rFonts w:hint="default" w:ascii="Times New Roman" w:hAnsi="Times New Roman" w:eastAsia="宋体" w:cs="Times New Roman"/>
                <w:b w:val="0"/>
                <w:bCs/>
                <w:color w:val="auto"/>
                <w:kern w:val="0"/>
                <w:sz w:val="24"/>
                <w:szCs w:val="24"/>
                <w:lang w:val="en-US" w:eastAsia="zh-CN"/>
              </w:rPr>
            </w:pPr>
            <w:r>
              <w:rPr>
                <w:rFonts w:hint="eastAsia" w:ascii="Times New Roman" w:hAnsi="Times New Roman" w:cs="Times New Roman"/>
                <w:b w:val="0"/>
                <w:bCs/>
                <w:color w:val="auto"/>
                <w:kern w:val="0"/>
                <w:sz w:val="24"/>
                <w:szCs w:val="24"/>
                <w:lang w:val="en-US" w:eastAsia="zh-CN"/>
              </w:rPr>
              <w:t>C.土壤</w:t>
            </w:r>
            <w:r>
              <w:rPr>
                <w:rFonts w:hint="eastAsia" w:ascii="Times New Roman" w:hAnsi="Times New Roman" w:eastAsia="宋体" w:cs="Times New Roman"/>
                <w:b w:val="0"/>
                <w:bCs/>
                <w:color w:val="auto"/>
                <w:kern w:val="0"/>
                <w:sz w:val="24"/>
                <w:szCs w:val="24"/>
                <w:lang w:val="en-US" w:eastAsia="zh-CN"/>
              </w:rPr>
              <w:t>环境风险分区防控要求</w:t>
            </w:r>
          </w:p>
          <w:p w14:paraId="2160504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一般</w:t>
            </w:r>
            <w:r>
              <w:rPr>
                <w:rFonts w:hint="eastAsia" w:ascii="Times New Roman" w:hAnsi="Times New Roman" w:eastAsia="宋体" w:cs="Times New Roman"/>
                <w:color w:val="auto"/>
                <w:sz w:val="24"/>
                <w:szCs w:val="24"/>
                <w:lang w:val="en-US" w:eastAsia="zh-CN"/>
              </w:rPr>
              <w:t>管控区：</w:t>
            </w:r>
            <w:r>
              <w:rPr>
                <w:rFonts w:hint="default" w:ascii="Times New Roman" w:hAnsi="Times New Roman" w:eastAsia="宋体" w:cs="Times New Roman"/>
                <w:color w:val="auto"/>
                <w:sz w:val="24"/>
                <w:szCs w:val="24"/>
                <w:lang w:val="en-US" w:eastAsia="zh-CN"/>
              </w:rPr>
              <w:t>依据《中华人民共和国土壤污染防治法》《土壤污</w:t>
            </w:r>
            <w:r>
              <w:rPr>
                <w:rFonts w:hint="eastAsia" w:ascii="Times New Roman" w:hAnsi="Times New Roman" w:eastAsia="宋体" w:cs="Times New Roman"/>
                <w:color w:val="auto"/>
                <w:sz w:val="24"/>
                <w:szCs w:val="24"/>
                <w:lang w:val="en-US" w:eastAsia="zh-CN"/>
              </w:rPr>
              <w:t>染防治行动计划》《安徽省“十四五”环境保护规划》《淮南市“十四五”生态环境保护规划》等要求及各市土壤污染防治工作方案对一般管控区实施管控。</w:t>
            </w:r>
          </w:p>
          <w:p w14:paraId="489D05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w:t>
            </w:r>
            <w:r>
              <w:rPr>
                <w:rFonts w:hint="eastAsia" w:cs="Times New Roman"/>
                <w:color w:val="auto"/>
                <w:sz w:val="24"/>
                <w:szCs w:val="24"/>
                <w:lang w:val="en-US" w:eastAsia="zh-CN"/>
              </w:rPr>
              <w:t>液体原料消毒液</w:t>
            </w:r>
            <w:r>
              <w:rPr>
                <w:rFonts w:hint="eastAsia" w:ascii="Times New Roman" w:hAnsi="Times New Roman" w:eastAsia="宋体" w:cs="Times New Roman"/>
                <w:color w:val="auto"/>
                <w:sz w:val="24"/>
                <w:szCs w:val="24"/>
                <w:lang w:val="en-US" w:eastAsia="zh-CN"/>
              </w:rPr>
              <w:t>非使用状态时</w:t>
            </w:r>
            <w:r>
              <w:rPr>
                <w:rFonts w:hint="eastAsia" w:cs="Times New Roman"/>
                <w:color w:val="auto"/>
                <w:sz w:val="24"/>
                <w:szCs w:val="24"/>
                <w:lang w:val="en-US" w:eastAsia="zh-CN"/>
              </w:rPr>
              <w:t>储存在</w:t>
            </w:r>
            <w:r>
              <w:rPr>
                <w:rFonts w:hint="eastAsia" w:ascii="Times New Roman" w:hAnsi="Times New Roman" w:eastAsia="宋体" w:cs="Times New Roman"/>
                <w:color w:val="auto"/>
                <w:sz w:val="24"/>
                <w:szCs w:val="24"/>
                <w:lang w:val="en-US" w:eastAsia="zh-CN"/>
              </w:rPr>
              <w:t>密闭</w:t>
            </w:r>
            <w:r>
              <w:rPr>
                <w:rFonts w:hint="eastAsia" w:cs="Times New Roman"/>
                <w:color w:val="auto"/>
                <w:sz w:val="24"/>
                <w:szCs w:val="24"/>
                <w:lang w:val="en-US" w:eastAsia="zh-CN"/>
              </w:rPr>
              <w:t>包装容器中</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医疗废物暂存于危废</w:t>
            </w:r>
            <w:r>
              <w:rPr>
                <w:rFonts w:hint="eastAsia" w:ascii="Times New Roman" w:hAnsi="Times New Roman" w:eastAsia="宋体" w:cs="Times New Roman"/>
                <w:color w:val="auto"/>
                <w:sz w:val="24"/>
                <w:szCs w:val="24"/>
                <w:lang w:val="en-US" w:eastAsia="zh-CN"/>
              </w:rPr>
              <w:t>暂存间</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地面做好防渗措施，</w:t>
            </w:r>
            <w:r>
              <w:rPr>
                <w:rFonts w:hint="eastAsia" w:cs="Times New Roman"/>
                <w:color w:val="auto"/>
                <w:sz w:val="24"/>
                <w:szCs w:val="24"/>
                <w:lang w:val="en-US" w:eastAsia="zh-CN"/>
              </w:rPr>
              <w:t>项目</w:t>
            </w:r>
            <w:r>
              <w:rPr>
                <w:rFonts w:hint="eastAsia" w:cs="Times New Roman"/>
                <w:b w:val="0"/>
                <w:bCs w:val="0"/>
                <w:color w:val="auto"/>
                <w:sz w:val="24"/>
                <w:lang w:val="en-US" w:eastAsia="zh-CN"/>
              </w:rPr>
              <w:t>基本</w:t>
            </w:r>
            <w:r>
              <w:rPr>
                <w:rFonts w:hint="eastAsia" w:eastAsia="宋体" w:cs="Times New Roman"/>
                <w:b w:val="0"/>
                <w:bCs w:val="0"/>
                <w:color w:val="auto"/>
                <w:sz w:val="24"/>
                <w:lang w:val="en-US" w:eastAsia="zh-CN"/>
              </w:rPr>
              <w:t>不存在</w:t>
            </w:r>
            <w:r>
              <w:rPr>
                <w:rFonts w:hint="default" w:ascii="Times New Roman" w:hAnsi="Times New Roman" w:eastAsia="宋体" w:cs="Times New Roman"/>
                <w:b w:val="0"/>
                <w:bCs w:val="0"/>
                <w:color w:val="auto"/>
                <w:sz w:val="24"/>
                <w:lang w:val="en-US" w:eastAsia="zh-CN"/>
              </w:rPr>
              <w:t>土壤、地下水环境污染途径</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本项目实施后基本不会对区域土壤环境产生影响，满足土壤环境</w:t>
            </w:r>
            <w:r>
              <w:rPr>
                <w:rFonts w:hint="eastAsia" w:cs="Times New Roman"/>
                <w:color w:val="auto"/>
                <w:sz w:val="24"/>
                <w:szCs w:val="24"/>
                <w:lang w:val="en-US" w:eastAsia="zh-CN"/>
              </w:rPr>
              <w:t>一般</w:t>
            </w:r>
            <w:r>
              <w:rPr>
                <w:rFonts w:hint="eastAsia" w:ascii="Times New Roman" w:hAnsi="Times New Roman" w:eastAsia="宋体" w:cs="Times New Roman"/>
                <w:color w:val="auto"/>
                <w:sz w:val="24"/>
                <w:szCs w:val="24"/>
                <w:lang w:val="en-US" w:eastAsia="zh-CN"/>
              </w:rPr>
              <w:t>管控区管控要求</w:t>
            </w:r>
            <w:r>
              <w:rPr>
                <w:rFonts w:hint="eastAsia" w:cs="Times New Roman"/>
                <w:color w:val="auto"/>
                <w:sz w:val="24"/>
                <w:szCs w:val="24"/>
                <w:lang w:val="en-US" w:eastAsia="zh-CN"/>
              </w:rPr>
              <w:t>。</w:t>
            </w:r>
          </w:p>
          <w:p w14:paraId="347B26B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000000"/>
                <w:sz w:val="24"/>
                <w:szCs w:val="24"/>
                <w:highlight w:val="none"/>
              </w:rPr>
            </w:pPr>
            <w:r>
              <w:rPr>
                <w:rFonts w:hint="default" w:ascii="Times New Roman" w:hAnsi="Times New Roman" w:eastAsia="宋体" w:cs="Times New Roman"/>
                <w:b/>
                <w:bCs/>
                <w:color w:val="000000"/>
                <w:sz w:val="24"/>
                <w:szCs w:val="24"/>
                <w:highlight w:val="none"/>
              </w:rPr>
              <w:t>（3）资源利用</w:t>
            </w:r>
            <w:bookmarkStart w:id="1" w:name="_Hlk501389775"/>
            <w:r>
              <w:rPr>
                <w:rFonts w:hint="eastAsia" w:cs="Times New Roman"/>
                <w:b/>
                <w:bCs/>
                <w:color w:val="000000"/>
                <w:sz w:val="24"/>
                <w:szCs w:val="24"/>
                <w:highlight w:val="none"/>
                <w:lang w:val="en-US" w:eastAsia="zh-CN"/>
              </w:rPr>
              <w:t>上线</w:t>
            </w:r>
            <w:r>
              <w:rPr>
                <w:rFonts w:hint="eastAsia" w:ascii="Times New Roman" w:hAnsi="Times New Roman" w:eastAsia="宋体" w:cs="Times New Roman"/>
                <w:b/>
                <w:bCs/>
                <w:color w:val="auto"/>
                <w:kern w:val="2"/>
                <w:sz w:val="24"/>
                <w:szCs w:val="24"/>
                <w:lang w:val="en-US" w:eastAsia="zh-CN" w:bidi="ar-SA"/>
              </w:rPr>
              <w:t>及自然资源开发分区管控</w:t>
            </w:r>
          </w:p>
          <w:p w14:paraId="17E22E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①</w:t>
            </w:r>
            <w:r>
              <w:rPr>
                <w:rFonts w:hint="eastAsia" w:ascii="Times New Roman" w:hAnsi="Times New Roman" w:eastAsia="宋体" w:cs="Times New Roman"/>
                <w:color w:val="auto"/>
                <w:sz w:val="24"/>
                <w:szCs w:val="24"/>
                <w:lang w:val="en-US" w:eastAsia="zh-CN"/>
              </w:rPr>
              <w:t>煤炭资源利用上线及分区管控</w:t>
            </w:r>
          </w:p>
          <w:p w14:paraId="4C7C8ED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本项目用电采用市政管网，不涉及煤炭的使用。</w:t>
            </w:r>
          </w:p>
          <w:p w14:paraId="4397F4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②</w:t>
            </w:r>
            <w:r>
              <w:rPr>
                <w:rFonts w:hint="eastAsia" w:ascii="Times New Roman" w:hAnsi="Times New Roman" w:eastAsia="宋体" w:cs="Times New Roman"/>
                <w:color w:val="auto"/>
                <w:sz w:val="24"/>
                <w:szCs w:val="24"/>
                <w:lang w:val="en-US" w:eastAsia="zh-CN"/>
              </w:rPr>
              <w:t>水资源利用上线及分区管控</w:t>
            </w:r>
          </w:p>
          <w:p w14:paraId="135D3C7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eastAsia="宋体" w:cs="Times New Roman"/>
                <w:color w:val="auto"/>
                <w:sz w:val="24"/>
                <w:szCs w:val="24"/>
                <w:lang w:val="en-US" w:eastAsia="zh-CN"/>
              </w:rPr>
              <w:t>A.</w:t>
            </w:r>
            <w:r>
              <w:rPr>
                <w:rFonts w:hint="eastAsia" w:ascii="Times New Roman" w:hAnsi="Times New Roman" w:eastAsia="宋体" w:cs="Times New Roman"/>
                <w:color w:val="auto"/>
                <w:sz w:val="24"/>
                <w:szCs w:val="24"/>
                <w:lang w:val="en-US" w:eastAsia="zh-CN"/>
              </w:rPr>
              <w:t>水资源利用上线</w:t>
            </w:r>
          </w:p>
          <w:p w14:paraId="31ECB7B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w:t>
            </w:r>
            <w:r>
              <w:rPr>
                <w:rFonts w:hint="eastAsia" w:eastAsia="宋体" w:cs="Times New Roman"/>
                <w:color w:val="auto"/>
                <w:sz w:val="24"/>
                <w:szCs w:val="24"/>
                <w:lang w:val="en-US" w:eastAsia="zh-CN"/>
              </w:rPr>
              <w:t>用水采用市政管网供应，</w:t>
            </w:r>
            <w:r>
              <w:rPr>
                <w:sz w:val="24"/>
              </w:rPr>
              <w:t>余量充足，符合资源利用上线的要求</w:t>
            </w:r>
            <w:r>
              <w:rPr>
                <w:rFonts w:hint="eastAsia" w:ascii="Times New Roman" w:hAnsi="Times New Roman" w:eastAsia="宋体" w:cs="Times New Roman"/>
                <w:color w:val="auto"/>
                <w:sz w:val="24"/>
                <w:szCs w:val="24"/>
                <w:lang w:val="en-US" w:eastAsia="zh-CN"/>
              </w:rPr>
              <w:t>。</w:t>
            </w:r>
          </w:p>
          <w:p w14:paraId="182C9FB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eastAsia="宋体" w:cs="Times New Roman"/>
                <w:color w:val="auto"/>
                <w:sz w:val="24"/>
                <w:szCs w:val="24"/>
                <w:lang w:val="en-US" w:eastAsia="zh-CN"/>
              </w:rPr>
              <w:t>B.</w:t>
            </w:r>
            <w:r>
              <w:rPr>
                <w:rFonts w:hint="eastAsia" w:ascii="Times New Roman" w:hAnsi="Times New Roman" w:eastAsia="宋体" w:cs="Times New Roman"/>
                <w:color w:val="auto"/>
                <w:sz w:val="24"/>
                <w:szCs w:val="24"/>
                <w:lang w:val="en-US" w:eastAsia="zh-CN"/>
              </w:rPr>
              <w:t>水资源管控分区</w:t>
            </w:r>
          </w:p>
          <w:p w14:paraId="63CBCD1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水资源管控区包括重点管控区和一般管控区，根据淮南市水资源条件和《安徽省“三线一单”》划定成果，淮南市水资源管控区个数为7个，均为一般管控区，本项目位于一般管控区。</w:t>
            </w:r>
          </w:p>
          <w:p w14:paraId="23F3E09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③土</w:t>
            </w:r>
            <w:r>
              <w:rPr>
                <w:rFonts w:hint="eastAsia" w:ascii="Times New Roman" w:hAnsi="Times New Roman" w:eastAsia="宋体" w:cs="Times New Roman"/>
                <w:color w:val="auto"/>
                <w:sz w:val="24"/>
                <w:szCs w:val="24"/>
                <w:lang w:val="en-US" w:eastAsia="zh-CN"/>
              </w:rPr>
              <w:t>地资源利用上线及分区管控</w:t>
            </w:r>
          </w:p>
          <w:p w14:paraId="43F70B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本项目选址于</w:t>
            </w:r>
            <w:r>
              <w:rPr>
                <w:rFonts w:hint="eastAsia" w:cs="Times New Roman"/>
                <w:b w:val="0"/>
                <w:bCs w:val="0"/>
                <w:color w:val="auto"/>
                <w:kern w:val="2"/>
                <w:sz w:val="24"/>
                <w:szCs w:val="24"/>
                <w:highlight w:val="none"/>
                <w:lang w:val="en-US" w:eastAsia="zh-CN" w:bidi="ar-SA"/>
              </w:rPr>
              <w:t>安徽省淮南市潘集区珠江路北侧、武夷山路西侧，本项目在现有用地范围内进行扩建，不新增用地</w:t>
            </w:r>
            <w:r>
              <w:rPr>
                <w:rFonts w:hint="eastAsia" w:cs="Times New Roman"/>
                <w:i w:val="0"/>
                <w:iCs w:val="0"/>
                <w:color w:val="auto"/>
                <w:sz w:val="24"/>
                <w:szCs w:val="24"/>
                <w:u w:val="none"/>
                <w:lang w:val="en-US" w:eastAsia="zh-CN"/>
              </w:rPr>
              <w:t>，</w:t>
            </w:r>
            <w:r>
              <w:rPr>
                <w:rFonts w:hint="eastAsia" w:ascii="Times New Roman" w:hAnsi="Times New Roman" w:eastAsia="宋体" w:cs="Times New Roman"/>
                <w:color w:val="auto"/>
                <w:sz w:val="24"/>
                <w:szCs w:val="24"/>
                <w:lang w:val="en-US" w:eastAsia="zh-CN"/>
              </w:rPr>
              <w:t>根据</w:t>
            </w:r>
            <w:r>
              <w:rPr>
                <w:rFonts w:hint="eastAsia" w:cs="Times New Roman"/>
                <w:b w:val="0"/>
                <w:bCs w:val="0"/>
                <w:color w:val="auto"/>
                <w:kern w:val="2"/>
                <w:sz w:val="24"/>
                <w:szCs w:val="24"/>
                <w:highlight w:val="none"/>
                <w:lang w:val="en-US" w:eastAsia="zh-CN" w:bidi="ar-SA"/>
              </w:rPr>
              <w:t>建设单位提供的土地证（详见附件）</w:t>
            </w:r>
            <w:r>
              <w:rPr>
                <w:rFonts w:hint="eastAsia" w:ascii="Times New Roman" w:hAnsi="Times New Roman" w:eastAsia="宋体" w:cs="Times New Roman"/>
                <w:color w:val="auto"/>
                <w:sz w:val="24"/>
                <w:szCs w:val="24"/>
                <w:lang w:val="en-US" w:eastAsia="zh-CN"/>
              </w:rPr>
              <w:t>，项目用地为</w:t>
            </w:r>
            <w:r>
              <w:rPr>
                <w:rFonts w:hint="eastAsia" w:cs="Times New Roman"/>
                <w:b w:val="0"/>
                <w:bCs w:val="0"/>
                <w:color w:val="auto"/>
                <w:sz w:val="24"/>
                <w:szCs w:val="24"/>
                <w:lang w:val="en-US" w:eastAsia="zh-CN"/>
              </w:rPr>
              <w:t>医卫慈善用地</w:t>
            </w:r>
            <w:r>
              <w:rPr>
                <w:rFonts w:hint="eastAsia" w:ascii="Times New Roman" w:hAnsi="Times New Roman" w:eastAsia="宋体" w:cs="Times New Roman"/>
                <w:color w:val="auto"/>
                <w:sz w:val="24"/>
                <w:szCs w:val="24"/>
                <w:lang w:val="en-US" w:eastAsia="zh-CN"/>
              </w:rPr>
              <w:t>，不属于耕地。</w:t>
            </w:r>
          </w:p>
          <w:p w14:paraId="438ABEC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土地资源管控区划分为重点管控区和一般管控区。重点管控区是指具有一定经济基础、资源环境承载力较强、发展潜力较大、集聚人口和经济条件较好，可重点进行大规模工业化城镇化开发的区域，与《安徽省主体功能区规划》中的国家重点开发区域相符；除重点管控区以外的其他区域为一般管控区。淮南市土地资源共划分7个管控区，均为一般管控区，本项目位于一般管控区。</w:t>
            </w:r>
          </w:p>
          <w:p w14:paraId="468BEE19">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000000"/>
                <w:sz w:val="24"/>
                <w:szCs w:val="24"/>
                <w:highlight w:val="none"/>
              </w:rPr>
            </w:pPr>
            <w:r>
              <w:rPr>
                <w:rFonts w:hint="default" w:ascii="Times New Roman" w:hAnsi="Times New Roman" w:eastAsia="宋体" w:cs="Times New Roman"/>
                <w:b/>
                <w:bCs/>
                <w:color w:val="000000"/>
                <w:sz w:val="24"/>
                <w:szCs w:val="24"/>
                <w:highlight w:val="none"/>
              </w:rPr>
              <w:t>（4）生态环境准入清单相符性</w:t>
            </w:r>
          </w:p>
          <w:bookmarkEnd w:id="1"/>
          <w:p w14:paraId="28C536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default" w:ascii="Times New Roman" w:hAnsi="Times New Roman" w:cs="Times New Roman"/>
                <w:color w:val="000000"/>
                <w:sz w:val="24"/>
                <w:szCs w:val="24"/>
                <w:highlight w:val="none"/>
              </w:rPr>
              <w:t>本项目属于</w:t>
            </w:r>
            <w:r>
              <w:rPr>
                <w:rFonts w:hint="eastAsia" w:cs="Times New Roman"/>
                <w:color w:val="auto"/>
                <w:sz w:val="24"/>
                <w:szCs w:val="24"/>
                <w:lang w:eastAsia="zh-CN"/>
              </w:rPr>
              <w:t>Q8411综合医院</w:t>
            </w:r>
            <w:r>
              <w:rPr>
                <w:rFonts w:hint="default" w:ascii="Times New Roman" w:hAnsi="Times New Roman" w:cs="Times New Roman"/>
                <w:color w:val="auto"/>
                <w:sz w:val="24"/>
                <w:szCs w:val="24"/>
                <w:lang w:eastAsia="zh-CN"/>
              </w:rPr>
              <w:t>，对照《市场准入负面清单（202</w:t>
            </w:r>
            <w:r>
              <w:rPr>
                <w:rFonts w:hint="eastAsia" w:cs="Times New Roman"/>
                <w:color w:val="auto"/>
                <w:sz w:val="24"/>
                <w:szCs w:val="24"/>
                <w:lang w:val="en-US" w:eastAsia="zh-CN"/>
              </w:rPr>
              <w:t>5</w:t>
            </w:r>
            <w:r>
              <w:rPr>
                <w:rFonts w:hint="default" w:ascii="Times New Roman" w:hAnsi="Times New Roman" w:cs="Times New Roman"/>
                <w:color w:val="auto"/>
                <w:sz w:val="24"/>
                <w:szCs w:val="24"/>
                <w:lang w:eastAsia="zh-CN"/>
              </w:rPr>
              <w:t>版）》，</w:t>
            </w:r>
            <w:r>
              <w:rPr>
                <w:rFonts w:hint="eastAsia" w:ascii="Times New Roman" w:hAnsi="Times New Roman" w:cs="Times New Roman"/>
                <w:color w:val="auto"/>
                <w:sz w:val="24"/>
                <w:szCs w:val="24"/>
                <w:lang w:eastAsia="zh-CN"/>
              </w:rPr>
              <w:t>项目</w:t>
            </w:r>
            <w:r>
              <w:rPr>
                <w:rFonts w:hint="default" w:ascii="Times New Roman" w:hAnsi="Times New Roman" w:cs="Times New Roman"/>
                <w:color w:val="auto"/>
                <w:sz w:val="24"/>
                <w:szCs w:val="24"/>
                <w:lang w:eastAsia="zh-CN"/>
              </w:rPr>
              <w:t>不在负面清单范围内，本项目</w:t>
            </w:r>
            <w:r>
              <w:rPr>
                <w:rFonts w:hint="default" w:ascii="Times New Roman" w:hAnsi="Times New Roman" w:eastAsia="宋体" w:cs="Times New Roman"/>
                <w:color w:val="auto"/>
                <w:sz w:val="24"/>
                <w:szCs w:val="24"/>
              </w:rPr>
              <w:t>属于</w:t>
            </w:r>
            <w:r>
              <w:rPr>
                <w:rFonts w:hint="default" w:ascii="Times New Roman" w:hAnsi="Times New Roman" w:eastAsia="宋体" w:cs="Times New Roman"/>
                <w:bCs w:val="0"/>
                <w:color w:val="000000"/>
                <w:kern w:val="0"/>
                <w:sz w:val="24"/>
                <w:szCs w:val="24"/>
                <w:lang w:val="en-US" w:eastAsia="zh-CN" w:bidi="ar"/>
              </w:rPr>
              <w:t>《产业结构调整指导目录（20</w:t>
            </w:r>
            <w:r>
              <w:rPr>
                <w:rFonts w:hint="eastAsia" w:ascii="Times New Roman" w:hAnsi="Times New Roman" w:eastAsia="宋体" w:cs="Times New Roman"/>
                <w:bCs w:val="0"/>
                <w:color w:val="000000"/>
                <w:kern w:val="0"/>
                <w:sz w:val="24"/>
                <w:szCs w:val="24"/>
                <w:lang w:val="en-US" w:eastAsia="zh-CN" w:bidi="ar"/>
              </w:rPr>
              <w:t>24</w:t>
            </w:r>
            <w:r>
              <w:rPr>
                <w:rFonts w:hint="default" w:ascii="Times New Roman" w:hAnsi="Times New Roman" w:eastAsia="宋体" w:cs="Times New Roman"/>
                <w:bCs w:val="0"/>
                <w:color w:val="000000"/>
                <w:kern w:val="0"/>
                <w:sz w:val="24"/>
                <w:szCs w:val="24"/>
                <w:lang w:val="en-US" w:eastAsia="zh-CN" w:bidi="ar"/>
              </w:rPr>
              <w:t>年本）》中</w:t>
            </w:r>
            <w:r>
              <w:rPr>
                <w:rFonts w:hint="eastAsia" w:ascii="Times New Roman" w:hAnsi="Times New Roman" w:eastAsia="宋体" w:cs="Times New Roman"/>
                <w:bCs w:val="0"/>
                <w:color w:val="000000"/>
                <w:kern w:val="0"/>
                <w:sz w:val="24"/>
                <w:szCs w:val="24"/>
                <w:lang w:val="en-US" w:eastAsia="zh-CN" w:bidi="ar"/>
              </w:rPr>
              <w:t>“鼓励类</w:t>
            </w:r>
            <w:r>
              <w:rPr>
                <w:rFonts w:hint="eastAsia" w:cs="Times New Roman"/>
                <w:bCs w:val="0"/>
                <w:color w:val="000000"/>
                <w:kern w:val="0"/>
                <w:sz w:val="24"/>
                <w:szCs w:val="24"/>
                <w:lang w:val="en-US" w:eastAsia="zh-CN" w:bidi="ar"/>
              </w:rPr>
              <w:t>”中“三十七、环卫生健康</w:t>
            </w:r>
            <w:r>
              <w:rPr>
                <w:rFonts w:hint="eastAsia" w:ascii="Times New Roman" w:hAnsi="Times New Roman" w:eastAsia="宋体" w:cs="Times New Roman"/>
                <w:bCs w:val="0"/>
                <w:color w:val="000000"/>
                <w:kern w:val="0"/>
                <w:sz w:val="24"/>
                <w:szCs w:val="24"/>
                <w:lang w:val="en-US" w:eastAsia="zh-CN" w:bidi="ar"/>
              </w:rPr>
              <w:t>”</w:t>
            </w:r>
            <w:r>
              <w:rPr>
                <w:rFonts w:hint="eastAsia" w:cs="Times New Roman"/>
                <w:bCs w:val="0"/>
                <w:color w:val="000000"/>
                <w:kern w:val="0"/>
                <w:sz w:val="24"/>
                <w:szCs w:val="24"/>
                <w:lang w:val="en-US" w:eastAsia="zh-CN" w:bidi="ar"/>
              </w:rPr>
              <w:t>中“1.医疗服务设施建设”项目，属于鼓励类项目</w:t>
            </w:r>
            <w:r>
              <w:rPr>
                <w:rFonts w:hint="eastAsia" w:ascii="Times New Roman" w:hAnsi="Times New Roman" w:cs="Times New Roman"/>
                <w:color w:val="auto"/>
                <w:sz w:val="24"/>
                <w:szCs w:val="24"/>
                <w:lang w:eastAsia="zh-CN"/>
              </w:rPr>
              <w:t>。</w:t>
            </w:r>
          </w:p>
          <w:p w14:paraId="428E7C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eastAsia="zh-CN"/>
              </w:rPr>
            </w:pPr>
            <w:r>
              <w:rPr>
                <w:rFonts w:hint="eastAsia" w:ascii="Times New Roman" w:hAnsi="Times New Roman" w:cs="Times New Roman"/>
                <w:color w:val="auto"/>
                <w:sz w:val="24"/>
                <w:szCs w:val="24"/>
                <w:lang w:val="en-US" w:eastAsia="zh-CN"/>
              </w:rPr>
              <w:t>综上所述，本项目</w:t>
            </w:r>
            <w:r>
              <w:rPr>
                <w:rFonts w:hint="eastAsia" w:cs="Times New Roman"/>
                <w:color w:val="auto"/>
                <w:sz w:val="24"/>
                <w:szCs w:val="24"/>
                <w:lang w:val="en-US" w:eastAsia="zh-CN"/>
              </w:rPr>
              <w:t>建设</w:t>
            </w:r>
            <w:r>
              <w:rPr>
                <w:rFonts w:hint="default" w:ascii="Times New Roman" w:hAnsi="Times New Roman" w:cs="Times New Roman"/>
                <w:color w:val="auto"/>
                <w:sz w:val="24"/>
                <w:szCs w:val="24"/>
                <w:lang w:val="en-US" w:eastAsia="zh-CN"/>
              </w:rPr>
              <w:t>满足</w:t>
            </w:r>
            <w:r>
              <w:rPr>
                <w:rFonts w:hint="eastAsia" w:ascii="Times New Roman" w:hAnsi="Times New Roman" w:cs="Times New Roman"/>
                <w:color w:val="auto"/>
                <w:sz w:val="24"/>
                <w:szCs w:val="24"/>
                <w:lang w:val="en-US" w:eastAsia="zh-CN"/>
              </w:rPr>
              <w:t>生态环境准入</w:t>
            </w:r>
            <w:r>
              <w:rPr>
                <w:rFonts w:hint="default" w:ascii="Times New Roman" w:hAnsi="Times New Roman" w:cs="Times New Roman"/>
                <w:color w:val="auto"/>
                <w:sz w:val="24"/>
                <w:szCs w:val="24"/>
                <w:lang w:val="en-US" w:eastAsia="zh-CN"/>
              </w:rPr>
              <w:t>清单要求</w:t>
            </w:r>
            <w:r>
              <w:rPr>
                <w:rFonts w:hint="eastAsia" w:ascii="Times New Roman" w:hAnsi="Times New Roman" w:cs="Times New Roman"/>
                <w:color w:val="auto"/>
                <w:sz w:val="24"/>
                <w:szCs w:val="24"/>
                <w:lang w:val="en-US" w:eastAsia="zh-CN"/>
              </w:rPr>
              <w:t>。</w:t>
            </w:r>
          </w:p>
          <w:p w14:paraId="3940A997">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color w:val="auto"/>
                <w:sz w:val="24"/>
                <w:szCs w:val="24"/>
                <w:lang w:val="en-US" w:eastAsia="zh-CN"/>
              </w:rPr>
            </w:pPr>
            <w:r>
              <w:rPr>
                <w:rFonts w:hint="eastAsia" w:cs="Times New Roman"/>
                <w:b/>
                <w:bCs/>
                <w:color w:val="auto"/>
                <w:sz w:val="24"/>
                <w:szCs w:val="24"/>
                <w:lang w:val="en-US" w:eastAsia="zh-CN"/>
              </w:rPr>
              <w:t>2</w:t>
            </w:r>
            <w:r>
              <w:rPr>
                <w:rFonts w:hint="default" w:ascii="Times New Roman" w:hAnsi="Times New Roman" w:cs="Times New Roman"/>
                <w:b/>
                <w:bCs/>
                <w:color w:val="auto"/>
                <w:sz w:val="24"/>
                <w:szCs w:val="24"/>
                <w:lang w:val="en-US" w:eastAsia="zh-CN"/>
              </w:rPr>
              <w:t>、产业政策符合性分析</w:t>
            </w:r>
          </w:p>
          <w:p w14:paraId="06C1F635">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对照《国民经济行业分类》（GB/T4754-2017）、《产业结构调整指导目录（20</w:t>
            </w:r>
            <w:r>
              <w:rPr>
                <w:rFonts w:hint="eastAsia" w:cs="Times New Roman"/>
                <w:color w:val="auto"/>
                <w:sz w:val="24"/>
                <w:szCs w:val="24"/>
                <w:lang w:val="en-US" w:eastAsia="zh-CN"/>
              </w:rPr>
              <w:t>24</w:t>
            </w:r>
            <w:r>
              <w:rPr>
                <w:rFonts w:hint="default" w:ascii="Times New Roman" w:hAnsi="Times New Roman" w:eastAsia="宋体" w:cs="Times New Roman"/>
                <w:color w:val="auto"/>
                <w:sz w:val="24"/>
                <w:szCs w:val="24"/>
              </w:rPr>
              <w:t>年版）》及《安徽省工业产业结构调整指导目录》，本</w:t>
            </w:r>
            <w:r>
              <w:rPr>
                <w:rFonts w:hint="eastAsia" w:cs="Times New Roman"/>
                <w:color w:val="auto"/>
                <w:sz w:val="24"/>
                <w:szCs w:val="24"/>
                <w:lang w:eastAsia="zh-CN"/>
              </w:rPr>
              <w:t>项目</w:t>
            </w:r>
            <w:r>
              <w:rPr>
                <w:rFonts w:hint="eastAsia" w:cs="Times New Roman"/>
                <w:color w:val="auto"/>
                <w:sz w:val="24"/>
                <w:szCs w:val="24"/>
                <w:highlight w:val="none"/>
                <w:lang w:val="en-US" w:eastAsia="zh-CN"/>
              </w:rPr>
              <w:t>加工生产电梯部件</w:t>
            </w:r>
            <w:r>
              <w:rPr>
                <w:rFonts w:hint="eastAsia" w:cs="Times New Roman"/>
                <w:color w:val="auto"/>
                <w:sz w:val="24"/>
                <w:szCs w:val="24"/>
                <w:lang w:eastAsia="zh-CN"/>
              </w:rPr>
              <w:t>，行业类别为：</w:t>
            </w:r>
            <w:r>
              <w:rPr>
                <w:rFonts w:hint="eastAsia" w:cs="Times New Roman"/>
                <w:color w:val="000000"/>
                <w:sz w:val="24"/>
                <w:highlight w:val="none"/>
                <w:lang w:val="en-US" w:eastAsia="zh-CN"/>
              </w:rPr>
              <w:t>Q8411综合医院</w:t>
            </w:r>
            <w:r>
              <w:rPr>
                <w:rFonts w:hint="default" w:ascii="Times New Roman" w:hAnsi="Times New Roman" w:eastAsia="宋体" w:cs="Times New Roman"/>
                <w:color w:val="auto"/>
                <w:sz w:val="24"/>
                <w:szCs w:val="24"/>
              </w:rPr>
              <w:t>，属于</w:t>
            </w:r>
            <w:r>
              <w:rPr>
                <w:rFonts w:hint="default" w:ascii="Times New Roman" w:hAnsi="Times New Roman" w:eastAsia="宋体" w:cs="Times New Roman"/>
                <w:bCs w:val="0"/>
                <w:color w:val="000000"/>
                <w:kern w:val="0"/>
                <w:sz w:val="24"/>
                <w:szCs w:val="24"/>
                <w:lang w:val="en-US" w:eastAsia="zh-CN" w:bidi="ar"/>
              </w:rPr>
              <w:t>《产业结构调整指导目录（20</w:t>
            </w:r>
            <w:r>
              <w:rPr>
                <w:rFonts w:hint="eastAsia" w:ascii="Times New Roman" w:hAnsi="Times New Roman" w:eastAsia="宋体" w:cs="Times New Roman"/>
                <w:bCs w:val="0"/>
                <w:color w:val="000000"/>
                <w:kern w:val="0"/>
                <w:sz w:val="24"/>
                <w:szCs w:val="24"/>
                <w:lang w:val="en-US" w:eastAsia="zh-CN" w:bidi="ar"/>
              </w:rPr>
              <w:t>24</w:t>
            </w:r>
            <w:r>
              <w:rPr>
                <w:rFonts w:hint="default" w:ascii="Times New Roman" w:hAnsi="Times New Roman" w:eastAsia="宋体" w:cs="Times New Roman"/>
                <w:bCs w:val="0"/>
                <w:color w:val="000000"/>
                <w:kern w:val="0"/>
                <w:sz w:val="24"/>
                <w:szCs w:val="24"/>
                <w:lang w:val="en-US" w:eastAsia="zh-CN" w:bidi="ar"/>
              </w:rPr>
              <w:t>年本）》中</w:t>
            </w:r>
            <w:r>
              <w:rPr>
                <w:rFonts w:hint="eastAsia" w:ascii="Times New Roman" w:hAnsi="Times New Roman" w:eastAsia="宋体" w:cs="Times New Roman"/>
                <w:bCs w:val="0"/>
                <w:color w:val="000000"/>
                <w:kern w:val="0"/>
                <w:sz w:val="24"/>
                <w:szCs w:val="24"/>
                <w:lang w:val="en-US" w:eastAsia="zh-CN" w:bidi="ar"/>
              </w:rPr>
              <w:t>“鼓励类</w:t>
            </w:r>
            <w:r>
              <w:rPr>
                <w:rFonts w:hint="eastAsia" w:cs="Times New Roman"/>
                <w:bCs w:val="0"/>
                <w:color w:val="000000"/>
                <w:kern w:val="0"/>
                <w:sz w:val="24"/>
                <w:szCs w:val="24"/>
                <w:lang w:val="en-US" w:eastAsia="zh-CN" w:bidi="ar"/>
              </w:rPr>
              <w:t>”中“三十七、环卫生健康</w:t>
            </w:r>
            <w:r>
              <w:rPr>
                <w:rFonts w:hint="eastAsia" w:ascii="Times New Roman" w:hAnsi="Times New Roman" w:eastAsia="宋体" w:cs="Times New Roman"/>
                <w:bCs w:val="0"/>
                <w:color w:val="000000"/>
                <w:kern w:val="0"/>
                <w:sz w:val="24"/>
                <w:szCs w:val="24"/>
                <w:lang w:val="en-US" w:eastAsia="zh-CN" w:bidi="ar"/>
              </w:rPr>
              <w:t>”</w:t>
            </w:r>
            <w:r>
              <w:rPr>
                <w:rFonts w:hint="eastAsia" w:cs="Times New Roman"/>
                <w:bCs w:val="0"/>
                <w:color w:val="000000"/>
                <w:kern w:val="0"/>
                <w:sz w:val="24"/>
                <w:szCs w:val="24"/>
                <w:lang w:val="en-US" w:eastAsia="zh-CN" w:bidi="ar"/>
              </w:rPr>
              <w:t>中“1.医疗服务设施建设”项目，属于鼓励类项目</w:t>
            </w:r>
            <w:r>
              <w:rPr>
                <w:rFonts w:hint="default" w:ascii="Times New Roman" w:hAnsi="Times New Roman" w:eastAsia="宋体" w:cs="Times New Roman"/>
                <w:color w:val="auto"/>
                <w:sz w:val="24"/>
                <w:szCs w:val="24"/>
              </w:rPr>
              <w:t>。因此，本项目的建设符合国家的产业政策及安徽省工业产业结构调整指导目录要求。本项目未被列入</w:t>
            </w:r>
            <w:r>
              <w:rPr>
                <w:rFonts w:hint="eastAsia" w:cs="Times New Roman"/>
                <w:color w:val="auto"/>
                <w:sz w:val="24"/>
                <w:szCs w:val="24"/>
                <w:lang w:eastAsia="zh-CN"/>
              </w:rPr>
              <w:t>自然</w:t>
            </w:r>
            <w:r>
              <w:rPr>
                <w:rFonts w:hint="default" w:ascii="Times New Roman" w:hAnsi="Times New Roman" w:eastAsia="宋体" w:cs="Times New Roman"/>
                <w:color w:val="auto"/>
                <w:sz w:val="24"/>
                <w:szCs w:val="24"/>
              </w:rPr>
              <w:t>资源部、</w:t>
            </w:r>
            <w:r>
              <w:rPr>
                <w:rFonts w:hint="eastAsia" w:cs="Times New Roman"/>
                <w:color w:val="auto"/>
                <w:sz w:val="24"/>
                <w:szCs w:val="24"/>
                <w:lang w:eastAsia="zh-CN"/>
              </w:rPr>
              <w:t>国家发展和改革委员会、国家林业和草原局</w:t>
            </w:r>
            <w:r>
              <w:rPr>
                <w:rFonts w:hint="default" w:ascii="Times New Roman" w:hAnsi="Times New Roman" w:eastAsia="宋体" w:cs="Times New Roman"/>
                <w:color w:val="auto"/>
                <w:sz w:val="24"/>
                <w:szCs w:val="24"/>
              </w:rPr>
              <w:t>发布的《</w:t>
            </w:r>
            <w:r>
              <w:rPr>
                <w:rFonts w:hint="eastAsia" w:cs="Times New Roman"/>
                <w:color w:val="auto"/>
                <w:sz w:val="24"/>
                <w:szCs w:val="24"/>
                <w:lang w:eastAsia="zh-CN"/>
              </w:rPr>
              <w:t>自然资源要素支撑产业高质量发展指导目录（</w:t>
            </w:r>
            <w:r>
              <w:rPr>
                <w:rFonts w:hint="eastAsia" w:cs="Times New Roman"/>
                <w:color w:val="auto"/>
                <w:sz w:val="24"/>
                <w:szCs w:val="24"/>
                <w:lang w:val="en-US" w:eastAsia="zh-CN"/>
              </w:rPr>
              <w:t>2024年本</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r>
              <w:rPr>
                <w:rFonts w:hint="eastAsia" w:cs="Times New Roman"/>
                <w:color w:val="auto"/>
                <w:sz w:val="24"/>
                <w:szCs w:val="24"/>
                <w:lang w:eastAsia="zh-CN"/>
              </w:rPr>
              <w:t>中限制类、禁止类项目</w:t>
            </w:r>
            <w:r>
              <w:rPr>
                <w:rFonts w:hint="default" w:ascii="Times New Roman" w:hAnsi="Times New Roman" w:eastAsia="宋体" w:cs="Times New Roman"/>
                <w:color w:val="auto"/>
                <w:sz w:val="24"/>
                <w:szCs w:val="24"/>
              </w:rPr>
              <w:t>。</w:t>
            </w:r>
          </w:p>
          <w:p w14:paraId="152E4C39">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因此，本项目符合国家和地方产业政策</w:t>
            </w:r>
            <w:r>
              <w:rPr>
                <w:rFonts w:hint="default" w:ascii="Times New Roman" w:hAnsi="Times New Roman" w:cs="Times New Roman"/>
                <w:color w:val="auto"/>
                <w:sz w:val="24"/>
                <w:szCs w:val="24"/>
                <w:lang w:eastAsia="zh-CN"/>
              </w:rPr>
              <w:t>。</w:t>
            </w:r>
          </w:p>
          <w:p w14:paraId="7ED58E25">
            <w:pPr>
              <w:keepNext w:val="0"/>
              <w:keepLines w:val="0"/>
              <w:pageBreakBefore w:val="0"/>
              <w:widowControl w:val="0"/>
              <w:suppressLineNumbers w:val="0"/>
              <w:tabs>
                <w:tab w:val="left" w:pos="290"/>
              </w:tabs>
              <w:kinsoku/>
              <w:wordWrap/>
              <w:overflowPunct/>
              <w:topLinePunct w:val="0"/>
              <w:autoSpaceDE/>
              <w:autoSpaceDN/>
              <w:bidi w:val="0"/>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color w:val="auto"/>
                <w:sz w:val="24"/>
                <w:szCs w:val="24"/>
                <w:lang w:val="en-US" w:eastAsia="zh-CN"/>
              </w:rPr>
            </w:pPr>
            <w:r>
              <w:rPr>
                <w:rFonts w:hint="eastAsia" w:cs="Times New Roman"/>
                <w:b/>
                <w:bCs/>
                <w:color w:val="auto"/>
                <w:sz w:val="24"/>
                <w:szCs w:val="24"/>
                <w:lang w:val="en-US" w:eastAsia="zh-CN"/>
              </w:rPr>
              <w:t>3</w:t>
            </w:r>
            <w:r>
              <w:rPr>
                <w:rFonts w:hint="default" w:ascii="Times New Roman" w:hAnsi="Times New Roman" w:cs="Times New Roman"/>
                <w:b/>
                <w:bCs/>
                <w:color w:val="auto"/>
                <w:sz w:val="24"/>
                <w:szCs w:val="24"/>
                <w:lang w:val="en-US" w:eastAsia="zh-CN"/>
              </w:rPr>
              <w:t>、选址符合性分析</w:t>
            </w:r>
          </w:p>
          <w:p w14:paraId="71584A75">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cs="Times New Roman"/>
                <w:color w:val="auto"/>
                <w:sz w:val="24"/>
                <w:szCs w:val="20"/>
                <w:highlight w:val="none"/>
              </w:rPr>
              <w:t>本项目厂址选</w:t>
            </w:r>
            <w:r>
              <w:rPr>
                <w:rFonts w:hint="default" w:ascii="Times New Roman" w:hAnsi="Times New Roman" w:eastAsia="宋体" w:cs="Times New Roman"/>
                <w:color w:val="auto"/>
                <w:sz w:val="24"/>
                <w:szCs w:val="24"/>
              </w:rPr>
              <w:t>择在</w:t>
            </w:r>
            <w:r>
              <w:rPr>
                <w:rFonts w:hint="eastAsia" w:cs="Times New Roman"/>
                <w:color w:val="auto"/>
                <w:sz w:val="24"/>
                <w:szCs w:val="24"/>
                <w:lang w:val="en-US" w:eastAsia="zh-CN"/>
              </w:rPr>
              <w:t>安徽省淮南市潘集区珠江路北侧、武夷山路西侧</w:t>
            </w:r>
            <w:r>
              <w:rPr>
                <w:rFonts w:hint="default" w:ascii="Times New Roman" w:hAnsi="Times New Roman" w:eastAsia="宋体" w:cs="Times New Roman"/>
                <w:color w:val="auto"/>
                <w:sz w:val="24"/>
                <w:szCs w:val="24"/>
              </w:rPr>
              <w:t>，建设地点不位于饮用水源保护区范围内，本项目未被列入</w:t>
            </w:r>
            <w:r>
              <w:rPr>
                <w:rFonts w:hint="eastAsia" w:cs="Times New Roman"/>
                <w:color w:val="auto"/>
                <w:sz w:val="24"/>
                <w:szCs w:val="24"/>
                <w:lang w:eastAsia="zh-CN"/>
              </w:rPr>
              <w:t>自然</w:t>
            </w:r>
            <w:r>
              <w:rPr>
                <w:rFonts w:hint="default" w:ascii="Times New Roman" w:hAnsi="Times New Roman" w:eastAsia="宋体" w:cs="Times New Roman"/>
                <w:color w:val="auto"/>
                <w:sz w:val="24"/>
                <w:szCs w:val="24"/>
              </w:rPr>
              <w:t>资源部、</w:t>
            </w:r>
            <w:r>
              <w:rPr>
                <w:rFonts w:hint="eastAsia" w:cs="Times New Roman"/>
                <w:color w:val="auto"/>
                <w:sz w:val="24"/>
                <w:szCs w:val="24"/>
                <w:lang w:eastAsia="zh-CN"/>
              </w:rPr>
              <w:t>国家发展和改革委员会、国家林业和草原局</w:t>
            </w:r>
            <w:r>
              <w:rPr>
                <w:rFonts w:hint="default" w:ascii="Times New Roman" w:hAnsi="Times New Roman" w:eastAsia="宋体" w:cs="Times New Roman"/>
                <w:color w:val="auto"/>
                <w:sz w:val="24"/>
                <w:szCs w:val="24"/>
              </w:rPr>
              <w:t>发布的《</w:t>
            </w:r>
            <w:r>
              <w:rPr>
                <w:rFonts w:hint="eastAsia" w:cs="Times New Roman"/>
                <w:color w:val="auto"/>
                <w:sz w:val="24"/>
                <w:szCs w:val="24"/>
                <w:lang w:eastAsia="zh-CN"/>
              </w:rPr>
              <w:t>自然资源要素支撑产业高质量发展指导目录（</w:t>
            </w:r>
            <w:r>
              <w:rPr>
                <w:rFonts w:hint="eastAsia" w:cs="Times New Roman"/>
                <w:color w:val="auto"/>
                <w:sz w:val="24"/>
                <w:szCs w:val="24"/>
                <w:lang w:val="en-US" w:eastAsia="zh-CN"/>
              </w:rPr>
              <w:t>2024年本</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r>
              <w:rPr>
                <w:rFonts w:hint="eastAsia" w:cs="Times New Roman"/>
                <w:color w:val="auto"/>
                <w:sz w:val="24"/>
                <w:szCs w:val="24"/>
                <w:lang w:eastAsia="zh-CN"/>
              </w:rPr>
              <w:t>中限制类、禁止类项目</w:t>
            </w:r>
            <w:r>
              <w:rPr>
                <w:rFonts w:hint="default" w:ascii="Times New Roman" w:hAnsi="Times New Roman" w:eastAsia="宋体" w:cs="Times New Roman"/>
                <w:color w:val="auto"/>
                <w:sz w:val="24"/>
                <w:szCs w:val="24"/>
              </w:rPr>
              <w:t>，并由</w:t>
            </w:r>
            <w:r>
              <w:rPr>
                <w:rFonts w:hint="eastAsia" w:cs="Times New Roman"/>
                <w:color w:val="auto"/>
                <w:sz w:val="24"/>
                <w:szCs w:val="24"/>
                <w:lang w:val="en-US" w:eastAsia="zh-CN"/>
              </w:rPr>
              <w:t>淮南市潘集区发展和改革委员会</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项目代码</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2604-340406-04-01-310972</w:t>
            </w:r>
            <w:r>
              <w:rPr>
                <w:rFonts w:hint="default" w:ascii="Times New Roman" w:hAnsi="Times New Roman" w:eastAsia="宋体" w:cs="Times New Roman"/>
                <w:color w:val="auto"/>
                <w:sz w:val="24"/>
                <w:szCs w:val="24"/>
              </w:rPr>
              <w:t>）予以备案</w:t>
            </w:r>
            <w:r>
              <w:rPr>
                <w:rFonts w:hint="eastAsia" w:cs="Times New Roman"/>
                <w:color w:val="auto"/>
                <w:sz w:val="24"/>
                <w:szCs w:val="24"/>
                <w:lang w:eastAsia="zh-CN"/>
              </w:rPr>
              <w:t>。</w:t>
            </w:r>
            <w:r>
              <w:rPr>
                <w:rFonts w:hint="eastAsia" w:ascii="Times New Roman" w:hAnsi="Times New Roman" w:eastAsia="宋体" w:cs="Times New Roman"/>
                <w:color w:val="auto"/>
                <w:sz w:val="24"/>
                <w:szCs w:val="24"/>
                <w:lang w:val="en-US" w:eastAsia="zh-CN"/>
              </w:rPr>
              <w:t>根据</w:t>
            </w:r>
            <w:r>
              <w:rPr>
                <w:rFonts w:hint="eastAsia" w:cs="Times New Roman"/>
                <w:b w:val="0"/>
                <w:bCs w:val="0"/>
                <w:color w:val="auto"/>
                <w:kern w:val="2"/>
                <w:sz w:val="24"/>
                <w:szCs w:val="24"/>
                <w:highlight w:val="none"/>
                <w:lang w:val="en-US" w:eastAsia="zh-CN" w:bidi="ar-SA"/>
              </w:rPr>
              <w:t>建设单位提供的土地证（详见附件）</w:t>
            </w:r>
            <w:r>
              <w:rPr>
                <w:rFonts w:hint="eastAsia" w:ascii="Times New Roman" w:hAnsi="Times New Roman" w:eastAsia="宋体" w:cs="Times New Roman"/>
                <w:color w:val="auto"/>
                <w:sz w:val="24"/>
                <w:szCs w:val="24"/>
                <w:lang w:val="en-US" w:eastAsia="zh-CN"/>
              </w:rPr>
              <w:t>，项目用地为</w:t>
            </w:r>
            <w:r>
              <w:rPr>
                <w:rFonts w:hint="eastAsia" w:cs="Times New Roman"/>
                <w:b w:val="0"/>
                <w:bCs w:val="0"/>
                <w:color w:val="auto"/>
                <w:sz w:val="24"/>
                <w:szCs w:val="24"/>
                <w:lang w:val="en-US" w:eastAsia="zh-CN"/>
              </w:rPr>
              <w:t>医卫慈善用地</w:t>
            </w:r>
            <w:r>
              <w:rPr>
                <w:rFonts w:hint="default" w:ascii="Times New Roman" w:hAnsi="Times New Roman" w:eastAsia="宋体" w:cs="Times New Roman"/>
                <w:color w:val="auto"/>
                <w:sz w:val="24"/>
                <w:szCs w:val="24"/>
              </w:rPr>
              <w:t>。因此项目用地符合当地用地规划。</w:t>
            </w:r>
          </w:p>
          <w:p w14:paraId="1AF8A605">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本项目主要</w:t>
            </w:r>
            <w:r>
              <w:rPr>
                <w:rFonts w:hint="eastAsia" w:cs="Times New Roman"/>
                <w:color w:val="auto"/>
                <w:sz w:val="24"/>
                <w:szCs w:val="24"/>
                <w:lang w:val="en-US" w:eastAsia="zh-CN"/>
              </w:rPr>
              <w:t>为</w:t>
            </w:r>
            <w:r>
              <w:rPr>
                <w:rFonts w:hint="eastAsia" w:cs="Times New Roman"/>
                <w:color w:val="auto"/>
                <w:sz w:val="24"/>
                <w:szCs w:val="24"/>
                <w:lang w:eastAsia="zh-CN"/>
              </w:rPr>
              <w:t>综合医院项目</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位于</w:t>
            </w:r>
            <w:r>
              <w:rPr>
                <w:rFonts w:hint="eastAsia" w:cs="Times New Roman"/>
                <w:color w:val="auto"/>
                <w:sz w:val="24"/>
                <w:szCs w:val="24"/>
                <w:lang w:val="en-US" w:eastAsia="zh-CN"/>
              </w:rPr>
              <w:t>安徽省淮南市潘集区珠江路北侧、武夷山路西侧</w:t>
            </w:r>
            <w:r>
              <w:rPr>
                <w:rFonts w:hint="default" w:ascii="Times New Roman" w:hAnsi="Times New Roman" w:eastAsia="宋体" w:cs="Times New Roman"/>
                <w:color w:val="auto"/>
                <w:sz w:val="24"/>
                <w:szCs w:val="24"/>
                <w:lang w:val="en-US" w:eastAsia="zh-CN"/>
              </w:rPr>
              <w:t>，项目厂区</w:t>
            </w:r>
            <w:r>
              <w:rPr>
                <w:rFonts w:hint="eastAsia" w:ascii="Times New Roman" w:hAnsi="Times New Roman" w:eastAsia="宋体" w:cs="Times New Roman"/>
                <w:color w:val="auto"/>
                <w:sz w:val="24"/>
                <w:szCs w:val="24"/>
                <w:lang w:val="en-US" w:eastAsia="zh-CN"/>
              </w:rPr>
              <w:t>东</w:t>
            </w:r>
            <w:r>
              <w:rPr>
                <w:rFonts w:hint="eastAsia" w:cs="Times New Roman"/>
                <w:color w:val="auto"/>
                <w:sz w:val="24"/>
                <w:szCs w:val="24"/>
                <w:lang w:val="en-US" w:eastAsia="zh-CN"/>
              </w:rPr>
              <w:t>侧</w:t>
            </w:r>
            <w:r>
              <w:rPr>
                <w:rFonts w:hint="eastAsia" w:ascii="Times New Roman" w:hAnsi="Times New Roman" w:eastAsia="宋体" w:cs="Times New Roman"/>
                <w:color w:val="auto"/>
                <w:sz w:val="24"/>
                <w:szCs w:val="24"/>
                <w:lang w:val="en-US" w:eastAsia="zh-CN"/>
              </w:rPr>
              <w:t>为</w:t>
            </w:r>
            <w:r>
              <w:rPr>
                <w:rFonts w:hint="eastAsia" w:cs="Times New Roman"/>
                <w:color w:val="auto"/>
                <w:sz w:val="24"/>
                <w:szCs w:val="24"/>
                <w:lang w:val="en-US" w:eastAsia="zh-CN"/>
              </w:rPr>
              <w:t>泰府名邸</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南侧为</w:t>
            </w:r>
            <w:r>
              <w:rPr>
                <w:rFonts w:hint="eastAsia" w:cs="Times New Roman"/>
                <w:color w:val="auto"/>
                <w:sz w:val="24"/>
                <w:szCs w:val="24"/>
                <w:lang w:val="en-US" w:eastAsia="zh-CN"/>
              </w:rPr>
              <w:t>淮南市潘集区城市管理行政执法局</w:t>
            </w:r>
            <w:r>
              <w:rPr>
                <w:rFonts w:hint="eastAsia" w:ascii="Times New Roman" w:hAnsi="Times New Roman" w:eastAsia="宋体" w:cs="Times New Roman"/>
                <w:color w:val="auto"/>
                <w:sz w:val="24"/>
                <w:szCs w:val="24"/>
                <w:lang w:val="en-US" w:eastAsia="zh-CN"/>
              </w:rPr>
              <w:t>，西侧为</w:t>
            </w:r>
            <w:r>
              <w:rPr>
                <w:rFonts w:hint="eastAsia" w:cs="Times New Roman"/>
                <w:color w:val="auto"/>
                <w:sz w:val="24"/>
                <w:szCs w:val="24"/>
                <w:lang w:val="en-US" w:eastAsia="zh-CN"/>
              </w:rPr>
              <w:t>万盛阳光农贸市场</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北</w:t>
            </w:r>
            <w:r>
              <w:rPr>
                <w:rFonts w:hint="eastAsia" w:ascii="Times New Roman" w:hAnsi="Times New Roman" w:eastAsia="宋体" w:cs="Times New Roman"/>
                <w:color w:val="auto"/>
                <w:sz w:val="24"/>
                <w:szCs w:val="24"/>
                <w:lang w:val="en-US" w:eastAsia="zh-CN"/>
              </w:rPr>
              <w:t>侧为</w:t>
            </w:r>
            <w:r>
              <w:rPr>
                <w:rFonts w:hint="eastAsia" w:cs="Times New Roman"/>
                <w:color w:val="auto"/>
                <w:sz w:val="24"/>
                <w:szCs w:val="24"/>
                <w:lang w:val="en-US" w:eastAsia="zh-CN"/>
              </w:rPr>
              <w:t>潘集区妇幼保健所。</w:t>
            </w:r>
            <w:r>
              <w:rPr>
                <w:rFonts w:hint="default" w:ascii="Times New Roman" w:hAnsi="Times New Roman" w:eastAsia="宋体" w:cs="Times New Roman"/>
                <w:color w:val="auto"/>
                <w:kern w:val="0"/>
                <w:sz w:val="24"/>
                <w:szCs w:val="24"/>
                <w:lang w:val="en-US" w:eastAsia="zh-CN" w:bidi="ar"/>
              </w:rPr>
              <w:t>项目评价范围内无自然保护区、风景名胜区、文化遗产保护区、世界文化自然遗产和森林公园、地质公园、湿地公园等保护地以及饮用水水源保护区，评价范围内无明显环境制约因素</w:t>
            </w:r>
            <w:r>
              <w:rPr>
                <w:rFonts w:hint="default" w:ascii="Times New Roman" w:hAnsi="Times New Roman" w:eastAsia="宋体" w:cs="Times New Roman"/>
                <w:color w:val="auto"/>
                <w:sz w:val="24"/>
                <w:szCs w:val="24"/>
              </w:rPr>
              <w:t>。项目排放的废水、废气、固废、噪声均能得到有效的处理处置，对周边的环境影响较小，因此项目选址合理</w:t>
            </w:r>
            <w:r>
              <w:rPr>
                <w:rFonts w:hint="default" w:ascii="Times New Roman" w:hAnsi="Times New Roman" w:eastAsia="宋体" w:cs="Times New Roman"/>
                <w:color w:val="auto"/>
                <w:sz w:val="24"/>
                <w:szCs w:val="24"/>
                <w:lang w:val="en-US" w:eastAsia="zh-CN"/>
              </w:rPr>
              <w:t>。</w:t>
            </w:r>
          </w:p>
          <w:p w14:paraId="2DA9356F">
            <w:pPr>
              <w:pStyle w:val="4"/>
              <w:keepNext w:val="0"/>
              <w:keepLines w:val="0"/>
              <w:numPr>
                <w:ilvl w:val="2"/>
                <w:numId w:val="0"/>
              </w:numPr>
              <w:spacing w:before="0" w:after="0" w:line="360" w:lineRule="auto"/>
              <w:ind w:firstLine="482" w:firstLineChars="200"/>
              <w:rPr>
                <w:sz w:val="24"/>
                <w:szCs w:val="24"/>
              </w:rPr>
            </w:pPr>
            <w:r>
              <w:rPr>
                <w:rFonts w:hint="eastAsia" w:cs="Times New Roman"/>
                <w:b/>
                <w:bCs/>
                <w:color w:val="auto"/>
                <w:sz w:val="24"/>
                <w:szCs w:val="24"/>
                <w:lang w:val="en-US" w:eastAsia="zh-CN"/>
              </w:rPr>
              <w:t>4、</w:t>
            </w:r>
            <w:r>
              <w:rPr>
                <w:sz w:val="24"/>
                <w:szCs w:val="24"/>
              </w:rPr>
              <w:t>与《安徽省淮河流域水污染防治条例》的相符性</w:t>
            </w:r>
          </w:p>
          <w:p w14:paraId="3F6B7CBC">
            <w:pPr>
              <w:pStyle w:val="11"/>
              <w:snapToGrid/>
              <w:spacing w:before="0" w:after="0" w:line="360" w:lineRule="auto"/>
              <w:ind w:right="0" w:firstLine="480" w:firstLineChars="200"/>
              <w:rPr>
                <w:bCs/>
                <w:sz w:val="24"/>
              </w:rPr>
            </w:pPr>
            <w:r>
              <w:rPr>
                <w:kern w:val="2"/>
                <w:sz w:val="24"/>
                <w:szCs w:val="24"/>
              </w:rPr>
              <w:t>本项目与《安徽省淮河流域水污染防治条例》有关要求进行相符性分析，具体见下表。</w:t>
            </w:r>
          </w:p>
          <w:p w14:paraId="4F88798D">
            <w:pPr>
              <w:pStyle w:val="92"/>
              <w:keepNext w:val="0"/>
              <w:keepLines/>
              <w:pageBreakBefore w:val="0"/>
              <w:widowControl w:val="0"/>
              <w:kinsoku/>
              <w:wordWrap/>
              <w:overflowPunct/>
              <w:topLinePunct w:val="0"/>
              <w:autoSpaceDE/>
              <w:autoSpaceDN/>
              <w:bidi w:val="0"/>
              <w:adjustRightInd/>
              <w:snapToGrid/>
              <w:spacing w:line="240" w:lineRule="auto"/>
              <w:ind w:firstLine="0" w:firstLineChars="0"/>
              <w:textAlignment w:val="auto"/>
              <w:rPr>
                <w:bCs/>
                <w:sz w:val="24"/>
              </w:rPr>
            </w:pPr>
            <w:r>
              <w:rPr>
                <w:bCs/>
                <w:sz w:val="24"/>
              </w:rPr>
              <w:t>表1-</w:t>
            </w:r>
            <w:r>
              <w:rPr>
                <w:rFonts w:hint="eastAsia"/>
                <w:bCs/>
                <w:sz w:val="24"/>
                <w:lang w:val="en-US" w:eastAsia="zh-CN"/>
              </w:rPr>
              <w:t>2</w:t>
            </w:r>
            <w:r>
              <w:rPr>
                <w:bCs/>
                <w:sz w:val="24"/>
              </w:rPr>
              <w:t xml:space="preserve">  与《安徽省淮河流域水污染防治条例》相符性分析</w:t>
            </w:r>
          </w:p>
          <w:tbl>
            <w:tblPr>
              <w:tblStyle w:val="2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8"/>
              <w:gridCol w:w="3084"/>
            </w:tblGrid>
            <w:tr w14:paraId="10D5B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990" w:type="pct"/>
                  <w:vAlign w:val="center"/>
                </w:tcPr>
                <w:p w14:paraId="3823CFC3">
                  <w:pPr>
                    <w:pStyle w:val="88"/>
                    <w:adjustRightInd/>
                    <w:textAlignment w:val="auto"/>
                    <w:rPr>
                      <w:b/>
                      <w:bCs/>
                    </w:rPr>
                  </w:pPr>
                  <w:r>
                    <w:rPr>
                      <w:b/>
                      <w:bCs/>
                    </w:rPr>
                    <w:t>安徽省淮河流域水污染防治条例相关要求</w:t>
                  </w:r>
                </w:p>
              </w:tc>
              <w:tc>
                <w:tcPr>
                  <w:tcW w:w="2009" w:type="pct"/>
                  <w:vAlign w:val="center"/>
                </w:tcPr>
                <w:p w14:paraId="0E84D312">
                  <w:pPr>
                    <w:pStyle w:val="88"/>
                    <w:adjustRightInd/>
                    <w:textAlignment w:val="auto"/>
                    <w:rPr>
                      <w:b/>
                      <w:bCs/>
                    </w:rPr>
                  </w:pPr>
                  <w:r>
                    <w:rPr>
                      <w:b/>
                      <w:bCs/>
                    </w:rPr>
                    <w:t>本项目情况</w:t>
                  </w:r>
                </w:p>
              </w:tc>
            </w:tr>
            <w:tr w14:paraId="3E9BF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0" w:type="pct"/>
                  <w:vAlign w:val="center"/>
                </w:tcPr>
                <w:p w14:paraId="4C81CD3E">
                  <w:pPr>
                    <w:pStyle w:val="21"/>
                    <w:spacing w:after="0" w:line="240" w:lineRule="auto"/>
                    <w:ind w:firstLine="210" w:firstLineChars="100"/>
                    <w:jc w:val="center"/>
                    <w:rPr>
                      <w:bCs/>
                      <w:szCs w:val="21"/>
                    </w:rPr>
                  </w:pPr>
                  <w:r>
                    <w:rPr>
                      <w:bCs/>
                      <w:szCs w:val="21"/>
                    </w:rPr>
                    <w:t>第十三条　禁止在淮河流域新建化学制浆造纸企业和印染、制革、化工、电镀、酿造等污染严重的小型企业。</w:t>
                  </w:r>
                </w:p>
                <w:p w14:paraId="2EF0E241">
                  <w:pPr>
                    <w:pStyle w:val="21"/>
                    <w:spacing w:after="0" w:line="240" w:lineRule="auto"/>
                    <w:ind w:firstLine="210" w:firstLineChars="100"/>
                    <w:jc w:val="center"/>
                    <w:rPr>
                      <w:bCs/>
                      <w:szCs w:val="21"/>
                    </w:rPr>
                  </w:pPr>
                  <w:r>
                    <w:rPr>
                      <w:bCs/>
                      <w:szCs w:val="21"/>
                    </w:rPr>
                    <w:t>严格限制在淮河流域新建印染、制革、化工、电镀、酿造等大中型项目或者其他污染严重的项目；建设该类项目的，应当事前征得省人民政府生态环境行政主管部门的同意，并按照规定办理有关手续。</w:t>
                  </w:r>
                </w:p>
              </w:tc>
              <w:tc>
                <w:tcPr>
                  <w:tcW w:w="2009" w:type="pct"/>
                  <w:vAlign w:val="center"/>
                </w:tcPr>
                <w:p w14:paraId="72048F99">
                  <w:pPr>
                    <w:pStyle w:val="21"/>
                    <w:spacing w:after="0" w:line="240" w:lineRule="auto"/>
                    <w:ind w:firstLine="211" w:firstLineChars="100"/>
                    <w:jc w:val="center"/>
                    <w:rPr>
                      <w:szCs w:val="21"/>
                    </w:rPr>
                  </w:pPr>
                  <w:r>
                    <w:rPr>
                      <w:b/>
                      <w:szCs w:val="21"/>
                    </w:rPr>
                    <w:t>符合条例规定。</w:t>
                  </w:r>
                  <w:r>
                    <w:rPr>
                      <w:szCs w:val="21"/>
                    </w:rPr>
                    <w:t>本项目为</w:t>
                  </w:r>
                  <w:r>
                    <w:rPr>
                      <w:rFonts w:hint="eastAsia"/>
                      <w:szCs w:val="21"/>
                      <w:lang w:eastAsia="zh-CN"/>
                    </w:rPr>
                    <w:t>扩建</w:t>
                  </w:r>
                  <w:r>
                    <w:rPr>
                      <w:szCs w:val="21"/>
                    </w:rPr>
                    <w:t>项目，属于“</w:t>
                  </w:r>
                  <w:r>
                    <w:rPr>
                      <w:rFonts w:hint="eastAsia"/>
                      <w:szCs w:val="21"/>
                      <w:lang w:eastAsia="zh-CN"/>
                    </w:rPr>
                    <w:t>Q8411综合医院</w:t>
                  </w:r>
                  <w:r>
                    <w:rPr>
                      <w:szCs w:val="21"/>
                    </w:rPr>
                    <w:t>”，不属于新建化学制浆造纸企业和印染、制革、化工、电镀、酿造等污染严重的小型企业，不属于新建印染、制革、化工、电镀、酿造等大中型项目或者其他污染严重的项目。</w:t>
                  </w:r>
                </w:p>
              </w:tc>
            </w:tr>
            <w:tr w14:paraId="41346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0" w:type="pct"/>
                  <w:vAlign w:val="center"/>
                </w:tcPr>
                <w:p w14:paraId="22ADAC2C">
                  <w:pPr>
                    <w:pStyle w:val="21"/>
                    <w:spacing w:after="0" w:line="240" w:lineRule="auto"/>
                    <w:ind w:firstLine="210" w:firstLineChars="100"/>
                    <w:jc w:val="center"/>
                    <w:rPr>
                      <w:bCs/>
                      <w:color w:val="auto"/>
                      <w:sz w:val="21"/>
                      <w:szCs w:val="21"/>
                    </w:rPr>
                  </w:pPr>
                  <w:r>
                    <w:rPr>
                      <w:bCs/>
                      <w:color w:val="auto"/>
                      <w:sz w:val="21"/>
                      <w:szCs w:val="21"/>
                    </w:rPr>
                    <w:t>第十四条　新建、改建、扩建直接或者间接向水体排放污染物的建设项目和其他水上设施，应当依法进行环境影响评价。建设项目的水污染防治设施，应当符合经批准或者备案的环境影响评价文件的要求，并与主体工程同时设计、同时施工、同时投入使用。</w:t>
                  </w:r>
                </w:p>
                <w:p w14:paraId="5353B6F5">
                  <w:pPr>
                    <w:pStyle w:val="21"/>
                    <w:spacing w:after="0" w:line="240" w:lineRule="auto"/>
                    <w:ind w:firstLine="210" w:firstLineChars="100"/>
                    <w:jc w:val="center"/>
                    <w:rPr>
                      <w:bCs/>
                      <w:color w:val="auto"/>
                      <w:sz w:val="21"/>
                      <w:szCs w:val="21"/>
                    </w:rPr>
                  </w:pPr>
                  <w:r>
                    <w:rPr>
                      <w:bCs/>
                      <w:color w:val="auto"/>
                      <w:sz w:val="21"/>
                      <w:szCs w:val="21"/>
                    </w:rPr>
                    <w:t>新建、扩建、改建项目，除执行前款规定外，还应当遵守下列规定：</w:t>
                  </w:r>
                </w:p>
                <w:p w14:paraId="7022C30B">
                  <w:pPr>
                    <w:pStyle w:val="21"/>
                    <w:spacing w:after="0" w:line="240" w:lineRule="auto"/>
                    <w:ind w:firstLine="210" w:firstLineChars="100"/>
                    <w:jc w:val="center"/>
                    <w:rPr>
                      <w:bCs/>
                      <w:color w:val="auto"/>
                      <w:sz w:val="21"/>
                      <w:szCs w:val="21"/>
                    </w:rPr>
                  </w:pPr>
                  <w:r>
                    <w:rPr>
                      <w:bCs/>
                      <w:color w:val="auto"/>
                      <w:sz w:val="21"/>
                      <w:szCs w:val="21"/>
                    </w:rPr>
                    <w:t>（一）新建项目的选址应符合城市总体规划，避开饮用水水源地和对环境有特殊要求的功能区；</w:t>
                  </w:r>
                </w:p>
                <w:p w14:paraId="5FFFF537">
                  <w:pPr>
                    <w:pStyle w:val="21"/>
                    <w:spacing w:after="0" w:line="240" w:lineRule="auto"/>
                    <w:ind w:firstLine="210" w:firstLineChars="100"/>
                    <w:jc w:val="center"/>
                    <w:rPr>
                      <w:bCs/>
                      <w:color w:val="auto"/>
                      <w:sz w:val="21"/>
                      <w:szCs w:val="21"/>
                    </w:rPr>
                  </w:pPr>
                  <w:r>
                    <w:rPr>
                      <w:bCs/>
                      <w:color w:val="auto"/>
                      <w:sz w:val="21"/>
                      <w:szCs w:val="21"/>
                    </w:rPr>
                    <w:t>（二）采用资源利用率高、污染物排放量少的先进设备和先进工艺；</w:t>
                  </w:r>
                </w:p>
                <w:p w14:paraId="4C8B3EE4">
                  <w:pPr>
                    <w:pStyle w:val="21"/>
                    <w:spacing w:after="0" w:line="240" w:lineRule="auto"/>
                    <w:ind w:firstLine="210" w:firstLineChars="100"/>
                    <w:jc w:val="center"/>
                    <w:rPr>
                      <w:bCs/>
                      <w:color w:val="auto"/>
                      <w:sz w:val="21"/>
                      <w:szCs w:val="21"/>
                    </w:rPr>
                  </w:pPr>
                  <w:r>
                    <w:rPr>
                      <w:bCs/>
                      <w:color w:val="auto"/>
                      <w:sz w:val="21"/>
                      <w:szCs w:val="21"/>
                    </w:rPr>
                    <w:t>（三）改建、扩建项目和技改项目应当把水污染治理纳入项目内容。</w:t>
                  </w:r>
                </w:p>
                <w:p w14:paraId="0510A122">
                  <w:pPr>
                    <w:pStyle w:val="21"/>
                    <w:spacing w:after="0" w:line="240" w:lineRule="auto"/>
                    <w:ind w:firstLine="210" w:firstLineChars="100"/>
                    <w:jc w:val="center"/>
                    <w:rPr>
                      <w:bCs/>
                      <w:color w:val="auto"/>
                      <w:sz w:val="21"/>
                      <w:szCs w:val="21"/>
                    </w:rPr>
                  </w:pPr>
                  <w:r>
                    <w:rPr>
                      <w:bCs/>
                      <w:color w:val="auto"/>
                      <w:sz w:val="21"/>
                      <w:szCs w:val="21"/>
                    </w:rPr>
                    <w:t>工程配套建设的水污染防治设施竣工后，建设单位应当按照国务院生态环境行政主管部门规定的标准和程序进行验收。验收合格后，方可投入使用；未经验收或者验收不合格的，不得投入生产或者使用。</w:t>
                  </w:r>
                </w:p>
              </w:tc>
              <w:tc>
                <w:tcPr>
                  <w:tcW w:w="2009" w:type="pct"/>
                  <w:vAlign w:val="center"/>
                </w:tcPr>
                <w:p w14:paraId="56E510B3">
                  <w:pPr>
                    <w:pStyle w:val="21"/>
                    <w:spacing w:after="0" w:line="240" w:lineRule="auto"/>
                    <w:ind w:firstLine="211" w:firstLineChars="100"/>
                    <w:jc w:val="center"/>
                    <w:rPr>
                      <w:color w:val="auto"/>
                      <w:sz w:val="21"/>
                      <w:szCs w:val="21"/>
                    </w:rPr>
                  </w:pPr>
                  <w:r>
                    <w:rPr>
                      <w:b/>
                      <w:color w:val="auto"/>
                      <w:sz w:val="21"/>
                      <w:szCs w:val="21"/>
                    </w:rPr>
                    <w:t>符合条例规定。</w:t>
                  </w:r>
                  <w:r>
                    <w:rPr>
                      <w:rFonts w:hint="eastAsia"/>
                      <w:bCs/>
                      <w:color w:val="auto"/>
                      <w:sz w:val="21"/>
                      <w:szCs w:val="21"/>
                    </w:rPr>
                    <w:t>本</w:t>
                  </w:r>
                  <w:r>
                    <w:rPr>
                      <w:rFonts w:hint="eastAsia" w:cs="Times New Roman"/>
                      <w:color w:val="auto"/>
                      <w:sz w:val="21"/>
                      <w:szCs w:val="21"/>
                      <w:highlight w:val="none"/>
                      <w:lang w:val="en-US" w:eastAsia="zh-CN"/>
                    </w:rPr>
                    <w:t>项目位于安徽省淮南市潘集区珠江路北侧、武夷山路西侧，本项目所在地污水管网已铺设到位，</w:t>
                  </w:r>
                  <w:r>
                    <w:rPr>
                      <w:rFonts w:hint="eastAsia" w:cs="Times New Roman"/>
                      <w:color w:val="auto"/>
                      <w:kern w:val="0"/>
                      <w:sz w:val="21"/>
                      <w:szCs w:val="21"/>
                      <w:lang w:val="en-US" w:eastAsia="zh-CN"/>
                    </w:rPr>
                    <w:t>项目</w:t>
                  </w:r>
                  <w:r>
                    <w:rPr>
                      <w:rFonts w:hint="eastAsia" w:ascii="Times New Roman" w:hAnsi="Times New Roman" w:eastAsia="宋体" w:cs="Times New Roman"/>
                      <w:color w:val="auto"/>
                      <w:kern w:val="0"/>
                      <w:sz w:val="21"/>
                      <w:szCs w:val="21"/>
                      <w:lang w:val="en-US" w:eastAsia="zh-CN" w:bidi="ar-SA"/>
                    </w:rPr>
                    <w:t>食堂废水</w:t>
                  </w:r>
                  <w:r>
                    <w:rPr>
                      <w:rFonts w:hint="eastAsia" w:cs="Times New Roman"/>
                      <w:color w:val="auto"/>
                      <w:kern w:val="0"/>
                      <w:sz w:val="21"/>
                      <w:szCs w:val="21"/>
                      <w:lang w:val="en-US" w:eastAsia="zh-CN" w:bidi="ar-SA"/>
                    </w:rPr>
                    <w:t>经隔油池预处理后汇同</w:t>
                  </w:r>
                  <w:r>
                    <w:rPr>
                      <w:rFonts w:hint="eastAsia" w:ascii="Times New Roman" w:hAnsi="Times New Roman" w:eastAsia="宋体" w:cs="Times New Roman"/>
                      <w:color w:val="auto"/>
                      <w:kern w:val="0"/>
                      <w:sz w:val="21"/>
                      <w:szCs w:val="21"/>
                      <w:lang w:val="en-US" w:eastAsia="zh-CN" w:bidi="ar-SA"/>
                    </w:rPr>
                    <w:t>生活污水</w:t>
                  </w:r>
                  <w:r>
                    <w:rPr>
                      <w:rFonts w:hint="eastAsia" w:cs="Times New Roman"/>
                      <w:color w:val="auto"/>
                      <w:kern w:val="0"/>
                      <w:sz w:val="21"/>
                      <w:szCs w:val="21"/>
                      <w:lang w:val="en-US" w:eastAsia="zh-CN" w:bidi="ar-SA"/>
                    </w:rPr>
                    <w:t>一起</w:t>
                  </w:r>
                  <w:r>
                    <w:rPr>
                      <w:rFonts w:hint="eastAsia" w:ascii="Times New Roman" w:hAnsi="Times New Roman" w:eastAsia="宋体" w:cs="Times New Roman"/>
                      <w:color w:val="auto"/>
                      <w:kern w:val="0"/>
                      <w:sz w:val="21"/>
                      <w:szCs w:val="21"/>
                      <w:lang w:val="en-US" w:eastAsia="zh-CN" w:bidi="ar-SA"/>
                    </w:rPr>
                    <w:t>经化粪池处理后进入厂区</w:t>
                  </w:r>
                  <w:r>
                    <w:rPr>
                      <w:rFonts w:hint="eastAsia" w:cs="Times New Roman"/>
                      <w:color w:val="auto"/>
                      <w:kern w:val="0"/>
                      <w:sz w:val="21"/>
                      <w:szCs w:val="21"/>
                      <w:lang w:val="en-US" w:eastAsia="zh-CN" w:bidi="ar-SA"/>
                    </w:rPr>
                    <w:t>污水处理站</w:t>
                  </w:r>
                  <w:r>
                    <w:rPr>
                      <w:rFonts w:hint="eastAsia" w:ascii="Times New Roman" w:hAnsi="Times New Roman" w:eastAsia="宋体" w:cs="Times New Roman"/>
                      <w:color w:val="auto"/>
                      <w:kern w:val="0"/>
                      <w:sz w:val="21"/>
                      <w:szCs w:val="21"/>
                      <w:lang w:val="en-US" w:eastAsia="zh-CN" w:bidi="ar-SA"/>
                    </w:rPr>
                    <w:t>处理后，排入市政污水管网进入</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处理；</w:t>
                  </w:r>
                  <w:r>
                    <w:rPr>
                      <w:rFonts w:hint="eastAsia" w:cs="Times New Roman"/>
                      <w:color w:val="auto"/>
                      <w:kern w:val="0"/>
                      <w:sz w:val="21"/>
                      <w:szCs w:val="21"/>
                      <w:lang w:val="en-US" w:eastAsia="zh-CN" w:bidi="ar-SA"/>
                    </w:rPr>
                    <w:t>住院病床废水、医疗器械洗消废水直接进入</w:t>
                  </w:r>
                  <w:r>
                    <w:rPr>
                      <w:rFonts w:hint="eastAsia" w:ascii="Times New Roman" w:hAnsi="Times New Roman" w:eastAsia="宋体" w:cs="Times New Roman"/>
                      <w:color w:val="auto"/>
                      <w:kern w:val="0"/>
                      <w:sz w:val="21"/>
                      <w:szCs w:val="21"/>
                      <w:lang w:val="en-US" w:eastAsia="zh-CN" w:bidi="ar-SA"/>
                    </w:rPr>
                    <w:t>厂区</w:t>
                  </w:r>
                  <w:r>
                    <w:rPr>
                      <w:rFonts w:hint="eastAsia" w:cs="Times New Roman"/>
                      <w:color w:val="auto"/>
                      <w:kern w:val="0"/>
                      <w:sz w:val="21"/>
                      <w:szCs w:val="21"/>
                      <w:lang w:val="en-US" w:eastAsia="zh-CN" w:bidi="ar-SA"/>
                    </w:rPr>
                    <w:t>污水处理站</w:t>
                  </w:r>
                  <w:r>
                    <w:rPr>
                      <w:rFonts w:hint="eastAsia" w:ascii="Times New Roman" w:hAnsi="Times New Roman" w:eastAsia="宋体" w:cs="Times New Roman"/>
                      <w:color w:val="auto"/>
                      <w:kern w:val="0"/>
                      <w:sz w:val="21"/>
                      <w:szCs w:val="21"/>
                      <w:lang w:val="en-US" w:eastAsia="zh-CN" w:bidi="ar-SA"/>
                    </w:rPr>
                    <w:t>处理后，排入市政污水管网进入</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处理</w:t>
                  </w:r>
                  <w:r>
                    <w:rPr>
                      <w:rFonts w:hint="eastAsia" w:cs="Times New Roman"/>
                      <w:color w:val="auto"/>
                      <w:kern w:val="0"/>
                      <w:sz w:val="21"/>
                      <w:szCs w:val="21"/>
                      <w:lang w:val="en-US" w:eastAsia="zh-CN" w:bidi="ar-SA"/>
                    </w:rPr>
                    <w:t>；蒸汽发生器浓水和纯水制备浓水直接由厂区污水总排口</w:t>
                  </w:r>
                  <w:r>
                    <w:rPr>
                      <w:rFonts w:hint="eastAsia" w:ascii="Times New Roman" w:hAnsi="Times New Roman" w:eastAsia="宋体" w:cs="Times New Roman"/>
                      <w:color w:val="auto"/>
                      <w:kern w:val="0"/>
                      <w:sz w:val="21"/>
                      <w:szCs w:val="21"/>
                      <w:lang w:val="en-US" w:eastAsia="zh-CN" w:bidi="ar-SA"/>
                    </w:rPr>
                    <w:t>排入市政污水管网进入</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处理</w:t>
                  </w:r>
                  <w:r>
                    <w:rPr>
                      <w:rFonts w:ascii="Times New Roman" w:hAnsi="Times New Roman" w:eastAsia="宋体" w:cs="Times New Roman"/>
                      <w:bCs/>
                      <w:color w:val="auto"/>
                      <w:kern w:val="2"/>
                      <w:sz w:val="21"/>
                      <w:szCs w:val="21"/>
                      <w:lang w:val="en-US" w:eastAsia="zh-CN" w:bidi="ar-SA"/>
                    </w:rPr>
                    <w:t>。本项目不位于饮用水水源保护及生态保护红线区内。符合条例规定。</w:t>
                  </w:r>
                </w:p>
              </w:tc>
            </w:tr>
            <w:tr w14:paraId="50C8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0" w:type="pct"/>
                  <w:vAlign w:val="center"/>
                </w:tcPr>
                <w:p w14:paraId="6178C2B2">
                  <w:pPr>
                    <w:widowControl/>
                    <w:shd w:val="clear" w:color="auto" w:fill="FFFFFF"/>
                    <w:ind w:firstLine="210" w:firstLineChars="100"/>
                    <w:jc w:val="center"/>
                    <w:rPr>
                      <w:bCs/>
                      <w:color w:val="auto"/>
                      <w:szCs w:val="21"/>
                    </w:rPr>
                  </w:pPr>
                  <w:r>
                    <w:rPr>
                      <w:bCs/>
                      <w:color w:val="auto"/>
                      <w:szCs w:val="21"/>
                    </w:rPr>
                    <w:t>第十六条 在淮河流域城市公共排水设施覆盖区域内，应当实行雨水、污水分流；排水户应当将雨水、污水分别排入公共雨水、污水管网及其附属设施。</w:t>
                  </w:r>
                </w:p>
                <w:p w14:paraId="78008A09">
                  <w:pPr>
                    <w:widowControl/>
                    <w:shd w:val="clear" w:color="auto" w:fill="FFFFFF"/>
                    <w:ind w:firstLine="210" w:firstLineChars="100"/>
                    <w:jc w:val="center"/>
                    <w:rPr>
                      <w:bCs/>
                      <w:color w:val="auto"/>
                      <w:szCs w:val="21"/>
                    </w:rPr>
                  </w:pPr>
                  <w:r>
                    <w:rPr>
                      <w:bCs/>
                      <w:color w:val="auto"/>
                      <w:szCs w:val="21"/>
                    </w:rPr>
                    <w:t>现有排水设施未实行雨水、污水分流的，应当编制规划，进行分流改造。</w:t>
                  </w:r>
                </w:p>
              </w:tc>
              <w:tc>
                <w:tcPr>
                  <w:tcW w:w="2009" w:type="pct"/>
                  <w:vAlign w:val="center"/>
                </w:tcPr>
                <w:p w14:paraId="719299B0">
                  <w:pPr>
                    <w:pStyle w:val="21"/>
                    <w:spacing w:after="0" w:line="240" w:lineRule="auto"/>
                    <w:ind w:firstLine="211" w:firstLineChars="100"/>
                    <w:jc w:val="center"/>
                    <w:rPr>
                      <w:color w:val="auto"/>
                      <w:szCs w:val="21"/>
                    </w:rPr>
                  </w:pPr>
                  <w:r>
                    <w:rPr>
                      <w:b/>
                      <w:color w:val="auto"/>
                      <w:szCs w:val="21"/>
                    </w:rPr>
                    <w:t>符合条例规定。</w:t>
                  </w:r>
                  <w:r>
                    <w:rPr>
                      <w:color w:val="auto"/>
                      <w:szCs w:val="21"/>
                    </w:rPr>
                    <w:t>项目实行雨污分流制度。</w:t>
                  </w:r>
                  <w:r>
                    <w:rPr>
                      <w:rFonts w:hint="eastAsia" w:cs="Times New Roman"/>
                      <w:color w:val="auto"/>
                      <w:sz w:val="21"/>
                      <w:szCs w:val="21"/>
                      <w:highlight w:val="none"/>
                      <w:lang w:val="en-US" w:eastAsia="zh-CN"/>
                    </w:rPr>
                    <w:t>本项目所在地雨、污水管网已铺设到位，厂区实行雨污分流制，</w:t>
                  </w:r>
                  <w:r>
                    <w:rPr>
                      <w:rFonts w:hint="eastAsia" w:cs="Times New Roman"/>
                      <w:color w:val="auto"/>
                      <w:kern w:val="0"/>
                      <w:sz w:val="21"/>
                      <w:szCs w:val="21"/>
                      <w:lang w:val="en-US" w:eastAsia="zh-CN"/>
                    </w:rPr>
                    <w:t>项目</w:t>
                  </w:r>
                  <w:r>
                    <w:rPr>
                      <w:rFonts w:hint="eastAsia" w:ascii="Times New Roman" w:hAnsi="Times New Roman" w:eastAsia="宋体" w:cs="Times New Roman"/>
                      <w:color w:val="auto"/>
                      <w:kern w:val="0"/>
                      <w:sz w:val="21"/>
                      <w:szCs w:val="21"/>
                      <w:lang w:val="en-US" w:eastAsia="zh-CN" w:bidi="ar-SA"/>
                    </w:rPr>
                    <w:t>食堂废水</w:t>
                  </w:r>
                  <w:r>
                    <w:rPr>
                      <w:rFonts w:hint="eastAsia" w:cs="Times New Roman"/>
                      <w:color w:val="auto"/>
                      <w:kern w:val="0"/>
                      <w:sz w:val="21"/>
                      <w:szCs w:val="21"/>
                      <w:lang w:val="en-US" w:eastAsia="zh-CN" w:bidi="ar-SA"/>
                    </w:rPr>
                    <w:t>经隔油池预处理后汇同</w:t>
                  </w:r>
                  <w:r>
                    <w:rPr>
                      <w:rFonts w:hint="eastAsia" w:ascii="Times New Roman" w:hAnsi="Times New Roman" w:eastAsia="宋体" w:cs="Times New Roman"/>
                      <w:color w:val="auto"/>
                      <w:kern w:val="0"/>
                      <w:sz w:val="21"/>
                      <w:szCs w:val="21"/>
                      <w:lang w:val="en-US" w:eastAsia="zh-CN" w:bidi="ar-SA"/>
                    </w:rPr>
                    <w:t>生活污水</w:t>
                  </w:r>
                  <w:r>
                    <w:rPr>
                      <w:rFonts w:hint="eastAsia" w:cs="Times New Roman"/>
                      <w:color w:val="auto"/>
                      <w:kern w:val="0"/>
                      <w:sz w:val="21"/>
                      <w:szCs w:val="21"/>
                      <w:lang w:val="en-US" w:eastAsia="zh-CN" w:bidi="ar-SA"/>
                    </w:rPr>
                    <w:t>一起</w:t>
                  </w:r>
                  <w:r>
                    <w:rPr>
                      <w:rFonts w:hint="eastAsia" w:ascii="Times New Roman" w:hAnsi="Times New Roman" w:eastAsia="宋体" w:cs="Times New Roman"/>
                      <w:color w:val="auto"/>
                      <w:kern w:val="0"/>
                      <w:sz w:val="21"/>
                      <w:szCs w:val="21"/>
                      <w:lang w:val="en-US" w:eastAsia="zh-CN" w:bidi="ar-SA"/>
                    </w:rPr>
                    <w:t>经化粪池处理后进入厂区</w:t>
                  </w:r>
                  <w:r>
                    <w:rPr>
                      <w:rFonts w:hint="eastAsia" w:cs="Times New Roman"/>
                      <w:color w:val="auto"/>
                      <w:kern w:val="0"/>
                      <w:sz w:val="21"/>
                      <w:szCs w:val="21"/>
                      <w:lang w:val="en-US" w:eastAsia="zh-CN" w:bidi="ar-SA"/>
                    </w:rPr>
                    <w:t>污水处理站</w:t>
                  </w:r>
                  <w:r>
                    <w:rPr>
                      <w:rFonts w:hint="eastAsia" w:ascii="Times New Roman" w:hAnsi="Times New Roman" w:eastAsia="宋体" w:cs="Times New Roman"/>
                      <w:color w:val="auto"/>
                      <w:kern w:val="0"/>
                      <w:sz w:val="21"/>
                      <w:szCs w:val="21"/>
                      <w:lang w:val="en-US" w:eastAsia="zh-CN" w:bidi="ar-SA"/>
                    </w:rPr>
                    <w:t>处理后，排入市政污水管网进入</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处理；</w:t>
                  </w:r>
                  <w:r>
                    <w:rPr>
                      <w:rFonts w:hint="eastAsia" w:cs="Times New Roman"/>
                      <w:color w:val="auto"/>
                      <w:kern w:val="0"/>
                      <w:sz w:val="21"/>
                      <w:szCs w:val="21"/>
                      <w:lang w:val="en-US" w:eastAsia="zh-CN" w:bidi="ar-SA"/>
                    </w:rPr>
                    <w:t>住院病床废水、医疗器械洗消废水直接进入</w:t>
                  </w:r>
                  <w:r>
                    <w:rPr>
                      <w:rFonts w:hint="eastAsia" w:ascii="Times New Roman" w:hAnsi="Times New Roman" w:eastAsia="宋体" w:cs="Times New Roman"/>
                      <w:color w:val="auto"/>
                      <w:kern w:val="0"/>
                      <w:sz w:val="21"/>
                      <w:szCs w:val="21"/>
                      <w:lang w:val="en-US" w:eastAsia="zh-CN" w:bidi="ar-SA"/>
                    </w:rPr>
                    <w:t>厂区</w:t>
                  </w:r>
                  <w:r>
                    <w:rPr>
                      <w:rFonts w:hint="eastAsia" w:cs="Times New Roman"/>
                      <w:color w:val="auto"/>
                      <w:kern w:val="0"/>
                      <w:sz w:val="21"/>
                      <w:szCs w:val="21"/>
                      <w:lang w:val="en-US" w:eastAsia="zh-CN" w:bidi="ar-SA"/>
                    </w:rPr>
                    <w:t>污水处理站</w:t>
                  </w:r>
                  <w:r>
                    <w:rPr>
                      <w:rFonts w:hint="eastAsia" w:ascii="Times New Roman" w:hAnsi="Times New Roman" w:eastAsia="宋体" w:cs="Times New Roman"/>
                      <w:color w:val="auto"/>
                      <w:kern w:val="0"/>
                      <w:sz w:val="21"/>
                      <w:szCs w:val="21"/>
                      <w:lang w:val="en-US" w:eastAsia="zh-CN" w:bidi="ar-SA"/>
                    </w:rPr>
                    <w:t>处理后，排入市政污水管网进入</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处理</w:t>
                  </w:r>
                  <w:r>
                    <w:rPr>
                      <w:rFonts w:hint="eastAsia" w:cs="Times New Roman"/>
                      <w:color w:val="auto"/>
                      <w:kern w:val="0"/>
                      <w:sz w:val="21"/>
                      <w:szCs w:val="21"/>
                      <w:lang w:val="en-US" w:eastAsia="zh-CN" w:bidi="ar-SA"/>
                    </w:rPr>
                    <w:t>；蒸汽发生器浓水和纯水制备浓水直接由厂区污水总排口</w:t>
                  </w:r>
                  <w:r>
                    <w:rPr>
                      <w:rFonts w:hint="eastAsia" w:ascii="Times New Roman" w:hAnsi="Times New Roman" w:eastAsia="宋体" w:cs="Times New Roman"/>
                      <w:color w:val="auto"/>
                      <w:kern w:val="0"/>
                      <w:sz w:val="21"/>
                      <w:szCs w:val="21"/>
                      <w:lang w:val="en-US" w:eastAsia="zh-CN" w:bidi="ar-SA"/>
                    </w:rPr>
                    <w:t>排入市政污水管网进入</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处理</w:t>
                  </w:r>
                  <w:r>
                    <w:rPr>
                      <w:rFonts w:hint="eastAsia"/>
                      <w:color w:val="auto"/>
                      <w:szCs w:val="21"/>
                    </w:rPr>
                    <w:t>。</w:t>
                  </w:r>
                </w:p>
              </w:tc>
            </w:tr>
          </w:tbl>
          <w:p w14:paraId="43139C73">
            <w:pPr>
              <w:pStyle w:val="11"/>
              <w:snapToGrid/>
              <w:spacing w:before="0" w:after="0" w:line="360" w:lineRule="auto"/>
              <w:ind w:right="0" w:firstLine="480" w:firstLineChars="200"/>
              <w:rPr>
                <w:kern w:val="2"/>
                <w:sz w:val="24"/>
                <w:szCs w:val="24"/>
              </w:rPr>
            </w:pPr>
            <w:r>
              <w:rPr>
                <w:kern w:val="2"/>
                <w:sz w:val="24"/>
                <w:szCs w:val="24"/>
              </w:rPr>
              <w:t>综上所述，本项目与《安徽省淮河流域水污染防治条例》相符。</w:t>
            </w:r>
          </w:p>
          <w:p w14:paraId="5FF916BA">
            <w:pPr>
              <w:pStyle w:val="11"/>
              <w:snapToGrid/>
              <w:spacing w:before="0" w:after="0" w:line="360" w:lineRule="auto"/>
              <w:ind w:right="0" w:firstLine="482" w:firstLineChars="200"/>
              <w:rPr>
                <w:b/>
                <w:bCs/>
                <w:sz w:val="24"/>
                <w:szCs w:val="24"/>
              </w:rPr>
            </w:pPr>
            <w:r>
              <w:rPr>
                <w:rFonts w:hint="eastAsia"/>
                <w:b/>
                <w:bCs/>
                <w:kern w:val="2"/>
                <w:sz w:val="24"/>
                <w:szCs w:val="24"/>
                <w:lang w:val="en-US" w:eastAsia="zh-CN"/>
              </w:rPr>
              <w:t>5</w:t>
            </w:r>
            <w:r>
              <w:rPr>
                <w:rFonts w:hint="eastAsia"/>
                <w:b/>
                <w:bCs/>
                <w:kern w:val="2"/>
                <w:sz w:val="24"/>
                <w:szCs w:val="24"/>
              </w:rPr>
              <w:t>、</w:t>
            </w:r>
            <w:r>
              <w:rPr>
                <w:b/>
                <w:bCs/>
                <w:sz w:val="24"/>
                <w:szCs w:val="24"/>
              </w:rPr>
              <w:t>与《淮河流域水污染防治暂行条例》的相符性</w:t>
            </w:r>
          </w:p>
          <w:p w14:paraId="75C91238">
            <w:pPr>
              <w:pStyle w:val="11"/>
              <w:snapToGrid/>
              <w:spacing w:before="0" w:after="0" w:line="360" w:lineRule="auto"/>
              <w:ind w:right="0" w:firstLine="480" w:firstLineChars="200"/>
              <w:rPr>
                <w:kern w:val="2"/>
                <w:sz w:val="24"/>
                <w:szCs w:val="24"/>
              </w:rPr>
            </w:pPr>
            <w:r>
              <w:rPr>
                <w:kern w:val="2"/>
                <w:sz w:val="24"/>
                <w:szCs w:val="24"/>
              </w:rPr>
              <w:t>本项目与《淮河流域水污染防治暂行条例》有关要求进行相符性分析，具体见下表。</w:t>
            </w:r>
          </w:p>
          <w:p w14:paraId="70ADCEA0">
            <w:pPr>
              <w:pStyle w:val="92"/>
              <w:keepNext w:val="0"/>
              <w:keepLines/>
              <w:pageBreakBefore w:val="0"/>
              <w:widowControl w:val="0"/>
              <w:kinsoku/>
              <w:wordWrap/>
              <w:overflowPunct/>
              <w:topLinePunct w:val="0"/>
              <w:autoSpaceDE/>
              <w:autoSpaceDN/>
              <w:bidi w:val="0"/>
              <w:adjustRightInd/>
              <w:snapToGrid/>
              <w:spacing w:line="240" w:lineRule="auto"/>
              <w:ind w:firstLine="0" w:firstLineChars="0"/>
              <w:textAlignment w:val="auto"/>
              <w:rPr>
                <w:bCs/>
                <w:sz w:val="24"/>
              </w:rPr>
            </w:pPr>
            <w:r>
              <w:rPr>
                <w:bCs/>
                <w:sz w:val="24"/>
              </w:rPr>
              <w:t>表1-</w:t>
            </w:r>
            <w:r>
              <w:rPr>
                <w:rFonts w:hint="eastAsia"/>
                <w:bCs/>
                <w:sz w:val="24"/>
                <w:lang w:val="en-US" w:eastAsia="zh-CN"/>
              </w:rPr>
              <w:t>3</w:t>
            </w:r>
            <w:r>
              <w:rPr>
                <w:bCs/>
                <w:sz w:val="24"/>
              </w:rPr>
              <w:t xml:space="preserve">  与《淮河流域水污染防治暂行条例》相符性分析</w:t>
            </w:r>
          </w:p>
          <w:tbl>
            <w:tblPr>
              <w:tblStyle w:val="2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8"/>
              <w:gridCol w:w="2844"/>
            </w:tblGrid>
            <w:tr w14:paraId="4B79F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3146" w:type="pct"/>
                  <w:vAlign w:val="center"/>
                </w:tcPr>
                <w:p w14:paraId="5C2305DC">
                  <w:pPr>
                    <w:pStyle w:val="88"/>
                    <w:adjustRightInd/>
                    <w:textAlignment w:val="auto"/>
                    <w:rPr>
                      <w:b/>
                      <w:bCs/>
                    </w:rPr>
                  </w:pPr>
                  <w:r>
                    <w:rPr>
                      <w:b/>
                      <w:bCs/>
                    </w:rPr>
                    <w:t>《淮河流域水污染防治暂行条例》相关要求</w:t>
                  </w:r>
                </w:p>
              </w:tc>
              <w:tc>
                <w:tcPr>
                  <w:tcW w:w="1853" w:type="pct"/>
                  <w:vAlign w:val="center"/>
                </w:tcPr>
                <w:p w14:paraId="058F0010">
                  <w:pPr>
                    <w:pStyle w:val="88"/>
                    <w:adjustRightInd/>
                    <w:textAlignment w:val="auto"/>
                    <w:rPr>
                      <w:b/>
                      <w:bCs/>
                    </w:rPr>
                  </w:pPr>
                  <w:r>
                    <w:rPr>
                      <w:b/>
                      <w:bCs/>
                    </w:rPr>
                    <w:t>本项目情况</w:t>
                  </w:r>
                </w:p>
              </w:tc>
            </w:tr>
            <w:tr w14:paraId="4CDF8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46" w:type="pct"/>
                  <w:vAlign w:val="center"/>
                </w:tcPr>
                <w:p w14:paraId="412D38DA">
                  <w:pPr>
                    <w:pStyle w:val="21"/>
                    <w:spacing w:after="0" w:line="240" w:lineRule="auto"/>
                    <w:ind w:firstLine="210" w:firstLineChars="100"/>
                    <w:rPr>
                      <w:szCs w:val="21"/>
                    </w:rPr>
                  </w:pPr>
                  <w:r>
                    <w:rPr>
                      <w:szCs w:val="21"/>
                    </w:rPr>
                    <w:t>禁止在淮河流域新建化学制浆造纸企业。</w:t>
                  </w:r>
                </w:p>
                <w:p w14:paraId="48E54E1C">
                  <w:pPr>
                    <w:pStyle w:val="21"/>
                    <w:spacing w:after="0" w:line="240" w:lineRule="auto"/>
                    <w:ind w:firstLine="210" w:firstLineChars="100"/>
                    <w:rPr>
                      <w:szCs w:val="21"/>
                    </w:rPr>
                  </w:pPr>
                  <w:r>
                    <w:rPr>
                      <w:szCs w:val="21"/>
                    </w:rPr>
                    <w:t>禁止在淮河流域新建制革、化工、印染、电镀、酿造等污染严重的小型企业。</w:t>
                  </w:r>
                </w:p>
                <w:p w14:paraId="784BAE42">
                  <w:pPr>
                    <w:pStyle w:val="21"/>
                    <w:spacing w:after="0" w:line="240" w:lineRule="auto"/>
                    <w:ind w:firstLine="210" w:firstLineChars="100"/>
                    <w:rPr>
                      <w:szCs w:val="21"/>
                    </w:rPr>
                  </w:pPr>
                  <w:r>
                    <w:rPr>
                      <w:szCs w:val="21"/>
                    </w:rPr>
                    <w:t>严格限制在淮河流域新建前款所列大中型项目或者其他污染严重的项目；建设该类项目的，必须事先征得有关省人民政府环境保护行政主管部门的同意，并报国务院环境保护行政主管部门备案</w:t>
                  </w:r>
                  <w:r>
                    <w:rPr>
                      <w:rFonts w:hint="eastAsia"/>
                      <w:szCs w:val="21"/>
                    </w:rPr>
                    <w:t>。</w:t>
                  </w:r>
                </w:p>
              </w:tc>
              <w:tc>
                <w:tcPr>
                  <w:tcW w:w="1853" w:type="pct"/>
                  <w:vAlign w:val="center"/>
                </w:tcPr>
                <w:p w14:paraId="072A77B9">
                  <w:pPr>
                    <w:pStyle w:val="21"/>
                    <w:spacing w:after="0" w:line="240" w:lineRule="auto"/>
                    <w:ind w:firstLine="211" w:firstLineChars="100"/>
                    <w:rPr>
                      <w:szCs w:val="21"/>
                    </w:rPr>
                  </w:pPr>
                  <w:r>
                    <w:rPr>
                      <w:b/>
                      <w:szCs w:val="21"/>
                    </w:rPr>
                    <w:t>符合条例要求。</w:t>
                  </w:r>
                  <w:r>
                    <w:rPr>
                      <w:szCs w:val="21"/>
                    </w:rPr>
                    <w:t>本项目为</w:t>
                  </w:r>
                  <w:r>
                    <w:rPr>
                      <w:rFonts w:hint="eastAsia"/>
                      <w:szCs w:val="21"/>
                      <w:lang w:val="en-US" w:eastAsia="zh-CN"/>
                    </w:rPr>
                    <w:t>扩建</w:t>
                  </w:r>
                  <w:r>
                    <w:rPr>
                      <w:szCs w:val="21"/>
                    </w:rPr>
                    <w:t>项目，属于“</w:t>
                  </w:r>
                  <w:r>
                    <w:rPr>
                      <w:rFonts w:hint="eastAsia"/>
                      <w:szCs w:val="21"/>
                      <w:lang w:eastAsia="zh-CN"/>
                    </w:rPr>
                    <w:t>Q8411综合医院</w:t>
                  </w:r>
                  <w:r>
                    <w:rPr>
                      <w:szCs w:val="21"/>
                    </w:rPr>
                    <w:t>”，不属于新建化学制浆造纸企业，不属于新建制革、化工、印染、电镀、酿造等污染严重的小型企业。</w:t>
                  </w:r>
                </w:p>
              </w:tc>
            </w:tr>
          </w:tbl>
          <w:p w14:paraId="47F355C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b/>
                <w:bCs w:val="0"/>
                <w:color w:val="auto"/>
                <w:sz w:val="24"/>
                <w:szCs w:val="24"/>
                <w:highlight w:val="none"/>
                <w:lang w:val="en-US" w:eastAsia="zh-CN"/>
              </w:rPr>
            </w:pPr>
            <w:r>
              <w:rPr>
                <w:sz w:val="24"/>
              </w:rPr>
              <w:t>综上所述，本项目与《淮河流域水污染防治暂行条例》相符</w:t>
            </w:r>
          </w:p>
          <w:p w14:paraId="5D796965">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kern w:val="2"/>
                <w:sz w:val="24"/>
                <w:szCs w:val="24"/>
                <w:highlight w:val="none"/>
                <w:lang w:val="en-US" w:eastAsia="zh-CN" w:bidi="ar-SA"/>
              </w:rPr>
            </w:pPr>
            <w:r>
              <w:rPr>
                <w:rFonts w:hint="eastAsia" w:ascii="Times New Roman" w:hAnsi="Times New Roman" w:eastAsia="宋体" w:cs="Times New Roman"/>
                <w:b/>
                <w:bCs/>
                <w:color w:val="000000"/>
                <w:kern w:val="2"/>
                <w:sz w:val="24"/>
                <w:szCs w:val="24"/>
                <w:highlight w:val="none"/>
                <w:lang w:val="en-US" w:eastAsia="zh-CN" w:bidi="ar-SA"/>
              </w:rPr>
              <w:t>6、与《关于进一步加强医疗废物监督管理的通知》（皖环函[2020]437号）符合性分析</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3"/>
              <w:gridCol w:w="4769"/>
              <w:gridCol w:w="1751"/>
              <w:gridCol w:w="512"/>
            </w:tblGrid>
            <w:tr w14:paraId="40EF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trPr>
              <w:tc>
                <w:tcPr>
                  <w:tcW w:w="3525" w:type="pct"/>
                  <w:gridSpan w:val="2"/>
                  <w:tcBorders>
                    <w:tl2br w:val="nil"/>
                    <w:tr2bl w:val="nil"/>
                  </w:tcBorders>
                  <w:vAlign w:val="center"/>
                </w:tcPr>
                <w:p w14:paraId="011A9ED3">
                  <w:pPr>
                    <w:pStyle w:val="120"/>
                    <w:bidi w:val="0"/>
                    <w:rPr>
                      <w:rFonts w:hint="default"/>
                      <w:b/>
                      <w:bCs/>
                      <w:color w:val="auto"/>
                      <w:sz w:val="21"/>
                      <w:szCs w:val="21"/>
                      <w:highlight w:val="none"/>
                    </w:rPr>
                  </w:pPr>
                  <w:r>
                    <w:rPr>
                      <w:rFonts w:hint="default"/>
                      <w:b/>
                      <w:bCs/>
                      <w:color w:val="auto"/>
                      <w:sz w:val="21"/>
                      <w:szCs w:val="21"/>
                      <w:highlight w:val="none"/>
                    </w:rPr>
                    <w:t>相关要求</w:t>
                  </w:r>
                </w:p>
              </w:tc>
              <w:tc>
                <w:tcPr>
                  <w:tcW w:w="1140" w:type="pct"/>
                  <w:tcBorders>
                    <w:tl2br w:val="nil"/>
                    <w:tr2bl w:val="nil"/>
                  </w:tcBorders>
                  <w:vAlign w:val="center"/>
                </w:tcPr>
                <w:p w14:paraId="6E0FDFEB">
                  <w:pPr>
                    <w:pStyle w:val="120"/>
                    <w:bidi w:val="0"/>
                    <w:rPr>
                      <w:rFonts w:hint="default"/>
                      <w:b/>
                      <w:bCs/>
                      <w:color w:val="auto"/>
                      <w:sz w:val="21"/>
                      <w:szCs w:val="21"/>
                      <w:highlight w:val="none"/>
                    </w:rPr>
                  </w:pPr>
                  <w:r>
                    <w:rPr>
                      <w:rFonts w:hint="default"/>
                      <w:b/>
                      <w:bCs/>
                      <w:color w:val="auto"/>
                      <w:sz w:val="21"/>
                      <w:szCs w:val="21"/>
                      <w:highlight w:val="none"/>
                    </w:rPr>
                    <w:t>本项目情况</w:t>
                  </w:r>
                </w:p>
              </w:tc>
              <w:tc>
                <w:tcPr>
                  <w:tcW w:w="334" w:type="pct"/>
                  <w:tcBorders>
                    <w:tl2br w:val="nil"/>
                    <w:tr2bl w:val="nil"/>
                  </w:tcBorders>
                  <w:vAlign w:val="center"/>
                </w:tcPr>
                <w:p w14:paraId="67DD25AD">
                  <w:pPr>
                    <w:pStyle w:val="120"/>
                    <w:bidi w:val="0"/>
                    <w:rPr>
                      <w:rFonts w:hint="default"/>
                      <w:b/>
                      <w:bCs/>
                      <w:color w:val="auto"/>
                      <w:sz w:val="21"/>
                      <w:szCs w:val="21"/>
                      <w:highlight w:val="none"/>
                    </w:rPr>
                  </w:pPr>
                  <w:r>
                    <w:rPr>
                      <w:rFonts w:hint="default"/>
                      <w:b/>
                      <w:bCs/>
                      <w:color w:val="auto"/>
                      <w:sz w:val="21"/>
                      <w:szCs w:val="21"/>
                      <w:highlight w:val="none"/>
                    </w:rPr>
                    <w:t>符合性</w:t>
                  </w:r>
                </w:p>
              </w:tc>
            </w:tr>
            <w:tr w14:paraId="459F3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419" w:type="pct"/>
                  <w:tcBorders>
                    <w:tl2br w:val="nil"/>
                    <w:tr2bl w:val="nil"/>
                  </w:tcBorders>
                  <w:vAlign w:val="center"/>
                </w:tcPr>
                <w:p w14:paraId="07A3CE8C">
                  <w:pPr>
                    <w:pStyle w:val="120"/>
                    <w:bidi w:val="0"/>
                    <w:rPr>
                      <w:rFonts w:hint="default"/>
                      <w:color w:val="auto"/>
                      <w:sz w:val="21"/>
                      <w:szCs w:val="21"/>
                      <w:highlight w:val="none"/>
                    </w:rPr>
                  </w:pPr>
                  <w:r>
                    <w:rPr>
                      <w:rFonts w:hint="default"/>
                      <w:color w:val="auto"/>
                      <w:sz w:val="21"/>
                      <w:szCs w:val="21"/>
                      <w:highlight w:val="none"/>
                    </w:rPr>
                    <w:t>一、压实医疗卫生机构和医疗废物集中处置单位主体责任</w:t>
                  </w:r>
                </w:p>
              </w:tc>
              <w:tc>
                <w:tcPr>
                  <w:tcW w:w="3106" w:type="pct"/>
                  <w:tcBorders>
                    <w:tl2br w:val="nil"/>
                    <w:tr2bl w:val="nil"/>
                  </w:tcBorders>
                  <w:vAlign w:val="center"/>
                </w:tcPr>
                <w:p w14:paraId="387D7846">
                  <w:pPr>
                    <w:pStyle w:val="120"/>
                    <w:bidi w:val="0"/>
                    <w:rPr>
                      <w:rFonts w:hint="eastAsia" w:eastAsia="宋体"/>
                      <w:color w:val="auto"/>
                      <w:sz w:val="21"/>
                      <w:szCs w:val="21"/>
                      <w:highlight w:val="none"/>
                      <w:lang w:val="en-US" w:eastAsia="zh-CN"/>
                    </w:rPr>
                  </w:pPr>
                  <w:r>
                    <w:rPr>
                      <w:rFonts w:hint="default"/>
                      <w:color w:val="auto"/>
                      <w:sz w:val="21"/>
                      <w:szCs w:val="21"/>
                      <w:highlight w:val="none"/>
                    </w:rPr>
                    <w:t>医疗卫生机构、医疗废物集中处置单位承担医疗废物疾病防治和环境污染防治主体责任，其法定代表人或主要负责人是本单位医疗废物管理的第一责任人，负责履行医疗废物安全处置的管理职责。医疗卫生机构应当按照《安徽省医疗卫生机构医疗废物管理办法》（皖卫医〔2017〕32号）和生态环境保护相关法律法规做好医疗废物的分类收集、转运、贮存及处置相关工作。医疗废物集中处置单位应当按照环境保护和疾病防治相关法律法规做好医疗废物的收集、转运、贮存、处置相关工作</w:t>
                  </w:r>
                  <w:r>
                    <w:rPr>
                      <w:rFonts w:hint="eastAsia"/>
                      <w:color w:val="auto"/>
                      <w:sz w:val="21"/>
                      <w:szCs w:val="21"/>
                      <w:highlight w:val="none"/>
                      <w:lang w:eastAsia="zh-CN"/>
                    </w:rPr>
                    <w:t>。</w:t>
                  </w:r>
                </w:p>
              </w:tc>
              <w:tc>
                <w:tcPr>
                  <w:tcW w:w="1140" w:type="pct"/>
                  <w:vMerge w:val="restart"/>
                  <w:tcBorders>
                    <w:tl2br w:val="nil"/>
                    <w:tr2bl w:val="nil"/>
                  </w:tcBorders>
                  <w:shd w:val="clear" w:color="auto" w:fill="auto"/>
                  <w:vAlign w:val="center"/>
                </w:tcPr>
                <w:p w14:paraId="339EF31E">
                  <w:pPr>
                    <w:pStyle w:val="120"/>
                    <w:bidi w:val="0"/>
                    <w:ind w:firstLine="0" w:firstLineChars="0"/>
                    <w:rPr>
                      <w:rFonts w:hint="default"/>
                      <w:color w:val="auto"/>
                      <w:sz w:val="21"/>
                      <w:szCs w:val="21"/>
                      <w:highlight w:val="none"/>
                    </w:rPr>
                  </w:pPr>
                  <w:r>
                    <w:rPr>
                      <w:rFonts w:hint="eastAsia"/>
                      <w:color w:val="auto"/>
                      <w:sz w:val="21"/>
                      <w:szCs w:val="21"/>
                      <w:highlight w:val="none"/>
                      <w:lang w:val="en-US" w:eastAsia="zh-CN"/>
                    </w:rPr>
                    <w:t>本次扩建项目新增床位260张，项目医疗废物依托现有危废暂存间暂存，将按照</w:t>
                  </w:r>
                  <w:r>
                    <w:rPr>
                      <w:rFonts w:hint="default"/>
                      <w:color w:val="auto"/>
                      <w:sz w:val="21"/>
                      <w:szCs w:val="21"/>
                      <w:highlight w:val="none"/>
                    </w:rPr>
                    <w:t>《安徽省医疗卫生机构医疗废物管理办法》（皖卫医〔2017〕32号）和生态环境保护相关法律法规做好医疗废物的分类收集、转运、贮存及处置相关工作。</w:t>
                  </w:r>
                </w:p>
                <w:p w14:paraId="2E0820DF">
                  <w:pPr>
                    <w:pStyle w:val="120"/>
                    <w:bidi w:val="0"/>
                    <w:ind w:firstLine="0" w:firstLineChars="0"/>
                    <w:rPr>
                      <w:rFonts w:hint="default" w:ascii="Times New Roman" w:hAnsi="Times New Roman" w:eastAsia="宋体" w:cs="Times New Roman"/>
                      <w:color w:val="auto"/>
                      <w:sz w:val="21"/>
                      <w:szCs w:val="21"/>
                      <w:highlight w:val="none"/>
                      <w:lang w:val="en-US" w:eastAsia="zh-CN" w:bidi="ar-SA"/>
                    </w:rPr>
                  </w:pPr>
                  <w:r>
                    <w:rPr>
                      <w:rFonts w:hint="eastAsia"/>
                      <w:color w:val="auto"/>
                      <w:sz w:val="21"/>
                      <w:szCs w:val="21"/>
                      <w:highlight w:val="none"/>
                      <w:lang w:val="en-US" w:eastAsia="zh-CN"/>
                    </w:rPr>
                    <w:t>委托有资质的</w:t>
                  </w:r>
                  <w:r>
                    <w:rPr>
                      <w:rFonts w:hint="default"/>
                      <w:color w:val="auto"/>
                      <w:sz w:val="21"/>
                      <w:szCs w:val="21"/>
                      <w:highlight w:val="none"/>
                    </w:rPr>
                    <w:t>医疗废物集中处置单位</w:t>
                  </w:r>
                  <w:r>
                    <w:rPr>
                      <w:rFonts w:hint="eastAsia"/>
                      <w:color w:val="auto"/>
                      <w:sz w:val="21"/>
                      <w:szCs w:val="21"/>
                      <w:highlight w:val="none"/>
                      <w:lang w:val="en-US" w:eastAsia="zh-CN"/>
                    </w:rPr>
                    <w:t>对本项目的医疗废物进行</w:t>
                  </w:r>
                  <w:r>
                    <w:rPr>
                      <w:rFonts w:hint="default"/>
                      <w:color w:val="auto"/>
                      <w:sz w:val="21"/>
                      <w:szCs w:val="21"/>
                      <w:highlight w:val="none"/>
                    </w:rPr>
                    <w:t>转运、处置</w:t>
                  </w:r>
                  <w:r>
                    <w:rPr>
                      <w:rFonts w:hint="eastAsia"/>
                      <w:color w:val="auto"/>
                      <w:sz w:val="21"/>
                      <w:szCs w:val="21"/>
                      <w:highlight w:val="none"/>
                      <w:lang w:eastAsia="zh-CN"/>
                    </w:rPr>
                    <w:t>，</w:t>
                  </w:r>
                  <w:r>
                    <w:rPr>
                      <w:rFonts w:hint="eastAsia"/>
                      <w:color w:val="auto"/>
                      <w:sz w:val="21"/>
                      <w:szCs w:val="21"/>
                      <w:highlight w:val="none"/>
                      <w:lang w:val="en-US" w:eastAsia="zh-CN"/>
                    </w:rPr>
                    <w:t>每2天清运一次医疗废物。</w:t>
                  </w:r>
                </w:p>
              </w:tc>
              <w:tc>
                <w:tcPr>
                  <w:tcW w:w="334" w:type="pct"/>
                  <w:tcBorders>
                    <w:tl2br w:val="nil"/>
                    <w:tr2bl w:val="nil"/>
                  </w:tcBorders>
                  <w:vAlign w:val="center"/>
                </w:tcPr>
                <w:p w14:paraId="2D292703">
                  <w:pPr>
                    <w:pStyle w:val="120"/>
                    <w:bidi w:val="0"/>
                    <w:rPr>
                      <w:rFonts w:hint="eastAsia" w:eastAsia="宋体"/>
                      <w:color w:val="auto"/>
                      <w:sz w:val="21"/>
                      <w:szCs w:val="21"/>
                      <w:highlight w:val="none"/>
                      <w:lang w:val="en-US" w:eastAsia="zh-CN"/>
                    </w:rPr>
                  </w:pPr>
                  <w:r>
                    <w:rPr>
                      <w:rFonts w:hint="eastAsia"/>
                      <w:color w:val="auto"/>
                      <w:sz w:val="21"/>
                      <w:szCs w:val="21"/>
                      <w:highlight w:val="none"/>
                      <w:lang w:val="en-US" w:eastAsia="zh-CN"/>
                    </w:rPr>
                    <w:t>符合</w:t>
                  </w:r>
                </w:p>
              </w:tc>
            </w:tr>
            <w:tr w14:paraId="0F839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419" w:type="pct"/>
                  <w:tcBorders>
                    <w:tl2br w:val="nil"/>
                    <w:tr2bl w:val="nil"/>
                  </w:tcBorders>
                  <w:vAlign w:val="center"/>
                </w:tcPr>
                <w:p w14:paraId="48E28972">
                  <w:pPr>
                    <w:pStyle w:val="120"/>
                    <w:numPr>
                      <w:ilvl w:val="0"/>
                      <w:numId w:val="5"/>
                    </w:numPr>
                    <w:bidi w:val="0"/>
                    <w:rPr>
                      <w:rFonts w:hint="default"/>
                      <w:color w:val="auto"/>
                      <w:sz w:val="21"/>
                      <w:szCs w:val="21"/>
                      <w:highlight w:val="none"/>
                      <w:lang w:val="en-US" w:eastAsia="zh-CN"/>
                    </w:rPr>
                  </w:pPr>
                  <w:r>
                    <w:rPr>
                      <w:rFonts w:hint="eastAsia"/>
                      <w:color w:val="auto"/>
                      <w:sz w:val="21"/>
                      <w:szCs w:val="21"/>
                      <w:highlight w:val="none"/>
                      <w:lang w:val="en-US" w:eastAsia="zh-CN"/>
                    </w:rPr>
                    <w:t>、完善医疗废物收集转运体系</w:t>
                  </w:r>
                </w:p>
              </w:tc>
              <w:tc>
                <w:tcPr>
                  <w:tcW w:w="3106" w:type="pct"/>
                  <w:tcBorders>
                    <w:tl2br w:val="nil"/>
                    <w:tr2bl w:val="nil"/>
                  </w:tcBorders>
                  <w:vAlign w:val="center"/>
                </w:tcPr>
                <w:p w14:paraId="53065E40">
                  <w:pPr>
                    <w:pStyle w:val="120"/>
                    <w:bidi w:val="0"/>
                    <w:rPr>
                      <w:rFonts w:hint="default"/>
                      <w:color w:val="auto"/>
                      <w:sz w:val="21"/>
                      <w:szCs w:val="21"/>
                      <w:highlight w:val="none"/>
                    </w:rPr>
                  </w:pPr>
                  <w:r>
                    <w:rPr>
                      <w:rFonts w:hint="eastAsia"/>
                      <w:color w:val="auto"/>
                      <w:sz w:val="21"/>
                      <w:szCs w:val="21"/>
                      <w:highlight w:val="none"/>
                      <w:lang w:val="en-US" w:eastAsia="zh-CN"/>
                    </w:rPr>
                    <w:t>医</w:t>
                  </w:r>
                  <w:r>
                    <w:rPr>
                      <w:rFonts w:hint="default"/>
                      <w:color w:val="auto"/>
                      <w:sz w:val="21"/>
                      <w:szCs w:val="21"/>
                      <w:highlight w:val="none"/>
                    </w:rPr>
                    <w:t>疗废物集中处置单位负责医疗废物的及时转运、贮存和处置，至少每2天到医疗卫生机构收集一次医疗废物，并根据医疗卫生机构医疗废物产生情况适当增加转运频次，力争日产日清。收集范围应当覆盖到乡镇（街道）卫生院、社区医院及所有一级以上医院。医疗废物集中处置单位可以结合本地实际情况依托相应医疗卫生机构或单独设立医疗废物集中暂存中心，用于收集、暂存相应区域医疗卫生机构产生的医疗废物。设区市生态环境部门应当将医疗废物集中暂存中心纳入医疗废物集中处置单位的危险废物经营许可范围。</w:t>
                  </w:r>
                </w:p>
                <w:p w14:paraId="30D85480">
                  <w:pPr>
                    <w:pStyle w:val="120"/>
                    <w:bidi w:val="0"/>
                    <w:rPr>
                      <w:rFonts w:hint="default"/>
                      <w:color w:val="auto"/>
                      <w:sz w:val="21"/>
                      <w:szCs w:val="21"/>
                      <w:highlight w:val="none"/>
                    </w:rPr>
                  </w:pPr>
                  <w:r>
                    <w:rPr>
                      <w:rFonts w:hint="default"/>
                      <w:color w:val="auto"/>
                      <w:sz w:val="21"/>
                      <w:szCs w:val="21"/>
                      <w:highlight w:val="none"/>
                    </w:rPr>
                    <w:t>医疗卫生机构内的医疗废物临时贮存最长时间不得超过2天。19张床位以下（含19张）的医疗卫生机构可以委托有贮存设施的医疗卫生机构暂存，并由受委托医疗卫生机构统一交由医疗废物集中处置单位处置。</w:t>
                  </w:r>
                </w:p>
                <w:p w14:paraId="08ADE8E9">
                  <w:pPr>
                    <w:pStyle w:val="120"/>
                    <w:bidi w:val="0"/>
                    <w:rPr>
                      <w:rFonts w:hint="eastAsia" w:eastAsia="宋体"/>
                      <w:color w:val="auto"/>
                      <w:sz w:val="21"/>
                      <w:szCs w:val="21"/>
                      <w:highlight w:val="none"/>
                      <w:lang w:val="en-US" w:eastAsia="zh-CN"/>
                    </w:rPr>
                  </w:pPr>
                  <w:r>
                    <w:rPr>
                      <w:rFonts w:hint="default"/>
                      <w:color w:val="auto"/>
                      <w:sz w:val="21"/>
                      <w:szCs w:val="21"/>
                      <w:highlight w:val="none"/>
                    </w:rPr>
                    <w:t>乡镇（街道）卫生院、社区医院等医疗卫生机构应当建设专用医疗废物贮存间，用于收集、暂存辖区村卫生室、门诊部、诊所、卫生所、医务室、护理站等基层医疗卫生机构产生的医疗废物。村卫生室、门诊部、诊所、卫生所、医务室、护理站等基层医疗卫生机构应当将产生的医疗废物就近送交到相应乡镇（街道）卫生院、社区医院等医疗卫生机构，至少每2日送交一次，</w:t>
                  </w:r>
                  <w:r>
                    <w:rPr>
                      <w:rFonts w:hint="eastAsia"/>
                      <w:color w:val="auto"/>
                      <w:sz w:val="21"/>
                      <w:szCs w:val="21"/>
                      <w:highlight w:val="none"/>
                      <w:lang w:val="en-US" w:eastAsia="zh-CN"/>
                    </w:rPr>
                    <w:t>所需医疗废物处置费用按照标准定期交给相应乡镇（街道）卫生院、社区医院。</w:t>
                  </w:r>
                </w:p>
              </w:tc>
              <w:tc>
                <w:tcPr>
                  <w:tcW w:w="1140" w:type="pct"/>
                  <w:vMerge w:val="continue"/>
                  <w:tcBorders>
                    <w:tl2br w:val="nil"/>
                    <w:tr2bl w:val="nil"/>
                  </w:tcBorders>
                  <w:shd w:val="clear" w:color="auto" w:fill="auto"/>
                  <w:vAlign w:val="center"/>
                </w:tcPr>
                <w:p w14:paraId="36146FAC">
                  <w:pPr>
                    <w:pStyle w:val="120"/>
                    <w:bidi w:val="0"/>
                    <w:ind w:firstLine="0" w:firstLineChars="0"/>
                    <w:rPr>
                      <w:rFonts w:hint="default" w:ascii="Times New Roman" w:hAnsi="Times New Roman" w:eastAsia="宋体" w:cs="Times New Roman"/>
                      <w:color w:val="auto"/>
                      <w:sz w:val="21"/>
                      <w:szCs w:val="21"/>
                      <w:highlight w:val="none"/>
                      <w:lang w:val="en-US" w:eastAsia="zh-CN" w:bidi="ar-SA"/>
                    </w:rPr>
                  </w:pPr>
                </w:p>
              </w:tc>
              <w:tc>
                <w:tcPr>
                  <w:tcW w:w="334" w:type="pct"/>
                  <w:tcBorders>
                    <w:tl2br w:val="nil"/>
                    <w:tr2bl w:val="nil"/>
                  </w:tcBorders>
                  <w:vAlign w:val="center"/>
                </w:tcPr>
                <w:p w14:paraId="3BE416DC">
                  <w:pPr>
                    <w:pStyle w:val="120"/>
                    <w:bidi w:val="0"/>
                    <w:rPr>
                      <w:rFonts w:hint="default" w:eastAsia="宋体"/>
                      <w:color w:val="auto"/>
                      <w:sz w:val="21"/>
                      <w:szCs w:val="21"/>
                      <w:highlight w:val="none"/>
                      <w:lang w:val="en-US" w:eastAsia="zh-CN"/>
                    </w:rPr>
                  </w:pPr>
                  <w:r>
                    <w:rPr>
                      <w:rFonts w:hint="eastAsia"/>
                      <w:color w:val="auto"/>
                      <w:sz w:val="21"/>
                      <w:szCs w:val="21"/>
                      <w:highlight w:val="none"/>
                      <w:lang w:val="en-US" w:eastAsia="zh-CN"/>
                    </w:rPr>
                    <w:t>符合</w:t>
                  </w:r>
                </w:p>
              </w:tc>
            </w:tr>
            <w:tr w14:paraId="5AFF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419" w:type="pct"/>
                  <w:tcBorders>
                    <w:tl2br w:val="nil"/>
                    <w:tr2bl w:val="nil"/>
                  </w:tcBorders>
                  <w:vAlign w:val="center"/>
                </w:tcPr>
                <w:p w14:paraId="22223EA0">
                  <w:pPr>
                    <w:pStyle w:val="120"/>
                    <w:bidi w:val="0"/>
                    <w:rPr>
                      <w:rFonts w:hint="default"/>
                      <w:color w:val="auto"/>
                      <w:sz w:val="21"/>
                      <w:szCs w:val="21"/>
                      <w:highlight w:val="none"/>
                    </w:rPr>
                  </w:pPr>
                  <w:r>
                    <w:rPr>
                      <w:rFonts w:hint="eastAsia"/>
                      <w:color w:val="auto"/>
                      <w:sz w:val="21"/>
                      <w:szCs w:val="21"/>
                      <w:highlight w:val="none"/>
                      <w:lang w:val="en-US" w:eastAsia="zh-CN"/>
                    </w:rPr>
                    <w:t>三</w:t>
                  </w:r>
                  <w:r>
                    <w:rPr>
                      <w:rFonts w:hint="default"/>
                      <w:color w:val="auto"/>
                      <w:sz w:val="21"/>
                      <w:szCs w:val="21"/>
                      <w:highlight w:val="none"/>
                    </w:rPr>
                    <w:t>、落实医疗废物申报登记制度，全面实施信息化监管</w:t>
                  </w:r>
                </w:p>
              </w:tc>
              <w:tc>
                <w:tcPr>
                  <w:tcW w:w="3106" w:type="pct"/>
                  <w:tcBorders>
                    <w:tl2br w:val="nil"/>
                    <w:tr2bl w:val="nil"/>
                  </w:tcBorders>
                  <w:vAlign w:val="center"/>
                </w:tcPr>
                <w:p w14:paraId="514C5619">
                  <w:pPr>
                    <w:pStyle w:val="120"/>
                    <w:bidi w:val="0"/>
                    <w:rPr>
                      <w:rFonts w:hint="default"/>
                      <w:color w:val="auto"/>
                      <w:sz w:val="21"/>
                      <w:szCs w:val="21"/>
                      <w:highlight w:val="none"/>
                    </w:rPr>
                  </w:pPr>
                  <w:r>
                    <w:rPr>
                      <w:rFonts w:hint="default"/>
                      <w:color w:val="auto"/>
                      <w:sz w:val="21"/>
                      <w:szCs w:val="21"/>
                      <w:highlight w:val="none"/>
                    </w:rPr>
                    <w:t>乡镇（街道）卫生院、社区医院、一级以上医院和医疗废物集中处置单位应当向所在市生态环境局申请开设安徽省固体废物管理信息系统账户，依托安徽省固体废物管理信息系统建立医疗废物管理台账，如实记录有关信息，申报医疗废物的种类、产生量、流向、贮存、处置等有关资料，全面运行电子转移联单。村卫生室、门诊部、诊所、卫生所、医务室、护理站等基层医疗卫生机构由相应乡镇（街道）卫生院、社区医院统一在安徽省固体废物管理信息系统建立医疗废物管理台账、申报登记医疗废物相关信息。</w:t>
                  </w:r>
                </w:p>
                <w:p w14:paraId="72076EBB">
                  <w:pPr>
                    <w:pStyle w:val="120"/>
                    <w:bidi w:val="0"/>
                    <w:rPr>
                      <w:rFonts w:hint="eastAsia" w:eastAsia="宋体"/>
                      <w:color w:val="auto"/>
                      <w:sz w:val="21"/>
                      <w:szCs w:val="21"/>
                      <w:highlight w:val="none"/>
                      <w:lang w:eastAsia="zh-CN"/>
                    </w:rPr>
                  </w:pPr>
                  <w:r>
                    <w:rPr>
                      <w:rFonts w:hint="default"/>
                      <w:color w:val="auto"/>
                      <w:sz w:val="21"/>
                      <w:szCs w:val="21"/>
                      <w:highlight w:val="none"/>
                    </w:rPr>
                    <w:t>在安徽省固体废物管理信息系统中设立省、市、县（区）生态环境部门、卫生健康部门专用监管账户，对医疗卫生机构医疗废物的种类、产生量、流向、贮存、处置实施信息化监管</w:t>
                  </w:r>
                  <w:r>
                    <w:rPr>
                      <w:rFonts w:hint="eastAsia"/>
                      <w:color w:val="auto"/>
                      <w:sz w:val="21"/>
                      <w:szCs w:val="21"/>
                      <w:highlight w:val="none"/>
                      <w:lang w:eastAsia="zh-CN"/>
                    </w:rPr>
                    <w:t>。</w:t>
                  </w:r>
                </w:p>
              </w:tc>
              <w:tc>
                <w:tcPr>
                  <w:tcW w:w="1140" w:type="pct"/>
                  <w:tcBorders>
                    <w:tl2br w:val="nil"/>
                    <w:tr2bl w:val="nil"/>
                  </w:tcBorders>
                  <w:vAlign w:val="center"/>
                </w:tcPr>
                <w:p w14:paraId="1F88F5F3">
                  <w:pPr>
                    <w:pStyle w:val="120"/>
                    <w:bidi w:val="0"/>
                    <w:rPr>
                      <w:rFonts w:hint="default"/>
                      <w:color w:val="auto"/>
                      <w:sz w:val="21"/>
                      <w:szCs w:val="21"/>
                      <w:highlight w:val="none"/>
                    </w:rPr>
                  </w:pPr>
                  <w:r>
                    <w:rPr>
                      <w:rFonts w:hint="eastAsia"/>
                      <w:color w:val="auto"/>
                      <w:sz w:val="21"/>
                      <w:szCs w:val="21"/>
                      <w:highlight w:val="none"/>
                      <w:lang w:val="en-US" w:eastAsia="zh-CN"/>
                    </w:rPr>
                    <w:t>建设单位已</w:t>
                  </w:r>
                  <w:r>
                    <w:rPr>
                      <w:rFonts w:hint="default"/>
                      <w:color w:val="auto"/>
                      <w:sz w:val="21"/>
                      <w:szCs w:val="21"/>
                      <w:highlight w:val="none"/>
                    </w:rPr>
                    <w:t>开设安徽省固体废物管理信息系统账户，依托安徽省固体废物管理信息系统建立医疗废物管理台账，如实记录有关信息，申报医疗废物的种类、产生量、流向、贮存、处置等有关资料，全面运行电子转移联单。</w:t>
                  </w:r>
                </w:p>
              </w:tc>
              <w:tc>
                <w:tcPr>
                  <w:tcW w:w="334" w:type="pct"/>
                  <w:tcBorders>
                    <w:tl2br w:val="nil"/>
                    <w:tr2bl w:val="nil"/>
                  </w:tcBorders>
                  <w:vAlign w:val="center"/>
                </w:tcPr>
                <w:p w14:paraId="3848AB70">
                  <w:pPr>
                    <w:pStyle w:val="120"/>
                    <w:bidi w:val="0"/>
                    <w:rPr>
                      <w:rFonts w:hint="eastAsia" w:eastAsia="宋体"/>
                      <w:color w:val="auto"/>
                      <w:sz w:val="21"/>
                      <w:szCs w:val="21"/>
                      <w:highlight w:val="none"/>
                      <w:lang w:val="en-US" w:eastAsia="zh-CN"/>
                    </w:rPr>
                  </w:pPr>
                  <w:r>
                    <w:rPr>
                      <w:rFonts w:hint="eastAsia"/>
                      <w:color w:val="auto"/>
                      <w:sz w:val="21"/>
                      <w:szCs w:val="21"/>
                      <w:highlight w:val="none"/>
                      <w:lang w:val="en-US" w:eastAsia="zh-CN"/>
                    </w:rPr>
                    <w:t>符合</w:t>
                  </w:r>
                </w:p>
              </w:tc>
            </w:tr>
            <w:tr w14:paraId="0BB0F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419" w:type="pct"/>
                  <w:tcBorders>
                    <w:tl2br w:val="nil"/>
                    <w:tr2bl w:val="nil"/>
                  </w:tcBorders>
                  <w:vAlign w:val="center"/>
                </w:tcPr>
                <w:p w14:paraId="2C20249D">
                  <w:pPr>
                    <w:pStyle w:val="120"/>
                    <w:bidi w:val="0"/>
                    <w:rPr>
                      <w:rFonts w:hint="default"/>
                      <w:color w:val="auto"/>
                      <w:sz w:val="21"/>
                      <w:szCs w:val="21"/>
                      <w:highlight w:val="none"/>
                    </w:rPr>
                  </w:pPr>
                  <w:r>
                    <w:rPr>
                      <w:rFonts w:hint="default"/>
                      <w:color w:val="auto"/>
                      <w:sz w:val="21"/>
                      <w:szCs w:val="21"/>
                      <w:highlight w:val="none"/>
                    </w:rPr>
                    <w:t>四、建全医疗废物协同监管机制</w:t>
                  </w:r>
                </w:p>
              </w:tc>
              <w:tc>
                <w:tcPr>
                  <w:tcW w:w="3106" w:type="pct"/>
                  <w:tcBorders>
                    <w:tl2br w:val="nil"/>
                    <w:tr2bl w:val="nil"/>
                  </w:tcBorders>
                  <w:vAlign w:val="center"/>
                </w:tcPr>
                <w:p w14:paraId="294EB693">
                  <w:pPr>
                    <w:pStyle w:val="120"/>
                    <w:bidi w:val="0"/>
                    <w:rPr>
                      <w:rFonts w:hint="eastAsia"/>
                      <w:color w:val="auto"/>
                      <w:sz w:val="21"/>
                      <w:szCs w:val="21"/>
                      <w:highlight w:val="none"/>
                      <w:lang w:eastAsia="zh-CN"/>
                    </w:rPr>
                  </w:pPr>
                  <w:r>
                    <w:rPr>
                      <w:rFonts w:hint="default"/>
                      <w:color w:val="auto"/>
                      <w:sz w:val="21"/>
                      <w:szCs w:val="21"/>
                      <w:highlight w:val="none"/>
                    </w:rPr>
                    <w:t>卫生健康部门对医疗废物收集、转运、贮存、处置活动中的疾病防治工作实施统一监督管理，主要负责对医疗卫生机构医疗废物管理工作进行指导和管理，负责制定督促落实医疗废物管理相关制度和措施，协调有关部门落实医疗废物管理的法规制度</w:t>
                  </w:r>
                  <w:r>
                    <w:rPr>
                      <w:rFonts w:hint="eastAsia"/>
                      <w:color w:val="auto"/>
                      <w:sz w:val="21"/>
                      <w:szCs w:val="21"/>
                      <w:highlight w:val="none"/>
                      <w:lang w:eastAsia="zh-CN"/>
                    </w:rPr>
                    <w:t>，指导医疗卫生机构建立收集、转运体系，督促医疗卫生机构及时向生态环境部门申报登记医疗废物种类、产生量、流向、贮存、处置信息，组织开展医疗卫生机构医疗废物管理监督检查。</w:t>
                  </w:r>
                </w:p>
                <w:p w14:paraId="4E47DFDE">
                  <w:pPr>
                    <w:pStyle w:val="120"/>
                    <w:bidi w:val="0"/>
                    <w:rPr>
                      <w:rFonts w:hint="eastAsia"/>
                      <w:color w:val="auto"/>
                      <w:sz w:val="21"/>
                      <w:szCs w:val="21"/>
                      <w:highlight w:val="none"/>
                      <w:lang w:eastAsia="zh-CN"/>
                    </w:rPr>
                  </w:pPr>
                  <w:r>
                    <w:rPr>
                      <w:rFonts w:hint="eastAsia"/>
                      <w:color w:val="auto"/>
                      <w:sz w:val="21"/>
                      <w:szCs w:val="21"/>
                      <w:highlight w:val="none"/>
                      <w:lang w:eastAsia="zh-CN"/>
                    </w:rPr>
                    <w:t>生态环境部门对医疗废物收集、转运、贮存、处置活动的环境污染防治工作实施统一监督管理，主要负责对医疗废物集中处置单位医疗废物管理工作进行指导和管理，负责制定医疗废物管理相关制度和措施，协调有关部门落实医疗废物管理的法规制度，加强医疗废物集中处置能力建设，核发医疗废物集中处置单位许可证，按照要求将相关医疗卫生机构、医疗废物集中处置单位纳入土壤污染防治重点监管单位清单。</w:t>
                  </w:r>
                </w:p>
                <w:p w14:paraId="01A670B8">
                  <w:pPr>
                    <w:pStyle w:val="120"/>
                    <w:bidi w:val="0"/>
                    <w:rPr>
                      <w:rFonts w:hint="eastAsia" w:eastAsia="宋体"/>
                      <w:color w:val="auto"/>
                      <w:sz w:val="21"/>
                      <w:szCs w:val="21"/>
                      <w:highlight w:val="none"/>
                      <w:lang w:eastAsia="zh-CN"/>
                    </w:rPr>
                  </w:pPr>
                  <w:r>
                    <w:rPr>
                      <w:rFonts w:hint="eastAsia"/>
                      <w:color w:val="auto"/>
                      <w:sz w:val="21"/>
                      <w:szCs w:val="21"/>
                      <w:highlight w:val="none"/>
                      <w:lang w:eastAsia="zh-CN"/>
                    </w:rPr>
                    <w:t>卫生健康部门和生态环境部门建立信息沟通和工作协调机制，各级卫生健康部门要及时将医疗卫生机构设立及注销情况、医疗废物日常监督检查情况通报给同级生态环境部门，各级生态环境部门要及时将医疗废物集中处置能力建设情况、许可证发放情况、医疗废物收集处置情况和医疗卫生机构医疗废物申报登记情况通报给同级卫生健康管理部门。地方各级生态环境部门要将医疗卫生机构和医疗废物集中处置单位纳入“双随机、一公开”监管范围，结合实际设定抽查比例，制定抽查计划并实施，同时充分利用群众投诉、大数据平台等实施精准执法，对检查发现各类环境问题，依法依规进行处理处罚。</w:t>
                  </w:r>
                </w:p>
              </w:tc>
              <w:tc>
                <w:tcPr>
                  <w:tcW w:w="1140" w:type="pct"/>
                  <w:tcBorders>
                    <w:tl2br w:val="nil"/>
                    <w:tr2bl w:val="nil"/>
                  </w:tcBorders>
                  <w:vAlign w:val="center"/>
                </w:tcPr>
                <w:p w14:paraId="2B7DEDD4">
                  <w:pPr>
                    <w:pStyle w:val="120"/>
                    <w:bidi w:val="0"/>
                    <w:rPr>
                      <w:rFonts w:hint="eastAsia"/>
                      <w:color w:val="auto"/>
                      <w:sz w:val="21"/>
                      <w:szCs w:val="21"/>
                      <w:highlight w:val="none"/>
                      <w:lang w:val="en-US" w:eastAsia="zh-CN"/>
                    </w:rPr>
                  </w:pPr>
                  <w:r>
                    <w:rPr>
                      <w:rFonts w:hint="eastAsia"/>
                      <w:color w:val="auto"/>
                      <w:sz w:val="21"/>
                      <w:szCs w:val="21"/>
                      <w:highlight w:val="none"/>
                      <w:lang w:val="en-US" w:eastAsia="zh-CN"/>
                    </w:rPr>
                    <w:t>项目建成后，建设单位将制定并严格落实</w:t>
                  </w:r>
                  <w:r>
                    <w:rPr>
                      <w:rFonts w:hint="default"/>
                      <w:color w:val="auto"/>
                      <w:sz w:val="21"/>
                      <w:szCs w:val="21"/>
                      <w:highlight w:val="none"/>
                    </w:rPr>
                    <w:t>医疗废物管理相关制度和措施</w:t>
                  </w:r>
                  <w:r>
                    <w:rPr>
                      <w:rFonts w:hint="eastAsia"/>
                      <w:color w:val="auto"/>
                      <w:sz w:val="21"/>
                      <w:szCs w:val="21"/>
                      <w:highlight w:val="none"/>
                      <w:lang w:eastAsia="zh-CN"/>
                    </w:rPr>
                    <w:t>。</w:t>
                  </w:r>
                </w:p>
                <w:p w14:paraId="78C9720E">
                  <w:pPr>
                    <w:pStyle w:val="120"/>
                    <w:bidi w:val="0"/>
                    <w:rPr>
                      <w:rFonts w:hint="default"/>
                      <w:color w:val="auto"/>
                      <w:sz w:val="21"/>
                      <w:szCs w:val="21"/>
                      <w:highlight w:val="none"/>
                      <w:lang w:val="en-US" w:eastAsia="zh-CN"/>
                    </w:rPr>
                  </w:pPr>
                  <w:r>
                    <w:rPr>
                      <w:rFonts w:hint="default"/>
                      <w:color w:val="auto"/>
                      <w:sz w:val="21"/>
                      <w:szCs w:val="21"/>
                      <w:highlight w:val="none"/>
                      <w:lang w:val="en-US" w:eastAsia="zh-CN"/>
                    </w:rPr>
                    <w:t>医疗废物从产生到暂存需严格遵循分类、密封、转运和暂存管理规范：按感染性、损伤性、病理性等类型分类装入专用包装袋或锐器盒，密封后标注信息；科室需日产日清，锐器单独存放；由专人使用防漏推车定时收集，并做好交接记录；</w:t>
                  </w:r>
                  <w:r>
                    <w:rPr>
                      <w:rFonts w:hint="eastAsia"/>
                      <w:color w:val="auto"/>
                      <w:sz w:val="21"/>
                      <w:szCs w:val="21"/>
                      <w:highlight w:val="none"/>
                      <w:lang w:val="en-US" w:eastAsia="zh-CN"/>
                    </w:rPr>
                    <w:t>医疗废物在院区内暂</w:t>
                  </w:r>
                  <w:r>
                    <w:rPr>
                      <w:rFonts w:hint="default"/>
                      <w:color w:val="auto"/>
                      <w:sz w:val="21"/>
                      <w:szCs w:val="21"/>
                      <w:highlight w:val="none"/>
                      <w:lang w:val="en-US" w:eastAsia="zh-CN"/>
                    </w:rPr>
                    <w:t>存放不超过48小时，且每日消毒；</w:t>
                  </w:r>
                  <w:r>
                    <w:rPr>
                      <w:rFonts w:hint="eastAsia"/>
                      <w:color w:val="auto"/>
                      <w:sz w:val="21"/>
                      <w:szCs w:val="21"/>
                      <w:highlight w:val="none"/>
                      <w:lang w:val="en-US" w:eastAsia="zh-CN"/>
                    </w:rPr>
                    <w:t>接触医疗废物的</w:t>
                  </w:r>
                  <w:r>
                    <w:rPr>
                      <w:rFonts w:hint="default"/>
                      <w:color w:val="auto"/>
                      <w:sz w:val="21"/>
                      <w:szCs w:val="21"/>
                      <w:highlight w:val="none"/>
                      <w:lang w:val="en-US" w:eastAsia="zh-CN"/>
                    </w:rPr>
                    <w:t>工作人员需穿戴防护装备</w:t>
                  </w:r>
                  <w:r>
                    <w:rPr>
                      <w:rFonts w:hint="eastAsia"/>
                      <w:color w:val="auto"/>
                      <w:sz w:val="21"/>
                      <w:szCs w:val="21"/>
                      <w:highlight w:val="none"/>
                      <w:lang w:val="en-US" w:eastAsia="zh-CN"/>
                    </w:rPr>
                    <w:t>。医疗废物</w:t>
                  </w:r>
                  <w:r>
                    <w:rPr>
                      <w:rFonts w:hint="default"/>
                      <w:color w:val="auto"/>
                      <w:sz w:val="21"/>
                      <w:szCs w:val="21"/>
                      <w:highlight w:val="none"/>
                      <w:lang w:val="en-US" w:eastAsia="zh-CN"/>
                    </w:rPr>
                    <w:t>最终</w:t>
                  </w:r>
                  <w:r>
                    <w:rPr>
                      <w:rFonts w:hint="eastAsia"/>
                      <w:color w:val="auto"/>
                      <w:sz w:val="21"/>
                      <w:szCs w:val="21"/>
                      <w:highlight w:val="none"/>
                      <w:lang w:val="en-US" w:eastAsia="zh-CN"/>
                    </w:rPr>
                    <w:t>委托有资质的医疗废物处置单位进行处置</w:t>
                  </w:r>
                  <w:r>
                    <w:rPr>
                      <w:rFonts w:hint="default"/>
                      <w:color w:val="auto"/>
                      <w:sz w:val="21"/>
                      <w:szCs w:val="21"/>
                      <w:highlight w:val="none"/>
                      <w:lang w:val="en-US" w:eastAsia="zh-CN"/>
                    </w:rPr>
                    <w:t>。整个过程必须严防泄漏、混放或超期存放，确保安全合规。</w:t>
                  </w:r>
                </w:p>
              </w:tc>
              <w:tc>
                <w:tcPr>
                  <w:tcW w:w="334" w:type="pct"/>
                  <w:tcBorders>
                    <w:tl2br w:val="nil"/>
                    <w:tr2bl w:val="nil"/>
                  </w:tcBorders>
                  <w:vAlign w:val="center"/>
                </w:tcPr>
                <w:p w14:paraId="269E9546">
                  <w:pPr>
                    <w:pStyle w:val="120"/>
                    <w:bidi w:val="0"/>
                    <w:rPr>
                      <w:rFonts w:hint="eastAsia" w:eastAsia="宋体"/>
                      <w:color w:val="auto"/>
                      <w:sz w:val="21"/>
                      <w:szCs w:val="21"/>
                      <w:highlight w:val="none"/>
                      <w:lang w:val="en-US" w:eastAsia="zh-CN"/>
                    </w:rPr>
                  </w:pPr>
                  <w:r>
                    <w:rPr>
                      <w:rFonts w:hint="eastAsia"/>
                      <w:color w:val="auto"/>
                      <w:sz w:val="21"/>
                      <w:szCs w:val="21"/>
                      <w:highlight w:val="none"/>
                      <w:lang w:val="en-US" w:eastAsia="zh-CN"/>
                    </w:rPr>
                    <w:t>符合</w:t>
                  </w:r>
                </w:p>
              </w:tc>
            </w:tr>
          </w:tbl>
          <w:p w14:paraId="6BCD0E0B">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kern w:val="2"/>
                <w:sz w:val="24"/>
                <w:szCs w:val="24"/>
                <w:highlight w:val="none"/>
                <w:lang w:val="en-US" w:eastAsia="zh-CN" w:bidi="ar-SA"/>
              </w:rPr>
            </w:pPr>
            <w:r>
              <w:rPr>
                <w:rFonts w:hint="eastAsia" w:ascii="Times New Roman" w:hAnsi="Times New Roman" w:eastAsia="宋体" w:cs="Times New Roman"/>
                <w:b/>
                <w:bCs/>
                <w:color w:val="000000"/>
                <w:kern w:val="2"/>
                <w:sz w:val="24"/>
                <w:szCs w:val="24"/>
                <w:highlight w:val="none"/>
                <w:lang w:val="en-US" w:eastAsia="zh-CN" w:bidi="ar-SA"/>
              </w:rPr>
              <w:t>7、</w:t>
            </w:r>
            <w:r>
              <w:rPr>
                <w:rFonts w:hint="eastAsia"/>
                <w:b/>
                <w:bCs/>
                <w:color w:val="auto"/>
                <w:sz w:val="24"/>
                <w:szCs w:val="24"/>
                <w:highlight w:val="none"/>
                <w:lang w:val="en-US" w:eastAsia="zh-CN"/>
              </w:rPr>
              <w:t>与《医疗机构废弃物综合治理工作方案》符合性分析</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24"/>
              <w:gridCol w:w="4600"/>
              <w:gridCol w:w="1925"/>
              <w:gridCol w:w="526"/>
            </w:tblGrid>
            <w:tr w14:paraId="2C7A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trPr>
              <w:tc>
                <w:tcPr>
                  <w:tcW w:w="3402" w:type="pct"/>
                  <w:gridSpan w:val="2"/>
                  <w:tcBorders>
                    <w:tl2br w:val="nil"/>
                    <w:tr2bl w:val="nil"/>
                  </w:tcBorders>
                  <w:vAlign w:val="center"/>
                </w:tcPr>
                <w:p w14:paraId="30743476">
                  <w:pPr>
                    <w:pStyle w:val="120"/>
                    <w:bidi w:val="0"/>
                    <w:rPr>
                      <w:rFonts w:hint="default"/>
                      <w:b/>
                      <w:bCs/>
                      <w:color w:val="auto"/>
                      <w:sz w:val="21"/>
                      <w:szCs w:val="21"/>
                      <w:highlight w:val="none"/>
                    </w:rPr>
                  </w:pPr>
                  <w:r>
                    <w:rPr>
                      <w:rFonts w:hint="default"/>
                      <w:b/>
                      <w:bCs/>
                      <w:color w:val="auto"/>
                      <w:sz w:val="21"/>
                      <w:szCs w:val="21"/>
                      <w:highlight w:val="none"/>
                    </w:rPr>
                    <w:t>相关要求</w:t>
                  </w:r>
                </w:p>
              </w:tc>
              <w:tc>
                <w:tcPr>
                  <w:tcW w:w="1254" w:type="pct"/>
                  <w:tcBorders>
                    <w:tl2br w:val="nil"/>
                    <w:tr2bl w:val="nil"/>
                  </w:tcBorders>
                  <w:vAlign w:val="center"/>
                </w:tcPr>
                <w:p w14:paraId="43C778A1">
                  <w:pPr>
                    <w:pStyle w:val="120"/>
                    <w:bidi w:val="0"/>
                    <w:rPr>
                      <w:rFonts w:hint="default"/>
                      <w:b/>
                      <w:bCs/>
                      <w:color w:val="auto"/>
                      <w:sz w:val="21"/>
                      <w:szCs w:val="21"/>
                      <w:highlight w:val="none"/>
                    </w:rPr>
                  </w:pPr>
                  <w:r>
                    <w:rPr>
                      <w:rFonts w:hint="default"/>
                      <w:b/>
                      <w:bCs/>
                      <w:color w:val="auto"/>
                      <w:sz w:val="21"/>
                      <w:szCs w:val="21"/>
                      <w:highlight w:val="none"/>
                    </w:rPr>
                    <w:t>本项目情况</w:t>
                  </w:r>
                </w:p>
              </w:tc>
              <w:tc>
                <w:tcPr>
                  <w:tcW w:w="343" w:type="pct"/>
                  <w:tcBorders>
                    <w:tl2br w:val="nil"/>
                    <w:tr2bl w:val="nil"/>
                  </w:tcBorders>
                  <w:vAlign w:val="center"/>
                </w:tcPr>
                <w:p w14:paraId="03F3A40A">
                  <w:pPr>
                    <w:pStyle w:val="120"/>
                    <w:bidi w:val="0"/>
                    <w:rPr>
                      <w:rFonts w:hint="default"/>
                      <w:b/>
                      <w:bCs/>
                      <w:color w:val="auto"/>
                      <w:sz w:val="21"/>
                      <w:szCs w:val="21"/>
                      <w:highlight w:val="none"/>
                    </w:rPr>
                  </w:pPr>
                  <w:r>
                    <w:rPr>
                      <w:rFonts w:hint="default"/>
                      <w:b/>
                      <w:bCs/>
                      <w:color w:val="auto"/>
                      <w:sz w:val="21"/>
                      <w:szCs w:val="21"/>
                      <w:highlight w:val="none"/>
                    </w:rPr>
                    <w:t>符合性</w:t>
                  </w:r>
                </w:p>
              </w:tc>
            </w:tr>
            <w:tr w14:paraId="5EB18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406" w:type="pct"/>
                  <w:tcBorders>
                    <w:tl2br w:val="nil"/>
                    <w:tr2bl w:val="nil"/>
                  </w:tcBorders>
                  <w:vAlign w:val="center"/>
                </w:tcPr>
                <w:p w14:paraId="30F8DE32">
                  <w:pPr>
                    <w:pStyle w:val="120"/>
                    <w:bidi w:val="0"/>
                    <w:rPr>
                      <w:rFonts w:hint="default"/>
                      <w:color w:val="auto"/>
                      <w:sz w:val="21"/>
                      <w:szCs w:val="21"/>
                      <w:highlight w:val="none"/>
                    </w:rPr>
                  </w:pPr>
                  <w:r>
                    <w:rPr>
                      <w:rFonts w:hint="default"/>
                      <w:color w:val="auto"/>
                      <w:sz w:val="21"/>
                      <w:szCs w:val="21"/>
                      <w:highlight w:val="none"/>
                    </w:rPr>
                    <w:t>一、做好医疗机构内部废弃物分类和管理</w:t>
                  </w:r>
                </w:p>
                <w:p w14:paraId="277AAA92">
                  <w:pPr>
                    <w:pStyle w:val="120"/>
                    <w:bidi w:val="0"/>
                    <w:rPr>
                      <w:rFonts w:hint="default"/>
                      <w:color w:val="auto"/>
                      <w:sz w:val="21"/>
                      <w:szCs w:val="21"/>
                      <w:highlight w:val="none"/>
                    </w:rPr>
                  </w:pPr>
                </w:p>
              </w:tc>
              <w:tc>
                <w:tcPr>
                  <w:tcW w:w="2995" w:type="pct"/>
                  <w:tcBorders>
                    <w:tl2br w:val="nil"/>
                    <w:tr2bl w:val="nil"/>
                  </w:tcBorders>
                  <w:vAlign w:val="center"/>
                </w:tcPr>
                <w:p w14:paraId="12D967F5">
                  <w:pPr>
                    <w:pStyle w:val="120"/>
                    <w:bidi w:val="0"/>
                    <w:rPr>
                      <w:rFonts w:hint="default"/>
                      <w:color w:val="auto"/>
                      <w:sz w:val="21"/>
                      <w:szCs w:val="21"/>
                      <w:highlight w:val="none"/>
                    </w:rPr>
                  </w:pPr>
                  <w:r>
                    <w:rPr>
                      <w:rFonts w:hint="default"/>
                      <w:color w:val="auto"/>
                      <w:sz w:val="21"/>
                      <w:szCs w:val="21"/>
                      <w:highlight w:val="none"/>
                    </w:rPr>
                    <w:t>（一）加强源头管理。医疗机构废弃物分为医疗废物、生活垃圾和输液瓶（袋）。通过规范分类和清晰流程，各医疗机构内形成分类投放、分类收集、分类贮存、分类交接、分类转运的废弃物管理系统。充分利用电子标签、二维码等信息化技术手段，对药品和医用耗材购入、使用和处置等环节进行精细化全程跟踪管理，鼓励医疗机构使用具有追溯功能的医疗用品、具有计数功能的可复用容器，确保医疗机构废弃物应分尽分和可追溯。（国家卫生健康委牵头，生态环境部参与）</w:t>
                  </w:r>
                  <w:r>
                    <w:rPr>
                      <w:rFonts w:hint="eastAsia"/>
                      <w:color w:val="auto"/>
                      <w:sz w:val="21"/>
                      <w:szCs w:val="21"/>
                      <w:highlight w:val="none"/>
                      <w:lang w:eastAsia="zh-CN"/>
                    </w:rPr>
                    <w:t>。</w:t>
                  </w:r>
                </w:p>
                <w:p w14:paraId="4129A3D3">
                  <w:pPr>
                    <w:pStyle w:val="120"/>
                    <w:bidi w:val="0"/>
                    <w:rPr>
                      <w:rFonts w:hint="eastAsia" w:eastAsia="宋体"/>
                      <w:color w:val="auto"/>
                      <w:sz w:val="21"/>
                      <w:szCs w:val="21"/>
                      <w:highlight w:val="none"/>
                      <w:lang w:eastAsia="zh-CN"/>
                    </w:rPr>
                  </w:pPr>
                  <w:r>
                    <w:rPr>
                      <w:rFonts w:hint="default"/>
                      <w:color w:val="auto"/>
                      <w:sz w:val="21"/>
                      <w:szCs w:val="21"/>
                      <w:highlight w:val="none"/>
                    </w:rPr>
                    <w:t>（二）夯实各方责任。医疗机构法定代表人是医疗机构废弃物分类和管理的第一责任人，产生废弃物的具体科室和操作人员是直接责任人。鼓励由牵头医疗机构负责指导实行一体化管理的医联体内医疗机构废弃物分类和管理。实行后勤服务社会化的医疗机构要落实主体责任，加强对提供后勤服务组织的培训、指导和管理。适时将废弃物处置情况纳入公立医疗机构绩效考核。（国家卫生健康委负责）</w:t>
                  </w:r>
                  <w:r>
                    <w:rPr>
                      <w:rFonts w:hint="eastAsia"/>
                      <w:color w:val="auto"/>
                      <w:sz w:val="21"/>
                      <w:szCs w:val="21"/>
                      <w:highlight w:val="none"/>
                      <w:lang w:eastAsia="zh-CN"/>
                    </w:rPr>
                    <w:t>。</w:t>
                  </w:r>
                </w:p>
              </w:tc>
              <w:tc>
                <w:tcPr>
                  <w:tcW w:w="1254" w:type="pct"/>
                  <w:tcBorders>
                    <w:tl2br w:val="nil"/>
                    <w:tr2bl w:val="nil"/>
                  </w:tcBorders>
                  <w:shd w:val="clear" w:color="auto" w:fill="auto"/>
                  <w:vAlign w:val="center"/>
                </w:tcPr>
                <w:p w14:paraId="7769D0AE">
                  <w:pPr>
                    <w:pStyle w:val="120"/>
                    <w:bidi w:val="0"/>
                    <w:rPr>
                      <w:rFonts w:hint="default" w:ascii="Times New Roman" w:hAnsi="Times New Roman" w:eastAsia="宋体" w:cs="Times New Roman"/>
                      <w:color w:val="auto"/>
                      <w:sz w:val="21"/>
                      <w:szCs w:val="21"/>
                      <w:highlight w:val="none"/>
                      <w:lang w:val="en-US" w:eastAsia="zh-CN" w:bidi="ar-SA"/>
                    </w:rPr>
                  </w:pPr>
                  <w:r>
                    <w:rPr>
                      <w:rFonts w:hint="eastAsia"/>
                      <w:color w:val="auto"/>
                      <w:sz w:val="21"/>
                      <w:szCs w:val="21"/>
                      <w:highlight w:val="none"/>
                      <w:lang w:val="en-US" w:eastAsia="zh-CN"/>
                    </w:rPr>
                    <w:t>本项目各</w:t>
                  </w:r>
                  <w:r>
                    <w:rPr>
                      <w:rFonts w:hint="default"/>
                      <w:color w:val="auto"/>
                      <w:sz w:val="21"/>
                      <w:szCs w:val="21"/>
                      <w:highlight w:val="none"/>
                    </w:rPr>
                    <w:t>医疗</w:t>
                  </w:r>
                  <w:r>
                    <w:rPr>
                      <w:rFonts w:hint="eastAsia"/>
                      <w:color w:val="auto"/>
                      <w:sz w:val="21"/>
                      <w:szCs w:val="21"/>
                      <w:highlight w:val="none"/>
                      <w:lang w:val="en-US" w:eastAsia="zh-CN"/>
                    </w:rPr>
                    <w:t>废物均进行</w:t>
                  </w:r>
                  <w:r>
                    <w:rPr>
                      <w:rFonts w:hint="default"/>
                      <w:color w:val="auto"/>
                      <w:sz w:val="21"/>
                      <w:szCs w:val="21"/>
                      <w:highlight w:val="none"/>
                    </w:rPr>
                    <w:t>分类投放、分类收集、分类贮存、分类交接、分类转运</w:t>
                  </w:r>
                  <w:r>
                    <w:rPr>
                      <w:rFonts w:hint="eastAsia"/>
                      <w:color w:val="auto"/>
                      <w:sz w:val="21"/>
                      <w:szCs w:val="21"/>
                      <w:highlight w:val="none"/>
                      <w:lang w:eastAsia="zh-CN"/>
                    </w:rPr>
                    <w:t>。</w:t>
                  </w:r>
                </w:p>
              </w:tc>
              <w:tc>
                <w:tcPr>
                  <w:tcW w:w="343" w:type="pct"/>
                  <w:tcBorders>
                    <w:tl2br w:val="nil"/>
                    <w:tr2bl w:val="nil"/>
                  </w:tcBorders>
                  <w:vAlign w:val="center"/>
                </w:tcPr>
                <w:p w14:paraId="688E3BF5">
                  <w:pPr>
                    <w:pStyle w:val="120"/>
                    <w:bidi w:val="0"/>
                    <w:rPr>
                      <w:rFonts w:hint="default"/>
                      <w:color w:val="auto"/>
                      <w:sz w:val="21"/>
                      <w:szCs w:val="21"/>
                      <w:highlight w:val="none"/>
                    </w:rPr>
                  </w:pPr>
                  <w:r>
                    <w:rPr>
                      <w:rFonts w:hint="default"/>
                      <w:color w:val="auto"/>
                      <w:sz w:val="21"/>
                      <w:szCs w:val="21"/>
                      <w:highlight w:val="none"/>
                    </w:rPr>
                    <w:t>符合</w:t>
                  </w:r>
                </w:p>
              </w:tc>
            </w:tr>
            <w:tr w14:paraId="15EA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406" w:type="pct"/>
                  <w:tcBorders>
                    <w:tl2br w:val="nil"/>
                    <w:tr2bl w:val="nil"/>
                  </w:tcBorders>
                  <w:vAlign w:val="center"/>
                </w:tcPr>
                <w:p w14:paraId="22A1A622">
                  <w:pPr>
                    <w:pStyle w:val="120"/>
                    <w:bidi w:val="0"/>
                    <w:rPr>
                      <w:rFonts w:hint="default"/>
                      <w:color w:val="auto"/>
                      <w:sz w:val="21"/>
                      <w:szCs w:val="21"/>
                      <w:highlight w:val="none"/>
                    </w:rPr>
                  </w:pPr>
                  <w:r>
                    <w:rPr>
                      <w:rFonts w:hint="default"/>
                      <w:color w:val="auto"/>
                      <w:sz w:val="21"/>
                      <w:szCs w:val="21"/>
                      <w:highlight w:val="none"/>
                    </w:rPr>
                    <w:t>二、做好医疗废物处置</w:t>
                  </w:r>
                </w:p>
              </w:tc>
              <w:tc>
                <w:tcPr>
                  <w:tcW w:w="2995" w:type="pct"/>
                  <w:tcBorders>
                    <w:tl2br w:val="nil"/>
                    <w:tr2bl w:val="nil"/>
                  </w:tcBorders>
                  <w:vAlign w:val="center"/>
                </w:tcPr>
                <w:p w14:paraId="5AB53E2C">
                  <w:pPr>
                    <w:pStyle w:val="120"/>
                    <w:bidi w:val="0"/>
                    <w:rPr>
                      <w:rFonts w:hint="eastAsia" w:eastAsia="宋体"/>
                      <w:color w:val="auto"/>
                      <w:sz w:val="21"/>
                      <w:szCs w:val="21"/>
                      <w:highlight w:val="none"/>
                      <w:lang w:eastAsia="zh-CN"/>
                    </w:rPr>
                  </w:pPr>
                  <w:r>
                    <w:rPr>
                      <w:rFonts w:hint="default"/>
                      <w:color w:val="auto"/>
                      <w:sz w:val="21"/>
                      <w:szCs w:val="21"/>
                      <w:highlight w:val="none"/>
                    </w:rPr>
                    <w:t>（一）加强集中处置设施建设。各省份全面摸查医疗废物集中处置设施建设情况，要在2020年底前实现每个地级以上城市至少建成1个符合运行要求的医疗废物集中处置设施；到2022年6月底前，综合考虑地理位置分布、服务人口等因素设置区域性收集、中转或处置医疗废物设施，实现每个县（市）都建成医疗废物收集转运处置体系。鼓励发展医疗废物移动处置设施和预处理设施，为偏远基层提供就地处置服务。通过引进新技术、更新设备设施等措施，优化处置方式，补齐短板，大幅度提升现有医疗废物集中处置设施的处置能力，对各类医疗废物进行规范处置。探索建立医疗废物跨区域集中处置的协作机制和利益补偿机制。（省级人民政府负责）</w:t>
                  </w:r>
                  <w:r>
                    <w:rPr>
                      <w:rFonts w:hint="eastAsia"/>
                      <w:color w:val="auto"/>
                      <w:sz w:val="21"/>
                      <w:szCs w:val="21"/>
                      <w:highlight w:val="none"/>
                      <w:lang w:eastAsia="zh-CN"/>
                    </w:rPr>
                    <w:t>。</w:t>
                  </w:r>
                </w:p>
                <w:p w14:paraId="7D73D097">
                  <w:pPr>
                    <w:pStyle w:val="120"/>
                    <w:bidi w:val="0"/>
                    <w:rPr>
                      <w:rFonts w:hint="eastAsia" w:eastAsia="宋体"/>
                      <w:color w:val="auto"/>
                      <w:sz w:val="21"/>
                      <w:szCs w:val="21"/>
                      <w:highlight w:val="none"/>
                      <w:lang w:eastAsia="zh-CN"/>
                    </w:rPr>
                  </w:pPr>
                  <w:r>
                    <w:rPr>
                      <w:rFonts w:hint="default"/>
                      <w:color w:val="auto"/>
                      <w:sz w:val="21"/>
                      <w:szCs w:val="21"/>
                      <w:highlight w:val="none"/>
                    </w:rPr>
                    <w:t>（二）进一步明确处置要求。医疗机构按照《医疗废物分类目录》等要求制定具体的分类收集清单。严格落实危险废物申报登记和管理计划备案要求，依法向生态环境部门申报医疗废物的种类、产生量、流向、贮存和处置等情况。严禁混合医疗废物、生活垃圾和输液瓶（袋），严禁混放各类医疗废物。规范医疗废物贮存场所（设施）管理，不得露天存放。及时告知并将医疗废物交由持有危险废物经营许可证的集中处置单位，执行转移联单并做好交接登记，资料保存不少于3年。医疗废物集中处置单位要配备数量充足的收集、转运周转设施和具备相关资质的车辆，至少每2天到医疗机构收集、转运一次医疗废物。要按照《医疗废物集中处置技术规范（试行）》转运处置医疗废物，防止丢失、泄漏，探索医疗废物收集、贮存、交接、运输、处置全过程智能化管理。对于不具备上门收取条件的农村地区，当地政府可采取政府购买服务等多种方式，由第三方机构收集基层医疗机构的医疗废物，并在规定时间内交由医疗废物集中处置单位。确不具备医疗废物集中处置条件的地区，医疗机构应当使用符合条件的设施自行处置。（国家卫生健康委、生态环境部、交通运输部、地方各级人民政府按职责分工负责）</w:t>
                  </w:r>
                  <w:r>
                    <w:rPr>
                      <w:rFonts w:hint="eastAsia"/>
                      <w:color w:val="auto"/>
                      <w:sz w:val="21"/>
                      <w:szCs w:val="21"/>
                      <w:highlight w:val="none"/>
                      <w:lang w:eastAsia="zh-CN"/>
                    </w:rPr>
                    <w:t>。</w:t>
                  </w:r>
                </w:p>
              </w:tc>
              <w:tc>
                <w:tcPr>
                  <w:tcW w:w="1254" w:type="pct"/>
                  <w:tcBorders>
                    <w:tl2br w:val="nil"/>
                    <w:tr2bl w:val="nil"/>
                  </w:tcBorders>
                  <w:shd w:val="clear" w:color="auto" w:fill="auto"/>
                  <w:vAlign w:val="center"/>
                </w:tcPr>
                <w:p w14:paraId="79E0D682">
                  <w:pPr>
                    <w:pStyle w:val="120"/>
                    <w:bidi w:val="0"/>
                    <w:rPr>
                      <w:rFonts w:hint="default"/>
                      <w:color w:val="auto"/>
                      <w:sz w:val="21"/>
                      <w:szCs w:val="21"/>
                      <w:highlight w:val="none"/>
                    </w:rPr>
                  </w:pPr>
                  <w:r>
                    <w:rPr>
                      <w:rFonts w:hint="eastAsia"/>
                      <w:color w:val="auto"/>
                      <w:sz w:val="21"/>
                      <w:szCs w:val="21"/>
                      <w:highlight w:val="none"/>
                      <w:lang w:val="en-US" w:eastAsia="zh-CN"/>
                    </w:rPr>
                    <w:t>本项目位于</w:t>
                  </w:r>
                  <w:r>
                    <w:rPr>
                      <w:rFonts w:hint="eastAsia" w:cs="Times New Roman"/>
                      <w:color w:val="auto"/>
                      <w:sz w:val="21"/>
                      <w:szCs w:val="21"/>
                      <w:highlight w:val="none"/>
                      <w:lang w:val="en-US" w:eastAsia="zh-CN"/>
                    </w:rPr>
                    <w:t>安徽省淮南市潘集区珠江路北侧、武夷山路西侧</w:t>
                  </w:r>
                  <w:r>
                    <w:rPr>
                      <w:rFonts w:hint="eastAsia"/>
                      <w:color w:val="auto"/>
                      <w:sz w:val="21"/>
                      <w:szCs w:val="21"/>
                      <w:highlight w:val="none"/>
                      <w:lang w:val="en-US" w:eastAsia="zh-CN"/>
                    </w:rPr>
                    <w:t>，所在区域已建成</w:t>
                  </w:r>
                  <w:r>
                    <w:rPr>
                      <w:rFonts w:hint="default"/>
                      <w:color w:val="auto"/>
                      <w:sz w:val="21"/>
                      <w:szCs w:val="21"/>
                      <w:highlight w:val="none"/>
                    </w:rPr>
                    <w:t>符合运行要求的医疗废物集中处置设施；</w:t>
                  </w:r>
                  <w:r>
                    <w:rPr>
                      <w:rFonts w:hint="eastAsia"/>
                      <w:color w:val="auto"/>
                      <w:sz w:val="21"/>
                      <w:szCs w:val="21"/>
                      <w:highlight w:val="none"/>
                      <w:lang w:val="en-US" w:eastAsia="zh-CN"/>
                    </w:rPr>
                    <w:t>本项目将委托有处置资质的单位对医疗废物进行处置</w:t>
                  </w:r>
                  <w:r>
                    <w:rPr>
                      <w:rFonts w:hint="default"/>
                      <w:color w:val="auto"/>
                      <w:sz w:val="21"/>
                      <w:szCs w:val="21"/>
                      <w:highlight w:val="none"/>
                    </w:rPr>
                    <w:t>。</w:t>
                  </w:r>
                </w:p>
                <w:p w14:paraId="612E45C5">
                  <w:pPr>
                    <w:pStyle w:val="120"/>
                    <w:bidi w:val="0"/>
                    <w:ind w:firstLine="0" w:firstLineChars="0"/>
                    <w:rPr>
                      <w:rFonts w:hint="default"/>
                      <w:color w:val="auto"/>
                      <w:sz w:val="21"/>
                      <w:szCs w:val="21"/>
                      <w:highlight w:val="none"/>
                    </w:rPr>
                  </w:pPr>
                  <w:r>
                    <w:rPr>
                      <w:rFonts w:hint="eastAsia"/>
                      <w:color w:val="auto"/>
                      <w:sz w:val="21"/>
                      <w:szCs w:val="21"/>
                      <w:highlight w:val="none"/>
                      <w:lang w:val="en-US" w:eastAsia="zh-CN"/>
                    </w:rPr>
                    <w:t>建设单位按照</w:t>
                  </w:r>
                  <w:r>
                    <w:rPr>
                      <w:rFonts w:hint="default"/>
                      <w:color w:val="auto"/>
                      <w:sz w:val="21"/>
                      <w:szCs w:val="21"/>
                      <w:highlight w:val="none"/>
                    </w:rPr>
                    <w:t>《医疗废物分类目录》等要求制定具体的分类收集清单</w:t>
                  </w:r>
                  <w:r>
                    <w:rPr>
                      <w:rFonts w:hint="eastAsia"/>
                      <w:color w:val="auto"/>
                      <w:sz w:val="21"/>
                      <w:szCs w:val="21"/>
                      <w:highlight w:val="none"/>
                      <w:lang w:eastAsia="zh-CN"/>
                    </w:rPr>
                    <w:t>，</w:t>
                  </w:r>
                  <w:r>
                    <w:rPr>
                      <w:rFonts w:hint="default"/>
                      <w:color w:val="auto"/>
                      <w:sz w:val="21"/>
                      <w:szCs w:val="21"/>
                      <w:highlight w:val="none"/>
                    </w:rPr>
                    <w:t>严格落实危险废物申报登记和管理计划备案要求，依法向生态环境部门申报医疗废物的种类、产生量、流向、贮存和处置等情况。</w:t>
                  </w:r>
                </w:p>
                <w:p w14:paraId="4C362EE8">
                  <w:pPr>
                    <w:pStyle w:val="120"/>
                    <w:bidi w:val="0"/>
                    <w:ind w:firstLine="0" w:firstLineChars="0"/>
                    <w:rPr>
                      <w:rFonts w:hint="default" w:ascii="Times New Roman" w:hAnsi="Times New Roman" w:eastAsia="宋体" w:cs="Times New Roman"/>
                      <w:color w:val="auto"/>
                      <w:sz w:val="21"/>
                      <w:szCs w:val="21"/>
                      <w:highlight w:val="none"/>
                      <w:lang w:val="en-US" w:eastAsia="zh-CN" w:bidi="ar-SA"/>
                    </w:rPr>
                  </w:pPr>
                  <w:r>
                    <w:rPr>
                      <w:rFonts w:hint="eastAsia"/>
                      <w:color w:val="auto"/>
                      <w:sz w:val="21"/>
                      <w:szCs w:val="21"/>
                      <w:highlight w:val="none"/>
                      <w:lang w:val="en-US" w:eastAsia="zh-CN"/>
                    </w:rPr>
                    <w:t>本项目依托现有危废暂存间暂存医疗废物，各医疗废物暂存时间不超过48h，严禁医疗废物</w:t>
                  </w:r>
                  <w:r>
                    <w:rPr>
                      <w:rFonts w:hint="default"/>
                      <w:color w:val="auto"/>
                      <w:sz w:val="21"/>
                      <w:szCs w:val="21"/>
                      <w:highlight w:val="none"/>
                    </w:rPr>
                    <w:t>露天存放</w:t>
                  </w:r>
                  <w:r>
                    <w:rPr>
                      <w:rFonts w:hint="eastAsia"/>
                      <w:color w:val="auto"/>
                      <w:sz w:val="21"/>
                      <w:szCs w:val="21"/>
                      <w:highlight w:val="none"/>
                      <w:lang w:eastAsia="zh-CN"/>
                    </w:rPr>
                    <w:t>，</w:t>
                  </w:r>
                  <w:r>
                    <w:rPr>
                      <w:rFonts w:hint="default"/>
                      <w:color w:val="auto"/>
                      <w:sz w:val="21"/>
                      <w:szCs w:val="21"/>
                      <w:highlight w:val="none"/>
                    </w:rPr>
                    <w:t>及时告知并将医疗废物交由持有危险废物经营许可证的集中处置单位，执行转移联单并做好交接登记，资料保存不少于3年。</w:t>
                  </w:r>
                </w:p>
              </w:tc>
              <w:tc>
                <w:tcPr>
                  <w:tcW w:w="343" w:type="pct"/>
                  <w:tcBorders>
                    <w:tl2br w:val="nil"/>
                    <w:tr2bl w:val="nil"/>
                  </w:tcBorders>
                  <w:vAlign w:val="center"/>
                </w:tcPr>
                <w:p w14:paraId="12D7DD20">
                  <w:pPr>
                    <w:pStyle w:val="120"/>
                    <w:bidi w:val="0"/>
                    <w:rPr>
                      <w:rFonts w:hint="default" w:eastAsia="宋体"/>
                      <w:color w:val="auto"/>
                      <w:sz w:val="21"/>
                      <w:szCs w:val="21"/>
                      <w:highlight w:val="none"/>
                      <w:lang w:val="en-US" w:eastAsia="zh-CN"/>
                    </w:rPr>
                  </w:pPr>
                  <w:r>
                    <w:rPr>
                      <w:rFonts w:hint="eastAsia"/>
                      <w:color w:val="auto"/>
                      <w:sz w:val="21"/>
                      <w:szCs w:val="21"/>
                      <w:highlight w:val="none"/>
                      <w:lang w:val="en-US" w:eastAsia="zh-CN"/>
                    </w:rPr>
                    <w:t>符合</w:t>
                  </w:r>
                </w:p>
              </w:tc>
            </w:tr>
            <w:tr w14:paraId="30F4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406" w:type="pct"/>
                  <w:tcBorders>
                    <w:tl2br w:val="nil"/>
                    <w:tr2bl w:val="nil"/>
                  </w:tcBorders>
                  <w:vAlign w:val="center"/>
                </w:tcPr>
                <w:p w14:paraId="3BCBD74E">
                  <w:pPr>
                    <w:pStyle w:val="120"/>
                    <w:bidi w:val="0"/>
                    <w:rPr>
                      <w:rFonts w:hint="default"/>
                      <w:color w:val="auto"/>
                      <w:sz w:val="21"/>
                      <w:szCs w:val="21"/>
                      <w:highlight w:val="none"/>
                    </w:rPr>
                  </w:pPr>
                  <w:r>
                    <w:rPr>
                      <w:rFonts w:hint="default"/>
                      <w:color w:val="auto"/>
                      <w:sz w:val="21"/>
                      <w:szCs w:val="21"/>
                      <w:highlight w:val="none"/>
                    </w:rPr>
                    <w:t>三、做好生活垃圾管理</w:t>
                  </w:r>
                </w:p>
                <w:p w14:paraId="08477468">
                  <w:pPr>
                    <w:pStyle w:val="120"/>
                    <w:bidi w:val="0"/>
                    <w:rPr>
                      <w:rFonts w:hint="default"/>
                      <w:color w:val="auto"/>
                      <w:sz w:val="21"/>
                      <w:szCs w:val="21"/>
                      <w:highlight w:val="none"/>
                    </w:rPr>
                  </w:pPr>
                </w:p>
              </w:tc>
              <w:tc>
                <w:tcPr>
                  <w:tcW w:w="2995" w:type="pct"/>
                  <w:tcBorders>
                    <w:tl2br w:val="nil"/>
                    <w:tr2bl w:val="nil"/>
                  </w:tcBorders>
                  <w:vAlign w:val="center"/>
                </w:tcPr>
                <w:p w14:paraId="37DE36E0">
                  <w:pPr>
                    <w:pStyle w:val="120"/>
                    <w:bidi w:val="0"/>
                    <w:rPr>
                      <w:rFonts w:hint="eastAsia" w:eastAsia="宋体"/>
                      <w:color w:val="auto"/>
                      <w:sz w:val="21"/>
                      <w:szCs w:val="21"/>
                      <w:highlight w:val="none"/>
                      <w:lang w:eastAsia="zh-CN"/>
                    </w:rPr>
                  </w:pPr>
                  <w:r>
                    <w:rPr>
                      <w:rFonts w:hint="default"/>
                      <w:color w:val="auto"/>
                      <w:sz w:val="21"/>
                      <w:szCs w:val="21"/>
                      <w:highlight w:val="none"/>
                    </w:rPr>
                    <w:t>医疗机构要严格落实生活垃圾分类管理有关政策，将非传染病患者或家属在就诊过程中产生的生活垃圾，以及医疗机构职工非医疗活动产生的生活垃圾，与医疗活动中产生的医疗废物、输液瓶（袋）等区别管理。做好医疗机构生活垃圾的接收、运输和处理工作。（国家卫生健康委、住房城乡建设部按职责分工负责）</w:t>
                  </w:r>
                  <w:r>
                    <w:rPr>
                      <w:rFonts w:hint="eastAsia"/>
                      <w:color w:val="auto"/>
                      <w:sz w:val="21"/>
                      <w:szCs w:val="21"/>
                      <w:highlight w:val="none"/>
                      <w:lang w:eastAsia="zh-CN"/>
                    </w:rPr>
                    <w:t>。</w:t>
                  </w:r>
                </w:p>
              </w:tc>
              <w:tc>
                <w:tcPr>
                  <w:tcW w:w="1254" w:type="pct"/>
                  <w:tcBorders>
                    <w:tl2br w:val="nil"/>
                    <w:tr2bl w:val="nil"/>
                  </w:tcBorders>
                  <w:shd w:val="clear" w:color="auto" w:fill="auto"/>
                  <w:vAlign w:val="center"/>
                </w:tcPr>
                <w:p w14:paraId="712691DB">
                  <w:pPr>
                    <w:pStyle w:val="120"/>
                    <w:bidi w:val="0"/>
                    <w:ind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本项目不设置传染病科室。</w:t>
                  </w:r>
                </w:p>
                <w:p w14:paraId="2FC0B074">
                  <w:pPr>
                    <w:pStyle w:val="120"/>
                    <w:bidi w:val="0"/>
                    <w:ind w:firstLine="0" w:firstLineChars="0"/>
                    <w:rPr>
                      <w:rFonts w:hint="default" w:ascii="Times New Roman" w:hAnsi="Times New Roman" w:eastAsia="宋体" w:cs="Times New Roman"/>
                      <w:color w:val="auto"/>
                      <w:sz w:val="21"/>
                      <w:szCs w:val="21"/>
                      <w:highlight w:val="none"/>
                      <w:lang w:val="en-US" w:eastAsia="zh-CN" w:bidi="ar-SA"/>
                    </w:rPr>
                  </w:pPr>
                  <w:r>
                    <w:rPr>
                      <w:rFonts w:hint="eastAsia"/>
                      <w:color w:val="auto"/>
                      <w:sz w:val="21"/>
                      <w:szCs w:val="21"/>
                      <w:highlight w:val="none"/>
                      <w:lang w:val="en-US" w:eastAsia="zh-CN"/>
                    </w:rPr>
                    <w:t>项目建成后，建设单位将</w:t>
                  </w:r>
                  <w:r>
                    <w:rPr>
                      <w:rFonts w:hint="default"/>
                      <w:color w:val="auto"/>
                      <w:sz w:val="21"/>
                      <w:szCs w:val="21"/>
                      <w:highlight w:val="none"/>
                    </w:rPr>
                    <w:t>严格落实生活垃圾分类管理有关政策，将患者或家属在就诊过程中产生的生活垃圾，以及医疗机构职工非医疗活动产生的生活垃圾，与医疗活动中产生的医疗废物等区别管理。</w:t>
                  </w:r>
                </w:p>
              </w:tc>
              <w:tc>
                <w:tcPr>
                  <w:tcW w:w="343" w:type="pct"/>
                  <w:tcBorders>
                    <w:tl2br w:val="nil"/>
                    <w:tr2bl w:val="nil"/>
                  </w:tcBorders>
                  <w:vAlign w:val="center"/>
                </w:tcPr>
                <w:p w14:paraId="0279B910">
                  <w:pPr>
                    <w:pStyle w:val="120"/>
                    <w:bidi w:val="0"/>
                    <w:rPr>
                      <w:rFonts w:hint="eastAsia" w:eastAsia="宋体"/>
                      <w:color w:val="auto"/>
                      <w:sz w:val="21"/>
                      <w:szCs w:val="21"/>
                      <w:highlight w:val="none"/>
                      <w:lang w:val="en-US" w:eastAsia="zh-CN"/>
                    </w:rPr>
                  </w:pPr>
                  <w:r>
                    <w:rPr>
                      <w:rFonts w:hint="eastAsia"/>
                      <w:color w:val="auto"/>
                      <w:sz w:val="21"/>
                      <w:szCs w:val="21"/>
                      <w:highlight w:val="none"/>
                      <w:lang w:val="en-US" w:eastAsia="zh-CN"/>
                    </w:rPr>
                    <w:t>符合</w:t>
                  </w:r>
                </w:p>
              </w:tc>
            </w:tr>
            <w:tr w14:paraId="03A5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406" w:type="pct"/>
                  <w:tcBorders>
                    <w:tl2br w:val="nil"/>
                    <w:tr2bl w:val="nil"/>
                  </w:tcBorders>
                  <w:vAlign w:val="center"/>
                </w:tcPr>
                <w:p w14:paraId="7594E2FD">
                  <w:pPr>
                    <w:pStyle w:val="120"/>
                    <w:bidi w:val="0"/>
                    <w:rPr>
                      <w:rFonts w:hint="default"/>
                      <w:color w:val="auto"/>
                      <w:sz w:val="21"/>
                      <w:szCs w:val="21"/>
                      <w:highlight w:val="none"/>
                    </w:rPr>
                  </w:pPr>
                  <w:r>
                    <w:rPr>
                      <w:rFonts w:hint="default"/>
                      <w:color w:val="auto"/>
                      <w:sz w:val="21"/>
                      <w:szCs w:val="21"/>
                      <w:highlight w:val="none"/>
                    </w:rPr>
                    <w:t>四、做好输液瓶（袋）回收利用</w:t>
                  </w:r>
                </w:p>
              </w:tc>
              <w:tc>
                <w:tcPr>
                  <w:tcW w:w="2995" w:type="pct"/>
                  <w:tcBorders>
                    <w:tl2br w:val="nil"/>
                    <w:tr2bl w:val="nil"/>
                  </w:tcBorders>
                  <w:vAlign w:val="center"/>
                </w:tcPr>
                <w:p w14:paraId="30AF93A0">
                  <w:pPr>
                    <w:pStyle w:val="120"/>
                    <w:bidi w:val="0"/>
                    <w:rPr>
                      <w:rFonts w:hint="eastAsia" w:eastAsia="宋体"/>
                      <w:color w:val="auto"/>
                      <w:sz w:val="21"/>
                      <w:szCs w:val="21"/>
                      <w:highlight w:val="none"/>
                      <w:lang w:eastAsia="zh-CN"/>
                    </w:rPr>
                  </w:pPr>
                  <w:r>
                    <w:rPr>
                      <w:rFonts w:hint="default"/>
                      <w:color w:val="auto"/>
                      <w:sz w:val="21"/>
                      <w:szCs w:val="21"/>
                      <w:highlight w:val="none"/>
                    </w:rPr>
                    <w:t>按照</w:t>
                  </w:r>
                  <w:r>
                    <w:rPr>
                      <w:rFonts w:hint="eastAsia"/>
                      <w:color w:val="auto"/>
                      <w:sz w:val="21"/>
                      <w:szCs w:val="21"/>
                      <w:highlight w:val="none"/>
                      <w:lang w:eastAsia="zh-CN"/>
                    </w:rPr>
                    <w:t>“</w:t>
                  </w:r>
                  <w:r>
                    <w:rPr>
                      <w:rFonts w:hint="default"/>
                      <w:color w:val="auto"/>
                      <w:sz w:val="21"/>
                      <w:szCs w:val="21"/>
                      <w:highlight w:val="none"/>
                    </w:rPr>
                    <w:t>闭环管理、定点定向、全程追溯</w:t>
                  </w:r>
                  <w:r>
                    <w:rPr>
                      <w:rFonts w:hint="eastAsia"/>
                      <w:color w:val="auto"/>
                      <w:sz w:val="21"/>
                      <w:szCs w:val="21"/>
                      <w:highlight w:val="none"/>
                      <w:lang w:eastAsia="zh-CN"/>
                    </w:rPr>
                    <w:t>”</w:t>
                  </w:r>
                  <w:r>
                    <w:rPr>
                      <w:rFonts w:hint="default"/>
                      <w:color w:val="auto"/>
                      <w:sz w:val="21"/>
                      <w:szCs w:val="21"/>
                      <w:highlight w:val="none"/>
                    </w:rPr>
                    <w:t>的原则，明确医疗机构处理以及企业回收和利用的工作流程、技术规范和要求，用好用足现有标准，必要时做好标准制修订工作。明确医疗机构、回收企业、利用企业的责任和有关部门的监管职责。在产生环节，医疗机构要按照标准做好输液瓶（袋）的收集，并集中移交回收企业。国家卫生健康委要指导地方加强日常监管。在回收和利用环节，由地方出台政策措施，确保辖区内分别至少有1家回收和利用企业或1家回收利用一体化企业，确保辖区内医疗机构输液瓶（袋）回收和利用全覆盖。充分利用第三方等平台，鼓励回收和利用企业一体化运作，连锁化、集团化、规模化经营。回收利用的输液瓶（袋）不得用于原用途，不得用于制造餐饮容器以及玩具等儿童用品，不得危害人体健康。商务部要指导地方做好回收企业确定工作。工业和信息化部要指导废塑料综合利用行业组织完善处理工艺，引导行业规范健康发展，培育跨区域骨干企业。（国家卫生健康委、商务部、工业和信息化部、市场监管总局、地方各级人民政府按职责分工负责）</w:t>
                  </w:r>
                  <w:r>
                    <w:rPr>
                      <w:rFonts w:hint="eastAsia"/>
                      <w:color w:val="auto"/>
                      <w:sz w:val="21"/>
                      <w:szCs w:val="21"/>
                      <w:highlight w:val="none"/>
                      <w:lang w:eastAsia="zh-CN"/>
                    </w:rPr>
                    <w:t>。</w:t>
                  </w:r>
                </w:p>
              </w:tc>
              <w:tc>
                <w:tcPr>
                  <w:tcW w:w="1254" w:type="pct"/>
                  <w:tcBorders>
                    <w:tl2br w:val="nil"/>
                    <w:tr2bl w:val="nil"/>
                  </w:tcBorders>
                  <w:vAlign w:val="center"/>
                </w:tcPr>
                <w:p w14:paraId="0BEC9386">
                  <w:pPr>
                    <w:pStyle w:val="120"/>
                    <w:bidi w:val="0"/>
                    <w:ind w:firstLine="0" w:firstLineChars="0"/>
                    <w:rPr>
                      <w:rFonts w:hint="eastAsia" w:eastAsia="宋体"/>
                      <w:color w:val="auto"/>
                      <w:sz w:val="21"/>
                      <w:szCs w:val="21"/>
                      <w:highlight w:val="none"/>
                      <w:lang w:val="en-US" w:eastAsia="zh-CN"/>
                    </w:rPr>
                  </w:pPr>
                  <w:r>
                    <w:rPr>
                      <w:rFonts w:hint="eastAsia"/>
                      <w:color w:val="auto"/>
                      <w:sz w:val="21"/>
                      <w:szCs w:val="21"/>
                      <w:highlight w:val="none"/>
                      <w:lang w:val="en-US" w:eastAsia="zh-CN"/>
                    </w:rPr>
                    <w:t>本项目将按照</w:t>
                  </w:r>
                  <w:r>
                    <w:rPr>
                      <w:rFonts w:hint="default"/>
                      <w:color w:val="auto"/>
                      <w:sz w:val="21"/>
                      <w:szCs w:val="21"/>
                      <w:highlight w:val="none"/>
                    </w:rPr>
                    <w:t>《医疗废物分类目录》等要求制定具体的分类收集清单</w:t>
                  </w:r>
                  <w:r>
                    <w:rPr>
                      <w:rFonts w:hint="eastAsia"/>
                      <w:color w:val="auto"/>
                      <w:sz w:val="21"/>
                      <w:szCs w:val="21"/>
                      <w:highlight w:val="none"/>
                      <w:lang w:eastAsia="zh-CN"/>
                    </w:rPr>
                    <w:t>，</w:t>
                  </w:r>
                  <w:r>
                    <w:rPr>
                      <w:rFonts w:hint="default"/>
                      <w:color w:val="auto"/>
                      <w:sz w:val="21"/>
                      <w:szCs w:val="21"/>
                      <w:highlight w:val="none"/>
                    </w:rPr>
                    <w:t>严格落实危险废物申报登记和管理计划备案要求，依法向生态环境部门申报医疗废物的种类、产生量、流向、贮存和处置等情况。</w:t>
                  </w:r>
                  <w:r>
                    <w:rPr>
                      <w:rFonts w:hint="eastAsia"/>
                      <w:color w:val="auto"/>
                      <w:sz w:val="21"/>
                      <w:szCs w:val="21"/>
                      <w:highlight w:val="none"/>
                      <w:lang w:val="en-US" w:eastAsia="zh-CN"/>
                    </w:rPr>
                    <w:t>本项目依托现有危废暂存间暂存医疗废物，各医疗废物暂存时间不超过48h，严禁医疗废物</w:t>
                  </w:r>
                  <w:r>
                    <w:rPr>
                      <w:rFonts w:hint="default"/>
                      <w:color w:val="auto"/>
                      <w:sz w:val="21"/>
                      <w:szCs w:val="21"/>
                      <w:highlight w:val="none"/>
                    </w:rPr>
                    <w:t>露天存放</w:t>
                  </w:r>
                  <w:r>
                    <w:rPr>
                      <w:rFonts w:hint="eastAsia"/>
                      <w:color w:val="auto"/>
                      <w:sz w:val="21"/>
                      <w:szCs w:val="21"/>
                      <w:highlight w:val="none"/>
                      <w:lang w:eastAsia="zh-CN"/>
                    </w:rPr>
                    <w:t>，</w:t>
                  </w:r>
                  <w:r>
                    <w:rPr>
                      <w:rFonts w:hint="default"/>
                      <w:color w:val="auto"/>
                      <w:sz w:val="21"/>
                      <w:szCs w:val="21"/>
                      <w:highlight w:val="none"/>
                    </w:rPr>
                    <w:t>及时告知并将医疗废物交由持有危险废物经营许可证的集中处置单位，执行转移联单并做好交接登记，资料保存不少于3年</w:t>
                  </w:r>
                  <w:r>
                    <w:rPr>
                      <w:rFonts w:hint="eastAsia"/>
                      <w:color w:val="auto"/>
                      <w:sz w:val="21"/>
                      <w:szCs w:val="21"/>
                      <w:highlight w:val="none"/>
                      <w:lang w:eastAsia="zh-CN"/>
                    </w:rPr>
                    <w:t>。</w:t>
                  </w:r>
                </w:p>
              </w:tc>
              <w:tc>
                <w:tcPr>
                  <w:tcW w:w="343" w:type="pct"/>
                  <w:tcBorders>
                    <w:tl2br w:val="nil"/>
                    <w:tr2bl w:val="nil"/>
                  </w:tcBorders>
                  <w:vAlign w:val="center"/>
                </w:tcPr>
                <w:p w14:paraId="54952582">
                  <w:pPr>
                    <w:pStyle w:val="120"/>
                    <w:bidi w:val="0"/>
                    <w:rPr>
                      <w:rFonts w:hint="eastAsia" w:eastAsia="宋体"/>
                      <w:color w:val="auto"/>
                      <w:sz w:val="21"/>
                      <w:szCs w:val="21"/>
                      <w:highlight w:val="none"/>
                      <w:lang w:val="en-US" w:eastAsia="zh-CN"/>
                    </w:rPr>
                  </w:pPr>
                  <w:r>
                    <w:rPr>
                      <w:rFonts w:hint="eastAsia"/>
                      <w:color w:val="auto"/>
                      <w:sz w:val="21"/>
                      <w:szCs w:val="21"/>
                      <w:highlight w:val="none"/>
                      <w:lang w:val="en-US" w:eastAsia="zh-CN"/>
                    </w:rPr>
                    <w:t>符合</w:t>
                  </w:r>
                </w:p>
              </w:tc>
            </w:tr>
            <w:tr w14:paraId="3C41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406" w:type="pct"/>
                  <w:tcBorders>
                    <w:tl2br w:val="nil"/>
                    <w:tr2bl w:val="nil"/>
                  </w:tcBorders>
                  <w:vAlign w:val="center"/>
                </w:tcPr>
                <w:p w14:paraId="499B627B">
                  <w:pPr>
                    <w:pStyle w:val="120"/>
                    <w:bidi w:val="0"/>
                    <w:rPr>
                      <w:rFonts w:hint="default"/>
                      <w:color w:val="auto"/>
                      <w:sz w:val="21"/>
                      <w:szCs w:val="21"/>
                      <w:highlight w:val="none"/>
                    </w:rPr>
                  </w:pPr>
                  <w:r>
                    <w:rPr>
                      <w:rFonts w:hint="default"/>
                      <w:color w:val="auto"/>
                      <w:sz w:val="21"/>
                      <w:szCs w:val="21"/>
                      <w:highlight w:val="none"/>
                    </w:rPr>
                    <w:t>五、开展医疗机构废弃物专项整治</w:t>
                  </w:r>
                </w:p>
              </w:tc>
              <w:tc>
                <w:tcPr>
                  <w:tcW w:w="2995" w:type="pct"/>
                  <w:tcBorders>
                    <w:tl2br w:val="nil"/>
                    <w:tr2bl w:val="nil"/>
                  </w:tcBorders>
                  <w:vAlign w:val="center"/>
                </w:tcPr>
                <w:p w14:paraId="52A3D239">
                  <w:pPr>
                    <w:pStyle w:val="120"/>
                    <w:bidi w:val="0"/>
                    <w:rPr>
                      <w:rFonts w:hint="eastAsia" w:eastAsia="宋体"/>
                      <w:color w:val="auto"/>
                      <w:sz w:val="21"/>
                      <w:szCs w:val="21"/>
                      <w:highlight w:val="none"/>
                      <w:lang w:eastAsia="zh-CN"/>
                    </w:rPr>
                  </w:pPr>
                  <w:r>
                    <w:rPr>
                      <w:rFonts w:hint="default"/>
                      <w:color w:val="auto"/>
                      <w:sz w:val="21"/>
                      <w:szCs w:val="21"/>
                      <w:highlight w:val="none"/>
                    </w:rPr>
                    <w:t>在全国范围内开展为期半年的医疗机构废弃物专项整治行动，重点整治医疗机构不规范分类和存贮、不规范登记和交接废弃物、虚报瞒报医疗废物产生量、非法倒卖医疗废物，医疗机构外医疗废物处置脱离闭环管理、医疗废物集中处置单位无危险废物经营许可证，以及有关企业违法违规回收和利用医疗机构废弃物等行为。国家卫生健康委、生态环境部会同商务部、工业和信息化部、住房城乡建设部等部门制定具体实施方案，明确部门职责分工。市场监管总局、公安部加强与国家卫生健康委、生态环境部的沟通联系，强化信息共享，依法履行职责。各相关部门在执法检查和日常管理中发现有涉嫌犯罪行为的，及时移送公安机关，并积极为公安机关办案提供必要支持。公开曝光违法医疗机构和医疗废物集中处置单位。（国家卫生健康委、生态环境部牵头，商务部、工业和信息化部、住房城乡建设部、市场监管总局、公安部参与，2020年底前完成集中整治）</w:t>
                  </w:r>
                  <w:r>
                    <w:rPr>
                      <w:rFonts w:hint="eastAsia"/>
                      <w:color w:val="auto"/>
                      <w:sz w:val="21"/>
                      <w:szCs w:val="21"/>
                      <w:highlight w:val="none"/>
                      <w:lang w:eastAsia="zh-CN"/>
                    </w:rPr>
                    <w:t>。</w:t>
                  </w:r>
                </w:p>
              </w:tc>
              <w:tc>
                <w:tcPr>
                  <w:tcW w:w="1254" w:type="pct"/>
                  <w:tcBorders>
                    <w:tl2br w:val="nil"/>
                    <w:tr2bl w:val="nil"/>
                  </w:tcBorders>
                  <w:vAlign w:val="center"/>
                </w:tcPr>
                <w:p w14:paraId="64D9F6B7">
                  <w:pPr>
                    <w:pStyle w:val="120"/>
                    <w:bidi w:val="0"/>
                    <w:rPr>
                      <w:rFonts w:hint="default" w:eastAsia="宋体"/>
                      <w:color w:val="auto"/>
                      <w:sz w:val="21"/>
                      <w:szCs w:val="21"/>
                      <w:highlight w:val="none"/>
                      <w:lang w:val="en-US" w:eastAsia="zh-CN"/>
                    </w:rPr>
                  </w:pPr>
                  <w:r>
                    <w:rPr>
                      <w:rFonts w:hint="eastAsia"/>
                      <w:color w:val="auto"/>
                      <w:sz w:val="21"/>
                      <w:szCs w:val="21"/>
                      <w:highlight w:val="none"/>
                      <w:lang w:val="en-US" w:eastAsia="zh-CN"/>
                    </w:rPr>
                    <w:t>本项目医疗废物均委托有处置资质的单位进行处置。</w:t>
                  </w:r>
                </w:p>
              </w:tc>
              <w:tc>
                <w:tcPr>
                  <w:tcW w:w="343" w:type="pct"/>
                  <w:tcBorders>
                    <w:tl2br w:val="nil"/>
                    <w:tr2bl w:val="nil"/>
                  </w:tcBorders>
                  <w:vAlign w:val="center"/>
                </w:tcPr>
                <w:p w14:paraId="13A10C62">
                  <w:pPr>
                    <w:pStyle w:val="120"/>
                    <w:bidi w:val="0"/>
                    <w:rPr>
                      <w:rFonts w:hint="default" w:eastAsia="宋体"/>
                      <w:color w:val="auto"/>
                      <w:sz w:val="21"/>
                      <w:szCs w:val="21"/>
                      <w:highlight w:val="none"/>
                      <w:lang w:val="en-US" w:eastAsia="zh-CN"/>
                    </w:rPr>
                  </w:pPr>
                  <w:r>
                    <w:rPr>
                      <w:rFonts w:hint="eastAsia"/>
                      <w:color w:val="auto"/>
                      <w:sz w:val="21"/>
                      <w:szCs w:val="21"/>
                      <w:highlight w:val="none"/>
                      <w:lang w:val="en-US" w:eastAsia="zh-CN"/>
                    </w:rPr>
                    <w:t>符合</w:t>
                  </w:r>
                </w:p>
              </w:tc>
            </w:tr>
          </w:tbl>
          <w:p w14:paraId="621F4474">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kern w:val="2"/>
                <w:sz w:val="24"/>
                <w:szCs w:val="24"/>
                <w:highlight w:val="none"/>
                <w:lang w:val="en-US" w:eastAsia="zh-CN" w:bidi="ar-SA"/>
              </w:rPr>
            </w:pPr>
            <w:r>
              <w:rPr>
                <w:rFonts w:hint="eastAsia" w:ascii="Times New Roman" w:hAnsi="Times New Roman" w:eastAsia="宋体" w:cs="Times New Roman"/>
                <w:b/>
                <w:bCs/>
                <w:color w:val="000000"/>
                <w:kern w:val="2"/>
                <w:sz w:val="24"/>
                <w:szCs w:val="24"/>
                <w:highlight w:val="none"/>
                <w:lang w:val="en-US" w:eastAsia="zh-CN" w:bidi="ar-SA"/>
              </w:rPr>
              <w:t>8、</w:t>
            </w:r>
            <w:r>
              <w:rPr>
                <w:rFonts w:hint="eastAsia" w:ascii="Times New Roman" w:hAnsi="Times New Roman" w:eastAsia="宋体" w:cs="Times New Roman"/>
                <w:b/>
                <w:bCs/>
                <w:color w:val="auto"/>
                <w:sz w:val="24"/>
                <w:szCs w:val="24"/>
                <w:highlight w:val="none"/>
                <w:lang w:val="en-US" w:eastAsia="zh-CN"/>
              </w:rPr>
              <w:t>与《医疗废物管理条例》</w:t>
            </w:r>
            <w:r>
              <w:rPr>
                <w:rFonts w:hint="eastAsia"/>
                <w:b/>
                <w:bCs/>
                <w:color w:val="auto"/>
                <w:sz w:val="24"/>
                <w:szCs w:val="24"/>
                <w:highlight w:val="none"/>
                <w:lang w:val="en-US" w:eastAsia="zh-CN"/>
              </w:rPr>
              <w:t>符合性分析</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3"/>
              <w:gridCol w:w="4206"/>
              <w:gridCol w:w="2470"/>
              <w:gridCol w:w="456"/>
            </w:tblGrid>
            <w:tr w14:paraId="655D3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trPr>
              <w:tc>
                <w:tcPr>
                  <w:tcW w:w="3092" w:type="pct"/>
                  <w:gridSpan w:val="2"/>
                  <w:tcBorders>
                    <w:tl2br w:val="nil"/>
                    <w:tr2bl w:val="nil"/>
                  </w:tcBorders>
                  <w:vAlign w:val="center"/>
                </w:tcPr>
                <w:p w14:paraId="3BF98B78">
                  <w:pPr>
                    <w:pStyle w:val="120"/>
                    <w:bidi w:val="0"/>
                    <w:rPr>
                      <w:rFonts w:hint="default"/>
                      <w:b/>
                      <w:bCs/>
                      <w:color w:val="auto"/>
                      <w:sz w:val="21"/>
                      <w:szCs w:val="21"/>
                      <w:highlight w:val="none"/>
                    </w:rPr>
                  </w:pPr>
                  <w:r>
                    <w:rPr>
                      <w:rFonts w:hint="default"/>
                      <w:b/>
                      <w:bCs/>
                      <w:color w:val="auto"/>
                      <w:sz w:val="21"/>
                      <w:szCs w:val="21"/>
                      <w:highlight w:val="none"/>
                    </w:rPr>
                    <w:t>相关要求</w:t>
                  </w:r>
                </w:p>
              </w:tc>
              <w:tc>
                <w:tcPr>
                  <w:tcW w:w="1609" w:type="pct"/>
                  <w:tcBorders>
                    <w:tl2br w:val="nil"/>
                    <w:tr2bl w:val="nil"/>
                  </w:tcBorders>
                  <w:vAlign w:val="center"/>
                </w:tcPr>
                <w:p w14:paraId="19F24AF9">
                  <w:pPr>
                    <w:pStyle w:val="120"/>
                    <w:bidi w:val="0"/>
                    <w:rPr>
                      <w:rFonts w:hint="default"/>
                      <w:b/>
                      <w:bCs/>
                      <w:color w:val="auto"/>
                      <w:sz w:val="21"/>
                      <w:szCs w:val="21"/>
                      <w:highlight w:val="none"/>
                    </w:rPr>
                  </w:pPr>
                  <w:r>
                    <w:rPr>
                      <w:rFonts w:hint="default"/>
                      <w:b/>
                      <w:bCs/>
                      <w:color w:val="auto"/>
                      <w:sz w:val="21"/>
                      <w:szCs w:val="21"/>
                      <w:highlight w:val="none"/>
                    </w:rPr>
                    <w:t>本项目情况</w:t>
                  </w:r>
                </w:p>
              </w:tc>
              <w:tc>
                <w:tcPr>
                  <w:tcW w:w="297" w:type="pct"/>
                  <w:tcBorders>
                    <w:tl2br w:val="nil"/>
                    <w:tr2bl w:val="nil"/>
                  </w:tcBorders>
                  <w:vAlign w:val="center"/>
                </w:tcPr>
                <w:p w14:paraId="14C91067">
                  <w:pPr>
                    <w:pStyle w:val="120"/>
                    <w:bidi w:val="0"/>
                    <w:rPr>
                      <w:rFonts w:hint="default"/>
                      <w:b/>
                      <w:bCs/>
                      <w:color w:val="auto"/>
                      <w:sz w:val="21"/>
                      <w:szCs w:val="21"/>
                      <w:highlight w:val="none"/>
                    </w:rPr>
                  </w:pPr>
                  <w:r>
                    <w:rPr>
                      <w:rFonts w:hint="default"/>
                      <w:b/>
                      <w:bCs/>
                      <w:color w:val="auto"/>
                      <w:sz w:val="21"/>
                      <w:szCs w:val="21"/>
                      <w:highlight w:val="none"/>
                    </w:rPr>
                    <w:t>符合性</w:t>
                  </w:r>
                </w:p>
              </w:tc>
            </w:tr>
            <w:tr w14:paraId="23C3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54" w:type="pct"/>
                  <w:tcBorders>
                    <w:tl2br w:val="nil"/>
                    <w:tr2bl w:val="nil"/>
                  </w:tcBorders>
                  <w:vAlign w:val="center"/>
                </w:tcPr>
                <w:p w14:paraId="7FC142B3">
                  <w:pPr>
                    <w:pStyle w:val="120"/>
                    <w:bidi w:val="0"/>
                    <w:rPr>
                      <w:rFonts w:hint="default"/>
                      <w:color w:val="auto"/>
                      <w:sz w:val="21"/>
                      <w:szCs w:val="21"/>
                      <w:highlight w:val="none"/>
                    </w:rPr>
                  </w:pPr>
                  <w:r>
                    <w:rPr>
                      <w:rFonts w:hint="default"/>
                      <w:color w:val="auto"/>
                      <w:sz w:val="21"/>
                      <w:szCs w:val="21"/>
                      <w:highlight w:val="none"/>
                    </w:rPr>
                    <w:t>第二章</w:t>
                  </w:r>
                  <w:r>
                    <w:rPr>
                      <w:rFonts w:hint="eastAsia"/>
                      <w:color w:val="auto"/>
                      <w:sz w:val="21"/>
                      <w:szCs w:val="21"/>
                      <w:highlight w:val="none"/>
                      <w:lang w:val="en-US" w:eastAsia="zh-CN"/>
                    </w:rPr>
                    <w:t xml:space="preserve"> </w:t>
                  </w:r>
                  <w:r>
                    <w:rPr>
                      <w:rFonts w:hint="default"/>
                      <w:color w:val="auto"/>
                      <w:sz w:val="21"/>
                      <w:szCs w:val="21"/>
                      <w:highlight w:val="none"/>
                    </w:rPr>
                    <w:t>医疗废物管理的一般规定</w:t>
                  </w:r>
                </w:p>
              </w:tc>
              <w:tc>
                <w:tcPr>
                  <w:tcW w:w="2738" w:type="pct"/>
                  <w:tcBorders>
                    <w:tl2br w:val="nil"/>
                    <w:tr2bl w:val="nil"/>
                  </w:tcBorders>
                  <w:vAlign w:val="center"/>
                </w:tcPr>
                <w:p w14:paraId="72E81928">
                  <w:pPr>
                    <w:pStyle w:val="120"/>
                    <w:bidi w:val="0"/>
                    <w:rPr>
                      <w:rFonts w:hint="default"/>
                      <w:color w:val="auto"/>
                      <w:sz w:val="21"/>
                      <w:szCs w:val="21"/>
                      <w:highlight w:val="none"/>
                    </w:rPr>
                  </w:pPr>
                  <w:r>
                    <w:rPr>
                      <w:rFonts w:hint="default"/>
                      <w:color w:val="auto"/>
                      <w:sz w:val="21"/>
                      <w:szCs w:val="21"/>
                      <w:highlight w:val="none"/>
                    </w:rPr>
                    <w:t>第七条医疗卫生机构和医疗废物集中处置单位，应当建立、健全医疗废物管理责任制，其法定代表人为第一责任人，切实履行职责，防止因医疗废物导致传染病传播和环境污染事故。</w:t>
                  </w:r>
                </w:p>
                <w:p w14:paraId="22E9A187">
                  <w:pPr>
                    <w:pStyle w:val="120"/>
                    <w:bidi w:val="0"/>
                    <w:rPr>
                      <w:rFonts w:hint="default"/>
                      <w:color w:val="auto"/>
                      <w:sz w:val="21"/>
                      <w:szCs w:val="21"/>
                      <w:highlight w:val="none"/>
                    </w:rPr>
                  </w:pPr>
                  <w:r>
                    <w:rPr>
                      <w:rFonts w:hint="default"/>
                      <w:color w:val="auto"/>
                      <w:sz w:val="21"/>
                      <w:szCs w:val="21"/>
                      <w:highlight w:val="none"/>
                    </w:rPr>
                    <w:t>第八条医疗卫生机构和医疗废物集中处置单位，应当制定与医疗废物安全处置有关的规章制度和在发生意外事故时的应急方案；设置监控部门或者专（兼）职人员，负责检查、督促、落实本单位医疗废物的管理工作，防止违反本条例的行为发生。</w:t>
                  </w:r>
                </w:p>
                <w:p w14:paraId="6EFA1330">
                  <w:pPr>
                    <w:pStyle w:val="120"/>
                    <w:bidi w:val="0"/>
                    <w:rPr>
                      <w:rFonts w:hint="default"/>
                      <w:color w:val="auto"/>
                      <w:sz w:val="21"/>
                      <w:szCs w:val="21"/>
                      <w:highlight w:val="none"/>
                    </w:rPr>
                  </w:pPr>
                  <w:r>
                    <w:rPr>
                      <w:rFonts w:hint="default"/>
                      <w:color w:val="auto"/>
                      <w:sz w:val="21"/>
                      <w:szCs w:val="21"/>
                      <w:highlight w:val="none"/>
                    </w:rPr>
                    <w:t>第九条医疗卫生机构和医疗废物集中处置单位，应当对本单位从事医疗废物收集、运送、贮存、处置等工作的人员和管理人员，进行相关法律和专业技术、安全防护以及紧急处理等知识的培训。</w:t>
                  </w:r>
                </w:p>
                <w:p w14:paraId="45FEEE27">
                  <w:pPr>
                    <w:pStyle w:val="120"/>
                    <w:bidi w:val="0"/>
                    <w:rPr>
                      <w:rFonts w:hint="default"/>
                      <w:color w:val="auto"/>
                      <w:sz w:val="21"/>
                      <w:szCs w:val="21"/>
                      <w:highlight w:val="none"/>
                    </w:rPr>
                  </w:pPr>
                  <w:r>
                    <w:rPr>
                      <w:rFonts w:hint="default"/>
                      <w:color w:val="auto"/>
                      <w:sz w:val="21"/>
                      <w:szCs w:val="21"/>
                      <w:highlight w:val="none"/>
                    </w:rPr>
                    <w:t>第十条医疗卫生机构和医疗废物集中处置单位，应当采取有效的职业卫生防护措施，为从事医疗废物收集、运送、贮存、处置等工作的人员和管理人员，配备必要的防护用品，定期进行健康检查；必要时，对有关人员进行免疫接种，防止其受到健康损害。</w:t>
                  </w:r>
                </w:p>
                <w:p w14:paraId="350D557B">
                  <w:pPr>
                    <w:pStyle w:val="120"/>
                    <w:bidi w:val="0"/>
                    <w:rPr>
                      <w:rFonts w:hint="default"/>
                      <w:color w:val="auto"/>
                      <w:sz w:val="21"/>
                      <w:szCs w:val="21"/>
                      <w:highlight w:val="none"/>
                    </w:rPr>
                  </w:pPr>
                  <w:r>
                    <w:rPr>
                      <w:rFonts w:hint="default"/>
                      <w:color w:val="auto"/>
                      <w:sz w:val="21"/>
                      <w:szCs w:val="21"/>
                      <w:highlight w:val="none"/>
                    </w:rPr>
                    <w:t>第十一条医疗卫生机构和医疗废物集中处置单位，应当依照《中华人民共和国固体废物污染环境防治法》的规定，执行危险废物转移联单管理制度。</w:t>
                  </w:r>
                </w:p>
                <w:p w14:paraId="45AE83E0">
                  <w:pPr>
                    <w:pStyle w:val="120"/>
                    <w:bidi w:val="0"/>
                    <w:rPr>
                      <w:rFonts w:hint="default"/>
                      <w:color w:val="auto"/>
                      <w:sz w:val="21"/>
                      <w:szCs w:val="21"/>
                      <w:highlight w:val="none"/>
                    </w:rPr>
                  </w:pPr>
                  <w:r>
                    <w:rPr>
                      <w:rFonts w:hint="default"/>
                      <w:color w:val="auto"/>
                      <w:sz w:val="21"/>
                      <w:szCs w:val="21"/>
                      <w:highlight w:val="none"/>
                    </w:rPr>
                    <w:t>第十二条医疗卫生机构和医疗废物集中处置单位，应当对医疗废物进行登记，登记内容应当包括医疗废物的来源、种类、重量或者数量、交接时间、处置方法、最终去向以及经办人签名等项目。登记资料至少保存3年。</w:t>
                  </w:r>
                </w:p>
                <w:p w14:paraId="22F7574C">
                  <w:pPr>
                    <w:pStyle w:val="120"/>
                    <w:bidi w:val="0"/>
                    <w:rPr>
                      <w:rFonts w:hint="default"/>
                      <w:color w:val="auto"/>
                      <w:sz w:val="21"/>
                      <w:szCs w:val="21"/>
                      <w:highlight w:val="none"/>
                    </w:rPr>
                  </w:pPr>
                  <w:r>
                    <w:rPr>
                      <w:rFonts w:hint="default"/>
                      <w:color w:val="auto"/>
                      <w:sz w:val="21"/>
                      <w:szCs w:val="21"/>
                      <w:highlight w:val="none"/>
                    </w:rPr>
                    <w:t>第十三条医疗卫生机构和医疗废物集中处置单位，应当采取有效措施，防止医疗废物流失、泄漏、扩散。发生医疗废物流失、泄漏、扩散时，医疗卫生机构和医疗废物集中处置单位应当采取减少危害的紧急处理措施，对致病人员提供医疗救护和现场救援；同时向所在地的县级人民政府卫生行政主管部门、环境保护行政主管部门报告，并向可能受到危害的单位和居民通报。</w:t>
                  </w:r>
                </w:p>
                <w:p w14:paraId="2CCC1DF8">
                  <w:pPr>
                    <w:pStyle w:val="120"/>
                    <w:bidi w:val="0"/>
                    <w:rPr>
                      <w:rFonts w:hint="default"/>
                      <w:color w:val="auto"/>
                      <w:sz w:val="21"/>
                      <w:szCs w:val="21"/>
                      <w:highlight w:val="none"/>
                    </w:rPr>
                  </w:pPr>
                  <w:r>
                    <w:rPr>
                      <w:rFonts w:hint="default"/>
                      <w:color w:val="auto"/>
                      <w:sz w:val="21"/>
                      <w:szCs w:val="21"/>
                      <w:highlight w:val="none"/>
                    </w:rPr>
                    <w:t>第十四条禁止任何单位和个人转让、买卖医疗废物。禁止在运送过程中丢弃医疗废物；禁止在非贮存地点倾倒、堆放医疗废物或者将医疗废物混入其他废物和生活垃圾。</w:t>
                  </w:r>
                </w:p>
                <w:p w14:paraId="2D16C5E1">
                  <w:pPr>
                    <w:pStyle w:val="120"/>
                    <w:bidi w:val="0"/>
                    <w:rPr>
                      <w:rFonts w:hint="default"/>
                      <w:color w:val="auto"/>
                      <w:sz w:val="21"/>
                      <w:szCs w:val="21"/>
                      <w:highlight w:val="none"/>
                    </w:rPr>
                  </w:pPr>
                  <w:r>
                    <w:rPr>
                      <w:rFonts w:hint="default"/>
                      <w:color w:val="auto"/>
                      <w:sz w:val="21"/>
                      <w:szCs w:val="21"/>
                      <w:highlight w:val="none"/>
                    </w:rPr>
                    <w:t>第十五条禁止邮寄医疗废物。禁止通过铁路、航空运输医疗废物。有陆路通道的，禁止通过水路运输医疗废物；没有陆路通道必需经水路运输医疗废物的，应当经设区的市级以上人民政府环境保护行政主管部门批准，并采取严格的环境保护措施后，方可通过水路运输。禁止将医疗废物与旅客在同一运输工具上载运。禁止在饮用水源保护区的水体上运输医疗废物。</w:t>
                  </w:r>
                </w:p>
              </w:tc>
              <w:tc>
                <w:tcPr>
                  <w:tcW w:w="1609" w:type="pct"/>
                  <w:tcBorders>
                    <w:tl2br w:val="nil"/>
                    <w:tr2bl w:val="nil"/>
                  </w:tcBorders>
                  <w:shd w:val="clear" w:color="auto" w:fill="auto"/>
                  <w:vAlign w:val="center"/>
                </w:tcPr>
                <w:p w14:paraId="6A7C7B6A">
                  <w:pPr>
                    <w:pStyle w:val="120"/>
                    <w:bidi w:val="0"/>
                    <w:ind w:firstLine="0" w:firstLineChars="0"/>
                    <w:rPr>
                      <w:rFonts w:hint="eastAsia"/>
                      <w:color w:val="auto"/>
                      <w:sz w:val="21"/>
                      <w:szCs w:val="21"/>
                      <w:highlight w:val="none"/>
                      <w:lang w:eastAsia="zh-CN"/>
                    </w:rPr>
                  </w:pPr>
                  <w:r>
                    <w:rPr>
                      <w:rFonts w:hint="eastAsia"/>
                      <w:color w:val="auto"/>
                      <w:sz w:val="21"/>
                      <w:szCs w:val="21"/>
                      <w:highlight w:val="none"/>
                      <w:lang w:val="en-US" w:eastAsia="zh-CN"/>
                    </w:rPr>
                    <w:t>本项目将按照</w:t>
                  </w:r>
                  <w:r>
                    <w:rPr>
                      <w:rFonts w:hint="default"/>
                      <w:color w:val="auto"/>
                      <w:sz w:val="21"/>
                      <w:szCs w:val="21"/>
                      <w:highlight w:val="none"/>
                    </w:rPr>
                    <w:t>《医疗废物分类目录》等要求制定具体的分类收集清单</w:t>
                  </w:r>
                  <w:r>
                    <w:rPr>
                      <w:rFonts w:hint="eastAsia"/>
                      <w:color w:val="auto"/>
                      <w:sz w:val="21"/>
                      <w:szCs w:val="21"/>
                      <w:highlight w:val="none"/>
                      <w:lang w:eastAsia="zh-CN"/>
                    </w:rPr>
                    <w:t>，</w:t>
                  </w:r>
                  <w:r>
                    <w:rPr>
                      <w:rFonts w:hint="default"/>
                      <w:color w:val="auto"/>
                      <w:sz w:val="21"/>
                      <w:szCs w:val="21"/>
                      <w:highlight w:val="none"/>
                    </w:rPr>
                    <w:t>严格落实危险废物申报登记和管理计划备案要求，依法向生态环境部门申报医疗废物的种类、产生量、流向、贮存和处置等情况。</w:t>
                  </w:r>
                  <w:r>
                    <w:rPr>
                      <w:rFonts w:hint="eastAsia"/>
                      <w:color w:val="auto"/>
                      <w:sz w:val="21"/>
                      <w:szCs w:val="21"/>
                      <w:highlight w:val="none"/>
                      <w:lang w:val="en-US" w:eastAsia="zh-CN"/>
                    </w:rPr>
                    <w:t>本项目依托现有危废暂存间暂存医疗废物，各医疗废物暂存时间不超过48h，严禁医疗废物</w:t>
                  </w:r>
                  <w:r>
                    <w:rPr>
                      <w:rFonts w:hint="default"/>
                      <w:color w:val="auto"/>
                      <w:sz w:val="21"/>
                      <w:szCs w:val="21"/>
                      <w:highlight w:val="none"/>
                    </w:rPr>
                    <w:t>露天存放</w:t>
                  </w:r>
                  <w:r>
                    <w:rPr>
                      <w:rFonts w:hint="eastAsia"/>
                      <w:color w:val="auto"/>
                      <w:sz w:val="21"/>
                      <w:szCs w:val="21"/>
                      <w:highlight w:val="none"/>
                      <w:lang w:eastAsia="zh-CN"/>
                    </w:rPr>
                    <w:t>，</w:t>
                  </w:r>
                  <w:r>
                    <w:rPr>
                      <w:rFonts w:hint="default"/>
                      <w:color w:val="auto"/>
                      <w:sz w:val="21"/>
                      <w:szCs w:val="21"/>
                      <w:highlight w:val="none"/>
                    </w:rPr>
                    <w:t>及时告知并将医疗废物交由持有危险废物经营许可证的集中处置单位，执行转移联单并做好交接登记，资料保存不少于3年</w:t>
                  </w:r>
                  <w:r>
                    <w:rPr>
                      <w:rFonts w:hint="eastAsia"/>
                      <w:color w:val="auto"/>
                      <w:sz w:val="21"/>
                      <w:szCs w:val="21"/>
                      <w:highlight w:val="none"/>
                      <w:lang w:eastAsia="zh-CN"/>
                    </w:rPr>
                    <w:t>。</w:t>
                  </w:r>
                </w:p>
                <w:p w14:paraId="3D281C4E">
                  <w:pPr>
                    <w:pStyle w:val="120"/>
                    <w:bidi w:val="0"/>
                    <w:ind w:firstLine="0" w:firstLineChars="0"/>
                    <w:rPr>
                      <w:rFonts w:hint="default" w:ascii="Times New Roman" w:hAnsi="Times New Roman" w:eastAsia="宋体" w:cs="Times New Roman"/>
                      <w:color w:val="auto"/>
                      <w:sz w:val="21"/>
                      <w:szCs w:val="21"/>
                      <w:highlight w:val="none"/>
                      <w:lang w:val="en-US" w:eastAsia="zh-CN" w:bidi="ar-SA"/>
                    </w:rPr>
                  </w:pPr>
                  <w:r>
                    <w:rPr>
                      <w:rFonts w:hint="eastAsia"/>
                      <w:color w:val="auto"/>
                      <w:sz w:val="21"/>
                      <w:szCs w:val="21"/>
                      <w:highlight w:val="none"/>
                      <w:lang w:val="en-US" w:eastAsia="zh-CN"/>
                    </w:rPr>
                    <w:t>项目建成后将设置专人进行本单位医疗废物收集、运送、贮存、处置等工作，并对相关人员进行医疗废物相关法律、专业技术、安全防护以及紧急处理等知识的培训。</w:t>
                  </w:r>
                </w:p>
              </w:tc>
              <w:tc>
                <w:tcPr>
                  <w:tcW w:w="297" w:type="pct"/>
                  <w:tcBorders>
                    <w:tl2br w:val="nil"/>
                    <w:tr2bl w:val="nil"/>
                  </w:tcBorders>
                  <w:vAlign w:val="center"/>
                </w:tcPr>
                <w:p w14:paraId="419C28F1">
                  <w:pPr>
                    <w:pStyle w:val="120"/>
                    <w:bidi w:val="0"/>
                    <w:rPr>
                      <w:rFonts w:hint="default"/>
                      <w:color w:val="auto"/>
                      <w:sz w:val="21"/>
                      <w:szCs w:val="21"/>
                      <w:highlight w:val="none"/>
                    </w:rPr>
                  </w:pPr>
                  <w:r>
                    <w:rPr>
                      <w:rFonts w:hint="default"/>
                      <w:color w:val="auto"/>
                      <w:sz w:val="21"/>
                      <w:szCs w:val="21"/>
                      <w:highlight w:val="none"/>
                    </w:rPr>
                    <w:t>符合</w:t>
                  </w:r>
                </w:p>
              </w:tc>
            </w:tr>
            <w:tr w14:paraId="7D7B5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54" w:type="pct"/>
                  <w:tcBorders>
                    <w:tl2br w:val="nil"/>
                    <w:tr2bl w:val="nil"/>
                  </w:tcBorders>
                  <w:vAlign w:val="center"/>
                </w:tcPr>
                <w:p w14:paraId="61F0CD3F">
                  <w:pPr>
                    <w:pStyle w:val="120"/>
                    <w:bidi w:val="0"/>
                    <w:rPr>
                      <w:rFonts w:hint="default"/>
                      <w:color w:val="auto"/>
                      <w:sz w:val="21"/>
                      <w:szCs w:val="21"/>
                      <w:highlight w:val="none"/>
                    </w:rPr>
                  </w:pPr>
                  <w:r>
                    <w:rPr>
                      <w:rFonts w:hint="default"/>
                      <w:color w:val="auto"/>
                      <w:sz w:val="21"/>
                      <w:szCs w:val="21"/>
                      <w:highlight w:val="none"/>
                    </w:rPr>
                    <w:t>第三章</w:t>
                  </w:r>
                  <w:r>
                    <w:rPr>
                      <w:rFonts w:hint="eastAsia"/>
                      <w:color w:val="auto"/>
                      <w:sz w:val="21"/>
                      <w:szCs w:val="21"/>
                      <w:highlight w:val="none"/>
                      <w:lang w:val="en-US" w:eastAsia="zh-CN"/>
                    </w:rPr>
                    <w:t xml:space="preserve"> </w:t>
                  </w:r>
                  <w:r>
                    <w:rPr>
                      <w:rFonts w:hint="default"/>
                      <w:color w:val="auto"/>
                      <w:sz w:val="21"/>
                      <w:szCs w:val="21"/>
                      <w:highlight w:val="none"/>
                    </w:rPr>
                    <w:t>医疗卫生机构对医疗废物的管理</w:t>
                  </w:r>
                </w:p>
              </w:tc>
              <w:tc>
                <w:tcPr>
                  <w:tcW w:w="2738" w:type="pct"/>
                  <w:tcBorders>
                    <w:tl2br w:val="nil"/>
                    <w:tr2bl w:val="nil"/>
                  </w:tcBorders>
                  <w:vAlign w:val="center"/>
                </w:tcPr>
                <w:p w14:paraId="5762A322">
                  <w:pPr>
                    <w:pStyle w:val="120"/>
                    <w:bidi w:val="0"/>
                    <w:rPr>
                      <w:rFonts w:hint="default"/>
                      <w:color w:val="auto"/>
                      <w:sz w:val="21"/>
                      <w:szCs w:val="21"/>
                      <w:highlight w:val="none"/>
                    </w:rPr>
                  </w:pPr>
                  <w:r>
                    <w:rPr>
                      <w:rFonts w:hint="default"/>
                      <w:color w:val="auto"/>
                      <w:sz w:val="21"/>
                      <w:szCs w:val="21"/>
                      <w:highlight w:val="none"/>
                    </w:rPr>
                    <w:t>第十六条医疗卫生机构应当及时收集本单位产生的医疗废物，并按照类别分置于防渗漏、防锐器穿透的专用包装物或者密闭的容器内。医疗废物专用包装物、容器，应当有明显的警示标识和警示说明。医疗废物专用包装物、容器的标准和警示标识的规定，由国务院卫生行政主管部门和环境保护行政主管部门共同制定。</w:t>
                  </w:r>
                </w:p>
                <w:p w14:paraId="49B0D2F2">
                  <w:pPr>
                    <w:pStyle w:val="120"/>
                    <w:bidi w:val="0"/>
                    <w:rPr>
                      <w:rFonts w:hint="default"/>
                      <w:color w:val="auto"/>
                      <w:sz w:val="21"/>
                      <w:szCs w:val="21"/>
                      <w:highlight w:val="none"/>
                    </w:rPr>
                  </w:pPr>
                  <w:r>
                    <w:rPr>
                      <w:rFonts w:hint="default"/>
                      <w:color w:val="auto"/>
                      <w:sz w:val="21"/>
                      <w:szCs w:val="21"/>
                      <w:highlight w:val="none"/>
                    </w:rPr>
                    <w:t>第十七条医疗卫生机构应当建立医疗废物的暂时贮存设施、设备，不得露天存放医疗废物；医疗废物暂时贮存的时间不得超过2天。医疗废物的暂时贮存设施、设备，应当远离医疗区、食品加工区和人员活动区以及生活垃圾存放场所，并设置明显的警示标识和防渗漏、防鼠、防蚊蝇、防蟑螂、防盗以及预防儿童接触等安全措施。医疗废物的暂时贮存设施、设备应当定期消毒和清洁。</w:t>
                  </w:r>
                </w:p>
                <w:p w14:paraId="35AB6756">
                  <w:pPr>
                    <w:pStyle w:val="120"/>
                    <w:bidi w:val="0"/>
                    <w:rPr>
                      <w:rFonts w:hint="default"/>
                      <w:color w:val="auto"/>
                      <w:sz w:val="21"/>
                      <w:szCs w:val="21"/>
                      <w:highlight w:val="none"/>
                    </w:rPr>
                  </w:pPr>
                  <w:r>
                    <w:rPr>
                      <w:rFonts w:hint="default"/>
                      <w:color w:val="auto"/>
                      <w:sz w:val="21"/>
                      <w:szCs w:val="21"/>
                      <w:highlight w:val="none"/>
                    </w:rPr>
                    <w:t>第十八条医疗卫生机构应当使用防渗漏、防遗撒的专用运送工具，按照本单位确定的内部医疗废物运送时间、路线，将医疗废物收集、运送至暂时贮存地点。运送工具使用后应当在医疗卫生机构内指定的地点及时消毒和清洁。</w:t>
                  </w:r>
                </w:p>
                <w:p w14:paraId="3E3DA168">
                  <w:pPr>
                    <w:pStyle w:val="120"/>
                    <w:bidi w:val="0"/>
                    <w:rPr>
                      <w:rFonts w:hint="default"/>
                      <w:color w:val="auto"/>
                      <w:sz w:val="21"/>
                      <w:szCs w:val="21"/>
                      <w:highlight w:val="none"/>
                    </w:rPr>
                  </w:pPr>
                  <w:r>
                    <w:rPr>
                      <w:rFonts w:hint="default"/>
                      <w:color w:val="auto"/>
                      <w:sz w:val="21"/>
                      <w:szCs w:val="21"/>
                      <w:highlight w:val="none"/>
                    </w:rPr>
                    <w:t>第十九条医疗卫生机构应当根据就近集中处置的原则，及时将医疗废物交由医疗废物集中处置单位处置。医疗废物中病原体的培养基、标本和菌种、毒种保存液等高危险废物，在交医疗废物集中处置单位处置前应当就地消毒。</w:t>
                  </w:r>
                </w:p>
                <w:p w14:paraId="4020294A">
                  <w:pPr>
                    <w:pStyle w:val="120"/>
                    <w:bidi w:val="0"/>
                    <w:rPr>
                      <w:rFonts w:hint="default"/>
                      <w:color w:val="auto"/>
                      <w:sz w:val="21"/>
                      <w:szCs w:val="21"/>
                      <w:highlight w:val="none"/>
                    </w:rPr>
                  </w:pPr>
                  <w:r>
                    <w:rPr>
                      <w:rFonts w:hint="default"/>
                      <w:color w:val="auto"/>
                      <w:sz w:val="21"/>
                      <w:szCs w:val="21"/>
                      <w:highlight w:val="none"/>
                    </w:rPr>
                    <w:t>第二十条医疗卫生机构产生的污水、传染病病人或者疑似传染病病人的排泄物，应当按照国家规定严格消毒；达到国家规定的排放标准后，方可排入污水处理系统。</w:t>
                  </w:r>
                </w:p>
                <w:p w14:paraId="2603EA90">
                  <w:pPr>
                    <w:pStyle w:val="120"/>
                    <w:bidi w:val="0"/>
                    <w:rPr>
                      <w:rFonts w:hint="default"/>
                      <w:color w:val="auto"/>
                      <w:sz w:val="21"/>
                      <w:szCs w:val="21"/>
                      <w:highlight w:val="none"/>
                    </w:rPr>
                  </w:pPr>
                  <w:r>
                    <w:rPr>
                      <w:rFonts w:hint="default"/>
                      <w:color w:val="auto"/>
                      <w:sz w:val="21"/>
                      <w:szCs w:val="21"/>
                      <w:highlight w:val="none"/>
                    </w:rPr>
                    <w:t>第二十一条不具备集中处置医疗废物条件的农村，医疗卫生机构应当按照县级人民政府卫生行政主管部门、环境保护行政主管部门的要求，自行就地处置其产生的医疗废物。自行处置医疗废物的，应当符合下列基本要求：（一）使用后的一次性医疗器具和容易致人损伤的医疗废物，应当消毒并作毁形处理；（二）能够焚烧的，应当及时焚烧；（三）不能焚烧的，消毒后集中填埋。</w:t>
                  </w:r>
                </w:p>
              </w:tc>
              <w:tc>
                <w:tcPr>
                  <w:tcW w:w="1609" w:type="pct"/>
                  <w:tcBorders>
                    <w:tl2br w:val="nil"/>
                    <w:tr2bl w:val="nil"/>
                  </w:tcBorders>
                  <w:shd w:val="clear" w:color="auto" w:fill="auto"/>
                  <w:vAlign w:val="center"/>
                </w:tcPr>
                <w:p w14:paraId="1EE96DCE">
                  <w:pPr>
                    <w:pStyle w:val="120"/>
                    <w:bidi w:val="0"/>
                    <w:ind w:firstLine="0" w:firstLine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项目建成后，建设单位将制定并严格落实医疗废物管理相关制度和措施。医疗废物从产生到暂存需严格遵循分类、密封、转运和暂存管理规范：按感染性、损伤性、病理性等类型分类装入专用包装袋或锐器盒，密封后标注信息；科室需日产日清，锐器单独存放；由专人使用防漏推车定时收集，并做好交接记录；医疗废物在院区内暂存放不超过48小时，且每日消毒；接触医疗废物的工作人员需穿戴防护装备。医疗废物最终委托有资质的医疗废物处置单位进行处置。整个过程必须严防泄漏、混放或超期存放，确保安全合规。</w:t>
                  </w:r>
                </w:p>
                <w:p w14:paraId="0D51C830">
                  <w:pPr>
                    <w:pStyle w:val="120"/>
                    <w:bidi w:val="0"/>
                    <w:ind w:firstLine="0" w:firstLineChars="0"/>
                    <w:rPr>
                      <w:rFonts w:hint="eastAsia" w:cs="Times New Roman"/>
                      <w:color w:val="auto"/>
                      <w:sz w:val="21"/>
                      <w:szCs w:val="21"/>
                      <w:highlight w:val="none"/>
                      <w:lang w:val="en-US" w:eastAsia="zh-CN" w:bidi="ar-SA"/>
                    </w:rPr>
                  </w:pPr>
                  <w:r>
                    <w:rPr>
                      <w:rFonts w:hint="eastAsia"/>
                      <w:color w:val="auto"/>
                      <w:sz w:val="21"/>
                      <w:szCs w:val="21"/>
                      <w:highlight w:val="none"/>
                      <w:lang w:val="en-US" w:eastAsia="zh-CN"/>
                    </w:rPr>
                    <w:t>本项目依托现有危废暂存间暂存医疗废物，各医疗废物暂存时间不超过48h，严禁医疗废物</w:t>
                  </w:r>
                  <w:r>
                    <w:rPr>
                      <w:rFonts w:hint="default"/>
                      <w:color w:val="auto"/>
                      <w:sz w:val="21"/>
                      <w:szCs w:val="21"/>
                      <w:highlight w:val="none"/>
                    </w:rPr>
                    <w:t>露天存放</w:t>
                  </w:r>
                  <w:r>
                    <w:rPr>
                      <w:rFonts w:hint="eastAsia"/>
                      <w:color w:val="auto"/>
                      <w:sz w:val="21"/>
                      <w:szCs w:val="21"/>
                      <w:highlight w:val="none"/>
                      <w:lang w:eastAsia="zh-CN"/>
                    </w:rPr>
                    <w:t>，</w:t>
                  </w:r>
                  <w:r>
                    <w:rPr>
                      <w:rFonts w:hint="default"/>
                      <w:color w:val="auto"/>
                      <w:sz w:val="21"/>
                      <w:szCs w:val="21"/>
                      <w:highlight w:val="none"/>
                    </w:rPr>
                    <w:t>及时告知并将医疗废物交由持有危险废物经营许可证的集中处置单位，执行转移联单并做好交接登记，资料保存不少于3年</w:t>
                  </w:r>
                  <w:r>
                    <w:rPr>
                      <w:rFonts w:hint="eastAsia" w:cs="Times New Roman"/>
                      <w:color w:val="auto"/>
                      <w:sz w:val="21"/>
                      <w:szCs w:val="21"/>
                      <w:highlight w:val="none"/>
                      <w:lang w:val="en-US" w:eastAsia="zh-CN" w:bidi="ar-SA"/>
                    </w:rPr>
                    <w:t>。</w:t>
                  </w:r>
                </w:p>
                <w:p w14:paraId="698C86A6">
                  <w:pPr>
                    <w:pStyle w:val="120"/>
                    <w:bidi w:val="0"/>
                    <w:ind w:firstLine="0" w:firstLineChars="0"/>
                    <w:rPr>
                      <w:rFonts w:hint="default" w:ascii="Times New Roman" w:hAnsi="Times New Roman" w:eastAsia="宋体" w:cs="Times New Roman"/>
                      <w:color w:val="auto"/>
                      <w:sz w:val="21"/>
                      <w:szCs w:val="21"/>
                      <w:highlight w:val="none"/>
                      <w:lang w:val="en-US" w:eastAsia="zh-CN" w:bidi="ar-SA"/>
                    </w:rPr>
                  </w:pPr>
                  <w:r>
                    <w:rPr>
                      <w:rFonts w:hint="eastAsia" w:cs="Times New Roman"/>
                      <w:color w:val="auto"/>
                      <w:sz w:val="21"/>
                      <w:szCs w:val="21"/>
                      <w:highlight w:val="none"/>
                      <w:lang w:val="en-US" w:eastAsia="zh-CN" w:bidi="ar-SA"/>
                    </w:rPr>
                    <w:t>本项目不设置传染病科室、不产生传染病废气、废水、废物。</w:t>
                  </w:r>
                </w:p>
              </w:tc>
              <w:tc>
                <w:tcPr>
                  <w:tcW w:w="297" w:type="pct"/>
                  <w:tcBorders>
                    <w:tl2br w:val="nil"/>
                    <w:tr2bl w:val="nil"/>
                  </w:tcBorders>
                  <w:vAlign w:val="center"/>
                </w:tcPr>
                <w:p w14:paraId="69A14E18">
                  <w:pPr>
                    <w:pStyle w:val="120"/>
                    <w:bidi w:val="0"/>
                    <w:rPr>
                      <w:rFonts w:hint="default" w:eastAsia="宋体"/>
                      <w:color w:val="auto"/>
                      <w:sz w:val="21"/>
                      <w:szCs w:val="21"/>
                      <w:highlight w:val="none"/>
                      <w:lang w:val="en-US" w:eastAsia="zh-CN"/>
                    </w:rPr>
                  </w:pPr>
                  <w:r>
                    <w:rPr>
                      <w:rFonts w:hint="eastAsia"/>
                      <w:color w:val="auto"/>
                      <w:sz w:val="21"/>
                      <w:szCs w:val="21"/>
                      <w:highlight w:val="none"/>
                      <w:lang w:val="en-US" w:eastAsia="zh-CN"/>
                    </w:rPr>
                    <w:t>符合</w:t>
                  </w:r>
                </w:p>
              </w:tc>
            </w:tr>
          </w:tbl>
          <w:p w14:paraId="3B28E460">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kern w:val="2"/>
                <w:sz w:val="24"/>
                <w:szCs w:val="24"/>
                <w:highlight w:val="none"/>
                <w:lang w:val="en-US" w:eastAsia="zh-CN" w:bidi="ar-SA"/>
              </w:rPr>
            </w:pPr>
            <w:r>
              <w:rPr>
                <w:rFonts w:hint="eastAsia" w:ascii="Times New Roman" w:hAnsi="Times New Roman" w:eastAsia="宋体" w:cs="Times New Roman"/>
                <w:b/>
                <w:bCs/>
                <w:color w:val="000000"/>
                <w:kern w:val="2"/>
                <w:sz w:val="24"/>
                <w:szCs w:val="24"/>
                <w:highlight w:val="none"/>
                <w:lang w:val="en-US" w:eastAsia="zh-CN" w:bidi="ar-SA"/>
              </w:rPr>
              <w:t>9、与《医院污水处理工程技术规范》（HJ2029-2013）符合性分析</w:t>
            </w:r>
          </w:p>
          <w:tbl>
            <w:tblPr>
              <w:tblStyle w:val="2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65"/>
              <w:gridCol w:w="3172"/>
              <w:gridCol w:w="3569"/>
              <w:gridCol w:w="468"/>
            </w:tblGrid>
            <w:tr w14:paraId="173C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tblHeader/>
              </w:trPr>
              <w:tc>
                <w:tcPr>
                  <w:tcW w:w="2369" w:type="pct"/>
                  <w:gridSpan w:val="2"/>
                  <w:tcBorders>
                    <w:tl2br w:val="nil"/>
                    <w:tr2bl w:val="nil"/>
                  </w:tcBorders>
                  <w:vAlign w:val="center"/>
                </w:tcPr>
                <w:p w14:paraId="3D6A5BFF">
                  <w:pPr>
                    <w:pStyle w:val="120"/>
                    <w:bidi w:val="0"/>
                    <w:rPr>
                      <w:rFonts w:hint="default"/>
                      <w:b/>
                      <w:bCs/>
                      <w:color w:val="auto"/>
                      <w:highlight w:val="none"/>
                    </w:rPr>
                  </w:pPr>
                  <w:r>
                    <w:rPr>
                      <w:rFonts w:hint="default"/>
                      <w:b/>
                      <w:bCs/>
                      <w:color w:val="auto"/>
                      <w:highlight w:val="none"/>
                    </w:rPr>
                    <w:t>相关要求</w:t>
                  </w:r>
                </w:p>
              </w:tc>
              <w:tc>
                <w:tcPr>
                  <w:tcW w:w="2325" w:type="pct"/>
                  <w:tcBorders>
                    <w:tl2br w:val="nil"/>
                    <w:tr2bl w:val="nil"/>
                  </w:tcBorders>
                  <w:vAlign w:val="center"/>
                </w:tcPr>
                <w:p w14:paraId="39C9E0B2">
                  <w:pPr>
                    <w:pStyle w:val="120"/>
                    <w:bidi w:val="0"/>
                    <w:rPr>
                      <w:rFonts w:hint="default"/>
                      <w:b/>
                      <w:bCs/>
                      <w:color w:val="auto"/>
                      <w:highlight w:val="none"/>
                    </w:rPr>
                  </w:pPr>
                  <w:r>
                    <w:rPr>
                      <w:rFonts w:hint="default"/>
                      <w:b/>
                      <w:bCs/>
                      <w:color w:val="auto"/>
                      <w:highlight w:val="none"/>
                    </w:rPr>
                    <w:t>本项目情况</w:t>
                  </w:r>
                </w:p>
              </w:tc>
              <w:tc>
                <w:tcPr>
                  <w:tcW w:w="304" w:type="pct"/>
                  <w:tcBorders>
                    <w:tl2br w:val="nil"/>
                    <w:tr2bl w:val="nil"/>
                  </w:tcBorders>
                  <w:vAlign w:val="center"/>
                </w:tcPr>
                <w:p w14:paraId="0D0C6882">
                  <w:pPr>
                    <w:pStyle w:val="120"/>
                    <w:bidi w:val="0"/>
                    <w:rPr>
                      <w:rFonts w:hint="default"/>
                      <w:b/>
                      <w:bCs/>
                      <w:color w:val="auto"/>
                      <w:highlight w:val="none"/>
                    </w:rPr>
                  </w:pPr>
                  <w:r>
                    <w:rPr>
                      <w:rFonts w:hint="default"/>
                      <w:b/>
                      <w:bCs/>
                      <w:color w:val="auto"/>
                      <w:highlight w:val="none"/>
                    </w:rPr>
                    <w:t>符合性</w:t>
                  </w:r>
                </w:p>
              </w:tc>
            </w:tr>
            <w:tr w14:paraId="231D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trPr>
              <w:tc>
                <w:tcPr>
                  <w:tcW w:w="302" w:type="pct"/>
                  <w:tcBorders>
                    <w:tl2br w:val="nil"/>
                    <w:tr2bl w:val="nil"/>
                  </w:tcBorders>
                  <w:vAlign w:val="center"/>
                </w:tcPr>
                <w:p w14:paraId="2E441846">
                  <w:pPr>
                    <w:pStyle w:val="120"/>
                    <w:bidi w:val="0"/>
                    <w:rPr>
                      <w:rFonts w:hint="default"/>
                      <w:color w:val="auto"/>
                      <w:highlight w:val="none"/>
                    </w:rPr>
                  </w:pPr>
                  <w:r>
                    <w:rPr>
                      <w:rFonts w:hint="default"/>
                      <w:color w:val="auto"/>
                      <w:highlight w:val="none"/>
                    </w:rPr>
                    <w:t>4污染物与污染负荷</w:t>
                  </w:r>
                </w:p>
              </w:tc>
              <w:tc>
                <w:tcPr>
                  <w:tcW w:w="2066" w:type="pct"/>
                  <w:tcBorders>
                    <w:tl2br w:val="nil"/>
                    <w:tr2bl w:val="nil"/>
                  </w:tcBorders>
                  <w:vAlign w:val="center"/>
                </w:tcPr>
                <w:p w14:paraId="1D0A9213">
                  <w:pPr>
                    <w:pStyle w:val="120"/>
                    <w:bidi w:val="0"/>
                    <w:jc w:val="left"/>
                    <w:rPr>
                      <w:rFonts w:hint="default"/>
                      <w:color w:val="auto"/>
                      <w:highlight w:val="none"/>
                    </w:rPr>
                  </w:pPr>
                  <w:r>
                    <w:rPr>
                      <w:rFonts w:hint="default"/>
                      <w:color w:val="auto"/>
                      <w:highlight w:val="none"/>
                    </w:rPr>
                    <w:t>4.1医院污水的收集</w:t>
                  </w:r>
                </w:p>
                <w:p w14:paraId="00AB48B5">
                  <w:pPr>
                    <w:pStyle w:val="120"/>
                    <w:bidi w:val="0"/>
                    <w:jc w:val="left"/>
                    <w:rPr>
                      <w:rFonts w:hint="default"/>
                      <w:color w:val="auto"/>
                      <w:highlight w:val="none"/>
                    </w:rPr>
                  </w:pPr>
                  <w:r>
                    <w:rPr>
                      <w:rFonts w:hint="default"/>
                      <w:color w:val="auto"/>
                      <w:highlight w:val="none"/>
                    </w:rPr>
                    <w:t>4.1.1医院污水分为传染病医院污水、非传染病医院污水及特殊性质污水。</w:t>
                  </w:r>
                </w:p>
                <w:p w14:paraId="43E1EB79">
                  <w:pPr>
                    <w:pStyle w:val="120"/>
                    <w:bidi w:val="0"/>
                    <w:jc w:val="left"/>
                    <w:rPr>
                      <w:rFonts w:hint="default"/>
                      <w:color w:val="auto"/>
                      <w:highlight w:val="none"/>
                    </w:rPr>
                  </w:pPr>
                  <w:r>
                    <w:rPr>
                      <w:rFonts w:hint="default"/>
                      <w:color w:val="auto"/>
                      <w:highlight w:val="none"/>
                    </w:rPr>
                    <w:t>4.1.2新(改、扩)建医院，在设计医院污水处理系统时应考虑将医院病区、非病区、传染病房、非传染病房污水分别收集。</w:t>
                  </w:r>
                </w:p>
                <w:p w14:paraId="6DC079FE">
                  <w:pPr>
                    <w:pStyle w:val="120"/>
                    <w:bidi w:val="0"/>
                    <w:jc w:val="left"/>
                    <w:rPr>
                      <w:rFonts w:hint="default"/>
                      <w:color w:val="auto"/>
                      <w:highlight w:val="none"/>
                    </w:rPr>
                  </w:pPr>
                  <w:r>
                    <w:rPr>
                      <w:rFonts w:hint="default"/>
                      <w:color w:val="auto"/>
                      <w:highlight w:val="none"/>
                    </w:rPr>
                    <w:t>4.1.3特殊性质污水应单独收集，经预处理后与医院污水合并处理，不得将特殊性质污水随意排入下水道。</w:t>
                  </w:r>
                </w:p>
              </w:tc>
              <w:tc>
                <w:tcPr>
                  <w:tcW w:w="2325" w:type="pct"/>
                  <w:tcBorders>
                    <w:tl2br w:val="nil"/>
                    <w:tr2bl w:val="nil"/>
                  </w:tcBorders>
                  <w:shd w:val="clear" w:color="auto" w:fill="auto"/>
                  <w:vAlign w:val="center"/>
                </w:tcPr>
                <w:p w14:paraId="55579D0F">
                  <w:pPr>
                    <w:pStyle w:val="120"/>
                    <w:bidi w:val="0"/>
                    <w:ind w:firstLine="0" w:firstLineChars="0"/>
                    <w:rPr>
                      <w:rFonts w:hint="eastAsia" w:cs="Times New Roman"/>
                      <w:color w:val="auto"/>
                      <w:sz w:val="21"/>
                      <w:szCs w:val="21"/>
                      <w:highlight w:val="none"/>
                      <w:lang w:val="en-US" w:eastAsia="zh-CN" w:bidi="ar-SA"/>
                    </w:rPr>
                  </w:pPr>
                  <w:r>
                    <w:rPr>
                      <w:rFonts w:hint="eastAsia" w:cs="Times New Roman"/>
                      <w:color w:val="auto"/>
                      <w:sz w:val="21"/>
                      <w:szCs w:val="21"/>
                      <w:highlight w:val="none"/>
                      <w:lang w:val="en-US" w:eastAsia="zh-CN" w:bidi="ar-SA"/>
                    </w:rPr>
                    <w:t>本项目不涉及传染病污水；本次扩建项目新增医学影像中心，主要新增DR、B超等进行影像学检查，无同位素检查，运行过程无废水产生，受检者不用接受核医学物质注射，无放射性用水及排水。医学影像中心主要提供数字化医学影像，如患者要求实体影像结果，采样A4纸打印，无洗印废水及废显影液产生，且不产生放射废水；</w:t>
                  </w:r>
                </w:p>
                <w:p w14:paraId="6C03B7E5">
                  <w:pPr>
                    <w:pStyle w:val="120"/>
                    <w:bidi w:val="0"/>
                    <w:ind w:firstLine="0" w:firstLineChars="0"/>
                    <w:rPr>
                      <w:rFonts w:hint="default" w:cs="Times New Roman"/>
                      <w:color w:val="auto"/>
                      <w:sz w:val="21"/>
                      <w:szCs w:val="21"/>
                      <w:highlight w:val="none"/>
                      <w:lang w:val="en-US" w:eastAsia="zh-CN" w:bidi="ar-SA"/>
                    </w:rPr>
                  </w:pPr>
                  <w:r>
                    <w:rPr>
                      <w:rFonts w:hint="eastAsia" w:cs="Times New Roman"/>
                      <w:color w:val="auto"/>
                      <w:sz w:val="21"/>
                      <w:szCs w:val="21"/>
                      <w:highlight w:val="none"/>
                      <w:lang w:val="en-US" w:eastAsia="zh-CN" w:bidi="ar-SA"/>
                    </w:rPr>
                    <w:t>本项目</w:t>
                  </w:r>
                  <w:r>
                    <w:rPr>
                      <w:rFonts w:hint="eastAsia" w:cs="Times New Roman"/>
                      <w:color w:val="auto"/>
                      <w:kern w:val="0"/>
                      <w:sz w:val="21"/>
                      <w:szCs w:val="21"/>
                      <w:lang w:val="en-US" w:eastAsia="zh-CN"/>
                    </w:rPr>
                    <w:t>项目</w:t>
                  </w:r>
                  <w:r>
                    <w:rPr>
                      <w:rFonts w:hint="eastAsia" w:ascii="Times New Roman" w:hAnsi="Times New Roman" w:eastAsia="宋体" w:cs="Times New Roman"/>
                      <w:color w:val="auto"/>
                      <w:kern w:val="0"/>
                      <w:sz w:val="21"/>
                      <w:szCs w:val="21"/>
                      <w:lang w:val="en-US" w:eastAsia="zh-CN" w:bidi="ar-SA"/>
                    </w:rPr>
                    <w:t>食堂废水</w:t>
                  </w:r>
                  <w:r>
                    <w:rPr>
                      <w:rFonts w:hint="eastAsia" w:cs="Times New Roman"/>
                      <w:color w:val="auto"/>
                      <w:kern w:val="0"/>
                      <w:sz w:val="21"/>
                      <w:szCs w:val="21"/>
                      <w:lang w:val="en-US" w:eastAsia="zh-CN" w:bidi="ar-SA"/>
                    </w:rPr>
                    <w:t>经隔油池预处理后汇同</w:t>
                  </w:r>
                  <w:r>
                    <w:rPr>
                      <w:rFonts w:hint="eastAsia" w:ascii="Times New Roman" w:hAnsi="Times New Roman" w:eastAsia="宋体" w:cs="Times New Roman"/>
                      <w:color w:val="auto"/>
                      <w:kern w:val="0"/>
                      <w:sz w:val="21"/>
                      <w:szCs w:val="21"/>
                      <w:lang w:val="en-US" w:eastAsia="zh-CN" w:bidi="ar-SA"/>
                    </w:rPr>
                    <w:t>生活污水</w:t>
                  </w:r>
                  <w:r>
                    <w:rPr>
                      <w:rFonts w:hint="eastAsia" w:cs="Times New Roman"/>
                      <w:color w:val="auto"/>
                      <w:kern w:val="0"/>
                      <w:sz w:val="21"/>
                      <w:szCs w:val="21"/>
                      <w:lang w:val="en-US" w:eastAsia="zh-CN" w:bidi="ar-SA"/>
                    </w:rPr>
                    <w:t>一起</w:t>
                  </w:r>
                  <w:r>
                    <w:rPr>
                      <w:rFonts w:hint="eastAsia" w:ascii="Times New Roman" w:hAnsi="Times New Roman" w:eastAsia="宋体" w:cs="Times New Roman"/>
                      <w:color w:val="auto"/>
                      <w:kern w:val="0"/>
                      <w:sz w:val="21"/>
                      <w:szCs w:val="21"/>
                      <w:lang w:val="en-US" w:eastAsia="zh-CN" w:bidi="ar-SA"/>
                    </w:rPr>
                    <w:t>经化粪池处理后进入厂区</w:t>
                  </w:r>
                  <w:r>
                    <w:rPr>
                      <w:rFonts w:hint="eastAsia" w:cs="Times New Roman"/>
                      <w:color w:val="auto"/>
                      <w:kern w:val="0"/>
                      <w:sz w:val="21"/>
                      <w:szCs w:val="21"/>
                      <w:lang w:val="en-US" w:eastAsia="zh-CN" w:bidi="ar-SA"/>
                    </w:rPr>
                    <w:t>污水处理站</w:t>
                  </w:r>
                  <w:r>
                    <w:rPr>
                      <w:rFonts w:hint="eastAsia" w:ascii="Times New Roman" w:hAnsi="Times New Roman" w:eastAsia="宋体" w:cs="Times New Roman"/>
                      <w:color w:val="auto"/>
                      <w:kern w:val="0"/>
                      <w:sz w:val="21"/>
                      <w:szCs w:val="21"/>
                      <w:lang w:val="en-US" w:eastAsia="zh-CN" w:bidi="ar-SA"/>
                    </w:rPr>
                    <w:t>处理后，排入市政污水管网进入</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处理；</w:t>
                  </w:r>
                  <w:r>
                    <w:rPr>
                      <w:rFonts w:hint="eastAsia" w:cs="Times New Roman"/>
                      <w:color w:val="auto"/>
                      <w:kern w:val="0"/>
                      <w:sz w:val="21"/>
                      <w:szCs w:val="21"/>
                      <w:lang w:val="en-US" w:eastAsia="zh-CN" w:bidi="ar-SA"/>
                    </w:rPr>
                    <w:t>住院病床废水、医疗器械洗消废水直接进入</w:t>
                  </w:r>
                  <w:r>
                    <w:rPr>
                      <w:rFonts w:hint="eastAsia" w:ascii="Times New Roman" w:hAnsi="Times New Roman" w:eastAsia="宋体" w:cs="Times New Roman"/>
                      <w:color w:val="auto"/>
                      <w:kern w:val="0"/>
                      <w:sz w:val="21"/>
                      <w:szCs w:val="21"/>
                      <w:lang w:val="en-US" w:eastAsia="zh-CN" w:bidi="ar-SA"/>
                    </w:rPr>
                    <w:t>厂区</w:t>
                  </w:r>
                  <w:r>
                    <w:rPr>
                      <w:rFonts w:hint="eastAsia" w:cs="Times New Roman"/>
                      <w:color w:val="auto"/>
                      <w:kern w:val="0"/>
                      <w:sz w:val="21"/>
                      <w:szCs w:val="21"/>
                      <w:lang w:val="en-US" w:eastAsia="zh-CN" w:bidi="ar-SA"/>
                    </w:rPr>
                    <w:t>污水处理站</w:t>
                  </w:r>
                  <w:r>
                    <w:rPr>
                      <w:rFonts w:hint="eastAsia" w:ascii="Times New Roman" w:hAnsi="Times New Roman" w:eastAsia="宋体" w:cs="Times New Roman"/>
                      <w:color w:val="auto"/>
                      <w:kern w:val="0"/>
                      <w:sz w:val="21"/>
                      <w:szCs w:val="21"/>
                      <w:lang w:val="en-US" w:eastAsia="zh-CN" w:bidi="ar-SA"/>
                    </w:rPr>
                    <w:t>处理后，排入市政污水管网进入</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处理</w:t>
                  </w:r>
                  <w:r>
                    <w:rPr>
                      <w:rFonts w:hint="eastAsia" w:cs="Times New Roman"/>
                      <w:color w:val="auto"/>
                      <w:kern w:val="0"/>
                      <w:sz w:val="21"/>
                      <w:szCs w:val="21"/>
                      <w:lang w:val="en-US" w:eastAsia="zh-CN" w:bidi="ar-SA"/>
                    </w:rPr>
                    <w:t>；蒸汽发生器浓水和纯水制备浓水直接由厂区污水总排口</w:t>
                  </w:r>
                  <w:r>
                    <w:rPr>
                      <w:rFonts w:hint="eastAsia" w:ascii="Times New Roman" w:hAnsi="Times New Roman" w:eastAsia="宋体" w:cs="Times New Roman"/>
                      <w:color w:val="auto"/>
                      <w:kern w:val="0"/>
                      <w:sz w:val="21"/>
                      <w:szCs w:val="21"/>
                      <w:lang w:val="en-US" w:eastAsia="zh-CN" w:bidi="ar-SA"/>
                    </w:rPr>
                    <w:t>排入市政污水管网进入</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处理</w:t>
                  </w:r>
                  <w:r>
                    <w:rPr>
                      <w:rFonts w:hint="eastAsia" w:cs="Times New Roman"/>
                      <w:color w:val="auto"/>
                      <w:sz w:val="21"/>
                      <w:szCs w:val="21"/>
                      <w:highlight w:val="none"/>
                      <w:lang w:val="en-US" w:eastAsia="zh-CN" w:bidi="ar-SA"/>
                    </w:rPr>
                    <w:t>。</w:t>
                  </w:r>
                </w:p>
              </w:tc>
              <w:tc>
                <w:tcPr>
                  <w:tcW w:w="304" w:type="pct"/>
                  <w:tcBorders>
                    <w:tl2br w:val="nil"/>
                    <w:tr2bl w:val="nil"/>
                  </w:tcBorders>
                  <w:vAlign w:val="center"/>
                </w:tcPr>
                <w:p w14:paraId="75BE3839">
                  <w:pPr>
                    <w:pStyle w:val="120"/>
                    <w:bidi w:val="0"/>
                    <w:rPr>
                      <w:rFonts w:hint="default"/>
                      <w:color w:val="auto"/>
                      <w:highlight w:val="none"/>
                    </w:rPr>
                  </w:pPr>
                  <w:r>
                    <w:rPr>
                      <w:rFonts w:hint="default"/>
                      <w:color w:val="auto"/>
                      <w:highlight w:val="none"/>
                    </w:rPr>
                    <w:t>符合</w:t>
                  </w:r>
                </w:p>
              </w:tc>
            </w:tr>
            <w:tr w14:paraId="3BABC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trPr>
              <w:tc>
                <w:tcPr>
                  <w:tcW w:w="302" w:type="pct"/>
                  <w:vMerge w:val="restart"/>
                  <w:tcBorders>
                    <w:tl2br w:val="nil"/>
                    <w:tr2bl w:val="nil"/>
                  </w:tcBorders>
                  <w:vAlign w:val="center"/>
                </w:tcPr>
                <w:p w14:paraId="10D26C9F">
                  <w:pPr>
                    <w:pStyle w:val="120"/>
                    <w:bidi w:val="0"/>
                    <w:rPr>
                      <w:rFonts w:hint="default" w:eastAsia="宋体"/>
                      <w:color w:val="auto"/>
                      <w:highlight w:val="none"/>
                      <w:lang w:val="en-US" w:eastAsia="zh-CN"/>
                    </w:rPr>
                  </w:pPr>
                  <w:r>
                    <w:rPr>
                      <w:rFonts w:hint="eastAsia"/>
                      <w:color w:val="auto"/>
                      <w:highlight w:val="none"/>
                      <w:lang w:val="en-US" w:eastAsia="zh-CN"/>
                    </w:rPr>
                    <w:t>5总体要求</w:t>
                  </w:r>
                </w:p>
              </w:tc>
              <w:tc>
                <w:tcPr>
                  <w:tcW w:w="2066" w:type="pct"/>
                  <w:tcBorders>
                    <w:tl2br w:val="nil"/>
                    <w:tr2bl w:val="nil"/>
                  </w:tcBorders>
                  <w:vAlign w:val="center"/>
                </w:tcPr>
                <w:p w14:paraId="2E27D6AE">
                  <w:pPr>
                    <w:pStyle w:val="120"/>
                    <w:bidi w:val="0"/>
                    <w:jc w:val="left"/>
                    <w:rPr>
                      <w:rFonts w:hint="default"/>
                      <w:color w:val="auto"/>
                      <w:highlight w:val="none"/>
                    </w:rPr>
                  </w:pPr>
                  <w:r>
                    <w:rPr>
                      <w:rFonts w:hint="default"/>
                      <w:color w:val="auto"/>
                      <w:highlight w:val="none"/>
                    </w:rPr>
                    <w:t>5.1.6医院污水处理构筑物应采取防腐蚀、防渗漏、防冻等技术措施，各种构筑物宜加盖密闭，并设通气装置。</w:t>
                  </w:r>
                </w:p>
              </w:tc>
              <w:tc>
                <w:tcPr>
                  <w:tcW w:w="2325" w:type="pct"/>
                  <w:tcBorders>
                    <w:tl2br w:val="nil"/>
                    <w:tr2bl w:val="nil"/>
                  </w:tcBorders>
                  <w:shd w:val="clear" w:color="auto" w:fill="auto"/>
                  <w:vAlign w:val="center"/>
                </w:tcPr>
                <w:p w14:paraId="24408F51">
                  <w:pPr>
                    <w:pStyle w:val="120"/>
                    <w:bidi w:val="0"/>
                    <w:ind w:firstLine="0" w:firstLineChars="0"/>
                    <w:rPr>
                      <w:rFonts w:hint="default" w:cs="Times New Roman"/>
                      <w:color w:val="auto"/>
                      <w:sz w:val="21"/>
                      <w:szCs w:val="21"/>
                      <w:highlight w:val="none"/>
                      <w:lang w:val="en-US" w:eastAsia="zh-CN" w:bidi="ar-SA"/>
                    </w:rPr>
                  </w:pPr>
                  <w:r>
                    <w:rPr>
                      <w:rFonts w:hint="eastAsia" w:cs="Times New Roman"/>
                      <w:color w:val="auto"/>
                      <w:sz w:val="21"/>
                      <w:szCs w:val="21"/>
                      <w:highlight w:val="none"/>
                      <w:lang w:val="en-US" w:eastAsia="zh-CN" w:bidi="ar-SA"/>
                    </w:rPr>
                    <w:t>本项目依托现有污水处理站，污水处理设施已加盖密闭。</w:t>
                  </w:r>
                </w:p>
              </w:tc>
              <w:tc>
                <w:tcPr>
                  <w:tcW w:w="304" w:type="pct"/>
                  <w:tcBorders>
                    <w:tl2br w:val="nil"/>
                    <w:tr2bl w:val="nil"/>
                  </w:tcBorders>
                  <w:vAlign w:val="center"/>
                </w:tcPr>
                <w:p w14:paraId="79BE34B1">
                  <w:pPr>
                    <w:pStyle w:val="120"/>
                    <w:bidi w:val="0"/>
                    <w:rPr>
                      <w:rFonts w:hint="default" w:eastAsia="宋体"/>
                      <w:color w:val="auto"/>
                      <w:highlight w:val="none"/>
                      <w:lang w:val="en-US" w:eastAsia="zh-CN"/>
                    </w:rPr>
                  </w:pPr>
                  <w:r>
                    <w:rPr>
                      <w:rFonts w:hint="eastAsia"/>
                      <w:color w:val="auto"/>
                      <w:highlight w:val="none"/>
                      <w:lang w:val="en-US" w:eastAsia="zh-CN"/>
                    </w:rPr>
                    <w:t>符合</w:t>
                  </w:r>
                </w:p>
              </w:tc>
            </w:tr>
            <w:tr w14:paraId="481A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trPr>
              <w:tc>
                <w:tcPr>
                  <w:tcW w:w="302" w:type="pct"/>
                  <w:vMerge w:val="continue"/>
                  <w:tcBorders>
                    <w:tl2br w:val="nil"/>
                    <w:tr2bl w:val="nil"/>
                  </w:tcBorders>
                  <w:vAlign w:val="center"/>
                </w:tcPr>
                <w:p w14:paraId="72EA7AEB">
                  <w:pPr>
                    <w:pStyle w:val="120"/>
                    <w:bidi w:val="0"/>
                    <w:rPr>
                      <w:rFonts w:hint="eastAsia"/>
                      <w:color w:val="auto"/>
                      <w:highlight w:val="none"/>
                      <w:lang w:val="en-US" w:eastAsia="zh-CN"/>
                    </w:rPr>
                  </w:pPr>
                </w:p>
              </w:tc>
              <w:tc>
                <w:tcPr>
                  <w:tcW w:w="2066" w:type="pct"/>
                  <w:tcBorders>
                    <w:tl2br w:val="nil"/>
                    <w:tr2bl w:val="nil"/>
                  </w:tcBorders>
                  <w:shd w:val="clear" w:color="auto" w:fill="auto"/>
                  <w:vAlign w:val="center"/>
                </w:tcPr>
                <w:p w14:paraId="21E43A89">
                  <w:pPr>
                    <w:pStyle w:val="120"/>
                    <w:bidi w:val="0"/>
                    <w:jc w:val="left"/>
                    <w:rPr>
                      <w:rFonts w:hint="default"/>
                      <w:color w:val="auto"/>
                      <w:highlight w:val="none"/>
                    </w:rPr>
                  </w:pPr>
                  <w:r>
                    <w:rPr>
                      <w:rFonts w:hint="default"/>
                      <w:color w:val="auto"/>
                      <w:highlight w:val="none"/>
                    </w:rPr>
                    <w:t>5.1.8医院污水处理工程污染物排放应满足GB18466和地方污染物排放标准的有关要求。</w:t>
                  </w:r>
                </w:p>
                <w:p w14:paraId="7085E476">
                  <w:pPr>
                    <w:pStyle w:val="120"/>
                    <w:bidi w:val="0"/>
                    <w:ind w:firstLine="0" w:firstLineChars="0"/>
                    <w:jc w:val="left"/>
                    <w:rPr>
                      <w:rFonts w:hint="default" w:ascii="Times New Roman" w:hAnsi="Times New Roman" w:eastAsia="宋体" w:cs="Times New Roman"/>
                      <w:color w:val="auto"/>
                      <w:sz w:val="21"/>
                      <w:szCs w:val="21"/>
                      <w:highlight w:val="none"/>
                      <w:lang w:val="en-US" w:eastAsia="zh-CN" w:bidi="ar-SA"/>
                    </w:rPr>
                  </w:pPr>
                  <w:r>
                    <w:rPr>
                      <w:rFonts w:hint="default"/>
                      <w:color w:val="auto"/>
                      <w:highlight w:val="none"/>
                    </w:rPr>
                    <w:t>5.1.9医院污水处理过程产生的污泥、废渣的堆放应符合《医疗废物集中处置技术规范》HJ/T177-2005及HJ/T276-2006的有关规定。渗出液、沥下液应收集并返回调节池。</w:t>
                  </w:r>
                </w:p>
              </w:tc>
              <w:tc>
                <w:tcPr>
                  <w:tcW w:w="2325" w:type="pct"/>
                  <w:tcBorders>
                    <w:tl2br w:val="nil"/>
                    <w:tr2bl w:val="nil"/>
                  </w:tcBorders>
                  <w:shd w:val="clear" w:color="auto" w:fill="auto"/>
                  <w:vAlign w:val="center"/>
                </w:tcPr>
                <w:p w14:paraId="344DC0A9">
                  <w:pPr>
                    <w:pStyle w:val="120"/>
                    <w:bidi w:val="0"/>
                    <w:ind w:firstLine="0" w:firstLineChars="0"/>
                    <w:rPr>
                      <w:rFonts w:hint="eastAsia" w:cs="Times New Roman"/>
                      <w:color w:val="auto"/>
                      <w:sz w:val="21"/>
                      <w:szCs w:val="21"/>
                      <w:highlight w:val="none"/>
                      <w:lang w:val="en-US" w:eastAsia="zh-CN" w:bidi="ar-SA"/>
                    </w:rPr>
                  </w:pPr>
                  <w:r>
                    <w:rPr>
                      <w:rFonts w:hint="eastAsia" w:cs="Times New Roman"/>
                      <w:color w:val="auto"/>
                      <w:sz w:val="21"/>
                      <w:szCs w:val="21"/>
                      <w:highlight w:val="none"/>
                      <w:lang w:val="en-US" w:eastAsia="zh-CN" w:bidi="ar-SA"/>
                    </w:rPr>
                    <w:t>本项目外排废水包括：项目</w:t>
                  </w:r>
                  <w:r>
                    <w:rPr>
                      <w:rFonts w:hint="eastAsia" w:ascii="Times New Roman" w:hAnsi="Times New Roman" w:eastAsia="宋体" w:cs="Times New Roman"/>
                      <w:color w:val="auto"/>
                      <w:kern w:val="0"/>
                      <w:sz w:val="21"/>
                      <w:szCs w:val="21"/>
                      <w:lang w:val="en-US" w:eastAsia="zh-CN" w:bidi="ar-SA"/>
                    </w:rPr>
                    <w:t>食堂废水</w:t>
                  </w:r>
                  <w:r>
                    <w:rPr>
                      <w:rFonts w:hint="eastAsia" w:cs="Times New Roman"/>
                      <w:color w:val="auto"/>
                      <w:kern w:val="0"/>
                      <w:sz w:val="21"/>
                      <w:szCs w:val="21"/>
                      <w:lang w:val="en-US" w:eastAsia="zh-CN" w:bidi="ar-SA"/>
                    </w:rPr>
                    <w:t>经隔油池预处理后汇同</w:t>
                  </w:r>
                  <w:r>
                    <w:rPr>
                      <w:rFonts w:hint="eastAsia" w:ascii="Times New Roman" w:hAnsi="Times New Roman" w:eastAsia="宋体" w:cs="Times New Roman"/>
                      <w:color w:val="auto"/>
                      <w:kern w:val="0"/>
                      <w:sz w:val="21"/>
                      <w:szCs w:val="21"/>
                      <w:lang w:val="en-US" w:eastAsia="zh-CN" w:bidi="ar-SA"/>
                    </w:rPr>
                    <w:t>生活污水</w:t>
                  </w:r>
                  <w:r>
                    <w:rPr>
                      <w:rFonts w:hint="eastAsia" w:cs="Times New Roman"/>
                      <w:color w:val="auto"/>
                      <w:kern w:val="0"/>
                      <w:sz w:val="21"/>
                      <w:szCs w:val="21"/>
                      <w:lang w:val="en-US" w:eastAsia="zh-CN" w:bidi="ar-SA"/>
                    </w:rPr>
                    <w:t>一起</w:t>
                  </w:r>
                  <w:r>
                    <w:rPr>
                      <w:rFonts w:hint="eastAsia" w:ascii="Times New Roman" w:hAnsi="Times New Roman" w:eastAsia="宋体" w:cs="Times New Roman"/>
                      <w:color w:val="auto"/>
                      <w:kern w:val="0"/>
                      <w:sz w:val="21"/>
                      <w:szCs w:val="21"/>
                      <w:lang w:val="en-US" w:eastAsia="zh-CN" w:bidi="ar-SA"/>
                    </w:rPr>
                    <w:t>经化粪池处理后进入厂区</w:t>
                  </w:r>
                  <w:r>
                    <w:rPr>
                      <w:rFonts w:hint="eastAsia" w:cs="Times New Roman"/>
                      <w:color w:val="auto"/>
                      <w:kern w:val="0"/>
                      <w:sz w:val="21"/>
                      <w:szCs w:val="21"/>
                      <w:lang w:val="en-US" w:eastAsia="zh-CN" w:bidi="ar-SA"/>
                    </w:rPr>
                    <w:t>污水处理站</w:t>
                  </w:r>
                  <w:r>
                    <w:rPr>
                      <w:rFonts w:hint="eastAsia" w:ascii="Times New Roman" w:hAnsi="Times New Roman" w:eastAsia="宋体" w:cs="Times New Roman"/>
                      <w:color w:val="auto"/>
                      <w:kern w:val="0"/>
                      <w:sz w:val="21"/>
                      <w:szCs w:val="21"/>
                      <w:lang w:val="en-US" w:eastAsia="zh-CN" w:bidi="ar-SA"/>
                    </w:rPr>
                    <w:t>处理后，排入市政污水管网进入</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处理；</w:t>
                  </w:r>
                  <w:r>
                    <w:rPr>
                      <w:rFonts w:hint="eastAsia" w:cs="Times New Roman"/>
                      <w:color w:val="auto"/>
                      <w:kern w:val="0"/>
                      <w:sz w:val="21"/>
                      <w:szCs w:val="21"/>
                      <w:lang w:val="en-US" w:eastAsia="zh-CN" w:bidi="ar-SA"/>
                    </w:rPr>
                    <w:t>住院病床废水、医疗器械洗消废水直接进入</w:t>
                  </w:r>
                  <w:r>
                    <w:rPr>
                      <w:rFonts w:hint="eastAsia" w:ascii="Times New Roman" w:hAnsi="Times New Roman" w:eastAsia="宋体" w:cs="Times New Roman"/>
                      <w:color w:val="auto"/>
                      <w:kern w:val="0"/>
                      <w:sz w:val="21"/>
                      <w:szCs w:val="21"/>
                      <w:lang w:val="en-US" w:eastAsia="zh-CN" w:bidi="ar-SA"/>
                    </w:rPr>
                    <w:t>厂区</w:t>
                  </w:r>
                  <w:r>
                    <w:rPr>
                      <w:rFonts w:hint="eastAsia" w:cs="Times New Roman"/>
                      <w:color w:val="auto"/>
                      <w:kern w:val="0"/>
                      <w:sz w:val="21"/>
                      <w:szCs w:val="21"/>
                      <w:lang w:val="en-US" w:eastAsia="zh-CN" w:bidi="ar-SA"/>
                    </w:rPr>
                    <w:t>污水处理站</w:t>
                  </w:r>
                  <w:r>
                    <w:rPr>
                      <w:rFonts w:hint="eastAsia" w:ascii="Times New Roman" w:hAnsi="Times New Roman" w:eastAsia="宋体" w:cs="Times New Roman"/>
                      <w:color w:val="auto"/>
                      <w:kern w:val="0"/>
                      <w:sz w:val="21"/>
                      <w:szCs w:val="21"/>
                      <w:lang w:val="en-US" w:eastAsia="zh-CN" w:bidi="ar-SA"/>
                    </w:rPr>
                    <w:t>处理后，排入市政污水管网进入</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处理</w:t>
                  </w:r>
                  <w:r>
                    <w:rPr>
                      <w:rFonts w:hint="eastAsia" w:cs="Times New Roman"/>
                      <w:color w:val="auto"/>
                      <w:kern w:val="0"/>
                      <w:sz w:val="21"/>
                      <w:szCs w:val="21"/>
                      <w:lang w:val="en-US" w:eastAsia="zh-CN" w:bidi="ar-SA"/>
                    </w:rPr>
                    <w:t>；蒸汽发生器浓水和纯水制备浓水直接由厂区污水总排口</w:t>
                  </w:r>
                  <w:r>
                    <w:rPr>
                      <w:rFonts w:hint="eastAsia" w:ascii="Times New Roman" w:hAnsi="Times New Roman" w:eastAsia="宋体" w:cs="Times New Roman"/>
                      <w:color w:val="auto"/>
                      <w:kern w:val="0"/>
                      <w:sz w:val="21"/>
                      <w:szCs w:val="21"/>
                      <w:lang w:val="en-US" w:eastAsia="zh-CN" w:bidi="ar-SA"/>
                    </w:rPr>
                    <w:t>排入市政污水管网进入</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处理</w:t>
                  </w:r>
                  <w:r>
                    <w:rPr>
                      <w:rFonts w:hint="default" w:ascii="Times New Roman" w:hAnsi="Times New Roman" w:eastAsia="宋体" w:cs="Times New Roman"/>
                      <w:color w:val="auto"/>
                      <w:sz w:val="21"/>
                      <w:szCs w:val="21"/>
                      <w:highlight w:val="none"/>
                      <w:lang w:val="en-US" w:eastAsia="zh-CN" w:bidi="ar-SA"/>
                    </w:rPr>
                    <w:t>，处理工艺为：</w:t>
                  </w:r>
                  <w:r>
                    <w:rPr>
                      <w:rFonts w:hint="eastAsia" w:eastAsia="宋体" w:cs="Times New Roman"/>
                      <w:color w:val="auto"/>
                      <w:sz w:val="21"/>
                      <w:szCs w:val="21"/>
                      <w:highlight w:val="none"/>
                      <w:lang w:val="en-US" w:eastAsia="zh-CN"/>
                    </w:rPr>
                    <w:t>调节池+</w:t>
                  </w:r>
                  <w:r>
                    <w:rPr>
                      <w:rFonts w:hint="eastAsia" w:cs="Times New Roman"/>
                      <w:color w:val="auto"/>
                      <w:sz w:val="21"/>
                      <w:szCs w:val="21"/>
                      <w:highlight w:val="none"/>
                      <w:lang w:val="en-US" w:eastAsia="zh-CN"/>
                    </w:rPr>
                    <w:t>水解酸化</w:t>
                  </w:r>
                  <w:r>
                    <w:rPr>
                      <w:rFonts w:hint="eastAsia" w:eastAsia="宋体" w:cs="Times New Roman"/>
                      <w:color w:val="auto"/>
                      <w:sz w:val="21"/>
                      <w:szCs w:val="21"/>
                      <w:highlight w:val="none"/>
                      <w:lang w:val="en-US" w:eastAsia="zh-CN"/>
                    </w:rPr>
                    <w:t>池</w:t>
                  </w:r>
                  <w:r>
                    <w:rPr>
                      <w:rFonts w:hint="eastAsia" w:cs="Times New Roman"/>
                      <w:color w:val="auto"/>
                      <w:sz w:val="21"/>
                      <w:szCs w:val="21"/>
                      <w:highlight w:val="none"/>
                      <w:lang w:val="en-US" w:eastAsia="zh-CN"/>
                    </w:rPr>
                    <w:t>+接触氧化池</w:t>
                  </w:r>
                  <w:r>
                    <w:rPr>
                      <w:rFonts w:hint="eastAsia"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二沉池+</w:t>
                  </w:r>
                  <w:r>
                    <w:rPr>
                      <w:rFonts w:hint="eastAsia" w:eastAsia="宋体" w:cs="Times New Roman"/>
                      <w:color w:val="auto"/>
                      <w:sz w:val="21"/>
                      <w:szCs w:val="21"/>
                      <w:highlight w:val="none"/>
                      <w:lang w:val="en-US" w:eastAsia="zh-CN"/>
                    </w:rPr>
                    <w:t>消毒池</w:t>
                  </w:r>
                  <w:r>
                    <w:rPr>
                      <w:rFonts w:hint="default" w:ascii="Times New Roman" w:hAnsi="Times New Roman" w:eastAsia="宋体" w:cs="Times New Roman"/>
                      <w:color w:val="auto"/>
                      <w:sz w:val="21"/>
                      <w:szCs w:val="21"/>
                      <w:highlight w:val="none"/>
                      <w:lang w:val="en-US" w:eastAsia="zh-CN" w:bidi="ar-SA"/>
                    </w:rPr>
                    <w:t>；项目废水经市政管网排入</w:t>
                  </w:r>
                  <w:r>
                    <w:rPr>
                      <w:rFonts w:hint="eastAsia" w:cs="Times New Roman"/>
                      <w:color w:val="auto"/>
                      <w:sz w:val="21"/>
                      <w:szCs w:val="21"/>
                      <w:highlight w:val="none"/>
                      <w:lang w:val="en-US" w:eastAsia="zh-CN" w:bidi="ar-SA"/>
                    </w:rPr>
                    <w:t>潘集污水处理厂</w:t>
                  </w:r>
                  <w:r>
                    <w:rPr>
                      <w:rFonts w:hint="default" w:ascii="Times New Roman" w:hAnsi="Times New Roman" w:eastAsia="宋体" w:cs="Times New Roman"/>
                      <w:color w:val="auto"/>
                      <w:sz w:val="21"/>
                      <w:szCs w:val="21"/>
                      <w:highlight w:val="none"/>
                      <w:lang w:val="en-US" w:eastAsia="zh-CN" w:bidi="ar-SA"/>
                    </w:rPr>
                    <w:t>，经污水处理厂深度处理达标后排入</w:t>
                  </w:r>
                  <w:r>
                    <w:rPr>
                      <w:rFonts w:hint="eastAsia" w:cs="Times New Roman"/>
                      <w:color w:val="auto"/>
                      <w:sz w:val="21"/>
                      <w:szCs w:val="21"/>
                      <w:highlight w:val="none"/>
                      <w:lang w:val="en-US" w:eastAsia="zh-CN" w:bidi="ar-SA"/>
                    </w:rPr>
                    <w:t>泥河后最终进入淮河。废水排放执行《医疗机构水污染物排放标准》（GB18466－2005）表2中预处理标准及潘集污水处理厂接管要求。</w:t>
                  </w:r>
                </w:p>
                <w:p w14:paraId="4533FEC2">
                  <w:pPr>
                    <w:pStyle w:val="120"/>
                    <w:bidi w:val="0"/>
                    <w:ind w:firstLine="0" w:firstLineChars="0"/>
                    <w:rPr>
                      <w:rFonts w:hint="eastAsia" w:ascii="Times New Roman" w:hAnsi="Times New Roman" w:eastAsia="宋体" w:cs="Times New Roman"/>
                      <w:color w:val="auto"/>
                      <w:sz w:val="21"/>
                      <w:szCs w:val="21"/>
                      <w:highlight w:val="none"/>
                      <w:lang w:val="en-US" w:eastAsia="zh-CN" w:bidi="ar-SA"/>
                    </w:rPr>
                  </w:pPr>
                  <w:r>
                    <w:rPr>
                      <w:rFonts w:hint="eastAsia" w:cs="Times New Roman"/>
                      <w:color w:val="auto"/>
                      <w:sz w:val="21"/>
                      <w:szCs w:val="21"/>
                      <w:highlight w:val="none"/>
                      <w:lang w:val="en-US" w:eastAsia="zh-CN" w:bidi="ar-SA"/>
                    </w:rPr>
                    <w:t>污水处理站产生的污泥预处理后委托有处置资质的单位进行无害化处置。</w:t>
                  </w:r>
                </w:p>
              </w:tc>
              <w:tc>
                <w:tcPr>
                  <w:tcW w:w="304" w:type="pct"/>
                  <w:tcBorders>
                    <w:tl2br w:val="nil"/>
                    <w:tr2bl w:val="nil"/>
                  </w:tcBorders>
                  <w:vAlign w:val="center"/>
                </w:tcPr>
                <w:p w14:paraId="537B2D0D">
                  <w:pPr>
                    <w:pStyle w:val="120"/>
                    <w:bidi w:val="0"/>
                    <w:rPr>
                      <w:rFonts w:hint="default"/>
                      <w:color w:val="auto"/>
                      <w:highlight w:val="none"/>
                      <w:lang w:val="en-US" w:eastAsia="zh-CN"/>
                    </w:rPr>
                  </w:pPr>
                  <w:r>
                    <w:rPr>
                      <w:rFonts w:hint="eastAsia"/>
                      <w:color w:val="auto"/>
                      <w:highlight w:val="none"/>
                      <w:lang w:val="en-US" w:eastAsia="zh-CN"/>
                    </w:rPr>
                    <w:t>符合</w:t>
                  </w:r>
                </w:p>
              </w:tc>
            </w:tr>
            <w:tr w14:paraId="57CF8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trPr>
              <w:tc>
                <w:tcPr>
                  <w:tcW w:w="302" w:type="pct"/>
                  <w:vMerge w:val="continue"/>
                  <w:tcBorders>
                    <w:tl2br w:val="nil"/>
                    <w:tr2bl w:val="nil"/>
                  </w:tcBorders>
                  <w:vAlign w:val="center"/>
                </w:tcPr>
                <w:p w14:paraId="07446A2E">
                  <w:pPr>
                    <w:pStyle w:val="120"/>
                    <w:bidi w:val="0"/>
                    <w:rPr>
                      <w:rFonts w:hint="eastAsia"/>
                      <w:color w:val="auto"/>
                      <w:highlight w:val="none"/>
                      <w:lang w:val="en-US" w:eastAsia="zh-CN"/>
                    </w:rPr>
                  </w:pPr>
                </w:p>
              </w:tc>
              <w:tc>
                <w:tcPr>
                  <w:tcW w:w="2066" w:type="pct"/>
                  <w:tcBorders>
                    <w:tl2br w:val="nil"/>
                    <w:tr2bl w:val="nil"/>
                  </w:tcBorders>
                  <w:vAlign w:val="center"/>
                </w:tcPr>
                <w:p w14:paraId="054DFCC3">
                  <w:pPr>
                    <w:pStyle w:val="120"/>
                    <w:bidi w:val="0"/>
                    <w:jc w:val="left"/>
                    <w:rPr>
                      <w:rFonts w:hint="default"/>
                      <w:color w:val="auto"/>
                      <w:highlight w:val="none"/>
                    </w:rPr>
                  </w:pPr>
                  <w:r>
                    <w:rPr>
                      <w:rFonts w:hint="default"/>
                      <w:color w:val="auto"/>
                      <w:highlight w:val="none"/>
                    </w:rPr>
                    <w:t>5.3.5传染病医院污水处理工程</w:t>
                  </w:r>
                  <w:r>
                    <w:rPr>
                      <w:rFonts w:hint="eastAsia"/>
                      <w:color w:val="auto"/>
                      <w:highlight w:val="none"/>
                      <w:lang w:eastAsia="zh-CN"/>
                    </w:rPr>
                    <w:t>，</w:t>
                  </w:r>
                  <w:r>
                    <w:rPr>
                      <w:rFonts w:hint="default"/>
                      <w:color w:val="auto"/>
                      <w:highlight w:val="none"/>
                    </w:rPr>
                    <w:t>其生产管理建筑物和生活设施宜集中布置</w:t>
                  </w:r>
                  <w:r>
                    <w:rPr>
                      <w:rFonts w:hint="eastAsia"/>
                      <w:color w:val="auto"/>
                      <w:highlight w:val="none"/>
                      <w:lang w:eastAsia="zh-CN"/>
                    </w:rPr>
                    <w:t>，</w:t>
                  </w:r>
                  <w:r>
                    <w:rPr>
                      <w:rFonts w:hint="default"/>
                      <w:color w:val="auto"/>
                      <w:highlight w:val="none"/>
                    </w:rPr>
                    <w:t>位置和朝向应力求合理</w:t>
                  </w:r>
                  <w:r>
                    <w:rPr>
                      <w:rFonts w:hint="eastAsia"/>
                      <w:color w:val="auto"/>
                      <w:highlight w:val="none"/>
                      <w:lang w:eastAsia="zh-CN"/>
                    </w:rPr>
                    <w:t>，</w:t>
                  </w:r>
                  <w:r>
                    <w:rPr>
                      <w:rFonts w:hint="default"/>
                      <w:color w:val="auto"/>
                      <w:highlight w:val="none"/>
                    </w:rPr>
                    <w:t>且应与污水处理构、建筑物严格隔离。</w:t>
                  </w:r>
                </w:p>
                <w:p w14:paraId="04437633">
                  <w:pPr>
                    <w:pStyle w:val="120"/>
                    <w:bidi w:val="0"/>
                    <w:jc w:val="left"/>
                    <w:rPr>
                      <w:rFonts w:hint="default"/>
                      <w:color w:val="auto"/>
                      <w:highlight w:val="none"/>
                    </w:rPr>
                  </w:pPr>
                  <w:r>
                    <w:rPr>
                      <w:rFonts w:hint="default"/>
                      <w:color w:val="auto"/>
                      <w:highlight w:val="none"/>
                    </w:rPr>
                    <w:t>5.3.6医院污水处理工程与病房、居民区等建筑物之间应设绿化防护带或隔离带，以减少臭气和噪音对病人或居民的干扰。</w:t>
                  </w:r>
                </w:p>
              </w:tc>
              <w:tc>
                <w:tcPr>
                  <w:tcW w:w="2325" w:type="pct"/>
                  <w:tcBorders>
                    <w:tl2br w:val="nil"/>
                    <w:tr2bl w:val="nil"/>
                  </w:tcBorders>
                  <w:shd w:val="clear" w:color="auto" w:fill="auto"/>
                  <w:vAlign w:val="center"/>
                </w:tcPr>
                <w:p w14:paraId="5EC32A95">
                  <w:pPr>
                    <w:pStyle w:val="120"/>
                    <w:bidi w:val="0"/>
                    <w:ind w:firstLine="0" w:firstLineChars="0"/>
                    <w:rPr>
                      <w:rFonts w:hint="eastAsia" w:cs="Times New Roman"/>
                      <w:color w:val="auto"/>
                      <w:sz w:val="21"/>
                      <w:szCs w:val="21"/>
                      <w:highlight w:val="none"/>
                      <w:lang w:val="en-US" w:eastAsia="zh-CN" w:bidi="ar-SA"/>
                    </w:rPr>
                  </w:pPr>
                  <w:r>
                    <w:rPr>
                      <w:rFonts w:hint="eastAsia" w:cs="Times New Roman"/>
                      <w:color w:val="auto"/>
                      <w:sz w:val="21"/>
                      <w:szCs w:val="21"/>
                      <w:highlight w:val="none"/>
                      <w:lang w:val="en-US" w:eastAsia="zh-CN" w:bidi="ar-SA"/>
                    </w:rPr>
                    <w:t>本项目不涉及传染病污水；</w:t>
                  </w:r>
                </w:p>
                <w:p w14:paraId="06958356">
                  <w:pPr>
                    <w:pStyle w:val="120"/>
                    <w:bidi w:val="0"/>
                    <w:ind w:firstLine="0" w:firstLineChars="0"/>
                    <w:rPr>
                      <w:rFonts w:hint="default" w:cs="Times New Roman"/>
                      <w:color w:val="auto"/>
                      <w:sz w:val="21"/>
                      <w:szCs w:val="21"/>
                      <w:highlight w:val="none"/>
                      <w:lang w:val="en-US" w:eastAsia="zh-CN" w:bidi="ar-SA"/>
                    </w:rPr>
                  </w:pPr>
                  <w:r>
                    <w:rPr>
                      <w:rFonts w:hint="eastAsia" w:cs="Times New Roman"/>
                      <w:color w:val="auto"/>
                      <w:sz w:val="21"/>
                      <w:szCs w:val="21"/>
                      <w:highlight w:val="none"/>
                      <w:lang w:val="en-US" w:eastAsia="zh-CN" w:bidi="ar-SA"/>
                    </w:rPr>
                    <w:t>本项目依托现有污水处理站处理本项目综合医疗废水，污水处理站设置在院区内西南角，</w:t>
                  </w:r>
                  <w:r>
                    <w:rPr>
                      <w:rFonts w:hint="default"/>
                      <w:color w:val="auto"/>
                      <w:highlight w:val="none"/>
                    </w:rPr>
                    <w:t>与病房、居民区等建筑物之间设</w:t>
                  </w:r>
                  <w:r>
                    <w:rPr>
                      <w:rFonts w:hint="eastAsia"/>
                      <w:color w:val="auto"/>
                      <w:highlight w:val="none"/>
                      <w:lang w:eastAsia="zh-CN"/>
                    </w:rPr>
                    <w:t>有</w:t>
                  </w:r>
                  <w:r>
                    <w:rPr>
                      <w:rFonts w:hint="default"/>
                      <w:color w:val="auto"/>
                      <w:highlight w:val="none"/>
                    </w:rPr>
                    <w:t>绿化防护带或隔离带</w:t>
                  </w:r>
                  <w:r>
                    <w:rPr>
                      <w:rFonts w:hint="eastAsia" w:cs="Times New Roman"/>
                      <w:color w:val="auto"/>
                      <w:sz w:val="21"/>
                      <w:szCs w:val="21"/>
                      <w:highlight w:val="none"/>
                      <w:lang w:val="en-US" w:eastAsia="zh-CN" w:bidi="ar-SA"/>
                    </w:rPr>
                    <w:t>，可以有效减少臭气及水泵噪声对周围居民的影响。</w:t>
                  </w:r>
                </w:p>
              </w:tc>
              <w:tc>
                <w:tcPr>
                  <w:tcW w:w="304" w:type="pct"/>
                  <w:tcBorders>
                    <w:tl2br w:val="nil"/>
                    <w:tr2bl w:val="nil"/>
                  </w:tcBorders>
                  <w:vAlign w:val="center"/>
                </w:tcPr>
                <w:p w14:paraId="1BB23490">
                  <w:pPr>
                    <w:pStyle w:val="120"/>
                    <w:bidi w:val="0"/>
                    <w:rPr>
                      <w:rFonts w:hint="default"/>
                      <w:color w:val="auto"/>
                      <w:highlight w:val="none"/>
                      <w:lang w:val="en-US" w:eastAsia="zh-CN"/>
                    </w:rPr>
                  </w:pPr>
                  <w:r>
                    <w:rPr>
                      <w:rFonts w:hint="eastAsia"/>
                      <w:color w:val="auto"/>
                      <w:highlight w:val="none"/>
                      <w:lang w:val="en-US" w:eastAsia="zh-CN"/>
                    </w:rPr>
                    <w:t>符合</w:t>
                  </w:r>
                </w:p>
              </w:tc>
            </w:tr>
            <w:tr w14:paraId="5F72B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trPr>
              <w:tc>
                <w:tcPr>
                  <w:tcW w:w="302" w:type="pct"/>
                  <w:tcBorders>
                    <w:tl2br w:val="nil"/>
                    <w:tr2bl w:val="nil"/>
                  </w:tcBorders>
                  <w:vAlign w:val="center"/>
                </w:tcPr>
                <w:p w14:paraId="5210E367">
                  <w:pPr>
                    <w:pStyle w:val="120"/>
                    <w:bidi w:val="0"/>
                    <w:jc w:val="center"/>
                    <w:rPr>
                      <w:rFonts w:hint="default"/>
                      <w:color w:val="auto"/>
                      <w:highlight w:val="none"/>
                    </w:rPr>
                  </w:pPr>
                  <w:r>
                    <w:rPr>
                      <w:rFonts w:hint="default"/>
                      <w:color w:val="auto"/>
                      <w:highlight w:val="none"/>
                    </w:rPr>
                    <w:t>6工艺设计</w:t>
                  </w:r>
                </w:p>
                <w:p w14:paraId="16798A74">
                  <w:pPr>
                    <w:pStyle w:val="120"/>
                    <w:bidi w:val="0"/>
                    <w:rPr>
                      <w:rFonts w:hint="eastAsia"/>
                      <w:color w:val="auto"/>
                      <w:highlight w:val="none"/>
                      <w:lang w:val="en-US" w:eastAsia="zh-CN"/>
                    </w:rPr>
                  </w:pPr>
                </w:p>
              </w:tc>
              <w:tc>
                <w:tcPr>
                  <w:tcW w:w="2066" w:type="pct"/>
                  <w:tcBorders>
                    <w:tl2br w:val="nil"/>
                    <w:tr2bl w:val="nil"/>
                  </w:tcBorders>
                  <w:vAlign w:val="center"/>
                </w:tcPr>
                <w:p w14:paraId="467E80AE">
                  <w:pPr>
                    <w:pStyle w:val="120"/>
                    <w:bidi w:val="0"/>
                    <w:jc w:val="left"/>
                    <w:rPr>
                      <w:rFonts w:hint="default"/>
                      <w:color w:val="auto"/>
                      <w:highlight w:val="none"/>
                    </w:rPr>
                  </w:pPr>
                  <w:r>
                    <w:rPr>
                      <w:rFonts w:hint="default"/>
                      <w:color w:val="auto"/>
                      <w:highlight w:val="none"/>
                    </w:rPr>
                    <w:t>6.1一般规定</w:t>
                  </w:r>
                </w:p>
                <w:p w14:paraId="1F92197B">
                  <w:pPr>
                    <w:pStyle w:val="120"/>
                    <w:bidi w:val="0"/>
                    <w:jc w:val="left"/>
                    <w:rPr>
                      <w:rFonts w:hint="default"/>
                      <w:color w:val="auto"/>
                      <w:highlight w:val="none"/>
                    </w:rPr>
                  </w:pPr>
                  <w:r>
                    <w:rPr>
                      <w:rFonts w:hint="default"/>
                      <w:color w:val="auto"/>
                      <w:highlight w:val="none"/>
                    </w:rPr>
                    <w:t>6.1.1特殊性质污水应经预处理后进入医院污水处理系统。</w:t>
                  </w:r>
                </w:p>
                <w:p w14:paraId="038B14C0">
                  <w:pPr>
                    <w:pStyle w:val="120"/>
                    <w:bidi w:val="0"/>
                    <w:jc w:val="left"/>
                    <w:rPr>
                      <w:rFonts w:hint="eastAsia"/>
                      <w:color w:val="auto"/>
                      <w:highlight w:val="none"/>
                      <w:lang w:eastAsia="zh-CN"/>
                    </w:rPr>
                  </w:pPr>
                  <w:r>
                    <w:rPr>
                      <w:rFonts w:hint="default"/>
                      <w:color w:val="auto"/>
                      <w:highlight w:val="none"/>
                    </w:rPr>
                    <w:t>6.1.2传染病医院污水应在预消毒后采用二级处理+消毒工艺或二级处理+深度处理+消毒工艺</w:t>
                  </w:r>
                  <w:r>
                    <w:rPr>
                      <w:rFonts w:hint="eastAsia"/>
                      <w:color w:val="auto"/>
                      <w:highlight w:val="none"/>
                      <w:lang w:eastAsia="zh-CN"/>
                    </w:rPr>
                    <w:t>。</w:t>
                  </w:r>
                </w:p>
                <w:p w14:paraId="2AE4F6D8">
                  <w:pPr>
                    <w:pStyle w:val="120"/>
                    <w:bidi w:val="0"/>
                    <w:jc w:val="left"/>
                    <w:rPr>
                      <w:rFonts w:hint="default"/>
                      <w:color w:val="auto"/>
                      <w:highlight w:val="none"/>
                    </w:rPr>
                  </w:pPr>
                  <w:r>
                    <w:rPr>
                      <w:rFonts w:hint="default"/>
                      <w:color w:val="auto"/>
                      <w:highlight w:val="none"/>
                    </w:rPr>
                    <w:t>6.13非传染病医院污水，若处理出水直接或间接排入地表水体或海域时，应采用二级处理+消毒工艺或二级处理+深度处理+消毒工艺</w:t>
                  </w:r>
                  <w:r>
                    <w:rPr>
                      <w:rFonts w:hint="eastAsia"/>
                      <w:color w:val="auto"/>
                      <w:highlight w:val="none"/>
                      <w:lang w:eastAsia="zh-CN"/>
                    </w:rPr>
                    <w:t>；</w:t>
                  </w:r>
                  <w:r>
                    <w:rPr>
                      <w:rFonts w:hint="default"/>
                      <w:color w:val="auto"/>
                      <w:highlight w:val="none"/>
                    </w:rPr>
                    <w:t>若处理出水排入终端已建有正常运行的二级污水处理厂的城市污水管网时，可采用一级强化处理+消毒工艺。</w:t>
                  </w:r>
                </w:p>
              </w:tc>
              <w:tc>
                <w:tcPr>
                  <w:tcW w:w="2325" w:type="pct"/>
                  <w:tcBorders>
                    <w:tl2br w:val="nil"/>
                    <w:tr2bl w:val="nil"/>
                  </w:tcBorders>
                  <w:shd w:val="clear" w:color="auto" w:fill="auto"/>
                  <w:vAlign w:val="center"/>
                </w:tcPr>
                <w:p w14:paraId="49047E3E">
                  <w:pPr>
                    <w:pStyle w:val="120"/>
                    <w:bidi w:val="0"/>
                    <w:ind w:firstLine="0" w:firstLineChars="0"/>
                    <w:rPr>
                      <w:rFonts w:hint="eastAsia" w:cs="Times New Roman"/>
                      <w:color w:val="auto"/>
                      <w:sz w:val="21"/>
                      <w:szCs w:val="21"/>
                      <w:highlight w:val="none"/>
                      <w:lang w:val="en-US" w:eastAsia="zh-CN" w:bidi="ar-SA"/>
                    </w:rPr>
                  </w:pPr>
                  <w:r>
                    <w:rPr>
                      <w:rFonts w:hint="eastAsia" w:cs="Times New Roman"/>
                      <w:color w:val="auto"/>
                      <w:sz w:val="21"/>
                      <w:szCs w:val="21"/>
                      <w:highlight w:val="none"/>
                      <w:lang w:val="en-US" w:eastAsia="zh-CN" w:bidi="ar-SA"/>
                    </w:rPr>
                    <w:t>本项目不涉及含辐射等特殊性质污水，也不产生传染病污水；</w:t>
                  </w:r>
                </w:p>
                <w:p w14:paraId="4C5B0FB1">
                  <w:pPr>
                    <w:pStyle w:val="120"/>
                    <w:bidi w:val="0"/>
                    <w:ind w:firstLine="0" w:firstLineChars="0"/>
                    <w:rPr>
                      <w:rFonts w:hint="default" w:cs="Times New Roman"/>
                      <w:color w:val="auto"/>
                      <w:sz w:val="21"/>
                      <w:szCs w:val="21"/>
                      <w:highlight w:val="none"/>
                      <w:lang w:val="en-US" w:eastAsia="zh-CN" w:bidi="ar-SA"/>
                    </w:rPr>
                  </w:pPr>
                  <w:r>
                    <w:rPr>
                      <w:rFonts w:hint="eastAsia" w:cs="Times New Roman"/>
                      <w:color w:val="auto"/>
                      <w:sz w:val="21"/>
                      <w:szCs w:val="21"/>
                      <w:highlight w:val="none"/>
                      <w:lang w:val="en-US" w:eastAsia="zh-CN" w:bidi="ar-SA"/>
                    </w:rPr>
                    <w:t>本项目依托现有污水处理站处理本项目综合医疗废水，处理工艺为：</w:t>
                  </w:r>
                  <w:r>
                    <w:rPr>
                      <w:rFonts w:hint="eastAsia" w:eastAsia="宋体" w:cs="Times New Roman"/>
                      <w:color w:val="auto"/>
                      <w:sz w:val="21"/>
                      <w:szCs w:val="21"/>
                      <w:highlight w:val="none"/>
                      <w:lang w:val="en-US" w:eastAsia="zh-CN"/>
                    </w:rPr>
                    <w:t>调节池+</w:t>
                  </w:r>
                  <w:r>
                    <w:rPr>
                      <w:rFonts w:hint="eastAsia" w:cs="Times New Roman"/>
                      <w:color w:val="auto"/>
                      <w:sz w:val="21"/>
                      <w:szCs w:val="21"/>
                      <w:highlight w:val="none"/>
                      <w:lang w:val="en-US" w:eastAsia="zh-CN"/>
                    </w:rPr>
                    <w:t>水解酸化</w:t>
                  </w:r>
                  <w:r>
                    <w:rPr>
                      <w:rFonts w:hint="eastAsia" w:eastAsia="宋体" w:cs="Times New Roman"/>
                      <w:color w:val="auto"/>
                      <w:sz w:val="21"/>
                      <w:szCs w:val="21"/>
                      <w:highlight w:val="none"/>
                      <w:lang w:val="en-US" w:eastAsia="zh-CN"/>
                    </w:rPr>
                    <w:t>池</w:t>
                  </w:r>
                  <w:r>
                    <w:rPr>
                      <w:rFonts w:hint="eastAsia" w:cs="Times New Roman"/>
                      <w:color w:val="auto"/>
                      <w:sz w:val="21"/>
                      <w:szCs w:val="21"/>
                      <w:highlight w:val="none"/>
                      <w:lang w:val="en-US" w:eastAsia="zh-CN"/>
                    </w:rPr>
                    <w:t>+接触氧化池</w:t>
                  </w:r>
                  <w:r>
                    <w:rPr>
                      <w:rFonts w:hint="eastAsia"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二沉池+</w:t>
                  </w:r>
                  <w:r>
                    <w:rPr>
                      <w:rFonts w:hint="eastAsia" w:eastAsia="宋体" w:cs="Times New Roman"/>
                      <w:color w:val="auto"/>
                      <w:sz w:val="21"/>
                      <w:szCs w:val="21"/>
                      <w:highlight w:val="none"/>
                      <w:lang w:val="en-US" w:eastAsia="zh-CN"/>
                    </w:rPr>
                    <w:t>消毒池</w:t>
                  </w:r>
                  <w:r>
                    <w:rPr>
                      <w:rFonts w:hint="eastAsia" w:cs="Times New Roman"/>
                      <w:color w:val="auto"/>
                      <w:sz w:val="21"/>
                      <w:szCs w:val="21"/>
                      <w:highlight w:val="none"/>
                      <w:lang w:val="en-US" w:eastAsia="zh-CN" w:bidi="ar-SA"/>
                    </w:rPr>
                    <w:t>。综合医疗废水处理达标后接管市政污水管网，排入潘集污水处理厂深度处理。该污水处理工艺属于一级强化处理工艺。</w:t>
                  </w:r>
                </w:p>
              </w:tc>
              <w:tc>
                <w:tcPr>
                  <w:tcW w:w="304" w:type="pct"/>
                  <w:tcBorders>
                    <w:tl2br w:val="nil"/>
                    <w:tr2bl w:val="nil"/>
                  </w:tcBorders>
                  <w:vAlign w:val="center"/>
                </w:tcPr>
                <w:p w14:paraId="3971918A">
                  <w:pPr>
                    <w:pStyle w:val="120"/>
                    <w:bidi w:val="0"/>
                    <w:rPr>
                      <w:rFonts w:hint="default"/>
                      <w:color w:val="auto"/>
                      <w:highlight w:val="none"/>
                      <w:lang w:val="en-US" w:eastAsia="zh-CN"/>
                    </w:rPr>
                  </w:pPr>
                  <w:r>
                    <w:rPr>
                      <w:rFonts w:hint="eastAsia"/>
                      <w:color w:val="auto"/>
                      <w:highlight w:val="none"/>
                      <w:lang w:val="en-US" w:eastAsia="zh-CN"/>
                    </w:rPr>
                    <w:t>符合</w:t>
                  </w:r>
                </w:p>
              </w:tc>
            </w:tr>
          </w:tbl>
          <w:p w14:paraId="1D99625D">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default" w:cs="Times New Roman"/>
                <w:b/>
                <w:bCs/>
                <w:color w:val="000000"/>
                <w:kern w:val="2"/>
                <w:sz w:val="24"/>
                <w:szCs w:val="24"/>
                <w:highlight w:val="none"/>
                <w:lang w:val="en-US" w:eastAsia="zh-CN" w:bidi="ar-SA"/>
              </w:rPr>
            </w:pPr>
            <w:r>
              <w:rPr>
                <w:rFonts w:hint="eastAsia" w:cs="Times New Roman"/>
                <w:b/>
                <w:bCs/>
                <w:color w:val="000000"/>
                <w:kern w:val="2"/>
                <w:sz w:val="24"/>
                <w:szCs w:val="24"/>
                <w:highlight w:val="none"/>
                <w:lang w:val="en-US" w:eastAsia="zh-CN" w:bidi="ar-SA"/>
              </w:rPr>
              <w:t>10、</w:t>
            </w:r>
            <w:r>
              <w:rPr>
                <w:rFonts w:hint="eastAsia"/>
                <w:b/>
                <w:bCs/>
                <w:color w:val="auto"/>
                <w:sz w:val="24"/>
                <w:szCs w:val="24"/>
                <w:highlight w:val="none"/>
                <w:lang w:val="en-US" w:eastAsia="zh-CN"/>
              </w:rPr>
              <w:t>与《医疗机构污水处理工程技术标准》（GB51459-2024）符合性分析</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9"/>
              <w:gridCol w:w="4253"/>
              <w:gridCol w:w="2441"/>
              <w:gridCol w:w="502"/>
            </w:tblGrid>
            <w:tr w14:paraId="3189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blHeader/>
              </w:trPr>
              <w:tc>
                <w:tcPr>
                  <w:tcW w:w="3082" w:type="pct"/>
                  <w:gridSpan w:val="2"/>
                  <w:tcBorders>
                    <w:tl2br w:val="nil"/>
                    <w:tr2bl w:val="nil"/>
                  </w:tcBorders>
                  <w:vAlign w:val="center"/>
                </w:tcPr>
                <w:p w14:paraId="4197D0A6">
                  <w:pPr>
                    <w:pStyle w:val="120"/>
                    <w:bidi w:val="0"/>
                    <w:rPr>
                      <w:rFonts w:hint="default"/>
                      <w:b/>
                      <w:bCs/>
                      <w:color w:val="auto"/>
                      <w:highlight w:val="none"/>
                    </w:rPr>
                  </w:pPr>
                  <w:r>
                    <w:rPr>
                      <w:rFonts w:hint="default"/>
                      <w:b/>
                      <w:bCs/>
                      <w:color w:val="auto"/>
                      <w:highlight w:val="none"/>
                    </w:rPr>
                    <w:t>相关要求</w:t>
                  </w:r>
                </w:p>
              </w:tc>
              <w:tc>
                <w:tcPr>
                  <w:tcW w:w="1590" w:type="pct"/>
                  <w:tcBorders>
                    <w:tl2br w:val="nil"/>
                    <w:tr2bl w:val="nil"/>
                  </w:tcBorders>
                  <w:vAlign w:val="center"/>
                </w:tcPr>
                <w:p w14:paraId="075989B3">
                  <w:pPr>
                    <w:pStyle w:val="120"/>
                    <w:bidi w:val="0"/>
                    <w:rPr>
                      <w:rFonts w:hint="default"/>
                      <w:b/>
                      <w:bCs/>
                      <w:color w:val="auto"/>
                      <w:highlight w:val="none"/>
                    </w:rPr>
                  </w:pPr>
                  <w:r>
                    <w:rPr>
                      <w:rFonts w:hint="default"/>
                      <w:b/>
                      <w:bCs/>
                      <w:color w:val="auto"/>
                      <w:highlight w:val="none"/>
                    </w:rPr>
                    <w:t>本项目情况</w:t>
                  </w:r>
                </w:p>
              </w:tc>
              <w:tc>
                <w:tcPr>
                  <w:tcW w:w="327" w:type="pct"/>
                  <w:tcBorders>
                    <w:tl2br w:val="nil"/>
                    <w:tr2bl w:val="nil"/>
                  </w:tcBorders>
                  <w:vAlign w:val="center"/>
                </w:tcPr>
                <w:p w14:paraId="791B76A1">
                  <w:pPr>
                    <w:pStyle w:val="120"/>
                    <w:bidi w:val="0"/>
                    <w:rPr>
                      <w:rFonts w:hint="default"/>
                      <w:b/>
                      <w:bCs/>
                      <w:color w:val="auto"/>
                      <w:highlight w:val="none"/>
                    </w:rPr>
                  </w:pPr>
                  <w:r>
                    <w:rPr>
                      <w:rFonts w:hint="default"/>
                      <w:b/>
                      <w:bCs/>
                      <w:color w:val="auto"/>
                      <w:highlight w:val="none"/>
                    </w:rPr>
                    <w:t>符合性</w:t>
                  </w:r>
                </w:p>
              </w:tc>
            </w:tr>
            <w:tr w14:paraId="2B0C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trPr>
              <w:tc>
                <w:tcPr>
                  <w:tcW w:w="312" w:type="pct"/>
                  <w:tcBorders>
                    <w:tl2br w:val="nil"/>
                    <w:tr2bl w:val="nil"/>
                  </w:tcBorders>
                  <w:vAlign w:val="center"/>
                </w:tcPr>
                <w:p w14:paraId="0C20BC37">
                  <w:pPr>
                    <w:pStyle w:val="120"/>
                    <w:bidi w:val="0"/>
                    <w:rPr>
                      <w:rFonts w:hint="default" w:eastAsia="宋体"/>
                      <w:color w:val="auto"/>
                      <w:highlight w:val="none"/>
                      <w:lang w:val="en-US" w:eastAsia="zh-CN"/>
                    </w:rPr>
                  </w:pPr>
                  <w:r>
                    <w:rPr>
                      <w:rFonts w:hint="eastAsia"/>
                      <w:color w:val="auto"/>
                      <w:highlight w:val="none"/>
                      <w:lang w:val="en-US" w:eastAsia="zh-CN"/>
                    </w:rPr>
                    <w:t>5污水收集</w:t>
                  </w:r>
                </w:p>
              </w:tc>
              <w:tc>
                <w:tcPr>
                  <w:tcW w:w="2770" w:type="pct"/>
                  <w:tcBorders>
                    <w:tl2br w:val="nil"/>
                    <w:tr2bl w:val="nil"/>
                  </w:tcBorders>
                  <w:vAlign w:val="center"/>
                </w:tcPr>
                <w:p w14:paraId="1F2931DC">
                  <w:pPr>
                    <w:pStyle w:val="120"/>
                    <w:bidi w:val="0"/>
                    <w:jc w:val="left"/>
                    <w:rPr>
                      <w:rFonts w:hint="default"/>
                      <w:color w:val="auto"/>
                      <w:highlight w:val="none"/>
                    </w:rPr>
                  </w:pPr>
                  <w:r>
                    <w:rPr>
                      <w:rFonts w:hint="default"/>
                      <w:color w:val="auto"/>
                      <w:highlight w:val="none"/>
                    </w:rPr>
                    <w:t>5.0.1医疗机构污水可分为传染病医疗机构污水非传染病医疗机构污水和特殊医疗污水。</w:t>
                  </w:r>
                </w:p>
                <w:p w14:paraId="212E1A3F">
                  <w:pPr>
                    <w:pStyle w:val="120"/>
                    <w:bidi w:val="0"/>
                    <w:jc w:val="left"/>
                    <w:rPr>
                      <w:rFonts w:hint="default"/>
                      <w:color w:val="auto"/>
                      <w:highlight w:val="none"/>
                    </w:rPr>
                  </w:pPr>
                  <w:r>
                    <w:rPr>
                      <w:rFonts w:hint="default"/>
                      <w:color w:val="auto"/>
                      <w:highlight w:val="none"/>
                    </w:rPr>
                    <w:t>5.0.2医疗机构的污水应区分病区与非病区、传染病医疗机构与非传染病医疗机构进行分类收集。</w:t>
                  </w:r>
                </w:p>
                <w:p w14:paraId="4A4C9951">
                  <w:pPr>
                    <w:pStyle w:val="120"/>
                    <w:bidi w:val="0"/>
                    <w:jc w:val="left"/>
                    <w:rPr>
                      <w:rFonts w:hint="default"/>
                      <w:color w:val="auto"/>
                      <w:highlight w:val="none"/>
                    </w:rPr>
                  </w:pPr>
                  <w:r>
                    <w:rPr>
                      <w:rFonts w:hint="default"/>
                      <w:color w:val="auto"/>
                      <w:highlight w:val="none"/>
                    </w:rPr>
                    <w:t>5.0.3特殊医疗污水收集应符合下列规定</w:t>
                  </w:r>
                  <w:r>
                    <w:rPr>
                      <w:rFonts w:hint="eastAsia"/>
                      <w:color w:val="auto"/>
                      <w:highlight w:val="none"/>
                      <w:lang w:eastAsia="zh-CN"/>
                    </w:rPr>
                    <w:t>：</w:t>
                  </w:r>
                  <w:r>
                    <w:rPr>
                      <w:rFonts w:hint="default"/>
                      <w:color w:val="auto"/>
                      <w:highlight w:val="none"/>
                    </w:rPr>
                    <w:t>1当采取室内就地预处理方式时</w:t>
                  </w:r>
                  <w:r>
                    <w:rPr>
                      <w:rFonts w:hint="eastAsia"/>
                      <w:color w:val="auto"/>
                      <w:highlight w:val="none"/>
                      <w:lang w:eastAsia="zh-CN"/>
                    </w:rPr>
                    <w:t>，</w:t>
                  </w:r>
                  <w:r>
                    <w:rPr>
                      <w:rFonts w:hint="default"/>
                      <w:color w:val="auto"/>
                      <w:highlight w:val="none"/>
                    </w:rPr>
                    <w:t>处理后的污水可直接接入院区排水管道</w:t>
                  </w:r>
                  <w:r>
                    <w:rPr>
                      <w:rFonts w:hint="eastAsia"/>
                      <w:color w:val="auto"/>
                      <w:highlight w:val="none"/>
                      <w:lang w:eastAsia="zh-CN"/>
                    </w:rPr>
                    <w:t>；</w:t>
                  </w:r>
                  <w:r>
                    <w:rPr>
                      <w:rFonts w:hint="default"/>
                      <w:color w:val="auto"/>
                      <w:highlight w:val="none"/>
                    </w:rPr>
                    <w:t>2当采取室外预处理方式时</w:t>
                  </w:r>
                  <w:r>
                    <w:rPr>
                      <w:rFonts w:hint="eastAsia"/>
                      <w:color w:val="auto"/>
                      <w:highlight w:val="none"/>
                      <w:lang w:eastAsia="zh-CN"/>
                    </w:rPr>
                    <w:t>，</w:t>
                  </w:r>
                  <w:r>
                    <w:rPr>
                      <w:rFonts w:hint="default"/>
                      <w:color w:val="auto"/>
                      <w:highlight w:val="none"/>
                    </w:rPr>
                    <w:t>应采取措施保证室内外管网安全衔接。</w:t>
                  </w:r>
                </w:p>
                <w:p w14:paraId="0E2363B0">
                  <w:pPr>
                    <w:pStyle w:val="120"/>
                    <w:bidi w:val="0"/>
                    <w:jc w:val="left"/>
                    <w:rPr>
                      <w:rFonts w:hint="eastAsia" w:eastAsia="宋体"/>
                      <w:color w:val="auto"/>
                      <w:highlight w:val="none"/>
                      <w:lang w:eastAsia="zh-CN"/>
                    </w:rPr>
                  </w:pPr>
                  <w:r>
                    <w:rPr>
                      <w:rFonts w:hint="default"/>
                      <w:color w:val="auto"/>
                      <w:highlight w:val="none"/>
                    </w:rPr>
                    <w:t>5.0.4传染病医疗机构污水管道应分区域设置</w:t>
                  </w:r>
                  <w:r>
                    <w:rPr>
                      <w:rFonts w:hint="eastAsia"/>
                      <w:color w:val="auto"/>
                      <w:highlight w:val="none"/>
                      <w:lang w:eastAsia="zh-CN"/>
                    </w:rPr>
                    <w:t>，</w:t>
                  </w:r>
                  <w:r>
                    <w:rPr>
                      <w:rFonts w:hint="default"/>
                      <w:color w:val="auto"/>
                      <w:highlight w:val="none"/>
                    </w:rPr>
                    <w:t>并应符合下列规定</w:t>
                  </w:r>
                  <w:r>
                    <w:rPr>
                      <w:rFonts w:hint="eastAsia"/>
                      <w:color w:val="auto"/>
                      <w:highlight w:val="none"/>
                      <w:lang w:eastAsia="zh-CN"/>
                    </w:rPr>
                    <w:t>：</w:t>
                  </w:r>
                  <w:r>
                    <w:rPr>
                      <w:rFonts w:hint="eastAsia"/>
                      <w:color w:val="auto"/>
                      <w:highlight w:val="none"/>
                      <w:lang w:val="en-US" w:eastAsia="zh-CN"/>
                    </w:rPr>
                    <w:t>1</w:t>
                  </w:r>
                  <w:r>
                    <w:rPr>
                      <w:rFonts w:hint="default"/>
                      <w:color w:val="auto"/>
                      <w:highlight w:val="none"/>
                    </w:rPr>
                    <w:t>根据室内环境污染程度可分为清洁区、半污染区和污染区</w:t>
                  </w: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清洁区污水管道应独立设置，其他区域管道宜独立设置，确有困难时同一性质传染病的半污染区和污染区管道可合并设置；3不同性质传染病的污染区和半污染区管道应分别排至室外预消毒设施，进入消毒设施前不应合并或混接；4各区域的空调冷凝水应采用间接排水方式，并应接入相应区域的污水管道。</w:t>
                  </w:r>
                </w:p>
              </w:tc>
              <w:tc>
                <w:tcPr>
                  <w:tcW w:w="1590" w:type="pct"/>
                  <w:tcBorders>
                    <w:tl2br w:val="nil"/>
                    <w:tr2bl w:val="nil"/>
                  </w:tcBorders>
                  <w:shd w:val="clear" w:color="auto" w:fill="auto"/>
                  <w:vAlign w:val="center"/>
                </w:tcPr>
                <w:p w14:paraId="3584C3F3">
                  <w:pPr>
                    <w:pStyle w:val="120"/>
                    <w:bidi w:val="0"/>
                    <w:ind w:firstLine="0" w:firstLineChars="0"/>
                    <w:rPr>
                      <w:rFonts w:hint="default" w:cs="Times New Roman"/>
                      <w:color w:val="auto"/>
                      <w:sz w:val="21"/>
                      <w:szCs w:val="21"/>
                      <w:highlight w:val="none"/>
                      <w:lang w:val="en-US" w:eastAsia="zh-CN" w:bidi="ar-SA"/>
                    </w:rPr>
                  </w:pPr>
                  <w:r>
                    <w:rPr>
                      <w:rFonts w:hint="eastAsia" w:cs="Times New Roman"/>
                      <w:color w:val="auto"/>
                      <w:sz w:val="21"/>
                      <w:szCs w:val="21"/>
                      <w:highlight w:val="none"/>
                      <w:lang w:val="en-US" w:eastAsia="zh-CN" w:bidi="ar-SA"/>
                    </w:rPr>
                    <w:t>本项目不涉及传染病污水；</w:t>
                  </w:r>
                </w:p>
                <w:p w14:paraId="4E621FEF">
                  <w:pPr>
                    <w:pStyle w:val="120"/>
                    <w:bidi w:val="0"/>
                    <w:ind w:firstLine="0" w:firstLineChars="0"/>
                    <w:rPr>
                      <w:rFonts w:hint="default" w:cs="Times New Roman"/>
                      <w:color w:val="auto"/>
                      <w:sz w:val="21"/>
                      <w:szCs w:val="21"/>
                      <w:highlight w:val="none"/>
                      <w:lang w:val="en-US" w:eastAsia="zh-CN" w:bidi="ar-SA"/>
                    </w:rPr>
                  </w:pPr>
                  <w:r>
                    <w:rPr>
                      <w:rFonts w:hint="eastAsia" w:cs="Times New Roman"/>
                      <w:color w:val="auto"/>
                      <w:sz w:val="21"/>
                      <w:szCs w:val="21"/>
                      <w:highlight w:val="none"/>
                      <w:lang w:val="en-US" w:eastAsia="zh-CN" w:bidi="ar-SA"/>
                    </w:rPr>
                    <w:t>本项目依托现有污水处理站处理本次扩建项目医疗废水。</w:t>
                  </w:r>
                </w:p>
              </w:tc>
              <w:tc>
                <w:tcPr>
                  <w:tcW w:w="327" w:type="pct"/>
                  <w:tcBorders>
                    <w:tl2br w:val="nil"/>
                    <w:tr2bl w:val="nil"/>
                  </w:tcBorders>
                  <w:vAlign w:val="center"/>
                </w:tcPr>
                <w:p w14:paraId="56DBC408">
                  <w:pPr>
                    <w:pStyle w:val="120"/>
                    <w:bidi w:val="0"/>
                    <w:rPr>
                      <w:rFonts w:hint="default"/>
                      <w:color w:val="auto"/>
                      <w:highlight w:val="none"/>
                    </w:rPr>
                  </w:pPr>
                  <w:r>
                    <w:rPr>
                      <w:rFonts w:hint="default"/>
                      <w:color w:val="auto"/>
                      <w:highlight w:val="none"/>
                    </w:rPr>
                    <w:t>符合</w:t>
                  </w:r>
                </w:p>
              </w:tc>
            </w:tr>
            <w:tr w14:paraId="0B19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trPr>
              <w:tc>
                <w:tcPr>
                  <w:tcW w:w="312" w:type="pct"/>
                  <w:tcBorders>
                    <w:tl2br w:val="nil"/>
                    <w:tr2bl w:val="nil"/>
                  </w:tcBorders>
                  <w:vAlign w:val="center"/>
                </w:tcPr>
                <w:p w14:paraId="204F03B8">
                  <w:pPr>
                    <w:pStyle w:val="120"/>
                    <w:bidi w:val="0"/>
                    <w:rPr>
                      <w:rFonts w:hint="default" w:eastAsia="宋体"/>
                      <w:color w:val="auto"/>
                      <w:highlight w:val="none"/>
                      <w:lang w:val="en-US" w:eastAsia="zh-CN"/>
                    </w:rPr>
                  </w:pPr>
                  <w:r>
                    <w:rPr>
                      <w:rFonts w:hint="eastAsia"/>
                      <w:color w:val="auto"/>
                      <w:highlight w:val="none"/>
                      <w:lang w:val="en-US" w:eastAsia="zh-CN"/>
                    </w:rPr>
                    <w:t>7处理工艺及设施</w:t>
                  </w:r>
                </w:p>
              </w:tc>
              <w:tc>
                <w:tcPr>
                  <w:tcW w:w="2770" w:type="pct"/>
                  <w:tcBorders>
                    <w:tl2br w:val="nil"/>
                    <w:tr2bl w:val="nil"/>
                  </w:tcBorders>
                  <w:vAlign w:val="center"/>
                </w:tcPr>
                <w:p w14:paraId="4D06BA36">
                  <w:pPr>
                    <w:pStyle w:val="120"/>
                    <w:bidi w:val="0"/>
                    <w:jc w:val="left"/>
                    <w:rPr>
                      <w:rFonts w:hint="default"/>
                      <w:color w:val="auto"/>
                      <w:highlight w:val="none"/>
                    </w:rPr>
                  </w:pPr>
                  <w:r>
                    <w:rPr>
                      <w:rFonts w:hint="default"/>
                      <w:color w:val="auto"/>
                      <w:highlight w:val="none"/>
                    </w:rPr>
                    <w:t>7.1.1医疗机构污水处理工艺流程应根据污水水质、水量、排放标准及场地条件等因素</w:t>
                  </w:r>
                  <w:r>
                    <w:rPr>
                      <w:rFonts w:hint="eastAsia"/>
                      <w:color w:val="auto"/>
                      <w:highlight w:val="none"/>
                      <w:lang w:eastAsia="zh-CN"/>
                    </w:rPr>
                    <w:t>，</w:t>
                  </w:r>
                  <w:r>
                    <w:rPr>
                      <w:rFonts w:hint="default"/>
                      <w:color w:val="auto"/>
                      <w:highlight w:val="none"/>
                    </w:rPr>
                    <w:t>经技术经济比较后确定。</w:t>
                  </w:r>
                </w:p>
                <w:p w14:paraId="13B1839D">
                  <w:pPr>
                    <w:pStyle w:val="120"/>
                    <w:bidi w:val="0"/>
                    <w:jc w:val="left"/>
                    <w:rPr>
                      <w:rFonts w:hint="default"/>
                      <w:color w:val="auto"/>
                      <w:highlight w:val="none"/>
                    </w:rPr>
                  </w:pPr>
                  <w:r>
                    <w:rPr>
                      <w:rFonts w:hint="default"/>
                      <w:color w:val="auto"/>
                      <w:highlight w:val="none"/>
                    </w:rPr>
                    <w:t>7.1.2床位数在20床以下的医疗机构污水经消毒处理后可直接排入城镇污水管网。</w:t>
                  </w:r>
                </w:p>
                <w:p w14:paraId="6D6C0E45">
                  <w:pPr>
                    <w:pStyle w:val="120"/>
                    <w:bidi w:val="0"/>
                    <w:jc w:val="left"/>
                    <w:rPr>
                      <w:rFonts w:hint="default"/>
                      <w:color w:val="auto"/>
                      <w:highlight w:val="none"/>
                    </w:rPr>
                  </w:pPr>
                  <w:r>
                    <w:rPr>
                      <w:rFonts w:hint="default"/>
                      <w:color w:val="auto"/>
                      <w:highlight w:val="none"/>
                    </w:rPr>
                    <w:t>7.1.3当非传染病医疗机构污水处理出水排入城镇污水管网</w:t>
                  </w:r>
                  <w:r>
                    <w:rPr>
                      <w:rFonts w:hint="eastAsia"/>
                      <w:color w:val="auto"/>
                      <w:highlight w:val="none"/>
                      <w:lang w:eastAsia="zh-CN"/>
                    </w:rPr>
                    <w:t>，</w:t>
                  </w:r>
                  <w:r>
                    <w:rPr>
                      <w:rFonts w:hint="default"/>
                      <w:color w:val="auto"/>
                      <w:highlight w:val="none"/>
                    </w:rPr>
                    <w:t>且管网终端建有正常运行的二级污水处理厂时</w:t>
                  </w:r>
                  <w:r>
                    <w:rPr>
                      <w:rFonts w:hint="eastAsia"/>
                      <w:color w:val="auto"/>
                      <w:highlight w:val="none"/>
                      <w:lang w:eastAsia="zh-CN"/>
                    </w:rPr>
                    <w:t>，</w:t>
                  </w:r>
                  <w:r>
                    <w:rPr>
                      <w:rFonts w:hint="default"/>
                      <w:color w:val="auto"/>
                      <w:highlight w:val="none"/>
                    </w:rPr>
                    <w:t>可采用一级强化处理工艺。</w:t>
                  </w:r>
                </w:p>
              </w:tc>
              <w:tc>
                <w:tcPr>
                  <w:tcW w:w="1590" w:type="pct"/>
                  <w:tcBorders>
                    <w:tl2br w:val="nil"/>
                    <w:tr2bl w:val="nil"/>
                  </w:tcBorders>
                  <w:shd w:val="clear" w:color="auto" w:fill="auto"/>
                  <w:vAlign w:val="center"/>
                </w:tcPr>
                <w:p w14:paraId="6F23FE5E">
                  <w:pPr>
                    <w:pStyle w:val="120"/>
                    <w:bidi w:val="0"/>
                    <w:ind w:firstLine="0" w:firstLineChars="0"/>
                    <w:rPr>
                      <w:rFonts w:hint="eastAsia" w:cs="Times New Roman"/>
                      <w:color w:val="auto"/>
                      <w:sz w:val="21"/>
                      <w:szCs w:val="21"/>
                      <w:highlight w:val="none"/>
                      <w:lang w:val="en-US" w:eastAsia="zh-CN" w:bidi="ar-SA"/>
                    </w:rPr>
                  </w:pPr>
                  <w:r>
                    <w:rPr>
                      <w:rFonts w:hint="eastAsia" w:cs="Times New Roman"/>
                      <w:color w:val="auto"/>
                      <w:sz w:val="21"/>
                      <w:szCs w:val="21"/>
                      <w:highlight w:val="none"/>
                      <w:lang w:val="en-US" w:eastAsia="zh-CN" w:bidi="ar-SA"/>
                    </w:rPr>
                    <w:t>本项目新增床位260张；</w:t>
                  </w:r>
                </w:p>
                <w:p w14:paraId="3F1DF529">
                  <w:pPr>
                    <w:pStyle w:val="120"/>
                    <w:bidi w:val="0"/>
                    <w:ind w:firstLine="0" w:firstLineChars="0"/>
                    <w:rPr>
                      <w:rFonts w:hint="eastAsia" w:cs="Times New Roman"/>
                      <w:color w:val="auto"/>
                      <w:sz w:val="21"/>
                      <w:szCs w:val="21"/>
                      <w:highlight w:val="none"/>
                      <w:lang w:val="en-US" w:eastAsia="zh-CN" w:bidi="ar-SA"/>
                    </w:rPr>
                  </w:pPr>
                  <w:r>
                    <w:rPr>
                      <w:rFonts w:hint="eastAsia" w:cs="Times New Roman"/>
                      <w:color w:val="auto"/>
                      <w:sz w:val="21"/>
                      <w:szCs w:val="21"/>
                      <w:highlight w:val="none"/>
                      <w:lang w:val="en-US" w:eastAsia="zh-CN" w:bidi="ar-SA"/>
                    </w:rPr>
                    <w:t>本项目不涉及传染病污水；</w:t>
                  </w:r>
                </w:p>
                <w:p w14:paraId="40FCAC4A">
                  <w:pPr>
                    <w:pStyle w:val="120"/>
                    <w:bidi w:val="0"/>
                    <w:ind w:firstLine="0" w:firstLineChars="0"/>
                    <w:rPr>
                      <w:rFonts w:hint="default" w:cs="Times New Roman"/>
                      <w:color w:val="auto"/>
                      <w:sz w:val="21"/>
                      <w:szCs w:val="21"/>
                      <w:highlight w:val="none"/>
                      <w:lang w:val="en-US" w:eastAsia="zh-CN" w:bidi="ar-SA"/>
                    </w:rPr>
                  </w:pPr>
                  <w:r>
                    <w:rPr>
                      <w:rFonts w:hint="default" w:cs="Times New Roman"/>
                      <w:color w:val="auto"/>
                      <w:sz w:val="21"/>
                      <w:szCs w:val="21"/>
                      <w:highlight w:val="none"/>
                      <w:lang w:val="en-US" w:eastAsia="zh-CN" w:bidi="ar-SA"/>
                    </w:rPr>
                    <w:t>本项目</w:t>
                  </w:r>
                  <w:r>
                    <w:rPr>
                      <w:rFonts w:hint="eastAsia" w:cs="Times New Roman"/>
                      <w:color w:val="auto"/>
                      <w:sz w:val="21"/>
                      <w:szCs w:val="21"/>
                      <w:highlight w:val="none"/>
                      <w:lang w:val="en-US" w:eastAsia="zh-CN" w:bidi="ar-SA"/>
                    </w:rPr>
                    <w:t>依托现有</w:t>
                  </w:r>
                  <w:r>
                    <w:rPr>
                      <w:rFonts w:hint="default" w:cs="Times New Roman"/>
                      <w:color w:val="auto"/>
                      <w:sz w:val="21"/>
                      <w:szCs w:val="21"/>
                      <w:highlight w:val="none"/>
                      <w:lang w:val="en-US" w:eastAsia="zh-CN" w:bidi="ar-SA"/>
                    </w:rPr>
                    <w:t>污水处理站处理本</w:t>
                  </w:r>
                  <w:r>
                    <w:rPr>
                      <w:rFonts w:hint="default" w:cs="Times New Roman"/>
                      <w:color w:val="auto"/>
                      <w:sz w:val="21"/>
                      <w:szCs w:val="21"/>
                      <w:highlight w:val="none"/>
                      <w:lang w:val="en-US" w:eastAsia="zh-CN" w:bidi="ar-SA"/>
                    </w:rPr>
                    <w:t>项目综合医疗废水，处理工艺为：</w:t>
                  </w:r>
                  <w:r>
                    <w:rPr>
                      <w:rFonts w:hint="eastAsia" w:eastAsia="宋体" w:cs="Times New Roman"/>
                      <w:color w:val="auto"/>
                      <w:sz w:val="21"/>
                      <w:szCs w:val="21"/>
                      <w:highlight w:val="none"/>
                      <w:lang w:val="en-US" w:eastAsia="zh-CN"/>
                    </w:rPr>
                    <w:t>调节池+</w:t>
                  </w:r>
                  <w:r>
                    <w:rPr>
                      <w:rFonts w:hint="eastAsia" w:cs="Times New Roman"/>
                      <w:color w:val="auto"/>
                      <w:sz w:val="21"/>
                      <w:szCs w:val="21"/>
                      <w:highlight w:val="none"/>
                      <w:lang w:val="en-US" w:eastAsia="zh-CN"/>
                    </w:rPr>
                    <w:t>水解酸化</w:t>
                  </w:r>
                  <w:r>
                    <w:rPr>
                      <w:rFonts w:hint="eastAsia" w:eastAsia="宋体" w:cs="Times New Roman"/>
                      <w:color w:val="auto"/>
                      <w:sz w:val="21"/>
                      <w:szCs w:val="21"/>
                      <w:highlight w:val="none"/>
                      <w:lang w:val="en-US" w:eastAsia="zh-CN"/>
                    </w:rPr>
                    <w:t>池</w:t>
                  </w:r>
                  <w:r>
                    <w:rPr>
                      <w:rFonts w:hint="eastAsia" w:cs="Times New Roman"/>
                      <w:color w:val="auto"/>
                      <w:sz w:val="21"/>
                      <w:szCs w:val="21"/>
                      <w:highlight w:val="none"/>
                      <w:lang w:val="en-US" w:eastAsia="zh-CN"/>
                    </w:rPr>
                    <w:t>+接触氧化池</w:t>
                  </w:r>
                  <w:r>
                    <w:rPr>
                      <w:rFonts w:hint="eastAsia"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二沉池+</w:t>
                  </w:r>
                  <w:r>
                    <w:rPr>
                      <w:rFonts w:hint="eastAsia" w:eastAsia="宋体" w:cs="Times New Roman"/>
                      <w:color w:val="auto"/>
                      <w:sz w:val="21"/>
                      <w:szCs w:val="21"/>
                      <w:highlight w:val="none"/>
                      <w:lang w:val="en-US" w:eastAsia="zh-CN"/>
                    </w:rPr>
                    <w:t>消毒池</w:t>
                  </w:r>
                  <w:r>
                    <w:rPr>
                      <w:rFonts w:hint="eastAsia" w:cs="Times New Roman"/>
                      <w:color w:val="auto"/>
                      <w:sz w:val="21"/>
                      <w:szCs w:val="21"/>
                      <w:highlight w:val="none"/>
                      <w:lang w:val="en-US" w:eastAsia="zh-CN" w:bidi="ar-SA"/>
                    </w:rPr>
                    <w:t>，</w:t>
                  </w:r>
                  <w:r>
                    <w:rPr>
                      <w:rFonts w:hint="default" w:cs="Times New Roman"/>
                      <w:color w:val="auto"/>
                      <w:sz w:val="21"/>
                      <w:szCs w:val="21"/>
                      <w:highlight w:val="none"/>
                      <w:lang w:val="en-US" w:eastAsia="zh-CN" w:bidi="ar-SA"/>
                    </w:rPr>
                    <w:t>该污水处理工艺</w:t>
                  </w:r>
                  <w:r>
                    <w:rPr>
                      <w:rFonts w:hint="eastAsia" w:cs="Times New Roman"/>
                      <w:color w:val="auto"/>
                      <w:sz w:val="21"/>
                      <w:szCs w:val="21"/>
                      <w:highlight w:val="none"/>
                      <w:lang w:val="en-US" w:eastAsia="zh-CN" w:bidi="ar-SA"/>
                    </w:rPr>
                    <w:t>属于</w:t>
                  </w:r>
                  <w:r>
                    <w:rPr>
                      <w:rFonts w:hint="default" w:cs="Times New Roman"/>
                      <w:color w:val="auto"/>
                      <w:sz w:val="21"/>
                      <w:szCs w:val="21"/>
                      <w:highlight w:val="none"/>
                      <w:lang w:val="en-US" w:eastAsia="zh-CN" w:bidi="ar-SA"/>
                    </w:rPr>
                    <w:t>一级强化处理</w:t>
                  </w:r>
                  <w:r>
                    <w:rPr>
                      <w:rFonts w:hint="eastAsia" w:cs="Times New Roman"/>
                      <w:color w:val="auto"/>
                      <w:sz w:val="21"/>
                      <w:szCs w:val="21"/>
                      <w:highlight w:val="none"/>
                      <w:lang w:val="en-US" w:eastAsia="zh-CN" w:bidi="ar-SA"/>
                    </w:rPr>
                    <w:t>工艺。项目废水经处理达标后</w:t>
                  </w:r>
                  <w:r>
                    <w:rPr>
                      <w:rFonts w:hint="eastAsia" w:cs="Times New Roman"/>
                      <w:color w:val="auto"/>
                      <w:sz w:val="21"/>
                      <w:szCs w:val="21"/>
                      <w:highlight w:val="none"/>
                      <w:lang w:val="en-US" w:eastAsia="zh-CN" w:bidi="ar-SA"/>
                    </w:rPr>
                    <w:t>接管市政污水管网，排入潘集污水处理厂深度处理。</w:t>
                  </w:r>
                </w:p>
              </w:tc>
              <w:tc>
                <w:tcPr>
                  <w:tcW w:w="327" w:type="pct"/>
                  <w:tcBorders>
                    <w:tl2br w:val="nil"/>
                    <w:tr2bl w:val="nil"/>
                  </w:tcBorders>
                  <w:vAlign w:val="center"/>
                </w:tcPr>
                <w:p w14:paraId="1FD94DC8">
                  <w:pPr>
                    <w:pStyle w:val="120"/>
                    <w:bidi w:val="0"/>
                    <w:rPr>
                      <w:rFonts w:hint="default" w:eastAsia="宋体"/>
                      <w:color w:val="auto"/>
                      <w:highlight w:val="none"/>
                      <w:lang w:val="en-US" w:eastAsia="zh-CN"/>
                    </w:rPr>
                  </w:pPr>
                  <w:r>
                    <w:rPr>
                      <w:rFonts w:hint="eastAsia"/>
                      <w:color w:val="auto"/>
                      <w:highlight w:val="none"/>
                      <w:lang w:val="en-US" w:eastAsia="zh-CN"/>
                    </w:rPr>
                    <w:t>符合</w:t>
                  </w:r>
                </w:p>
              </w:tc>
            </w:tr>
            <w:tr w14:paraId="5C41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trPr>
              <w:tc>
                <w:tcPr>
                  <w:tcW w:w="312" w:type="pct"/>
                  <w:tcBorders>
                    <w:tl2br w:val="nil"/>
                    <w:tr2bl w:val="nil"/>
                  </w:tcBorders>
                  <w:vAlign w:val="center"/>
                </w:tcPr>
                <w:p w14:paraId="00CCCD38">
                  <w:pPr>
                    <w:pStyle w:val="120"/>
                    <w:bidi w:val="0"/>
                    <w:rPr>
                      <w:rFonts w:hint="default" w:eastAsia="宋体"/>
                      <w:color w:val="auto"/>
                      <w:highlight w:val="none"/>
                      <w:lang w:val="en-US" w:eastAsia="zh-CN"/>
                    </w:rPr>
                  </w:pPr>
                  <w:r>
                    <w:rPr>
                      <w:rFonts w:hint="eastAsia"/>
                      <w:color w:val="auto"/>
                      <w:highlight w:val="none"/>
                      <w:lang w:val="en-US" w:eastAsia="zh-CN"/>
                    </w:rPr>
                    <w:t>8消毒</w:t>
                  </w:r>
                </w:p>
              </w:tc>
              <w:tc>
                <w:tcPr>
                  <w:tcW w:w="2770" w:type="pct"/>
                  <w:tcBorders>
                    <w:tl2br w:val="nil"/>
                    <w:tr2bl w:val="nil"/>
                  </w:tcBorders>
                  <w:vAlign w:val="center"/>
                </w:tcPr>
                <w:p w14:paraId="43D9FA49">
                  <w:pPr>
                    <w:pStyle w:val="120"/>
                    <w:bidi w:val="0"/>
                    <w:jc w:val="left"/>
                    <w:rPr>
                      <w:rFonts w:hint="default"/>
                      <w:color w:val="auto"/>
                      <w:highlight w:val="none"/>
                    </w:rPr>
                  </w:pPr>
                  <w:r>
                    <w:rPr>
                      <w:rFonts w:hint="default"/>
                      <w:color w:val="auto"/>
                      <w:highlight w:val="none"/>
                    </w:rPr>
                    <w:t>8.1-般规定</w:t>
                  </w:r>
                </w:p>
                <w:p w14:paraId="123B328C">
                  <w:pPr>
                    <w:pStyle w:val="120"/>
                    <w:bidi w:val="0"/>
                    <w:jc w:val="left"/>
                    <w:rPr>
                      <w:rFonts w:hint="default"/>
                      <w:color w:val="auto"/>
                      <w:highlight w:val="none"/>
                    </w:rPr>
                  </w:pPr>
                  <w:r>
                    <w:rPr>
                      <w:rFonts w:hint="default"/>
                      <w:color w:val="auto"/>
                      <w:highlight w:val="none"/>
                    </w:rPr>
                    <w:t>8.1.1医疗机构污水消毒可采用臭氧、紫外线、液氯、二氧化氯、次氯酸钠和二氯异氰尿酸钠等方法。</w:t>
                  </w:r>
                </w:p>
                <w:p w14:paraId="5F7848A2">
                  <w:pPr>
                    <w:pStyle w:val="120"/>
                    <w:bidi w:val="0"/>
                    <w:jc w:val="left"/>
                    <w:rPr>
                      <w:rFonts w:hint="default"/>
                      <w:color w:val="auto"/>
                      <w:highlight w:val="none"/>
                    </w:rPr>
                  </w:pPr>
                  <w:r>
                    <w:rPr>
                      <w:rFonts w:hint="default"/>
                      <w:color w:val="auto"/>
                      <w:highlight w:val="none"/>
                    </w:rPr>
                    <w:t>8.1.2医疗机构污水处理出水排人地表水体时</w:t>
                  </w:r>
                  <w:r>
                    <w:rPr>
                      <w:rFonts w:hint="eastAsia"/>
                      <w:color w:val="auto"/>
                      <w:highlight w:val="none"/>
                      <w:lang w:eastAsia="zh-CN"/>
                    </w:rPr>
                    <w:t>，</w:t>
                  </w:r>
                  <w:r>
                    <w:rPr>
                      <w:rFonts w:hint="default"/>
                      <w:color w:val="auto"/>
                      <w:highlight w:val="none"/>
                    </w:rPr>
                    <w:t>宜采用臭氧消毒或紫外线消毒</w:t>
                  </w:r>
                  <w:r>
                    <w:rPr>
                      <w:rFonts w:hint="eastAsia"/>
                      <w:color w:val="auto"/>
                      <w:highlight w:val="none"/>
                      <w:lang w:eastAsia="zh-CN"/>
                    </w:rPr>
                    <w:t>，</w:t>
                  </w:r>
                  <w:r>
                    <w:rPr>
                      <w:rFonts w:hint="default"/>
                      <w:color w:val="auto"/>
                      <w:highlight w:val="none"/>
                    </w:rPr>
                    <w:t>当采用含氯消毒剂消毒时</w:t>
                  </w:r>
                  <w:r>
                    <w:rPr>
                      <w:rFonts w:hint="eastAsia"/>
                      <w:color w:val="auto"/>
                      <w:highlight w:val="none"/>
                      <w:lang w:eastAsia="zh-CN"/>
                    </w:rPr>
                    <w:t>，</w:t>
                  </w:r>
                  <w:r>
                    <w:rPr>
                      <w:rFonts w:hint="default"/>
                      <w:color w:val="auto"/>
                      <w:highlight w:val="none"/>
                    </w:rPr>
                    <w:t>应采取脱氯处理。</w:t>
                  </w:r>
                </w:p>
                <w:p w14:paraId="6F3505D3">
                  <w:pPr>
                    <w:pStyle w:val="120"/>
                    <w:bidi w:val="0"/>
                    <w:jc w:val="left"/>
                    <w:rPr>
                      <w:rFonts w:hint="default"/>
                      <w:color w:val="auto"/>
                      <w:highlight w:val="none"/>
                    </w:rPr>
                  </w:pPr>
                  <w:r>
                    <w:rPr>
                      <w:rFonts w:hint="default"/>
                      <w:color w:val="auto"/>
                      <w:highlight w:val="none"/>
                    </w:rPr>
                    <w:t>8.1.3一级强化处理不宜采用臭氧消毒方式。</w:t>
                  </w:r>
                </w:p>
                <w:p w14:paraId="2B7C72AD">
                  <w:pPr>
                    <w:pStyle w:val="120"/>
                    <w:bidi w:val="0"/>
                    <w:jc w:val="left"/>
                    <w:rPr>
                      <w:rFonts w:hint="eastAsia"/>
                      <w:color w:val="auto"/>
                      <w:highlight w:val="none"/>
                      <w:lang w:eastAsia="zh-CN"/>
                    </w:rPr>
                  </w:pPr>
                  <w:r>
                    <w:rPr>
                      <w:rFonts w:hint="default"/>
                      <w:color w:val="auto"/>
                      <w:highlight w:val="none"/>
                    </w:rPr>
                    <w:t>8.1.4传染病医疗机构污水处理不应采用单一紫外线消毒方式</w:t>
                  </w:r>
                  <w:r>
                    <w:rPr>
                      <w:rFonts w:hint="eastAsia"/>
                      <w:color w:val="auto"/>
                      <w:highlight w:val="none"/>
                      <w:lang w:eastAsia="zh-CN"/>
                    </w:rPr>
                    <w:t>。</w:t>
                  </w:r>
                </w:p>
                <w:p w14:paraId="073CB854">
                  <w:pPr>
                    <w:pStyle w:val="120"/>
                    <w:bidi w:val="0"/>
                    <w:jc w:val="left"/>
                    <w:rPr>
                      <w:rFonts w:hint="default"/>
                      <w:color w:val="auto"/>
                      <w:highlight w:val="none"/>
                    </w:rPr>
                  </w:pPr>
                  <w:r>
                    <w:rPr>
                      <w:rFonts w:hint="default"/>
                      <w:color w:val="auto"/>
                      <w:highlight w:val="none"/>
                    </w:rPr>
                    <w:t>8.1.5应对突发公共卫生事件改造项目的医疗机构污水处理工程</w:t>
                  </w:r>
                  <w:r>
                    <w:rPr>
                      <w:rFonts w:hint="eastAsia"/>
                      <w:color w:val="auto"/>
                      <w:highlight w:val="none"/>
                      <w:lang w:eastAsia="zh-CN"/>
                    </w:rPr>
                    <w:t>，</w:t>
                  </w:r>
                  <w:r>
                    <w:rPr>
                      <w:rFonts w:hint="default"/>
                      <w:color w:val="auto"/>
                      <w:highlight w:val="none"/>
                    </w:rPr>
                    <w:t>当无法满足现行国家标准二级生化处理的有关规定时</w:t>
                  </w:r>
                  <w:r>
                    <w:rPr>
                      <w:rFonts w:hint="eastAsia"/>
                      <w:color w:val="auto"/>
                      <w:highlight w:val="none"/>
                      <w:lang w:eastAsia="zh-CN"/>
                    </w:rPr>
                    <w:t>，</w:t>
                  </w:r>
                  <w:r>
                    <w:rPr>
                      <w:rFonts w:hint="default"/>
                      <w:color w:val="auto"/>
                      <w:highlight w:val="none"/>
                    </w:rPr>
                    <w:t>应采用强化消毒处理工艺</w:t>
                  </w:r>
                  <w:r>
                    <w:rPr>
                      <w:rFonts w:hint="eastAsia"/>
                      <w:color w:val="auto"/>
                      <w:highlight w:val="none"/>
                      <w:lang w:eastAsia="zh-CN"/>
                    </w:rPr>
                    <w:t>，</w:t>
                  </w:r>
                  <w:r>
                    <w:rPr>
                      <w:rFonts w:hint="default"/>
                      <w:color w:val="auto"/>
                      <w:highlight w:val="none"/>
                    </w:rPr>
                    <w:t>并应符合下列规定</w:t>
                  </w:r>
                  <w:r>
                    <w:rPr>
                      <w:rFonts w:hint="eastAsia"/>
                      <w:color w:val="auto"/>
                      <w:highlight w:val="none"/>
                      <w:lang w:eastAsia="zh-CN"/>
                    </w:rPr>
                    <w:t>：</w:t>
                  </w:r>
                  <w:r>
                    <w:rPr>
                      <w:rFonts w:hint="default"/>
                      <w:color w:val="auto"/>
                      <w:highlight w:val="none"/>
                    </w:rPr>
                    <w:t>1应在化粪池前设置预消毒设施，预消毒设施的水力停留时间不应小手心oh</w:t>
                  </w:r>
                  <w:r>
                    <w:rPr>
                      <w:rFonts w:hint="eastAsia"/>
                      <w:color w:val="auto"/>
                      <w:highlight w:val="none"/>
                      <w:lang w:eastAsia="zh-CN"/>
                    </w:rPr>
                    <w:t>；</w:t>
                  </w:r>
                  <w:r>
                    <w:rPr>
                      <w:rFonts w:hint="eastAsia"/>
                      <w:color w:val="auto"/>
                      <w:highlight w:val="none"/>
                      <w:lang w:val="en-US" w:eastAsia="zh-CN"/>
                    </w:rPr>
                    <w:t>2</w:t>
                  </w:r>
                  <w:r>
                    <w:rPr>
                      <w:rFonts w:hint="default"/>
                      <w:color w:val="auto"/>
                      <w:highlight w:val="none"/>
                    </w:rPr>
                    <w:t>二级消毒池水力停留时间不应小于2.0h</w:t>
                  </w:r>
                  <w:r>
                    <w:rPr>
                      <w:rFonts w:hint="eastAsia"/>
                      <w:color w:val="auto"/>
                      <w:highlight w:val="none"/>
                      <w:lang w:eastAsia="zh-CN"/>
                    </w:rPr>
                    <w:t>；</w:t>
                  </w:r>
                  <w:r>
                    <w:rPr>
                      <w:rFonts w:hint="eastAsia"/>
                      <w:color w:val="auto"/>
                      <w:highlight w:val="none"/>
                      <w:lang w:val="en-US" w:eastAsia="zh-CN"/>
                    </w:rPr>
                    <w:t>3</w:t>
                  </w:r>
                  <w:r>
                    <w:rPr>
                      <w:rFonts w:hint="default"/>
                      <w:color w:val="auto"/>
                      <w:highlight w:val="none"/>
                    </w:rPr>
                    <w:t>消毒剂的投加量应根据风险评估结果确定</w:t>
                  </w:r>
                  <w:r>
                    <w:rPr>
                      <w:rFonts w:hint="eastAsia"/>
                      <w:color w:val="auto"/>
                      <w:highlight w:val="none"/>
                      <w:lang w:eastAsia="zh-CN"/>
                    </w:rPr>
                    <w:t>，</w:t>
                  </w:r>
                  <w:r>
                    <w:rPr>
                      <w:rFonts w:hint="default"/>
                      <w:color w:val="auto"/>
                      <w:highlight w:val="none"/>
                    </w:rPr>
                    <w:t>消毒后污水的pH值不应大于6.5。</w:t>
                  </w:r>
                </w:p>
              </w:tc>
              <w:tc>
                <w:tcPr>
                  <w:tcW w:w="1590" w:type="pct"/>
                  <w:tcBorders>
                    <w:tl2br w:val="nil"/>
                    <w:tr2bl w:val="nil"/>
                  </w:tcBorders>
                  <w:vAlign w:val="center"/>
                </w:tcPr>
                <w:p w14:paraId="6104CF01">
                  <w:pPr>
                    <w:pStyle w:val="120"/>
                    <w:bidi w:val="0"/>
                    <w:rPr>
                      <w:rFonts w:hint="default" w:eastAsia="宋体"/>
                      <w:color w:val="auto"/>
                      <w:highlight w:val="none"/>
                      <w:lang w:val="en-US" w:eastAsia="zh-CN"/>
                    </w:rPr>
                  </w:pPr>
                  <w:r>
                    <w:rPr>
                      <w:rFonts w:hint="default"/>
                      <w:color w:val="auto"/>
                      <w:highlight w:val="none"/>
                    </w:rPr>
                    <w:t>本项目废水处理工艺为：</w:t>
                  </w:r>
                  <w:r>
                    <w:rPr>
                      <w:rFonts w:hint="eastAsia" w:eastAsia="宋体" w:cs="Times New Roman"/>
                      <w:color w:val="auto"/>
                      <w:sz w:val="21"/>
                      <w:szCs w:val="21"/>
                      <w:highlight w:val="none"/>
                      <w:lang w:val="en-US" w:eastAsia="zh-CN"/>
                    </w:rPr>
                    <w:t>调节池+</w:t>
                  </w:r>
                  <w:r>
                    <w:rPr>
                      <w:rFonts w:hint="eastAsia" w:cs="Times New Roman"/>
                      <w:color w:val="auto"/>
                      <w:sz w:val="21"/>
                      <w:szCs w:val="21"/>
                      <w:highlight w:val="none"/>
                      <w:lang w:val="en-US" w:eastAsia="zh-CN"/>
                    </w:rPr>
                    <w:t>水解酸化</w:t>
                  </w:r>
                  <w:r>
                    <w:rPr>
                      <w:rFonts w:hint="eastAsia" w:eastAsia="宋体" w:cs="Times New Roman"/>
                      <w:color w:val="auto"/>
                      <w:sz w:val="21"/>
                      <w:szCs w:val="21"/>
                      <w:highlight w:val="none"/>
                      <w:lang w:val="en-US" w:eastAsia="zh-CN"/>
                    </w:rPr>
                    <w:t>池</w:t>
                  </w:r>
                  <w:r>
                    <w:rPr>
                      <w:rFonts w:hint="eastAsia" w:cs="Times New Roman"/>
                      <w:color w:val="auto"/>
                      <w:sz w:val="21"/>
                      <w:szCs w:val="21"/>
                      <w:highlight w:val="none"/>
                      <w:lang w:val="en-US" w:eastAsia="zh-CN"/>
                    </w:rPr>
                    <w:t>+接触氧化池</w:t>
                  </w:r>
                  <w:r>
                    <w:rPr>
                      <w:rFonts w:hint="eastAsia"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二沉池+</w:t>
                  </w:r>
                  <w:r>
                    <w:rPr>
                      <w:rFonts w:hint="eastAsia" w:eastAsia="宋体" w:cs="Times New Roman"/>
                      <w:color w:val="auto"/>
                      <w:sz w:val="21"/>
                      <w:szCs w:val="21"/>
                      <w:highlight w:val="none"/>
                      <w:lang w:val="en-US" w:eastAsia="zh-CN"/>
                    </w:rPr>
                    <w:t>消毒池</w:t>
                  </w:r>
                  <w:r>
                    <w:rPr>
                      <w:rFonts w:hint="eastAsia"/>
                      <w:color w:val="auto"/>
                      <w:highlight w:val="none"/>
                      <w:lang w:eastAsia="zh-CN"/>
                    </w:rPr>
                    <w:t>，</w:t>
                  </w:r>
                  <w:r>
                    <w:rPr>
                      <w:rFonts w:hint="eastAsia"/>
                      <w:color w:val="auto"/>
                      <w:highlight w:val="none"/>
                      <w:lang w:val="en-US" w:eastAsia="zh-CN"/>
                    </w:rPr>
                    <w:t>消毒使用单过硫酸氢钾药剂。</w:t>
                  </w:r>
                </w:p>
              </w:tc>
              <w:tc>
                <w:tcPr>
                  <w:tcW w:w="327" w:type="pct"/>
                  <w:tcBorders>
                    <w:tl2br w:val="nil"/>
                    <w:tr2bl w:val="nil"/>
                  </w:tcBorders>
                  <w:vAlign w:val="center"/>
                </w:tcPr>
                <w:p w14:paraId="0A709BBB">
                  <w:pPr>
                    <w:pStyle w:val="120"/>
                    <w:bidi w:val="0"/>
                    <w:rPr>
                      <w:rFonts w:hint="eastAsia" w:eastAsia="宋体"/>
                      <w:color w:val="auto"/>
                      <w:highlight w:val="none"/>
                      <w:lang w:val="en-US" w:eastAsia="zh-CN"/>
                    </w:rPr>
                  </w:pPr>
                  <w:r>
                    <w:rPr>
                      <w:rFonts w:hint="eastAsia"/>
                      <w:color w:val="auto"/>
                      <w:highlight w:val="none"/>
                      <w:lang w:val="en-US" w:eastAsia="zh-CN"/>
                    </w:rPr>
                    <w:t>符合</w:t>
                  </w:r>
                </w:p>
              </w:tc>
            </w:tr>
            <w:tr w14:paraId="60F1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trPr>
              <w:tc>
                <w:tcPr>
                  <w:tcW w:w="312" w:type="pct"/>
                  <w:tcBorders>
                    <w:tl2br w:val="nil"/>
                    <w:tr2bl w:val="nil"/>
                  </w:tcBorders>
                  <w:vAlign w:val="center"/>
                </w:tcPr>
                <w:p w14:paraId="1B56D9D1">
                  <w:pPr>
                    <w:pStyle w:val="120"/>
                    <w:bidi w:val="0"/>
                    <w:rPr>
                      <w:rFonts w:hint="default" w:eastAsia="宋体"/>
                      <w:color w:val="auto"/>
                      <w:highlight w:val="none"/>
                      <w:lang w:val="en-US" w:eastAsia="zh-CN"/>
                    </w:rPr>
                  </w:pPr>
                  <w:r>
                    <w:rPr>
                      <w:rFonts w:hint="eastAsia"/>
                      <w:color w:val="auto"/>
                      <w:highlight w:val="none"/>
                      <w:lang w:val="en-US" w:eastAsia="zh-CN"/>
                    </w:rPr>
                    <w:t>10污泥、废气处理和处置</w:t>
                  </w:r>
                </w:p>
              </w:tc>
              <w:tc>
                <w:tcPr>
                  <w:tcW w:w="2770" w:type="pct"/>
                  <w:tcBorders>
                    <w:tl2br w:val="nil"/>
                    <w:tr2bl w:val="nil"/>
                  </w:tcBorders>
                  <w:vAlign w:val="center"/>
                </w:tcPr>
                <w:p w14:paraId="0338EBC8">
                  <w:pPr>
                    <w:pStyle w:val="120"/>
                    <w:bidi w:val="0"/>
                    <w:jc w:val="left"/>
                    <w:rPr>
                      <w:rFonts w:hint="default"/>
                      <w:color w:val="auto"/>
                      <w:highlight w:val="none"/>
                    </w:rPr>
                  </w:pPr>
                  <w:r>
                    <w:rPr>
                      <w:rFonts w:hint="default"/>
                      <w:color w:val="auto"/>
                      <w:highlight w:val="none"/>
                    </w:rPr>
                    <w:t>10.2.1医疗机构污水处理过程中产生的伴生废气应进行处理并应符合现行国家标准《恶臭污染物排放标准》GB14554和《医疗机构水污染物排放标准》GB18466的有关规定。</w:t>
                  </w:r>
                </w:p>
                <w:p w14:paraId="5C54EBD1">
                  <w:pPr>
                    <w:pStyle w:val="120"/>
                    <w:bidi w:val="0"/>
                    <w:jc w:val="left"/>
                    <w:rPr>
                      <w:rFonts w:hint="default"/>
                      <w:color w:val="auto"/>
                      <w:highlight w:val="none"/>
                    </w:rPr>
                  </w:pPr>
                  <w:r>
                    <w:rPr>
                      <w:rFonts w:hint="default"/>
                      <w:color w:val="auto"/>
                      <w:highlight w:val="none"/>
                    </w:rPr>
                    <w:t>10.2.2对产生废气的处理设施宜加盖密闭,加盖形式应满足处理设施操作和运行要求。</w:t>
                  </w:r>
                </w:p>
                <w:p w14:paraId="37EC7CF8">
                  <w:pPr>
                    <w:pStyle w:val="120"/>
                    <w:bidi w:val="0"/>
                    <w:jc w:val="left"/>
                    <w:rPr>
                      <w:rFonts w:hint="eastAsia" w:eastAsia="宋体"/>
                      <w:color w:val="auto"/>
                      <w:highlight w:val="none"/>
                      <w:lang w:val="en-US" w:eastAsia="zh-CN"/>
                    </w:rPr>
                  </w:pPr>
                  <w:r>
                    <w:rPr>
                      <w:rFonts w:hint="default"/>
                      <w:color w:val="auto"/>
                      <w:highlight w:val="none"/>
                    </w:rPr>
                    <w:t>10.2.4废气除臭可采用活性炭吸附、化学、生物、离子和植物液除臭等处理方法。</w:t>
                  </w:r>
                </w:p>
              </w:tc>
              <w:tc>
                <w:tcPr>
                  <w:tcW w:w="1590" w:type="pct"/>
                  <w:tcBorders>
                    <w:tl2br w:val="nil"/>
                    <w:tr2bl w:val="nil"/>
                  </w:tcBorders>
                  <w:vAlign w:val="center"/>
                </w:tcPr>
                <w:p w14:paraId="0904D0BC">
                  <w:pPr>
                    <w:pStyle w:val="120"/>
                    <w:bidi w:val="0"/>
                    <w:rPr>
                      <w:rFonts w:hint="eastAsia"/>
                      <w:color w:val="auto"/>
                      <w:highlight w:val="none"/>
                      <w:lang w:val="en-US" w:eastAsia="zh-CN"/>
                    </w:rPr>
                  </w:pPr>
                  <w:r>
                    <w:rPr>
                      <w:rFonts w:hint="eastAsia"/>
                      <w:color w:val="auto"/>
                      <w:highlight w:val="none"/>
                      <w:lang w:val="en-US" w:eastAsia="zh-CN"/>
                    </w:rPr>
                    <w:t>本项目污水处理站产生的恶臭、氨、硫化氢排放执行《医疗机构水污染物排放标准》（GB18466-2005）和</w:t>
                  </w:r>
                  <w:r>
                    <w:rPr>
                      <w:rFonts w:hint="default" w:ascii="Times New Roman" w:hAnsi="Times New Roman" w:eastAsia="宋体" w:cs="Times New Roman"/>
                      <w:color w:val="auto"/>
                      <w:sz w:val="21"/>
                      <w:szCs w:val="21"/>
                    </w:rPr>
                    <w:t>《恶臭污染物排放标准》（GB14554-93）</w:t>
                  </w:r>
                  <w:r>
                    <w:rPr>
                      <w:rFonts w:hint="eastAsia" w:ascii="Times New Roman" w:hAnsi="Times New Roman" w:eastAsia="宋体" w:cs="Times New Roman"/>
                      <w:color w:val="auto"/>
                      <w:sz w:val="21"/>
                      <w:szCs w:val="21"/>
                      <w:lang w:val="en-US" w:eastAsia="zh-CN"/>
                    </w:rPr>
                    <w:t>中相关规定</w:t>
                  </w:r>
                  <w:r>
                    <w:rPr>
                      <w:rFonts w:hint="eastAsia"/>
                      <w:color w:val="auto"/>
                      <w:highlight w:val="none"/>
                      <w:lang w:val="en-US" w:eastAsia="zh-CN"/>
                    </w:rPr>
                    <w:t>。</w:t>
                  </w:r>
                </w:p>
                <w:p w14:paraId="6F249971">
                  <w:pPr>
                    <w:pStyle w:val="120"/>
                    <w:bidi w:val="0"/>
                    <w:rPr>
                      <w:rFonts w:hint="default"/>
                      <w:color w:val="auto"/>
                      <w:highlight w:val="none"/>
                      <w:lang w:val="en-US" w:eastAsia="zh-CN"/>
                    </w:rPr>
                  </w:pPr>
                  <w:r>
                    <w:rPr>
                      <w:rFonts w:hint="eastAsia"/>
                      <w:color w:val="auto"/>
                      <w:highlight w:val="none"/>
                      <w:lang w:val="en-US" w:eastAsia="zh-CN"/>
                    </w:rPr>
                    <w:t>污水处理站采用加盖密闭、加强绿化的方式降低恶臭浓度。</w:t>
                  </w:r>
                </w:p>
              </w:tc>
              <w:tc>
                <w:tcPr>
                  <w:tcW w:w="327" w:type="pct"/>
                  <w:tcBorders>
                    <w:tl2br w:val="nil"/>
                    <w:tr2bl w:val="nil"/>
                  </w:tcBorders>
                  <w:vAlign w:val="center"/>
                </w:tcPr>
                <w:p w14:paraId="6D3CEEF0">
                  <w:pPr>
                    <w:pStyle w:val="120"/>
                    <w:bidi w:val="0"/>
                    <w:rPr>
                      <w:rFonts w:hint="eastAsia" w:eastAsia="宋体"/>
                      <w:color w:val="auto"/>
                      <w:highlight w:val="none"/>
                      <w:lang w:val="en-US" w:eastAsia="zh-CN"/>
                    </w:rPr>
                  </w:pPr>
                  <w:r>
                    <w:rPr>
                      <w:rFonts w:hint="eastAsia"/>
                      <w:color w:val="auto"/>
                      <w:highlight w:val="none"/>
                      <w:lang w:val="en-US" w:eastAsia="zh-CN"/>
                    </w:rPr>
                    <w:t>符合</w:t>
                  </w:r>
                </w:p>
              </w:tc>
            </w:tr>
          </w:tbl>
          <w:p w14:paraId="2AD0FCFF">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default"/>
                <w:color w:val="000000"/>
                <w:highlight w:val="none"/>
                <w:vertAlign w:val="baseline"/>
                <w:lang w:val="en-US"/>
              </w:rPr>
            </w:pPr>
            <w:r>
              <w:rPr>
                <w:rFonts w:hint="eastAsia" w:cs="Times New Roman"/>
                <w:b/>
                <w:bCs/>
                <w:color w:val="000000"/>
                <w:kern w:val="2"/>
                <w:sz w:val="24"/>
                <w:szCs w:val="24"/>
                <w:highlight w:val="none"/>
                <w:lang w:val="en-US" w:eastAsia="zh-CN" w:bidi="ar-SA"/>
              </w:rPr>
              <w:t>11</w:t>
            </w:r>
            <w:r>
              <w:rPr>
                <w:rFonts w:hint="eastAsia" w:ascii="Times New Roman" w:hAnsi="Times New Roman" w:eastAsia="宋体" w:cs="Times New Roman"/>
                <w:b/>
                <w:bCs/>
                <w:color w:val="000000"/>
                <w:kern w:val="2"/>
                <w:sz w:val="24"/>
                <w:szCs w:val="24"/>
                <w:highlight w:val="none"/>
                <w:lang w:val="en-US" w:eastAsia="zh-CN" w:bidi="ar-SA"/>
              </w:rPr>
              <w:t>、本项目与《安徽省</w:t>
            </w:r>
            <w:r>
              <w:rPr>
                <w:rFonts w:hint="default" w:ascii="Times New Roman" w:hAnsi="Times New Roman" w:eastAsia="宋体" w:cs="Times New Roman"/>
                <w:b/>
                <w:bCs/>
                <w:color w:val="000000"/>
                <w:kern w:val="2"/>
                <w:sz w:val="24"/>
                <w:szCs w:val="24"/>
                <w:highlight w:val="none"/>
                <w:lang w:val="en-US" w:eastAsia="zh-CN" w:bidi="ar-SA"/>
              </w:rPr>
              <w:t>“</w:t>
            </w:r>
            <w:r>
              <w:rPr>
                <w:rFonts w:hint="eastAsia" w:ascii="Times New Roman" w:hAnsi="Times New Roman" w:eastAsia="宋体" w:cs="Times New Roman"/>
                <w:b/>
                <w:bCs/>
                <w:color w:val="000000"/>
                <w:kern w:val="2"/>
                <w:sz w:val="24"/>
                <w:szCs w:val="24"/>
                <w:highlight w:val="none"/>
                <w:lang w:val="en-US" w:eastAsia="zh-CN" w:bidi="ar-SA"/>
              </w:rPr>
              <w:t>十四五</w:t>
            </w:r>
            <w:r>
              <w:rPr>
                <w:rFonts w:hint="default" w:ascii="Times New Roman" w:hAnsi="Times New Roman" w:eastAsia="宋体" w:cs="Times New Roman"/>
                <w:b/>
                <w:bCs/>
                <w:color w:val="000000"/>
                <w:kern w:val="2"/>
                <w:sz w:val="24"/>
                <w:szCs w:val="24"/>
                <w:highlight w:val="none"/>
                <w:lang w:val="en-US" w:eastAsia="zh-CN" w:bidi="ar-SA"/>
              </w:rPr>
              <w:t>”</w:t>
            </w:r>
            <w:r>
              <w:rPr>
                <w:rFonts w:hint="eastAsia" w:ascii="Times New Roman" w:hAnsi="Times New Roman" w:eastAsia="宋体" w:cs="Times New Roman"/>
                <w:b/>
                <w:bCs/>
                <w:color w:val="000000"/>
                <w:kern w:val="2"/>
                <w:sz w:val="24"/>
                <w:szCs w:val="24"/>
                <w:highlight w:val="none"/>
                <w:lang w:val="en-US" w:eastAsia="zh-CN" w:bidi="ar-SA"/>
              </w:rPr>
              <w:t>生态环境保护规划》相符性分析</w:t>
            </w:r>
          </w:p>
          <w:tbl>
            <w:tblPr>
              <w:tblStyle w:val="28"/>
              <w:tblW w:w="76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3285"/>
              <w:gridCol w:w="2934"/>
              <w:gridCol w:w="765"/>
            </w:tblGrid>
            <w:tr w14:paraId="5BBF2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noWrap w:val="0"/>
                  <w:vAlign w:val="center"/>
                </w:tcPr>
                <w:p w14:paraId="23910A26">
                  <w:pPr>
                    <w:pStyle w:val="51"/>
                    <w:keepNext w:val="0"/>
                    <w:keepLines w:val="0"/>
                    <w:pageBreakBefore w:val="0"/>
                    <w:suppressLineNumbers w:val="0"/>
                    <w:kinsoku/>
                    <w:wordWrap/>
                    <w:overflowPunct/>
                    <w:topLinePunct w:val="0"/>
                    <w:autoSpaceDE/>
                    <w:autoSpaceDN/>
                    <w:bidi w:val="0"/>
                    <w:adjustRightInd/>
                    <w:snapToGrid/>
                    <w:spacing w:beforeLines="0" w:beforeAutospacing="0" w:afterLines="0" w:afterAutospacing="0" w:line="240" w:lineRule="auto"/>
                    <w:ind w:left="0" w:leftChars="0" w:right="0" w:firstLine="0" w:firstLineChars="0"/>
                    <w:jc w:val="center"/>
                    <w:textAlignment w:val="auto"/>
                    <w:rPr>
                      <w:rFonts w:hint="eastAsia" w:ascii="Times New Roman" w:hAnsi="Times New Roman" w:eastAsia="宋体" w:cs="Times New Roman"/>
                      <w:b/>
                      <w:bCs/>
                      <w:color w:val="000000"/>
                      <w:sz w:val="21"/>
                      <w:szCs w:val="21"/>
                      <w:highlight w:val="none"/>
                      <w:lang w:val="en-US" w:eastAsia="zh-CN"/>
                    </w:rPr>
                  </w:pPr>
                  <w:r>
                    <w:rPr>
                      <w:rFonts w:hint="eastAsia" w:ascii="Times New Roman" w:hAnsi="Times New Roman" w:eastAsia="宋体" w:cs="Times New Roman"/>
                      <w:b/>
                      <w:bCs/>
                      <w:color w:val="000000"/>
                      <w:sz w:val="21"/>
                      <w:szCs w:val="21"/>
                      <w:highlight w:val="none"/>
                      <w:lang w:val="en-US" w:eastAsia="zh-CN"/>
                    </w:rPr>
                    <w:t>序号</w:t>
                  </w:r>
                </w:p>
              </w:tc>
              <w:tc>
                <w:tcPr>
                  <w:tcW w:w="3285" w:type="dxa"/>
                  <w:noWrap w:val="0"/>
                  <w:vAlign w:val="center"/>
                </w:tcPr>
                <w:p w14:paraId="047C6A14">
                  <w:pPr>
                    <w:pStyle w:val="51"/>
                    <w:keepNext w:val="0"/>
                    <w:keepLines w:val="0"/>
                    <w:pageBreakBefore w:val="0"/>
                    <w:suppressLineNumbers w:val="0"/>
                    <w:kinsoku/>
                    <w:wordWrap/>
                    <w:overflowPunct/>
                    <w:topLinePunct w:val="0"/>
                    <w:autoSpaceDE/>
                    <w:autoSpaceDN/>
                    <w:bidi w:val="0"/>
                    <w:adjustRightInd/>
                    <w:snapToGrid/>
                    <w:spacing w:beforeLines="0" w:beforeAutospacing="0" w:afterLines="0" w:afterAutospacing="0" w:line="240" w:lineRule="auto"/>
                    <w:ind w:left="0" w:leftChars="0" w:right="0" w:firstLine="0" w:firstLineChars="0"/>
                    <w:jc w:val="center"/>
                    <w:textAlignment w:val="auto"/>
                    <w:rPr>
                      <w:rFonts w:hint="eastAsia" w:ascii="Times New Roman" w:hAnsi="Times New Roman" w:eastAsia="宋体" w:cs="Times New Roman"/>
                      <w:b/>
                      <w:bCs/>
                      <w:color w:val="000000"/>
                      <w:sz w:val="21"/>
                      <w:szCs w:val="21"/>
                      <w:highlight w:val="none"/>
                      <w:lang w:val="en-US" w:eastAsia="zh-CN"/>
                    </w:rPr>
                  </w:pPr>
                  <w:r>
                    <w:rPr>
                      <w:rFonts w:hint="eastAsia" w:ascii="Times New Roman" w:hAnsi="Times New Roman" w:eastAsia="宋体" w:cs="Times New Roman"/>
                      <w:b/>
                      <w:bCs/>
                      <w:color w:val="000000"/>
                      <w:sz w:val="21"/>
                      <w:szCs w:val="21"/>
                      <w:highlight w:val="none"/>
                      <w:lang w:val="en-US" w:eastAsia="zh-CN"/>
                    </w:rPr>
                    <w:t>相关要求</w:t>
                  </w:r>
                </w:p>
              </w:tc>
              <w:tc>
                <w:tcPr>
                  <w:tcW w:w="2934" w:type="dxa"/>
                  <w:noWrap w:val="0"/>
                  <w:vAlign w:val="center"/>
                </w:tcPr>
                <w:p w14:paraId="090CDA18">
                  <w:pPr>
                    <w:pStyle w:val="51"/>
                    <w:keepNext w:val="0"/>
                    <w:keepLines w:val="0"/>
                    <w:pageBreakBefore w:val="0"/>
                    <w:suppressLineNumbers w:val="0"/>
                    <w:kinsoku/>
                    <w:wordWrap/>
                    <w:overflowPunct/>
                    <w:topLinePunct w:val="0"/>
                    <w:autoSpaceDE/>
                    <w:autoSpaceDN/>
                    <w:bidi w:val="0"/>
                    <w:adjustRightInd/>
                    <w:snapToGrid/>
                    <w:spacing w:beforeLines="0" w:beforeAutospacing="0" w:afterLines="0" w:afterAutospacing="0" w:line="240" w:lineRule="auto"/>
                    <w:ind w:left="0" w:leftChars="0" w:right="0" w:firstLine="0" w:firstLineChars="0"/>
                    <w:jc w:val="center"/>
                    <w:textAlignment w:val="auto"/>
                    <w:rPr>
                      <w:rFonts w:hint="eastAsia" w:ascii="Times New Roman" w:hAnsi="Times New Roman" w:eastAsia="宋体" w:cs="Times New Roman"/>
                      <w:b/>
                      <w:bCs/>
                      <w:color w:val="000000"/>
                      <w:sz w:val="21"/>
                      <w:szCs w:val="21"/>
                      <w:highlight w:val="none"/>
                      <w:lang w:val="en-US" w:eastAsia="zh-CN"/>
                    </w:rPr>
                  </w:pPr>
                  <w:r>
                    <w:rPr>
                      <w:rFonts w:hint="eastAsia" w:ascii="Times New Roman" w:hAnsi="Times New Roman" w:eastAsia="宋体" w:cs="Times New Roman"/>
                      <w:b/>
                      <w:bCs/>
                      <w:color w:val="000000"/>
                      <w:sz w:val="21"/>
                      <w:szCs w:val="21"/>
                      <w:highlight w:val="none"/>
                      <w:lang w:val="en-US" w:eastAsia="zh-CN"/>
                    </w:rPr>
                    <w:t>本项目情况</w:t>
                  </w:r>
                </w:p>
              </w:tc>
              <w:tc>
                <w:tcPr>
                  <w:tcW w:w="765" w:type="dxa"/>
                  <w:noWrap w:val="0"/>
                  <w:vAlign w:val="center"/>
                </w:tcPr>
                <w:p w14:paraId="1345A3D2">
                  <w:pPr>
                    <w:pStyle w:val="51"/>
                    <w:keepNext w:val="0"/>
                    <w:keepLines w:val="0"/>
                    <w:pageBreakBefore w:val="0"/>
                    <w:suppressLineNumbers w:val="0"/>
                    <w:kinsoku/>
                    <w:wordWrap/>
                    <w:overflowPunct/>
                    <w:topLinePunct w:val="0"/>
                    <w:autoSpaceDE/>
                    <w:autoSpaceDN/>
                    <w:bidi w:val="0"/>
                    <w:adjustRightInd/>
                    <w:snapToGrid/>
                    <w:spacing w:beforeLines="0" w:beforeAutospacing="0" w:afterLines="0" w:afterAutospacing="0" w:line="240" w:lineRule="auto"/>
                    <w:ind w:left="0" w:leftChars="0" w:right="0" w:firstLine="0" w:firstLineChars="0"/>
                    <w:jc w:val="center"/>
                    <w:textAlignment w:val="auto"/>
                    <w:rPr>
                      <w:rFonts w:hint="eastAsia" w:ascii="Times New Roman" w:hAnsi="Times New Roman" w:eastAsia="宋体" w:cs="Times New Roman"/>
                      <w:b/>
                      <w:bCs/>
                      <w:color w:val="000000"/>
                      <w:sz w:val="21"/>
                      <w:szCs w:val="21"/>
                      <w:highlight w:val="none"/>
                      <w:lang w:val="en-US" w:eastAsia="zh-CN"/>
                    </w:rPr>
                  </w:pPr>
                  <w:r>
                    <w:rPr>
                      <w:rFonts w:hint="eastAsia" w:ascii="Times New Roman" w:hAnsi="Times New Roman" w:eastAsia="宋体" w:cs="Times New Roman"/>
                      <w:b/>
                      <w:bCs/>
                      <w:color w:val="000000"/>
                      <w:sz w:val="21"/>
                      <w:szCs w:val="21"/>
                      <w:highlight w:val="none"/>
                      <w:lang w:val="en-US" w:eastAsia="zh-CN"/>
                    </w:rPr>
                    <w:t>分析结论</w:t>
                  </w:r>
                </w:p>
              </w:tc>
            </w:tr>
            <w:tr w14:paraId="53C5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noWrap w:val="0"/>
                  <w:vAlign w:val="center"/>
                </w:tcPr>
                <w:p w14:paraId="6BE1D20E">
                  <w:pPr>
                    <w:keepNext w:val="0"/>
                    <w:keepLines w:val="0"/>
                    <w:pageBreakBefore w:val="0"/>
                    <w:widowControl/>
                    <w:suppressLineNumbers w:val="0"/>
                    <w:kinsoku/>
                    <w:wordWrap/>
                    <w:overflowPunct/>
                    <w:topLinePunct w:val="0"/>
                    <w:autoSpaceDE/>
                    <w:autoSpaceDN/>
                    <w:bidi w:val="0"/>
                    <w:jc w:val="center"/>
                    <w:textAlignment w:val="auto"/>
                    <w:rPr>
                      <w:rFonts w:hint="eastAsia" w:eastAsia="宋体"/>
                      <w:color w:val="000000"/>
                      <w:highlight w:val="none"/>
                      <w:vertAlign w:val="baseline"/>
                      <w:lang w:val="en-US" w:eastAsia="zh-CN"/>
                    </w:rPr>
                  </w:pPr>
                  <w:r>
                    <w:rPr>
                      <w:rFonts w:hint="eastAsia"/>
                      <w:color w:val="000000"/>
                      <w:highlight w:val="none"/>
                      <w:vertAlign w:val="baseline"/>
                      <w:lang w:val="en-US" w:eastAsia="zh-CN"/>
                    </w:rPr>
                    <w:t>1</w:t>
                  </w:r>
                </w:p>
              </w:tc>
              <w:tc>
                <w:tcPr>
                  <w:tcW w:w="3285" w:type="dxa"/>
                  <w:noWrap w:val="0"/>
                  <w:vAlign w:val="center"/>
                </w:tcPr>
                <w:p w14:paraId="21FD217B">
                  <w:pPr>
                    <w:pStyle w:val="95"/>
                    <w:keepNext w:val="0"/>
                    <w:keepLines w:val="0"/>
                    <w:pageBreakBefore w:val="0"/>
                    <w:numPr>
                      <w:ilvl w:val="0"/>
                      <w:numId w:val="0"/>
                    </w:numPr>
                    <w:kinsoku/>
                    <w:wordWrap/>
                    <w:overflowPunct/>
                    <w:topLinePunct w:val="0"/>
                    <w:autoSpaceDE/>
                    <w:autoSpaceDN/>
                    <w:bidi w:val="0"/>
                    <w:ind w:firstLine="420" w:firstLineChars="200"/>
                    <w:jc w:val="both"/>
                    <w:textAlignment w:val="auto"/>
                    <w:rPr>
                      <w:rFonts w:hint="eastAsia" w:ascii="Times New Roman" w:hAnsi="Times New Roman" w:eastAsia="宋体" w:cs="Times New Roman"/>
                      <w:color w:val="000000"/>
                      <w:kern w:val="0"/>
                      <w:szCs w:val="21"/>
                      <w:highlight w:val="none"/>
                      <w:lang w:val="en-US" w:eastAsia="zh-CN"/>
                    </w:rPr>
                  </w:pPr>
                  <w:r>
                    <w:rPr>
                      <w:rFonts w:hint="eastAsia" w:ascii="Times New Roman" w:hAnsi="Times New Roman" w:eastAsia="宋体" w:cs="Times New Roman"/>
                      <w:color w:val="000000"/>
                      <w:kern w:val="0"/>
                      <w:szCs w:val="21"/>
                      <w:highlight w:val="none"/>
                      <w:lang w:val="en-US" w:eastAsia="zh-CN"/>
                    </w:rPr>
                    <w:t>三、全面推动绿色转型发展</w:t>
                  </w:r>
                </w:p>
                <w:p w14:paraId="0414E892">
                  <w:pPr>
                    <w:pStyle w:val="95"/>
                    <w:keepNext w:val="0"/>
                    <w:keepLines w:val="0"/>
                    <w:pageBreakBefore w:val="0"/>
                    <w:numPr>
                      <w:ilvl w:val="0"/>
                      <w:numId w:val="0"/>
                    </w:numPr>
                    <w:kinsoku/>
                    <w:wordWrap/>
                    <w:overflowPunct/>
                    <w:topLinePunct w:val="0"/>
                    <w:autoSpaceDE/>
                    <w:autoSpaceDN/>
                    <w:bidi w:val="0"/>
                    <w:ind w:firstLine="420" w:firstLineChars="200"/>
                    <w:jc w:val="both"/>
                    <w:textAlignment w:val="auto"/>
                    <w:rPr>
                      <w:rFonts w:hint="eastAsia" w:ascii="Times New Roman" w:hAnsi="Times New Roman" w:eastAsia="宋体" w:cs="Times New Roman"/>
                      <w:color w:val="000000"/>
                      <w:kern w:val="0"/>
                      <w:szCs w:val="21"/>
                      <w:highlight w:val="none"/>
                      <w:lang w:val="en-US" w:eastAsia="zh-CN"/>
                    </w:rPr>
                  </w:pPr>
                  <w:r>
                    <w:rPr>
                      <w:rFonts w:hint="eastAsia" w:ascii="Times New Roman" w:hAnsi="Times New Roman" w:eastAsia="宋体" w:cs="Times New Roman"/>
                      <w:color w:val="000000"/>
                      <w:kern w:val="0"/>
                      <w:szCs w:val="21"/>
                      <w:highlight w:val="none"/>
                      <w:lang w:val="en-US" w:eastAsia="zh-CN"/>
                    </w:rPr>
                    <w:t>（一）加快产业结构转型升级</w:t>
                  </w:r>
                </w:p>
                <w:p w14:paraId="510F50F6">
                  <w:pPr>
                    <w:pStyle w:val="95"/>
                    <w:keepNext w:val="0"/>
                    <w:keepLines w:val="0"/>
                    <w:pageBreakBefore w:val="0"/>
                    <w:numPr>
                      <w:ilvl w:val="0"/>
                      <w:numId w:val="0"/>
                    </w:numPr>
                    <w:kinsoku/>
                    <w:wordWrap/>
                    <w:overflowPunct/>
                    <w:topLinePunct w:val="0"/>
                    <w:autoSpaceDE/>
                    <w:autoSpaceDN/>
                    <w:bidi w:val="0"/>
                    <w:ind w:firstLine="420" w:firstLineChars="200"/>
                    <w:jc w:val="both"/>
                    <w:textAlignment w:val="auto"/>
                    <w:rPr>
                      <w:rFonts w:hint="default" w:ascii="Times New Roman" w:hAnsi="Times New Roman" w:eastAsia="宋体" w:cs="Times New Roman"/>
                      <w:color w:val="000000"/>
                      <w:kern w:val="0"/>
                      <w:szCs w:val="21"/>
                      <w:highlight w:val="none"/>
                      <w:lang w:val="en-US" w:eastAsia="zh-CN"/>
                    </w:rPr>
                  </w:pPr>
                  <w:r>
                    <w:rPr>
                      <w:rFonts w:hint="eastAsia" w:ascii="Times New Roman" w:hAnsi="Times New Roman" w:eastAsia="宋体" w:cs="Times New Roman"/>
                      <w:color w:val="000000"/>
                      <w:kern w:val="0"/>
                      <w:szCs w:val="21"/>
                      <w:highlight w:val="none"/>
                      <w:lang w:val="en-US" w:eastAsia="zh-CN"/>
                    </w:rPr>
                    <w:t>以钢铁、水泥、石化、化工、玻璃、有色、印染等行业</w:t>
                  </w:r>
                  <w:r>
                    <w:rPr>
                      <w:rFonts w:hint="default" w:ascii="Times New Roman" w:hAnsi="Times New Roman" w:eastAsia="宋体" w:cs="Times New Roman"/>
                      <w:color w:val="000000"/>
                      <w:kern w:val="0"/>
                      <w:szCs w:val="21"/>
                      <w:highlight w:val="none"/>
                      <w:lang w:val="en-US" w:eastAsia="zh-CN"/>
                    </w:rPr>
                    <w:t>为重点，开展全流程清洁化、循环化、低碳化改造，促进传统产业绿色转型升级，在火电、钢铁、建材等行业开展减污降碳协同增效。</w:t>
                  </w:r>
                </w:p>
              </w:tc>
              <w:tc>
                <w:tcPr>
                  <w:tcW w:w="2934" w:type="dxa"/>
                  <w:noWrap w:val="0"/>
                  <w:vAlign w:val="center"/>
                </w:tcPr>
                <w:p w14:paraId="1A09CD24">
                  <w:pPr>
                    <w:pStyle w:val="95"/>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本</w:t>
                  </w:r>
                  <w:r>
                    <w:rPr>
                      <w:rFonts w:hint="eastAsia" w:ascii="Times New Roman" w:hAnsi="Times New Roman" w:eastAsia="宋体" w:cs="Times New Roman"/>
                      <w:color w:val="auto"/>
                      <w:kern w:val="0"/>
                      <w:sz w:val="21"/>
                      <w:szCs w:val="21"/>
                      <w:highlight w:val="none"/>
                      <w:lang w:val="en-US" w:eastAsia="zh-CN"/>
                    </w:rPr>
                    <w:t>项目属于</w:t>
                  </w:r>
                  <w:r>
                    <w:rPr>
                      <w:rFonts w:hint="eastAsia" w:cs="Times New Roman"/>
                      <w:color w:val="auto"/>
                      <w:sz w:val="21"/>
                      <w:szCs w:val="21"/>
                      <w:lang w:eastAsia="zh-CN"/>
                    </w:rPr>
                    <w:t>Q8411综合医院</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rPr>
                    <w:t>符合国家和地方产业政策</w:t>
                  </w:r>
                  <w:r>
                    <w:rPr>
                      <w:rFonts w:hint="eastAsia" w:ascii="Times New Roman" w:hAnsi="Times New Roman" w:eastAsia="宋体" w:cs="Times New Roman"/>
                      <w:color w:val="auto"/>
                      <w:sz w:val="21"/>
                      <w:szCs w:val="21"/>
                      <w:lang w:eastAsia="zh-CN"/>
                    </w:rPr>
                    <w:t>；</w:t>
                  </w:r>
                  <w:r>
                    <w:rPr>
                      <w:rFonts w:hint="eastAsia"/>
                      <w:color w:val="auto"/>
                      <w:sz w:val="21"/>
                      <w:szCs w:val="21"/>
                      <w:highlight w:val="none"/>
                      <w:lang w:val="en-US" w:eastAsia="zh-CN"/>
                    </w:rPr>
                    <w:t>项目采取切实可行的废气污染防治措施，确保废气可达标排放，项目废水可达标排放，固</w:t>
                  </w:r>
                  <w:r>
                    <w:rPr>
                      <w:rFonts w:hint="eastAsia"/>
                      <w:color w:val="auto"/>
                      <w:highlight w:val="none"/>
                      <w:lang w:val="en-US" w:eastAsia="zh-CN"/>
                    </w:rPr>
                    <w:t>体废物妥善处置，厂区采取地面硬化。</w:t>
                  </w:r>
                </w:p>
              </w:tc>
              <w:tc>
                <w:tcPr>
                  <w:tcW w:w="765" w:type="dxa"/>
                  <w:noWrap w:val="0"/>
                  <w:vAlign w:val="center"/>
                </w:tcPr>
                <w:p w14:paraId="3CEB9F1D">
                  <w:pPr>
                    <w:keepNext w:val="0"/>
                    <w:keepLines w:val="0"/>
                    <w:pageBreakBefore w:val="0"/>
                    <w:widowControl/>
                    <w:suppressLineNumbers w:val="0"/>
                    <w:kinsoku/>
                    <w:wordWrap/>
                    <w:overflowPunct/>
                    <w:topLinePunct w:val="0"/>
                    <w:autoSpaceDE/>
                    <w:autoSpaceDN/>
                    <w:bidi w:val="0"/>
                    <w:jc w:val="center"/>
                    <w:textAlignment w:val="auto"/>
                    <w:rPr>
                      <w:rFonts w:hint="default" w:eastAsia="宋体"/>
                      <w:color w:val="000000"/>
                      <w:highlight w:val="none"/>
                      <w:vertAlign w:val="baseline"/>
                      <w:lang w:val="en-US" w:eastAsia="zh-CN"/>
                    </w:rPr>
                  </w:pPr>
                  <w:r>
                    <w:rPr>
                      <w:rFonts w:hint="eastAsia"/>
                      <w:color w:val="000000"/>
                      <w:highlight w:val="none"/>
                      <w:vertAlign w:val="baseline"/>
                      <w:lang w:val="en-US" w:eastAsia="zh-CN"/>
                    </w:rPr>
                    <w:t>符合</w:t>
                  </w:r>
                </w:p>
              </w:tc>
            </w:tr>
            <w:tr w14:paraId="6AC0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noWrap w:val="0"/>
                  <w:vAlign w:val="center"/>
                </w:tcPr>
                <w:p w14:paraId="239DA702">
                  <w:pPr>
                    <w:keepNext w:val="0"/>
                    <w:keepLines w:val="0"/>
                    <w:pageBreakBefore w:val="0"/>
                    <w:widowControl/>
                    <w:suppressLineNumbers w:val="0"/>
                    <w:kinsoku/>
                    <w:wordWrap/>
                    <w:overflowPunct/>
                    <w:topLinePunct w:val="0"/>
                    <w:autoSpaceDE/>
                    <w:autoSpaceDN/>
                    <w:bidi w:val="0"/>
                    <w:jc w:val="center"/>
                    <w:textAlignment w:val="auto"/>
                    <w:rPr>
                      <w:rFonts w:hint="default"/>
                      <w:color w:val="000000"/>
                      <w:highlight w:val="none"/>
                      <w:vertAlign w:val="baseline"/>
                      <w:lang w:val="en-US" w:eastAsia="zh-CN"/>
                    </w:rPr>
                  </w:pPr>
                  <w:r>
                    <w:rPr>
                      <w:rFonts w:hint="eastAsia"/>
                      <w:color w:val="000000"/>
                      <w:highlight w:val="none"/>
                      <w:vertAlign w:val="baseline"/>
                      <w:lang w:val="en-US" w:eastAsia="zh-CN"/>
                    </w:rPr>
                    <w:t>2</w:t>
                  </w:r>
                </w:p>
              </w:tc>
              <w:tc>
                <w:tcPr>
                  <w:tcW w:w="3285" w:type="dxa"/>
                  <w:noWrap w:val="0"/>
                  <w:vAlign w:val="center"/>
                </w:tcPr>
                <w:p w14:paraId="37B34350">
                  <w:pPr>
                    <w:pStyle w:val="95"/>
                    <w:keepNext w:val="0"/>
                    <w:keepLines w:val="0"/>
                    <w:pageBreakBefore w:val="0"/>
                    <w:numPr>
                      <w:ilvl w:val="0"/>
                      <w:numId w:val="6"/>
                    </w:numPr>
                    <w:kinsoku/>
                    <w:wordWrap/>
                    <w:overflowPunct/>
                    <w:topLinePunct w:val="0"/>
                    <w:autoSpaceDE/>
                    <w:autoSpaceDN/>
                    <w:bidi w:val="0"/>
                    <w:ind w:firstLine="420" w:firstLineChars="200"/>
                    <w:jc w:val="both"/>
                    <w:textAlignment w:val="auto"/>
                    <w:rPr>
                      <w:rFonts w:hint="eastAsia" w:ascii="Times New Roman" w:hAnsi="Times New Roman" w:eastAsia="宋体" w:cs="Times New Roman"/>
                      <w:color w:val="000000"/>
                      <w:kern w:val="0"/>
                      <w:szCs w:val="21"/>
                      <w:highlight w:val="none"/>
                      <w:lang w:val="en-US" w:eastAsia="zh-CN"/>
                    </w:rPr>
                  </w:pPr>
                  <w:r>
                    <w:rPr>
                      <w:rFonts w:hint="eastAsia" w:ascii="Times New Roman" w:hAnsi="Times New Roman" w:eastAsia="宋体" w:cs="Times New Roman"/>
                      <w:color w:val="000000"/>
                      <w:kern w:val="0"/>
                      <w:szCs w:val="21"/>
                      <w:highlight w:val="none"/>
                      <w:lang w:val="en-US" w:eastAsia="zh-CN"/>
                    </w:rPr>
                    <w:t>推动能源结构优化</w:t>
                  </w:r>
                </w:p>
                <w:p w14:paraId="03A77537">
                  <w:pPr>
                    <w:pStyle w:val="95"/>
                    <w:keepNext w:val="0"/>
                    <w:keepLines w:val="0"/>
                    <w:pageBreakBefore w:val="0"/>
                    <w:numPr>
                      <w:ilvl w:val="0"/>
                      <w:numId w:val="0"/>
                    </w:numPr>
                    <w:kinsoku/>
                    <w:wordWrap/>
                    <w:overflowPunct/>
                    <w:topLinePunct w:val="0"/>
                    <w:autoSpaceDE/>
                    <w:autoSpaceDN/>
                    <w:bidi w:val="0"/>
                    <w:ind w:firstLine="420" w:firstLineChars="200"/>
                    <w:jc w:val="both"/>
                    <w:textAlignment w:val="auto"/>
                    <w:rPr>
                      <w:rFonts w:hint="eastAsia" w:ascii="Times New Roman" w:hAnsi="Times New Roman" w:eastAsia="宋体" w:cs="Times New Roman"/>
                      <w:color w:val="000000"/>
                      <w:kern w:val="0"/>
                      <w:szCs w:val="21"/>
                      <w:highlight w:val="none"/>
                      <w:lang w:val="en-US" w:eastAsia="zh-CN"/>
                    </w:rPr>
                  </w:pPr>
                  <w:r>
                    <w:rPr>
                      <w:rFonts w:hint="eastAsia" w:ascii="Times New Roman" w:hAnsi="Times New Roman" w:eastAsia="宋体" w:cs="Times New Roman"/>
                      <w:color w:val="000000"/>
                      <w:kern w:val="0"/>
                      <w:szCs w:val="21"/>
                      <w:highlight w:val="none"/>
                      <w:lang w:val="en-US" w:eastAsia="zh-CN"/>
                    </w:rPr>
                    <w:t>强化能源消费总量和强度双控制，严格控制能耗强度，有效控制能源消费增量，坚决遏制“两高”项目盲目发展。</w:t>
                  </w:r>
                </w:p>
              </w:tc>
              <w:tc>
                <w:tcPr>
                  <w:tcW w:w="2934" w:type="dxa"/>
                  <w:noWrap w:val="0"/>
                  <w:vAlign w:val="center"/>
                </w:tcPr>
                <w:p w14:paraId="2864B1B7">
                  <w:pPr>
                    <w:pStyle w:val="95"/>
                    <w:keepNext w:val="0"/>
                    <w:keepLines w:val="0"/>
                    <w:pageBreakBefore w:val="0"/>
                    <w:kinsoku/>
                    <w:wordWrap/>
                    <w:overflowPunct/>
                    <w:topLinePunct w:val="0"/>
                    <w:autoSpaceDE/>
                    <w:autoSpaceDN/>
                    <w:bidi w:val="0"/>
                    <w:jc w:val="center"/>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本</w:t>
                  </w:r>
                  <w:r>
                    <w:rPr>
                      <w:rFonts w:hint="eastAsia" w:ascii="Times New Roman" w:hAnsi="Times New Roman" w:eastAsia="宋体" w:cs="Times New Roman"/>
                      <w:color w:val="auto"/>
                      <w:kern w:val="0"/>
                      <w:sz w:val="21"/>
                      <w:szCs w:val="21"/>
                      <w:highlight w:val="none"/>
                      <w:lang w:val="en-US" w:eastAsia="zh-CN"/>
                    </w:rPr>
                    <w:t>项目</w:t>
                  </w:r>
                  <w:r>
                    <w:rPr>
                      <w:rFonts w:hint="default" w:ascii="Times New Roman" w:hAnsi="Times New Roman" w:eastAsia="宋体" w:cs="Times New Roman"/>
                      <w:color w:val="auto"/>
                      <w:sz w:val="21"/>
                      <w:szCs w:val="21"/>
                    </w:rPr>
                    <w:t>用电由</w:t>
                  </w:r>
                  <w:r>
                    <w:rPr>
                      <w:rFonts w:hint="eastAsia" w:ascii="Times New Roman" w:hAnsi="Times New Roman" w:eastAsia="宋体" w:cs="Times New Roman"/>
                      <w:color w:val="auto"/>
                      <w:sz w:val="21"/>
                      <w:szCs w:val="21"/>
                      <w:lang w:eastAsia="zh-CN"/>
                    </w:rPr>
                    <w:t>市政</w:t>
                  </w:r>
                  <w:r>
                    <w:rPr>
                      <w:rFonts w:hint="default" w:ascii="Times New Roman" w:hAnsi="Times New Roman" w:eastAsia="宋体" w:cs="Times New Roman"/>
                      <w:color w:val="auto"/>
                      <w:sz w:val="21"/>
                      <w:szCs w:val="21"/>
                    </w:rPr>
                    <w:t>供电网提供，用水由市政自来水管网供给，原材料</w:t>
                  </w:r>
                  <w:r>
                    <w:rPr>
                      <w:rFonts w:hint="eastAsia" w:ascii="宋体" w:hAnsi="宋体" w:eastAsia="宋体" w:cs="宋体"/>
                      <w:color w:val="auto"/>
                      <w:sz w:val="21"/>
                      <w:szCs w:val="21"/>
                    </w:rPr>
                    <w:t>均为周边外购，</w:t>
                  </w:r>
                  <w:r>
                    <w:rPr>
                      <w:rFonts w:hint="eastAsia" w:ascii="宋体" w:hAnsi="宋体" w:eastAsia="宋体" w:cs="宋体"/>
                      <w:color w:val="auto"/>
                      <w:sz w:val="21"/>
                      <w:szCs w:val="21"/>
                      <w:lang w:eastAsia="zh-CN"/>
                    </w:rPr>
                    <w:t>企业</w:t>
                  </w:r>
                  <w:r>
                    <w:rPr>
                      <w:rFonts w:hint="eastAsia" w:ascii="宋体" w:hAnsi="宋体" w:eastAsia="宋体" w:cs="宋体"/>
                      <w:color w:val="auto"/>
                      <w:sz w:val="21"/>
                      <w:szCs w:val="21"/>
                    </w:rPr>
                    <w:t>以“节能、降耗、减污”为目标，</w:t>
                  </w:r>
                  <w:r>
                    <w:rPr>
                      <w:rFonts w:hint="default" w:ascii="Times New Roman" w:hAnsi="Times New Roman" w:eastAsia="宋体" w:cs="Times New Roman"/>
                      <w:color w:val="auto"/>
                      <w:sz w:val="21"/>
                      <w:szCs w:val="21"/>
                    </w:rPr>
                    <w:t>贯彻清洁生产原则</w:t>
                  </w:r>
                  <w:r>
                    <w:rPr>
                      <w:rFonts w:hint="eastAsia" w:ascii="Times New Roman" w:hAnsi="Times New Roman" w:eastAsia="宋体" w:cs="Times New Roman"/>
                      <w:color w:val="auto"/>
                      <w:sz w:val="21"/>
                      <w:szCs w:val="21"/>
                      <w:lang w:eastAsia="zh-CN"/>
                    </w:rPr>
                    <w:t>，不属于“两高”项目</w:t>
                  </w:r>
                  <w:r>
                    <w:rPr>
                      <w:rFonts w:hint="default" w:ascii="Times New Roman" w:hAnsi="Times New Roman" w:eastAsia="宋体" w:cs="Times New Roman"/>
                      <w:color w:val="auto"/>
                      <w:sz w:val="21"/>
                      <w:szCs w:val="21"/>
                    </w:rPr>
                    <w:t>。</w:t>
                  </w:r>
                </w:p>
              </w:tc>
              <w:tc>
                <w:tcPr>
                  <w:tcW w:w="765" w:type="dxa"/>
                  <w:noWrap w:val="0"/>
                  <w:vAlign w:val="center"/>
                </w:tcPr>
                <w:p w14:paraId="6C23ABB6">
                  <w:pPr>
                    <w:keepNext w:val="0"/>
                    <w:keepLines w:val="0"/>
                    <w:pageBreakBefore w:val="0"/>
                    <w:widowControl/>
                    <w:suppressLineNumbers w:val="0"/>
                    <w:kinsoku/>
                    <w:wordWrap/>
                    <w:overflowPunct/>
                    <w:topLinePunct w:val="0"/>
                    <w:autoSpaceDE/>
                    <w:autoSpaceDN/>
                    <w:bidi w:val="0"/>
                    <w:jc w:val="center"/>
                    <w:textAlignment w:val="auto"/>
                    <w:rPr>
                      <w:rFonts w:hint="eastAsia"/>
                      <w:color w:val="000000"/>
                      <w:highlight w:val="none"/>
                      <w:vertAlign w:val="baseline"/>
                      <w:lang w:val="en-US" w:eastAsia="zh-CN"/>
                    </w:rPr>
                  </w:pPr>
                  <w:r>
                    <w:rPr>
                      <w:rFonts w:hint="eastAsia"/>
                      <w:color w:val="000000"/>
                      <w:highlight w:val="none"/>
                      <w:vertAlign w:val="baseline"/>
                      <w:lang w:val="en-US" w:eastAsia="zh-CN"/>
                    </w:rPr>
                    <w:t>符合</w:t>
                  </w:r>
                </w:p>
              </w:tc>
            </w:tr>
            <w:tr w14:paraId="3EAA9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noWrap w:val="0"/>
                  <w:vAlign w:val="center"/>
                </w:tcPr>
                <w:p w14:paraId="7CCB909D">
                  <w:pPr>
                    <w:keepNext w:val="0"/>
                    <w:keepLines w:val="0"/>
                    <w:pageBreakBefore w:val="0"/>
                    <w:widowControl/>
                    <w:suppressLineNumbers w:val="0"/>
                    <w:kinsoku/>
                    <w:wordWrap/>
                    <w:overflowPunct/>
                    <w:topLinePunct w:val="0"/>
                    <w:autoSpaceDE/>
                    <w:autoSpaceDN/>
                    <w:bidi w:val="0"/>
                    <w:jc w:val="center"/>
                    <w:textAlignment w:val="auto"/>
                    <w:rPr>
                      <w:rFonts w:hint="default" w:eastAsia="宋体"/>
                      <w:color w:val="000000"/>
                      <w:highlight w:val="none"/>
                      <w:vertAlign w:val="baseline"/>
                      <w:lang w:val="en-US" w:eastAsia="zh-CN"/>
                    </w:rPr>
                  </w:pPr>
                  <w:r>
                    <w:rPr>
                      <w:rFonts w:hint="eastAsia"/>
                      <w:color w:val="000000"/>
                      <w:highlight w:val="none"/>
                      <w:vertAlign w:val="baseline"/>
                      <w:lang w:val="en-US" w:eastAsia="zh-CN"/>
                    </w:rPr>
                    <w:t>3</w:t>
                  </w:r>
                </w:p>
              </w:tc>
              <w:tc>
                <w:tcPr>
                  <w:tcW w:w="3285" w:type="dxa"/>
                  <w:noWrap w:val="0"/>
                  <w:vAlign w:val="center"/>
                </w:tcPr>
                <w:p w14:paraId="6D70742F">
                  <w:pPr>
                    <w:keepNext w:val="0"/>
                    <w:keepLines w:val="0"/>
                    <w:pageBreakBefore w:val="0"/>
                    <w:widowControl/>
                    <w:suppressLineNumbers w:val="0"/>
                    <w:kinsoku/>
                    <w:wordWrap/>
                    <w:overflowPunct/>
                    <w:topLinePunct w:val="0"/>
                    <w:autoSpaceDE/>
                    <w:autoSpaceDN/>
                    <w:bidi w:val="0"/>
                    <w:ind w:firstLine="420" w:firstLineChars="200"/>
                    <w:jc w:val="both"/>
                    <w:textAlignment w:val="auto"/>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（三）深入打好蓝天碧水净土保卫战</w:t>
                  </w:r>
                </w:p>
                <w:p w14:paraId="200DAE76">
                  <w:pPr>
                    <w:keepNext w:val="0"/>
                    <w:keepLines w:val="0"/>
                    <w:pageBreakBefore w:val="0"/>
                    <w:widowControl/>
                    <w:suppressLineNumbers w:val="0"/>
                    <w:kinsoku/>
                    <w:wordWrap/>
                    <w:overflowPunct/>
                    <w:topLinePunct w:val="0"/>
                    <w:autoSpaceDE/>
                    <w:autoSpaceDN/>
                    <w:bidi w:val="0"/>
                    <w:ind w:firstLine="420" w:firstLineChars="200"/>
                    <w:jc w:val="both"/>
                    <w:textAlignment w:val="auto"/>
                    <w:rPr>
                      <w:rFonts w:hint="eastAsia"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1.精准施策，持续改善大气环境</w:t>
                  </w:r>
                </w:p>
                <w:p w14:paraId="5373A99A">
                  <w:pPr>
                    <w:keepNext w:val="0"/>
                    <w:keepLines w:val="0"/>
                    <w:pageBreakBefore w:val="0"/>
                    <w:widowControl/>
                    <w:suppressLineNumbers w:val="0"/>
                    <w:kinsoku/>
                    <w:wordWrap/>
                    <w:overflowPunct/>
                    <w:topLinePunct w:val="0"/>
                    <w:autoSpaceDE/>
                    <w:autoSpaceDN/>
                    <w:bidi w:val="0"/>
                    <w:ind w:firstLine="420" w:firstLineChars="200"/>
                    <w:jc w:val="both"/>
                    <w:textAlignment w:val="auto"/>
                    <w:rPr>
                      <w:rFonts w:hint="default" w:ascii="Times New Roman" w:hAnsi="Times New Roman" w:eastAsia="宋体" w:cs="Times New Roman"/>
                      <w:color w:val="000000"/>
                      <w:kern w:val="0"/>
                      <w:szCs w:val="21"/>
                      <w:highlight w:val="none"/>
                      <w:lang w:val="en-US" w:eastAsia="zh-CN"/>
                    </w:rPr>
                  </w:pPr>
                  <w:r>
                    <w:rPr>
                      <w:rFonts w:hint="default" w:ascii="Times New Roman" w:hAnsi="Times New Roman" w:eastAsia="宋体" w:cs="Times New Roman"/>
                      <w:color w:val="000000"/>
                      <w:kern w:val="0"/>
                      <w:sz w:val="21"/>
                      <w:szCs w:val="21"/>
                      <w:highlight w:val="none"/>
                      <w:lang w:val="en-US" w:eastAsia="zh-CN" w:bidi="ar-SA"/>
                    </w:rPr>
                    <w:t>（1）坚持分区施策，加强污染协同控制。梯次推进城市空气环境质量改善，已达标的城市，应当加强保护并持续改善，未达标的城市，制定实施限期达标规划，明确阶段性改善目标、达标时间表、路线图和实施的重点任务。到 2025年，已达标城市（芜湖市、宣城市、黄山市、池州市、铜陵市）空气环境质量持续改善</w:t>
                  </w:r>
                  <w:r>
                    <w:rPr>
                      <w:rFonts w:hint="eastAsia" w:ascii="Times New Roman" w:hAnsi="Times New Roman" w:eastAsia="宋体" w:cs="Times New Roman"/>
                      <w:color w:val="000000"/>
                      <w:kern w:val="0"/>
                      <w:sz w:val="21"/>
                      <w:szCs w:val="21"/>
                      <w:highlight w:val="none"/>
                      <w:lang w:val="en-US" w:eastAsia="zh-CN" w:bidi="ar-SA"/>
                    </w:rPr>
                    <w:t>。</w:t>
                  </w:r>
                </w:p>
              </w:tc>
              <w:tc>
                <w:tcPr>
                  <w:tcW w:w="2934" w:type="dxa"/>
                  <w:noWrap w:val="0"/>
                  <w:vAlign w:val="center"/>
                </w:tcPr>
                <w:p w14:paraId="34171FD8">
                  <w:pPr>
                    <w:pStyle w:val="95"/>
                    <w:keepNext w:val="0"/>
                    <w:keepLines w:val="0"/>
                    <w:pageBreakBefore w:val="0"/>
                    <w:kinsoku/>
                    <w:wordWrap/>
                    <w:overflowPunct/>
                    <w:topLinePunct w:val="0"/>
                    <w:autoSpaceDE/>
                    <w:autoSpaceDN/>
                    <w:bidi w:val="0"/>
                    <w:jc w:val="center"/>
                    <w:textAlignment w:val="auto"/>
                    <w:rPr>
                      <w:rFonts w:hint="eastAsia"/>
                      <w:color w:val="auto"/>
                      <w:highlight w:val="none"/>
                      <w:lang w:val="en-US" w:eastAsia="zh-CN"/>
                    </w:rPr>
                  </w:pPr>
                  <w:r>
                    <w:rPr>
                      <w:rFonts w:hint="default" w:ascii="Times New Roman" w:hAnsi="Times New Roman" w:eastAsia="宋体" w:cs="Times New Roman"/>
                      <w:b w:val="0"/>
                      <w:bCs w:val="0"/>
                      <w:color w:val="auto"/>
                      <w:kern w:val="2"/>
                      <w:sz w:val="21"/>
                      <w:szCs w:val="21"/>
                      <w:highlight w:val="none"/>
                      <w:lang w:val="en-US" w:eastAsia="zh-CN" w:bidi="ar-SA"/>
                    </w:rPr>
                    <w:t>根据</w:t>
                  </w:r>
                  <w:r>
                    <w:rPr>
                      <w:kern w:val="0"/>
                      <w:szCs w:val="21"/>
                    </w:rPr>
                    <w:t>《</w:t>
                  </w:r>
                  <w:r>
                    <w:rPr>
                      <w:rFonts w:hint="eastAsia"/>
                      <w:kern w:val="0"/>
                      <w:szCs w:val="21"/>
                      <w:lang w:eastAsia="zh-CN"/>
                    </w:rPr>
                    <w:t>2024年淮南市生态环境质量状况公报</w:t>
                  </w:r>
                  <w:r>
                    <w:rPr>
                      <w:kern w:val="0"/>
                      <w:szCs w:val="21"/>
                    </w:rPr>
                    <w:t>》可知项目所在区域二氧化硫（SO</w:t>
                  </w:r>
                  <w:r>
                    <w:rPr>
                      <w:kern w:val="0"/>
                      <w:szCs w:val="21"/>
                      <w:vertAlign w:val="subscript"/>
                    </w:rPr>
                    <w:t>2</w:t>
                  </w:r>
                  <w:r>
                    <w:rPr>
                      <w:kern w:val="0"/>
                      <w:szCs w:val="21"/>
                    </w:rPr>
                    <w:t>）、二氧化氮（NO</w:t>
                  </w:r>
                  <w:r>
                    <w:rPr>
                      <w:kern w:val="0"/>
                      <w:szCs w:val="21"/>
                      <w:vertAlign w:val="subscript"/>
                    </w:rPr>
                    <w:t>2</w:t>
                  </w:r>
                  <w:r>
                    <w:rPr>
                      <w:kern w:val="0"/>
                      <w:szCs w:val="21"/>
                    </w:rPr>
                    <w:t>）、一氧化碳（CO）年均浓度、臭氧（O</w:t>
                  </w:r>
                  <w:r>
                    <w:rPr>
                      <w:kern w:val="0"/>
                      <w:szCs w:val="21"/>
                      <w:vertAlign w:val="subscript"/>
                    </w:rPr>
                    <w:t>3</w:t>
                  </w:r>
                  <w:r>
                    <w:rPr>
                      <w:kern w:val="0"/>
                      <w:szCs w:val="21"/>
                    </w:rPr>
                    <w:t>）均符合《环境空气质量标准》（</w:t>
                  </w:r>
                  <w:r>
                    <w:rPr>
                      <w:rFonts w:hint="eastAsia"/>
                      <w:kern w:val="0"/>
                      <w:szCs w:val="21"/>
                      <w:lang w:eastAsia="zh-CN"/>
                    </w:rPr>
                    <w:t>GB3095-2026</w:t>
                  </w:r>
                  <w:r>
                    <w:rPr>
                      <w:kern w:val="0"/>
                      <w:szCs w:val="21"/>
                    </w:rPr>
                    <w:t>）</w:t>
                  </w:r>
                  <w:r>
                    <w:rPr>
                      <w:rFonts w:hint="eastAsia"/>
                      <w:lang w:eastAsia="zh-CN"/>
                    </w:rPr>
                    <w:t>过渡阶段</w:t>
                  </w:r>
                  <w:r>
                    <w:rPr>
                      <w:kern w:val="0"/>
                      <w:szCs w:val="21"/>
                    </w:rPr>
                    <w:t>二级标准，细颗粒物（PM</w:t>
                  </w:r>
                  <w:r>
                    <w:rPr>
                      <w:kern w:val="0"/>
                      <w:szCs w:val="21"/>
                      <w:vertAlign w:val="subscript"/>
                    </w:rPr>
                    <w:t>2.5</w:t>
                  </w:r>
                  <w:r>
                    <w:rPr>
                      <w:kern w:val="0"/>
                      <w:szCs w:val="21"/>
                    </w:rPr>
                    <w:t>）</w:t>
                  </w:r>
                  <w:r>
                    <w:rPr>
                      <w:rFonts w:hint="eastAsia"/>
                      <w:kern w:val="0"/>
                      <w:szCs w:val="21"/>
                      <w:lang w:eastAsia="zh-CN"/>
                    </w:rPr>
                    <w:t>、</w:t>
                  </w:r>
                  <w:r>
                    <w:rPr>
                      <w:kern w:val="0"/>
                      <w:szCs w:val="21"/>
                    </w:rPr>
                    <w:t>可吸入颗粒物（PM</w:t>
                  </w:r>
                  <w:r>
                    <w:rPr>
                      <w:kern w:val="0"/>
                      <w:szCs w:val="21"/>
                      <w:vertAlign w:val="subscript"/>
                    </w:rPr>
                    <w:t>10</w:t>
                  </w:r>
                  <w:r>
                    <w:rPr>
                      <w:kern w:val="0"/>
                      <w:szCs w:val="21"/>
                    </w:rPr>
                    <w:t>）年均浓度超过《环境空气质量标准》（</w:t>
                  </w:r>
                  <w:r>
                    <w:rPr>
                      <w:rFonts w:hint="eastAsia"/>
                      <w:kern w:val="0"/>
                      <w:szCs w:val="21"/>
                      <w:lang w:eastAsia="zh-CN"/>
                    </w:rPr>
                    <w:t>GB3095-2026</w:t>
                  </w:r>
                  <w:r>
                    <w:rPr>
                      <w:kern w:val="0"/>
                      <w:szCs w:val="21"/>
                    </w:rPr>
                    <w:t>）</w:t>
                  </w:r>
                  <w:r>
                    <w:rPr>
                      <w:rFonts w:hint="eastAsia"/>
                      <w:kern w:val="0"/>
                      <w:szCs w:val="21"/>
                      <w:lang w:eastAsia="zh-CN"/>
                    </w:rPr>
                    <w:t>过渡阶段</w:t>
                  </w:r>
                  <w:r>
                    <w:rPr>
                      <w:kern w:val="0"/>
                      <w:szCs w:val="21"/>
                    </w:rPr>
                    <w:t>二级标准要求，项目所在</w:t>
                  </w:r>
                  <w:r>
                    <w:rPr>
                      <w:kern w:val="0"/>
                      <w:sz w:val="21"/>
                      <w:szCs w:val="21"/>
                    </w:rPr>
                    <w:t>区域环境空气质量为不达标区</w:t>
                  </w:r>
                  <w:r>
                    <w:rPr>
                      <w:rFonts w:hint="eastAsia" w:ascii="Times New Roman" w:hAnsi="Times New Roman" w:eastAsia="宋体" w:cs="Times New Roman"/>
                      <w:b w:val="0"/>
                      <w:bCs w:val="0"/>
                      <w:color w:val="auto"/>
                      <w:kern w:val="2"/>
                      <w:sz w:val="21"/>
                      <w:szCs w:val="21"/>
                      <w:highlight w:val="none"/>
                      <w:lang w:val="en-US" w:eastAsia="zh-CN" w:bidi="ar-SA"/>
                    </w:rPr>
                    <w:t>；</w:t>
                  </w:r>
                  <w:r>
                    <w:rPr>
                      <w:rFonts w:hint="eastAsia" w:cs="Times New Roman"/>
                      <w:color w:val="auto"/>
                      <w:sz w:val="21"/>
                      <w:szCs w:val="21"/>
                      <w:lang w:eastAsia="zh-CN"/>
                    </w:rPr>
                    <w:t>项目所在区域地表水淮河</w:t>
                  </w:r>
                  <w:r>
                    <w:rPr>
                      <w:rFonts w:eastAsia="宋体"/>
                      <w:sz w:val="21"/>
                      <w:szCs w:val="21"/>
                      <w:lang w:val="zh-CN"/>
                    </w:rPr>
                    <w:t>水质</w:t>
                  </w:r>
                  <w:r>
                    <w:rPr>
                      <w:rFonts w:eastAsia="宋体"/>
                      <w:sz w:val="21"/>
                      <w:szCs w:val="21"/>
                    </w:rPr>
                    <w:t>能满足《地表水环境质量标准》（GB3838-20</w:t>
                  </w:r>
                  <w:r>
                    <w:rPr>
                      <w:sz w:val="21"/>
                      <w:szCs w:val="21"/>
                    </w:rPr>
                    <w:t>02）中</w:t>
                  </w:r>
                  <w:r>
                    <w:rPr>
                      <w:rFonts w:hint="eastAsia"/>
                      <w:sz w:val="21"/>
                      <w:szCs w:val="21"/>
                      <w:lang w:val="en-US" w:eastAsia="zh-CN"/>
                    </w:rPr>
                    <w:t>III</w:t>
                  </w:r>
                  <w:r>
                    <w:rPr>
                      <w:sz w:val="21"/>
                      <w:szCs w:val="21"/>
                    </w:rPr>
                    <w:t>类标准</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b w:val="0"/>
                      <w:bCs w:val="0"/>
                      <w:color w:val="auto"/>
                      <w:kern w:val="2"/>
                      <w:sz w:val="21"/>
                      <w:szCs w:val="21"/>
                      <w:highlight w:val="none"/>
                      <w:lang w:val="en-US" w:eastAsia="zh-CN" w:bidi="ar-SA"/>
                    </w:rPr>
                    <w:t>区域声环境达到《声环境质量</w:t>
                  </w:r>
                  <w:r>
                    <w:rPr>
                      <w:rFonts w:hint="default" w:ascii="Times New Roman" w:hAnsi="Times New Roman" w:eastAsia="宋体" w:cs="Times New Roman"/>
                      <w:b w:val="0"/>
                      <w:bCs w:val="0"/>
                      <w:color w:val="auto"/>
                      <w:kern w:val="2"/>
                      <w:sz w:val="21"/>
                      <w:szCs w:val="22"/>
                      <w:highlight w:val="none"/>
                      <w:lang w:val="en-US" w:eastAsia="zh-CN" w:bidi="ar-SA"/>
                    </w:rPr>
                    <w:t>标准》(GB3096-2008)中</w:t>
                  </w:r>
                  <w:r>
                    <w:rPr>
                      <w:rFonts w:hint="eastAsia" w:cs="Times New Roman"/>
                      <w:b w:val="0"/>
                      <w:bCs w:val="0"/>
                      <w:color w:val="auto"/>
                      <w:kern w:val="2"/>
                      <w:sz w:val="21"/>
                      <w:szCs w:val="22"/>
                      <w:highlight w:val="none"/>
                      <w:lang w:val="en-US" w:eastAsia="zh-CN" w:bidi="ar-SA"/>
                    </w:rPr>
                    <w:t>2</w:t>
                  </w:r>
                  <w:r>
                    <w:rPr>
                      <w:rFonts w:hint="default" w:ascii="Times New Roman" w:hAnsi="Times New Roman" w:eastAsia="宋体" w:cs="Times New Roman"/>
                      <w:b w:val="0"/>
                      <w:bCs w:val="0"/>
                      <w:color w:val="auto"/>
                      <w:kern w:val="2"/>
                      <w:sz w:val="21"/>
                      <w:szCs w:val="22"/>
                      <w:highlight w:val="none"/>
                      <w:lang w:val="en-US" w:eastAsia="zh-CN" w:bidi="ar-SA"/>
                    </w:rPr>
                    <w:t>类标准，本项目建设后营运期产生的各项污染物通过相应的治理措施处理后均可达标排放，本项目环境风险可控制在安全范围内，因此，本项目的建设对区域环境质量影响较小，符合要求。</w:t>
                  </w:r>
                </w:p>
              </w:tc>
              <w:tc>
                <w:tcPr>
                  <w:tcW w:w="765" w:type="dxa"/>
                  <w:noWrap w:val="0"/>
                  <w:vAlign w:val="center"/>
                </w:tcPr>
                <w:p w14:paraId="54CC8D4B">
                  <w:pPr>
                    <w:keepNext w:val="0"/>
                    <w:keepLines w:val="0"/>
                    <w:pageBreakBefore w:val="0"/>
                    <w:widowControl/>
                    <w:suppressLineNumbers w:val="0"/>
                    <w:kinsoku/>
                    <w:wordWrap/>
                    <w:overflowPunct/>
                    <w:topLinePunct w:val="0"/>
                    <w:autoSpaceDE/>
                    <w:autoSpaceDN/>
                    <w:bidi w:val="0"/>
                    <w:jc w:val="center"/>
                    <w:textAlignment w:val="auto"/>
                    <w:rPr>
                      <w:rFonts w:hint="default"/>
                      <w:color w:val="000000"/>
                      <w:highlight w:val="none"/>
                      <w:vertAlign w:val="baseline"/>
                      <w:lang w:val="en-US" w:eastAsia="zh-CN"/>
                    </w:rPr>
                  </w:pPr>
                  <w:r>
                    <w:rPr>
                      <w:rFonts w:hint="eastAsia"/>
                      <w:color w:val="000000"/>
                      <w:highlight w:val="none"/>
                      <w:vertAlign w:val="baseline"/>
                      <w:lang w:val="en-US" w:eastAsia="zh-CN"/>
                    </w:rPr>
                    <w:t>符合</w:t>
                  </w:r>
                </w:p>
              </w:tc>
            </w:tr>
            <w:tr w14:paraId="066AB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noWrap w:val="0"/>
                  <w:vAlign w:val="center"/>
                </w:tcPr>
                <w:p w14:paraId="79E5AD81">
                  <w:pPr>
                    <w:keepNext w:val="0"/>
                    <w:keepLines w:val="0"/>
                    <w:pageBreakBefore w:val="0"/>
                    <w:widowControl/>
                    <w:suppressLineNumbers w:val="0"/>
                    <w:kinsoku/>
                    <w:wordWrap/>
                    <w:overflowPunct/>
                    <w:topLinePunct w:val="0"/>
                    <w:autoSpaceDE/>
                    <w:autoSpaceDN/>
                    <w:bidi w:val="0"/>
                    <w:jc w:val="center"/>
                    <w:textAlignment w:val="auto"/>
                    <w:rPr>
                      <w:rFonts w:hint="default"/>
                      <w:color w:val="000000"/>
                      <w:highlight w:val="none"/>
                      <w:vertAlign w:val="baseline"/>
                      <w:lang w:val="en-US" w:eastAsia="zh-CN"/>
                    </w:rPr>
                  </w:pPr>
                  <w:r>
                    <w:rPr>
                      <w:rFonts w:hint="eastAsia"/>
                      <w:color w:val="000000"/>
                      <w:highlight w:val="none"/>
                      <w:vertAlign w:val="baseline"/>
                      <w:lang w:val="en-US" w:eastAsia="zh-CN"/>
                    </w:rPr>
                    <w:t>4</w:t>
                  </w:r>
                </w:p>
              </w:tc>
              <w:tc>
                <w:tcPr>
                  <w:tcW w:w="3285" w:type="dxa"/>
                  <w:noWrap w:val="0"/>
                  <w:vAlign w:val="center"/>
                </w:tcPr>
                <w:p w14:paraId="62542C99">
                  <w:pPr>
                    <w:keepNext w:val="0"/>
                    <w:keepLines w:val="0"/>
                    <w:pageBreakBefore w:val="0"/>
                    <w:widowControl/>
                    <w:numPr>
                      <w:ilvl w:val="0"/>
                      <w:numId w:val="0"/>
                    </w:numPr>
                    <w:suppressLineNumbers w:val="0"/>
                    <w:kinsoku/>
                    <w:wordWrap/>
                    <w:overflowPunct/>
                    <w:topLinePunct w:val="0"/>
                    <w:autoSpaceDE/>
                    <w:autoSpaceDN/>
                    <w:bidi w:val="0"/>
                    <w:ind w:firstLine="420" w:firstLineChars="200"/>
                    <w:jc w:val="both"/>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（六）严防生态环境风险</w:t>
                  </w:r>
                </w:p>
                <w:p w14:paraId="27851409">
                  <w:pPr>
                    <w:keepNext w:val="0"/>
                    <w:keepLines w:val="0"/>
                    <w:pageBreakBefore w:val="0"/>
                    <w:widowControl/>
                    <w:numPr>
                      <w:ilvl w:val="0"/>
                      <w:numId w:val="0"/>
                    </w:numPr>
                    <w:suppressLineNumbers w:val="0"/>
                    <w:kinsoku/>
                    <w:wordWrap/>
                    <w:overflowPunct/>
                    <w:topLinePunct w:val="0"/>
                    <w:autoSpaceDE/>
                    <w:autoSpaceDN/>
                    <w:bidi w:val="0"/>
                    <w:ind w:firstLine="420" w:firstLineChars="200"/>
                    <w:jc w:val="both"/>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2.强化固体废物、重金属、新污染物环境风险防控</w:t>
                  </w:r>
                </w:p>
                <w:p w14:paraId="04FE76AD">
                  <w:pPr>
                    <w:keepNext w:val="0"/>
                    <w:keepLines w:val="0"/>
                    <w:pageBreakBefore w:val="0"/>
                    <w:widowControl/>
                    <w:numPr>
                      <w:ilvl w:val="0"/>
                      <w:numId w:val="0"/>
                    </w:numPr>
                    <w:suppressLineNumbers w:val="0"/>
                    <w:kinsoku/>
                    <w:wordWrap/>
                    <w:overflowPunct/>
                    <w:topLinePunct w:val="0"/>
                    <w:autoSpaceDE/>
                    <w:autoSpaceDN/>
                    <w:bidi w:val="0"/>
                    <w:ind w:firstLine="420" w:firstLineChars="200"/>
                    <w:jc w:val="both"/>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（1）加强固体废物污染防治。积极推动合肥及沿江沿淮城市开展“无废城市”建设。</w:t>
                  </w:r>
                </w:p>
                <w:p w14:paraId="50E86874">
                  <w:pPr>
                    <w:keepNext w:val="0"/>
                    <w:keepLines w:val="0"/>
                    <w:widowControl/>
                    <w:suppressLineNumbers w:val="0"/>
                    <w:ind w:firstLine="420" w:firstLineChars="200"/>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（2）强化危险废物环境监管。着力加强危险废物环境监管能力建设，提升人员监管能力和水平，加快省内危险废物</w:t>
                  </w:r>
                  <w:r>
                    <w:rPr>
                      <w:rFonts w:hint="default" w:ascii="Times New Roman" w:hAnsi="Times New Roman" w:eastAsia="宋体" w:cs="Times New Roman"/>
                      <w:sz w:val="21"/>
                      <w:szCs w:val="21"/>
                      <w:lang w:val="en-US" w:eastAsia="zh-CN"/>
                    </w:rPr>
                    <w:t>鉴别机构建设。</w:t>
                  </w:r>
                  <w:r>
                    <w:rPr>
                      <w:rFonts w:hint="default" w:ascii="Times New Roman" w:hAnsi="Times New Roman" w:eastAsia="宋体" w:cs="Times New Roman"/>
                      <w:color w:val="000000"/>
                      <w:kern w:val="0"/>
                      <w:sz w:val="21"/>
                      <w:szCs w:val="21"/>
                      <w:lang w:val="en-US" w:eastAsia="zh-CN" w:bidi="ar"/>
                    </w:rPr>
                    <w:t>落实危险废物分级分类管理，深入排查危险废物环境风险隐患，持续开展危险废物专项整治，严厉打击涉危险废物违法犯罪行为</w:t>
                  </w:r>
                  <w:r>
                    <w:rPr>
                      <w:rFonts w:hint="default" w:ascii="Times New Roman" w:hAnsi="Times New Roman" w:eastAsia="宋体" w:cs="Times New Roman"/>
                      <w:sz w:val="21"/>
                      <w:szCs w:val="21"/>
                      <w:lang w:val="en-US" w:eastAsia="zh-CN"/>
                    </w:rPr>
                    <w:t>。</w:t>
                  </w:r>
                </w:p>
              </w:tc>
              <w:tc>
                <w:tcPr>
                  <w:tcW w:w="2934" w:type="dxa"/>
                  <w:noWrap w:val="0"/>
                  <w:vAlign w:val="center"/>
                </w:tcPr>
                <w:p w14:paraId="1DFAA50C">
                  <w:pPr>
                    <w:pStyle w:val="95"/>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b w:val="0"/>
                      <w:bCs w:val="0"/>
                      <w:color w:val="auto"/>
                      <w:kern w:val="2"/>
                      <w:sz w:val="21"/>
                      <w:szCs w:val="22"/>
                      <w:highlight w:val="none"/>
                      <w:lang w:val="en-US" w:eastAsia="zh-CN" w:bidi="ar-SA"/>
                    </w:rPr>
                  </w:pPr>
                  <w:r>
                    <w:rPr>
                      <w:rFonts w:hint="default" w:ascii="Times New Roman" w:hAnsi="Times New Roman" w:eastAsia="宋体" w:cs="Times New Roman"/>
                      <w:b w:val="0"/>
                      <w:bCs w:val="0"/>
                      <w:color w:val="auto"/>
                      <w:kern w:val="2"/>
                      <w:sz w:val="21"/>
                      <w:szCs w:val="22"/>
                      <w:highlight w:val="none"/>
                      <w:lang w:val="en-US" w:eastAsia="zh-CN" w:bidi="ar-SA"/>
                    </w:rPr>
                    <w:t>本项目产生固体废物分类妥善处置：</w:t>
                  </w:r>
                  <w:r>
                    <w:rPr>
                      <w:rFonts w:hint="eastAsia" w:ascii="Times New Roman" w:hAnsi="Times New Roman" w:eastAsia="宋体" w:cs="Times New Roman"/>
                      <w:b w:val="0"/>
                      <w:bCs w:val="0"/>
                      <w:color w:val="000000" w:themeColor="text1"/>
                      <w:kern w:val="2"/>
                      <w:sz w:val="21"/>
                      <w:szCs w:val="22"/>
                      <w:highlight w:val="none"/>
                      <w:lang w:val="en-US" w:eastAsia="zh-CN" w:bidi="ar-SA"/>
                      <w14:textFill>
                        <w14:solidFill>
                          <w14:schemeClr w14:val="tx1"/>
                        </w14:solidFill>
                      </w14:textFill>
                    </w:rPr>
                    <w:t>一般工业固体废物收集后回用于生产；危险废物收集后暂存于危废间，委托有资质单位处置</w:t>
                  </w:r>
                  <w:r>
                    <w:rPr>
                      <w:rFonts w:hint="default" w:ascii="Times New Roman" w:hAnsi="Times New Roman" w:eastAsia="宋体" w:cs="Times New Roman"/>
                      <w:b w:val="0"/>
                      <w:bCs w:val="0"/>
                      <w:color w:val="auto"/>
                      <w:kern w:val="2"/>
                      <w:sz w:val="21"/>
                      <w:szCs w:val="22"/>
                      <w:highlight w:val="none"/>
                      <w:lang w:val="en-US" w:eastAsia="zh-CN" w:bidi="ar-SA"/>
                    </w:rPr>
                    <w:t>。</w:t>
                  </w:r>
                </w:p>
              </w:tc>
              <w:tc>
                <w:tcPr>
                  <w:tcW w:w="765" w:type="dxa"/>
                  <w:noWrap w:val="0"/>
                  <w:vAlign w:val="center"/>
                </w:tcPr>
                <w:p w14:paraId="4BAA1ED2">
                  <w:pPr>
                    <w:keepNext w:val="0"/>
                    <w:keepLines w:val="0"/>
                    <w:pageBreakBefore w:val="0"/>
                    <w:widowControl/>
                    <w:suppressLineNumbers w:val="0"/>
                    <w:kinsoku/>
                    <w:wordWrap/>
                    <w:overflowPunct/>
                    <w:topLinePunct w:val="0"/>
                    <w:autoSpaceDE/>
                    <w:autoSpaceDN/>
                    <w:bidi w:val="0"/>
                    <w:jc w:val="center"/>
                    <w:textAlignment w:val="auto"/>
                    <w:rPr>
                      <w:rFonts w:hint="eastAsia"/>
                      <w:color w:val="000000"/>
                      <w:highlight w:val="none"/>
                      <w:vertAlign w:val="baseline"/>
                      <w:lang w:val="en-US" w:eastAsia="zh-CN"/>
                    </w:rPr>
                  </w:pPr>
                  <w:r>
                    <w:rPr>
                      <w:rFonts w:hint="eastAsia"/>
                      <w:color w:val="000000"/>
                      <w:highlight w:val="none"/>
                      <w:vertAlign w:val="baseline"/>
                      <w:lang w:val="en-US" w:eastAsia="zh-CN"/>
                    </w:rPr>
                    <w:t>符合</w:t>
                  </w:r>
                </w:p>
              </w:tc>
            </w:tr>
          </w:tbl>
          <w:p w14:paraId="38A608AB">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60" w:lineRule="auto"/>
              <w:ind w:right="0" w:rightChars="0"/>
              <w:textAlignment w:val="auto"/>
              <w:rPr>
                <w:rFonts w:hint="default" w:ascii="Times New Roman" w:hAnsi="Times New Roman" w:eastAsia="宋体" w:cs="Times New Roman"/>
                <w:color w:val="auto"/>
                <w:sz w:val="24"/>
                <w:szCs w:val="24"/>
                <w:lang w:val="en-US" w:eastAsia="zh-CN"/>
              </w:rPr>
            </w:pPr>
          </w:p>
        </w:tc>
      </w:tr>
    </w:tbl>
    <w:p w14:paraId="31382ECE">
      <w:pPr>
        <w:spacing w:line="360" w:lineRule="auto"/>
        <w:outlineLvl w:val="0"/>
        <w:rPr>
          <w:rFonts w:hint="default" w:ascii="Times New Roman" w:hAnsi="Times New Roman" w:eastAsia="黑体" w:cs="Times New Roman"/>
          <w:color w:val="FF0000"/>
          <w:sz w:val="30"/>
        </w:rPr>
        <w:sectPr>
          <w:headerReference r:id="rId3" w:type="default"/>
          <w:footerReference r:id="rId4" w:type="default"/>
          <w:pgSz w:w="11906" w:h="16838"/>
          <w:pgMar w:top="1417" w:right="1417" w:bottom="1417" w:left="1417" w:header="851" w:footer="1077" w:gutter="0"/>
          <w:pgNumType w:fmt="decimal"/>
          <w:cols w:space="720" w:num="1"/>
          <w:docGrid w:linePitch="312" w:charSpace="0"/>
        </w:sectPr>
      </w:pPr>
    </w:p>
    <w:p w14:paraId="6F905FD3">
      <w:pPr>
        <w:pStyle w:val="2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default" w:ascii="Times New Roman" w:hAnsi="Times New Roman" w:eastAsia="宋体" w:cs="Times New Roman"/>
          <w:b/>
          <w:bCs/>
          <w:snapToGrid w:val="0"/>
          <w:color w:val="auto"/>
          <w:sz w:val="32"/>
          <w:szCs w:val="32"/>
        </w:rPr>
      </w:pPr>
      <w:r>
        <w:rPr>
          <w:rFonts w:hint="default" w:ascii="Times New Roman" w:hAnsi="Times New Roman" w:eastAsia="宋体" w:cs="Times New Roman"/>
          <w:b/>
          <w:bCs/>
          <w:snapToGrid w:val="0"/>
          <w:color w:val="auto"/>
          <w:sz w:val="32"/>
          <w:szCs w:val="32"/>
        </w:rPr>
        <w:t>二、建设项目工程分析</w:t>
      </w:r>
    </w:p>
    <w:tbl>
      <w:tblPr>
        <w:tblStyle w:val="27"/>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07"/>
        <w:gridCol w:w="8675"/>
      </w:tblGrid>
      <w:tr w14:paraId="573D6F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26" w:type="pct"/>
            <w:noWrap w:val="0"/>
            <w:vAlign w:val="center"/>
          </w:tcPr>
          <w:p w14:paraId="74AA2997">
            <w:pPr>
              <w:pStyle w:val="23"/>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b/>
                <w:bCs/>
                <w:color w:val="auto"/>
              </w:rPr>
              <w:t>建设内容</w:t>
            </w:r>
          </w:p>
        </w:tc>
        <w:tc>
          <w:tcPr>
            <w:tcW w:w="4673" w:type="pct"/>
            <w:noWrap w:val="0"/>
            <w:vAlign w:val="center"/>
          </w:tcPr>
          <w:p w14:paraId="4F1766D4">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bCs/>
                <w:color w:val="auto"/>
                <w:sz w:val="28"/>
                <w:szCs w:val="28"/>
                <w:shd w:val="clear" w:color="auto" w:fill="auto"/>
                <w:lang w:val="en-US" w:eastAsia="zh-CN"/>
              </w:rPr>
            </w:pPr>
            <w:r>
              <w:rPr>
                <w:rFonts w:hint="default" w:ascii="Times New Roman" w:hAnsi="Times New Roman" w:cs="Times New Roman"/>
                <w:b/>
                <w:bCs/>
                <w:color w:val="auto"/>
                <w:sz w:val="28"/>
                <w:szCs w:val="28"/>
                <w:shd w:val="clear" w:color="auto" w:fill="auto"/>
                <w:lang w:val="en-US" w:eastAsia="zh-CN"/>
              </w:rPr>
              <w:t>一、项目建设情况</w:t>
            </w:r>
          </w:p>
          <w:p w14:paraId="4419FA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2" w:firstLineChars="200"/>
              <w:jc w:val="both"/>
              <w:textAlignment w:val="auto"/>
              <w:rPr>
                <w:rFonts w:hint="eastAsia" w:cs="Times New Roman"/>
                <w:b/>
                <w:color w:val="auto"/>
                <w:kern w:val="2"/>
                <w:sz w:val="24"/>
                <w:szCs w:val="32"/>
                <w:lang w:val="en-US" w:eastAsia="zh-CN"/>
              </w:rPr>
            </w:pPr>
            <w:r>
              <w:rPr>
                <w:rFonts w:hint="eastAsia" w:cs="Times New Roman"/>
                <w:b/>
                <w:color w:val="auto"/>
                <w:kern w:val="2"/>
                <w:sz w:val="24"/>
                <w:szCs w:val="32"/>
                <w:lang w:val="en-US" w:eastAsia="zh-CN"/>
              </w:rPr>
              <w:t>1、项目概况</w:t>
            </w:r>
          </w:p>
          <w:p w14:paraId="44CBF1D2">
            <w:pPr>
              <w:adjustRightInd w:val="0"/>
              <w:snapToGrid w:val="0"/>
              <w:spacing w:line="360" w:lineRule="auto"/>
              <w:ind w:firstLine="480" w:firstLineChars="200"/>
              <w:rPr>
                <w:sz w:val="24"/>
              </w:rPr>
            </w:pPr>
            <w:r>
              <w:rPr>
                <w:rFonts w:hint="eastAsia" w:cs="Times New Roman"/>
                <w:color w:val="auto"/>
                <w:kern w:val="2"/>
                <w:sz w:val="24"/>
                <w:szCs w:val="32"/>
                <w:lang w:val="en-US" w:eastAsia="zh-CN"/>
              </w:rPr>
              <w:t>淮南市第五人民医院</w:t>
            </w:r>
            <w:r>
              <w:rPr>
                <w:rFonts w:hint="eastAsia"/>
                <w:sz w:val="24"/>
              </w:rPr>
              <w:t>位于</w:t>
            </w:r>
            <w:r>
              <w:rPr>
                <w:rFonts w:hint="eastAsia" w:cs="Times New Roman"/>
                <w:i w:val="0"/>
                <w:iCs w:val="0"/>
                <w:color w:val="auto"/>
                <w:sz w:val="24"/>
                <w:szCs w:val="24"/>
                <w:u w:val="none"/>
                <w:lang w:val="en-US" w:eastAsia="zh-CN"/>
              </w:rPr>
              <w:t>安徽省淮南市潘集区珠江路北侧、武夷山路西侧，前身为潘集区人民医院，</w:t>
            </w:r>
            <w:r>
              <w:rPr>
                <w:rFonts w:hint="eastAsia"/>
                <w:sz w:val="24"/>
                <w:lang w:eastAsia="zh-CN"/>
              </w:rPr>
              <w:t>始建</w:t>
            </w:r>
            <w:r>
              <w:rPr>
                <w:sz w:val="24"/>
              </w:rPr>
              <w:t>于</w:t>
            </w:r>
            <w:r>
              <w:rPr>
                <w:rFonts w:hint="eastAsia"/>
                <w:sz w:val="24"/>
                <w:lang w:val="en-US" w:eastAsia="zh-CN"/>
              </w:rPr>
              <w:t>1982</w:t>
            </w:r>
            <w:r>
              <w:rPr>
                <w:sz w:val="24"/>
              </w:rPr>
              <w:t>年</w:t>
            </w:r>
            <w:r>
              <w:rPr>
                <w:rFonts w:hint="eastAsia"/>
                <w:sz w:val="24"/>
                <w:lang w:eastAsia="zh-CN"/>
              </w:rPr>
              <w:t>，</w:t>
            </w:r>
            <w:r>
              <w:rPr>
                <w:rFonts w:hint="eastAsia"/>
                <w:sz w:val="24"/>
                <w:lang w:val="en-US" w:eastAsia="zh-CN"/>
              </w:rPr>
              <w:t>1986年10月1日开诊，于1993年经市政府批准升格为淮南市第五人民医院</w:t>
            </w:r>
            <w:r>
              <w:rPr>
                <w:rFonts w:hint="eastAsia"/>
                <w:sz w:val="24"/>
              </w:rPr>
              <w:t>。</w:t>
            </w:r>
            <w:r>
              <w:rPr>
                <w:rFonts w:hint="eastAsia"/>
                <w:sz w:val="24"/>
                <w:lang w:val="en-US" w:eastAsia="zh-CN"/>
              </w:rPr>
              <w:t>2009年11月，</w:t>
            </w:r>
            <w:r>
              <w:rPr>
                <w:rFonts w:hint="eastAsia" w:cs="Times New Roman"/>
                <w:color w:val="auto"/>
                <w:kern w:val="2"/>
                <w:sz w:val="24"/>
                <w:szCs w:val="32"/>
                <w:lang w:val="en-US" w:eastAsia="zh-CN"/>
              </w:rPr>
              <w:t>淮南市第五人民医院委托淮南市环境保护科学研究院编制了《</w:t>
            </w:r>
            <w:r>
              <w:rPr>
                <w:rFonts w:hint="eastAsia"/>
                <w:sz w:val="24"/>
                <w:lang w:val="en-US" w:eastAsia="zh-CN"/>
              </w:rPr>
              <w:t>淮南市潘集区人民医院重新选址建设项目环境影响报告书</w:t>
            </w:r>
            <w:r>
              <w:rPr>
                <w:rFonts w:hint="eastAsia" w:cs="Times New Roman"/>
                <w:color w:val="auto"/>
                <w:kern w:val="2"/>
                <w:sz w:val="24"/>
                <w:szCs w:val="32"/>
                <w:lang w:val="en-US" w:eastAsia="zh-CN"/>
              </w:rPr>
              <w:t>》，并</w:t>
            </w:r>
            <w:r>
              <w:rPr>
                <w:rFonts w:hint="eastAsia"/>
                <w:sz w:val="24"/>
              </w:rPr>
              <w:t>于201</w:t>
            </w:r>
            <w:r>
              <w:rPr>
                <w:rFonts w:hint="eastAsia"/>
                <w:sz w:val="24"/>
                <w:lang w:val="en-US" w:eastAsia="zh-CN"/>
              </w:rPr>
              <w:t>0</w:t>
            </w:r>
            <w:r>
              <w:rPr>
                <w:rFonts w:hint="eastAsia"/>
                <w:sz w:val="24"/>
              </w:rPr>
              <w:t>年</w:t>
            </w:r>
            <w:r>
              <w:rPr>
                <w:rFonts w:hint="eastAsia"/>
                <w:sz w:val="24"/>
                <w:lang w:val="en-US" w:eastAsia="zh-CN"/>
              </w:rPr>
              <w:t>1</w:t>
            </w:r>
            <w:r>
              <w:rPr>
                <w:rFonts w:hint="eastAsia"/>
                <w:sz w:val="24"/>
              </w:rPr>
              <w:t>月</w:t>
            </w:r>
            <w:r>
              <w:rPr>
                <w:rFonts w:hint="eastAsia"/>
                <w:sz w:val="24"/>
                <w:lang w:val="en-US" w:eastAsia="zh-CN"/>
              </w:rPr>
              <w:t>11</w:t>
            </w:r>
            <w:r>
              <w:rPr>
                <w:rFonts w:hint="eastAsia"/>
                <w:sz w:val="24"/>
              </w:rPr>
              <w:t>日取得了淮南市生态环境局</w:t>
            </w:r>
            <w:r>
              <w:rPr>
                <w:rFonts w:hint="eastAsia"/>
                <w:sz w:val="24"/>
                <w:lang w:eastAsia="zh-CN"/>
              </w:rPr>
              <w:t>（</w:t>
            </w:r>
            <w:r>
              <w:rPr>
                <w:rFonts w:hint="eastAsia"/>
                <w:sz w:val="24"/>
                <w:lang w:val="en-US" w:eastAsia="zh-CN"/>
              </w:rPr>
              <w:t>原淮南市环境保护局</w:t>
            </w:r>
            <w:r>
              <w:rPr>
                <w:rFonts w:hint="eastAsia"/>
                <w:sz w:val="24"/>
                <w:lang w:eastAsia="zh-CN"/>
              </w:rPr>
              <w:t>）</w:t>
            </w:r>
            <w:r>
              <w:rPr>
                <w:rFonts w:hint="eastAsia"/>
                <w:sz w:val="24"/>
              </w:rPr>
              <w:t>的批复（淮环</w:t>
            </w:r>
            <w:r>
              <w:rPr>
                <w:rFonts w:hint="eastAsia"/>
                <w:sz w:val="24"/>
                <w:lang w:val="en-US" w:eastAsia="zh-CN"/>
              </w:rPr>
              <w:t>复</w:t>
            </w:r>
            <w:r>
              <w:rPr>
                <w:rFonts w:hint="eastAsia"/>
                <w:sz w:val="24"/>
              </w:rPr>
              <w:t>[201</w:t>
            </w:r>
            <w:r>
              <w:rPr>
                <w:rFonts w:hint="eastAsia"/>
                <w:sz w:val="24"/>
                <w:lang w:val="en-US" w:eastAsia="zh-CN"/>
              </w:rPr>
              <w:t>0</w:t>
            </w:r>
            <w:r>
              <w:rPr>
                <w:rFonts w:hint="eastAsia"/>
                <w:sz w:val="24"/>
              </w:rPr>
              <w:t>]</w:t>
            </w:r>
            <w:r>
              <w:rPr>
                <w:rFonts w:hint="eastAsia"/>
                <w:sz w:val="24"/>
                <w:lang w:val="en-US" w:eastAsia="zh-CN"/>
              </w:rPr>
              <w:t>2</w:t>
            </w:r>
            <w:r>
              <w:rPr>
                <w:rFonts w:hint="eastAsia"/>
                <w:sz w:val="24"/>
              </w:rPr>
              <w:t>号），该项目已于20</w:t>
            </w:r>
            <w:r>
              <w:rPr>
                <w:rFonts w:hint="eastAsia"/>
                <w:sz w:val="24"/>
                <w:lang w:val="en-US" w:eastAsia="zh-CN"/>
              </w:rPr>
              <w:t>19</w:t>
            </w:r>
            <w:r>
              <w:rPr>
                <w:rFonts w:hint="eastAsia"/>
                <w:sz w:val="24"/>
              </w:rPr>
              <w:t>年</w:t>
            </w:r>
            <w:r>
              <w:rPr>
                <w:rFonts w:hint="eastAsia"/>
                <w:sz w:val="24"/>
                <w:lang w:val="en-US" w:eastAsia="zh-CN"/>
              </w:rPr>
              <w:t>1</w:t>
            </w:r>
            <w:r>
              <w:rPr>
                <w:rFonts w:hint="eastAsia"/>
                <w:sz w:val="24"/>
              </w:rPr>
              <w:t>月</w:t>
            </w:r>
            <w:r>
              <w:rPr>
                <w:rFonts w:hint="eastAsia"/>
                <w:sz w:val="24"/>
                <w:lang w:val="en-US" w:eastAsia="zh-CN"/>
              </w:rPr>
              <w:t>26日</w:t>
            </w:r>
            <w:r>
              <w:rPr>
                <w:rFonts w:hint="eastAsia"/>
                <w:sz w:val="24"/>
              </w:rPr>
              <w:t>通过</w:t>
            </w:r>
            <w:r>
              <w:rPr>
                <w:rFonts w:hint="eastAsia"/>
                <w:sz w:val="24"/>
                <w:lang w:eastAsia="zh-CN"/>
              </w:rPr>
              <w:t>了</w:t>
            </w:r>
            <w:r>
              <w:rPr>
                <w:kern w:val="0"/>
                <w:sz w:val="24"/>
              </w:rPr>
              <w:t>环</w:t>
            </w:r>
            <w:r>
              <w:rPr>
                <w:rFonts w:hint="eastAsia" w:ascii="宋体" w:hAnsi="宋体" w:cs="宋体"/>
                <w:kern w:val="0"/>
                <w:sz w:val="24"/>
              </w:rPr>
              <w:t>保“三同时”</w:t>
            </w:r>
            <w:r>
              <w:rPr>
                <w:kern w:val="0"/>
                <w:sz w:val="24"/>
              </w:rPr>
              <w:t>竣工验收</w:t>
            </w:r>
            <w:r>
              <w:rPr>
                <w:rFonts w:hint="eastAsia"/>
                <w:kern w:val="0"/>
                <w:sz w:val="24"/>
                <w:lang w:eastAsia="zh-CN"/>
              </w:rPr>
              <w:t>；</w:t>
            </w:r>
            <w:r>
              <w:rPr>
                <w:rFonts w:hint="eastAsia"/>
                <w:kern w:val="0"/>
                <w:sz w:val="24"/>
                <w:lang w:val="en-US" w:eastAsia="zh-CN"/>
              </w:rPr>
              <w:t>2016年，</w:t>
            </w:r>
            <w:r>
              <w:rPr>
                <w:rFonts w:hint="eastAsia" w:cs="Times New Roman"/>
                <w:color w:val="auto"/>
                <w:kern w:val="2"/>
                <w:sz w:val="24"/>
                <w:szCs w:val="32"/>
                <w:lang w:val="en-US" w:eastAsia="zh-CN"/>
              </w:rPr>
              <w:t>淮南市第五人民医院委托南京赛特环境工程有限公司编制了《淮南市第五人民医院门诊楼工程环境影响评价报告表》</w:t>
            </w:r>
            <w:r>
              <w:rPr>
                <w:rFonts w:hint="eastAsia"/>
                <w:sz w:val="24"/>
                <w:lang w:eastAsia="zh-CN"/>
              </w:rPr>
              <w:t>，并</w:t>
            </w:r>
            <w:r>
              <w:rPr>
                <w:rFonts w:hint="eastAsia"/>
                <w:sz w:val="24"/>
              </w:rPr>
              <w:t>于201</w:t>
            </w:r>
            <w:r>
              <w:rPr>
                <w:rFonts w:hint="eastAsia"/>
                <w:sz w:val="24"/>
                <w:lang w:val="en-US" w:eastAsia="zh-CN"/>
              </w:rPr>
              <w:t>6</w:t>
            </w:r>
            <w:r>
              <w:rPr>
                <w:rFonts w:hint="eastAsia"/>
                <w:sz w:val="24"/>
              </w:rPr>
              <w:t>年</w:t>
            </w:r>
            <w:r>
              <w:rPr>
                <w:rFonts w:hint="eastAsia"/>
                <w:sz w:val="24"/>
                <w:lang w:val="en-US" w:eastAsia="zh-CN"/>
              </w:rPr>
              <w:t>11</w:t>
            </w:r>
            <w:r>
              <w:rPr>
                <w:rFonts w:hint="eastAsia"/>
                <w:sz w:val="24"/>
              </w:rPr>
              <w:t>月</w:t>
            </w:r>
            <w:r>
              <w:rPr>
                <w:rFonts w:hint="eastAsia"/>
                <w:sz w:val="24"/>
                <w:lang w:val="en-US" w:eastAsia="zh-CN"/>
              </w:rPr>
              <w:t>23</w:t>
            </w:r>
            <w:r>
              <w:rPr>
                <w:rFonts w:hint="eastAsia"/>
                <w:sz w:val="24"/>
              </w:rPr>
              <w:t>日取得了淮南市生态环境局</w:t>
            </w:r>
            <w:r>
              <w:rPr>
                <w:rFonts w:hint="eastAsia"/>
                <w:sz w:val="24"/>
                <w:lang w:eastAsia="zh-CN"/>
              </w:rPr>
              <w:t>（</w:t>
            </w:r>
            <w:r>
              <w:rPr>
                <w:rFonts w:hint="eastAsia"/>
                <w:sz w:val="24"/>
                <w:lang w:val="en-US" w:eastAsia="zh-CN"/>
              </w:rPr>
              <w:t>原淮南市环境保护局</w:t>
            </w:r>
            <w:r>
              <w:rPr>
                <w:rFonts w:hint="eastAsia"/>
                <w:sz w:val="24"/>
                <w:lang w:eastAsia="zh-CN"/>
              </w:rPr>
              <w:t>）</w:t>
            </w:r>
            <w:r>
              <w:rPr>
                <w:rFonts w:hint="eastAsia"/>
                <w:sz w:val="24"/>
              </w:rPr>
              <w:t>的批复（淮环</w:t>
            </w:r>
            <w:r>
              <w:rPr>
                <w:rFonts w:hint="eastAsia"/>
                <w:sz w:val="24"/>
                <w:lang w:eastAsia="zh-CN"/>
              </w:rPr>
              <w:t>表批</w:t>
            </w:r>
            <w:r>
              <w:rPr>
                <w:rFonts w:hint="eastAsia"/>
                <w:sz w:val="24"/>
              </w:rPr>
              <w:t>[201</w:t>
            </w:r>
            <w:r>
              <w:rPr>
                <w:rFonts w:hint="eastAsia"/>
                <w:sz w:val="24"/>
                <w:lang w:val="en-US" w:eastAsia="zh-CN"/>
              </w:rPr>
              <w:t>6</w:t>
            </w:r>
            <w:r>
              <w:rPr>
                <w:rFonts w:hint="eastAsia"/>
                <w:sz w:val="24"/>
              </w:rPr>
              <w:t>]</w:t>
            </w:r>
            <w:r>
              <w:rPr>
                <w:rFonts w:hint="eastAsia"/>
                <w:sz w:val="24"/>
                <w:lang w:val="en-US" w:eastAsia="zh-CN"/>
              </w:rPr>
              <w:t>145</w:t>
            </w:r>
            <w:r>
              <w:rPr>
                <w:rFonts w:hint="eastAsia"/>
                <w:sz w:val="24"/>
              </w:rPr>
              <w:t>号），该项目</w:t>
            </w:r>
            <w:r>
              <w:rPr>
                <w:rFonts w:hint="eastAsia"/>
                <w:sz w:val="24"/>
                <w:lang w:eastAsia="zh-CN"/>
              </w:rPr>
              <w:t>已于</w:t>
            </w:r>
            <w:r>
              <w:rPr>
                <w:rFonts w:hint="eastAsia"/>
                <w:sz w:val="24"/>
                <w:lang w:val="en-US" w:eastAsia="zh-CN"/>
              </w:rPr>
              <w:t>2022年12月7日</w:t>
            </w:r>
            <w:r>
              <w:rPr>
                <w:rFonts w:hint="eastAsia"/>
                <w:sz w:val="24"/>
              </w:rPr>
              <w:t>通过</w:t>
            </w:r>
            <w:r>
              <w:rPr>
                <w:rFonts w:hint="eastAsia"/>
                <w:sz w:val="24"/>
                <w:lang w:eastAsia="zh-CN"/>
              </w:rPr>
              <w:t>了</w:t>
            </w:r>
            <w:r>
              <w:rPr>
                <w:kern w:val="0"/>
                <w:sz w:val="24"/>
              </w:rPr>
              <w:t>环</w:t>
            </w:r>
            <w:r>
              <w:rPr>
                <w:rFonts w:hint="eastAsia" w:ascii="宋体" w:hAnsi="宋体" w:cs="宋体"/>
                <w:kern w:val="0"/>
                <w:sz w:val="24"/>
              </w:rPr>
              <w:t>保“三同时”</w:t>
            </w:r>
            <w:r>
              <w:rPr>
                <w:kern w:val="0"/>
                <w:sz w:val="24"/>
              </w:rPr>
              <w:t>竣工验收</w:t>
            </w:r>
            <w:r>
              <w:rPr>
                <w:rFonts w:hint="eastAsia"/>
                <w:sz w:val="24"/>
                <w:lang w:eastAsia="zh-CN"/>
              </w:rPr>
              <w:t>。</w:t>
            </w:r>
            <w:r>
              <w:rPr>
                <w:rFonts w:hint="eastAsia"/>
                <w:sz w:val="24"/>
                <w:lang w:val="en-US" w:eastAsia="zh-CN"/>
              </w:rPr>
              <w:t>建设单位</w:t>
            </w:r>
            <w:r>
              <w:rPr>
                <w:rFonts w:hint="eastAsia"/>
                <w:sz w:val="24"/>
              </w:rPr>
              <w:t>排污许可证编号为</w:t>
            </w:r>
            <w:r>
              <w:rPr>
                <w:rFonts w:hint="eastAsia"/>
                <w:sz w:val="24"/>
                <w:lang w:eastAsia="zh-CN"/>
              </w:rPr>
              <w:t>12340406485385091U001U</w:t>
            </w:r>
            <w:r>
              <w:rPr>
                <w:rFonts w:hint="eastAsia"/>
                <w:sz w:val="24"/>
              </w:rPr>
              <w:t>。</w:t>
            </w:r>
          </w:p>
          <w:p w14:paraId="28D996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为有效缓解淮南市第五人民医院住院床位长期紧缺的供需矛盾，减少因床位不足而被迫转院或等待的情况，同时通过引入先进设备，使医院在医学影像方面的能力实现质的飞跃，以往需要转往上级医院才能完成的检查项目，未来有望在区级医院就近完成，大大方便了区域内群众的就医需求。</w:t>
            </w:r>
          </w:p>
          <w:p w14:paraId="3D0C22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建设单位拟投资17134万元进行扩建：新建住院综合楼及其裙房，建筑面积共计</w:t>
            </w:r>
            <w:r>
              <w:rPr>
                <w:rFonts w:hint="default" w:ascii="Times New Roman" w:hAnsi="Times New Roman" w:eastAsia="宋体" w:cs="Times New Roman"/>
                <w:sz w:val="24"/>
                <w:lang w:val="en-US" w:eastAsia="zh-CN"/>
              </w:rPr>
              <w:t>17549.4</w:t>
            </w:r>
            <w:r>
              <w:rPr>
                <w:rFonts w:hint="eastAsia" w:ascii="Times New Roman" w:hAnsi="Times New Roman" w:eastAsia="宋体" w:cs="Times New Roman"/>
                <w:sz w:val="24"/>
                <w:lang w:val="en-US" w:eastAsia="zh-CN"/>
              </w:rPr>
              <w:t>平方米，其中地上建筑面积</w:t>
            </w:r>
            <w:r>
              <w:rPr>
                <w:rFonts w:hint="default" w:ascii="Times New Roman" w:hAnsi="Times New Roman" w:eastAsia="宋体" w:cs="Times New Roman"/>
                <w:sz w:val="24"/>
                <w:lang w:val="en-US" w:eastAsia="zh-CN"/>
              </w:rPr>
              <w:t>12698.8</w:t>
            </w:r>
            <w:r>
              <w:rPr>
                <w:rFonts w:hint="eastAsia" w:ascii="Times New Roman" w:hAnsi="Times New Roman" w:eastAsia="宋体" w:cs="Times New Roman"/>
                <w:sz w:val="24"/>
                <w:lang w:val="en-US" w:eastAsia="zh-CN"/>
              </w:rPr>
              <w:t>平方米，地下建筑面积</w:t>
            </w:r>
            <w:r>
              <w:rPr>
                <w:rFonts w:hint="default" w:ascii="Times New Roman" w:hAnsi="Times New Roman" w:eastAsia="宋体" w:cs="Times New Roman"/>
                <w:sz w:val="24"/>
                <w:lang w:val="en-US" w:eastAsia="zh-CN"/>
              </w:rPr>
              <w:t>4850.6</w:t>
            </w:r>
            <w:r>
              <w:rPr>
                <w:rFonts w:hint="eastAsia" w:ascii="Times New Roman" w:hAnsi="Times New Roman" w:eastAsia="宋体" w:cs="Times New Roman"/>
                <w:sz w:val="24"/>
                <w:lang w:val="en-US" w:eastAsia="zh-CN"/>
              </w:rPr>
              <w:t>平方米，建设智能化工程、消防工程、供配电、给排水等配套设施，相关设备购置等；新增</w:t>
            </w:r>
            <w:r>
              <w:rPr>
                <w:rFonts w:hint="default" w:ascii="Times New Roman" w:hAnsi="Times New Roman" w:eastAsia="宋体" w:cs="Times New Roman"/>
                <w:sz w:val="24"/>
                <w:lang w:val="en-US" w:eastAsia="zh-CN"/>
              </w:rPr>
              <w:t>140</w:t>
            </w:r>
            <w:r>
              <w:rPr>
                <w:rFonts w:hint="eastAsia" w:ascii="Times New Roman" w:hAnsi="Times New Roman" w:eastAsia="宋体" w:cs="Times New Roman"/>
                <w:sz w:val="24"/>
                <w:lang w:val="en-US" w:eastAsia="zh-CN"/>
              </w:rPr>
              <w:t>个机动车停车位，</w:t>
            </w:r>
            <w:r>
              <w:rPr>
                <w:rFonts w:hint="default" w:ascii="Times New Roman" w:hAnsi="Times New Roman" w:eastAsia="宋体" w:cs="Times New Roman"/>
                <w:sz w:val="24"/>
                <w:lang w:val="en-US" w:eastAsia="zh-CN"/>
              </w:rPr>
              <w:t>50</w:t>
            </w:r>
            <w:r>
              <w:rPr>
                <w:rFonts w:hint="eastAsia" w:ascii="Times New Roman" w:hAnsi="Times New Roman" w:eastAsia="宋体" w:cs="Times New Roman"/>
                <w:sz w:val="24"/>
                <w:lang w:val="en-US" w:eastAsia="zh-CN"/>
              </w:rPr>
              <w:t>个</w:t>
            </w:r>
            <w:r>
              <w:rPr>
                <w:rFonts w:hint="default" w:ascii="Times New Roman" w:hAnsi="Times New Roman" w:eastAsia="宋体" w:cs="Times New Roman"/>
                <w:sz w:val="24"/>
                <w:lang w:val="en-US" w:eastAsia="zh-CN"/>
              </w:rPr>
              <w:t>120KW</w:t>
            </w:r>
            <w:r>
              <w:rPr>
                <w:rFonts w:hint="eastAsia" w:ascii="Times New Roman" w:hAnsi="Times New Roman" w:eastAsia="宋体" w:cs="Times New Roman"/>
                <w:sz w:val="24"/>
                <w:lang w:val="en-US" w:eastAsia="zh-CN"/>
              </w:rPr>
              <w:t>充电桩，同步新增</w:t>
            </w:r>
            <w:r>
              <w:rPr>
                <w:rFonts w:hint="default" w:ascii="Times New Roman" w:hAnsi="Times New Roman" w:eastAsia="宋体" w:cs="Times New Roman"/>
                <w:sz w:val="24"/>
                <w:lang w:val="en-US" w:eastAsia="zh-CN"/>
              </w:rPr>
              <w:t>260</w:t>
            </w:r>
            <w:r>
              <w:rPr>
                <w:rFonts w:hint="eastAsia" w:ascii="Times New Roman" w:hAnsi="Times New Roman" w:eastAsia="宋体" w:cs="Times New Roman"/>
                <w:sz w:val="24"/>
                <w:lang w:val="en-US" w:eastAsia="zh-CN"/>
              </w:rPr>
              <w:t>个床位数。对原住院楼综合提升改造，改造范围为</w:t>
            </w:r>
            <w:r>
              <w:rPr>
                <w:rFonts w:hint="default" w:ascii="Times New Roman" w:hAnsi="Times New Roman" w:eastAsia="宋体" w:cs="Times New Roman"/>
                <w:sz w:val="24"/>
                <w:lang w:val="en-US" w:eastAsia="zh-CN"/>
              </w:rPr>
              <w:t>4-12</w:t>
            </w:r>
            <w:r>
              <w:rPr>
                <w:rFonts w:hint="eastAsia" w:ascii="Times New Roman" w:hAnsi="Times New Roman" w:eastAsia="宋体" w:cs="Times New Roman"/>
                <w:sz w:val="24"/>
                <w:lang w:val="en-US" w:eastAsia="zh-CN"/>
              </w:rPr>
              <w:t>层，</w:t>
            </w:r>
            <w:r>
              <w:rPr>
                <w:rFonts w:hint="eastAsia" w:cs="Times New Roman"/>
                <w:sz w:val="24"/>
                <w:lang w:val="en-US" w:eastAsia="zh-CN"/>
              </w:rPr>
              <w:t>改造</w:t>
            </w:r>
            <w:r>
              <w:rPr>
                <w:rFonts w:hint="eastAsia" w:ascii="Times New Roman" w:hAnsi="Times New Roman" w:eastAsia="宋体" w:cs="Times New Roman"/>
                <w:sz w:val="24"/>
                <w:lang w:val="en-US" w:eastAsia="zh-CN"/>
              </w:rPr>
              <w:t>建筑面积</w:t>
            </w:r>
            <w:r>
              <w:rPr>
                <w:rFonts w:hint="default" w:ascii="Times New Roman" w:hAnsi="Times New Roman" w:eastAsia="宋体" w:cs="Times New Roman"/>
                <w:sz w:val="24"/>
                <w:lang w:val="en-US" w:eastAsia="zh-CN"/>
              </w:rPr>
              <w:t>11385.00</w:t>
            </w:r>
            <w:r>
              <w:rPr>
                <w:rFonts w:hint="eastAsia" w:ascii="Times New Roman" w:hAnsi="Times New Roman" w:eastAsia="宋体" w:cs="Times New Roman"/>
                <w:sz w:val="24"/>
                <w:lang w:val="en-US" w:eastAsia="zh-CN"/>
              </w:rPr>
              <w:t>平方米，将原有的</w:t>
            </w:r>
            <w:r>
              <w:rPr>
                <w:rFonts w:hint="default" w:ascii="Times New Roman" w:hAnsi="Times New Roman" w:eastAsia="宋体" w:cs="Times New Roman"/>
                <w:sz w:val="24"/>
                <w:lang w:val="en-US" w:eastAsia="zh-CN"/>
              </w:rPr>
              <w:t>180</w:t>
            </w:r>
            <w:r>
              <w:rPr>
                <w:rFonts w:hint="eastAsia" w:ascii="Times New Roman" w:hAnsi="Times New Roman" w:eastAsia="宋体" w:cs="Times New Roman"/>
                <w:sz w:val="24"/>
                <w:lang w:val="en-US" w:eastAsia="zh-CN"/>
              </w:rPr>
              <w:t>张病床全部改造；主要改造内容包括：将原地源热泵空调系统更新为多联机空调系统，对建筑外墙进行翻新，对</w:t>
            </w:r>
            <w:r>
              <w:rPr>
                <w:rFonts w:hint="default" w:ascii="Times New Roman" w:hAnsi="Times New Roman" w:eastAsia="宋体" w:cs="Times New Roman"/>
                <w:sz w:val="24"/>
                <w:lang w:val="en-US" w:eastAsia="zh-CN"/>
              </w:rPr>
              <w:t>4-12</w:t>
            </w:r>
            <w:r>
              <w:rPr>
                <w:rFonts w:hint="eastAsia" w:ascii="Times New Roman" w:hAnsi="Times New Roman" w:eastAsia="宋体" w:cs="Times New Roman"/>
                <w:sz w:val="24"/>
                <w:lang w:val="en-US" w:eastAsia="zh-CN"/>
              </w:rPr>
              <w:t>层病房及配套卫生间进行改造、对智能化系统进行升级，改造室内集中供氧管道约</w:t>
            </w:r>
            <w:r>
              <w:rPr>
                <w:rFonts w:hint="default" w:ascii="Times New Roman" w:hAnsi="Times New Roman" w:eastAsia="宋体" w:cs="Times New Roman"/>
                <w:sz w:val="24"/>
                <w:lang w:val="en-US" w:eastAsia="zh-CN"/>
              </w:rPr>
              <w:t>1000</w:t>
            </w:r>
            <w:r>
              <w:rPr>
                <w:rFonts w:hint="eastAsia" w:ascii="Times New Roman" w:hAnsi="Times New Roman" w:eastAsia="宋体" w:cs="Times New Roman"/>
                <w:sz w:val="24"/>
                <w:lang w:val="en-US" w:eastAsia="zh-CN"/>
              </w:rPr>
              <w:t>米。</w:t>
            </w:r>
          </w:p>
          <w:p w14:paraId="614692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项目已于2026年4月16日在淮南市潘集区发展和改革委员会进行备案（项目代码：2604-340406-04-01-310972）。</w:t>
            </w:r>
          </w:p>
          <w:p w14:paraId="02E25D4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eastAsia="宋体" w:cs="Times New Roman"/>
                <w:color w:val="auto"/>
                <w:sz w:val="24"/>
                <w:szCs w:val="24"/>
                <w:highlight w:val="none"/>
                <w:lang w:val="en-US" w:eastAsia="zh-CN"/>
              </w:rPr>
            </w:pPr>
            <w:r>
              <w:rPr>
                <w:rFonts w:hint="eastAsia"/>
                <w:color w:val="auto"/>
                <w:sz w:val="24"/>
                <w:lang w:eastAsia="zh-CN"/>
              </w:rPr>
              <w:t>参照</w:t>
            </w:r>
            <w:r>
              <w:rPr>
                <w:color w:val="auto"/>
                <w:sz w:val="24"/>
              </w:rPr>
              <w:t>《国民经济行业分类</w:t>
            </w:r>
            <w:r>
              <w:rPr>
                <w:color w:val="auto"/>
                <w:sz w:val="24"/>
                <w:szCs w:val="24"/>
              </w:rPr>
              <w:t>》（GB/T 4574-2017）</w:t>
            </w:r>
            <w:r>
              <w:rPr>
                <w:rFonts w:hint="eastAsia"/>
                <w:color w:val="auto"/>
                <w:sz w:val="24"/>
                <w:szCs w:val="24"/>
                <w:lang w:eastAsia="zh-CN"/>
              </w:rPr>
              <w:t>、</w:t>
            </w:r>
            <w:r>
              <w:rPr>
                <w:rFonts w:hint="default" w:ascii="Times New Roman" w:hAnsi="Times New Roman" w:cs="Times New Roman"/>
                <w:color w:val="auto"/>
                <w:sz w:val="24"/>
                <w:szCs w:val="24"/>
              </w:rPr>
              <w:t>《建设项目环境影响评价分类管理名录》（</w:t>
            </w:r>
            <w:r>
              <w:rPr>
                <w:rFonts w:hint="eastAsia" w:ascii="Times New Roman" w:hAnsi="Times New Roman" w:cs="Times New Roman"/>
                <w:color w:val="auto"/>
                <w:sz w:val="24"/>
                <w:szCs w:val="24"/>
                <w:lang w:val="en-US" w:eastAsia="zh-CN"/>
              </w:rPr>
              <w:t>2021年版</w:t>
            </w:r>
            <w:r>
              <w:rPr>
                <w:rFonts w:hint="default" w:ascii="Times New Roman" w:hAnsi="Times New Roman" w:cs="Times New Roman"/>
                <w:color w:val="auto"/>
                <w:sz w:val="24"/>
                <w:szCs w:val="24"/>
              </w:rPr>
              <w:t>）</w:t>
            </w:r>
            <w:r>
              <w:rPr>
                <w:rFonts w:hint="eastAsia"/>
                <w:color w:val="auto"/>
                <w:sz w:val="24"/>
                <w:szCs w:val="24"/>
                <w:lang w:eastAsia="zh-CN"/>
              </w:rPr>
              <w:t>，本项目</w:t>
            </w:r>
            <w:r>
              <w:rPr>
                <w:rFonts w:hint="default" w:ascii="Times New Roman" w:hAnsi="Times New Roman" w:cs="Times New Roman"/>
                <w:color w:val="auto"/>
                <w:sz w:val="24"/>
                <w:szCs w:val="24"/>
              </w:rPr>
              <w:t>环境影响评价</w:t>
            </w:r>
            <w:r>
              <w:rPr>
                <w:rFonts w:hint="eastAsia" w:cs="Times New Roman"/>
                <w:color w:val="auto"/>
                <w:sz w:val="24"/>
                <w:szCs w:val="24"/>
                <w:lang w:eastAsia="zh-CN"/>
              </w:rPr>
              <w:t>分类如下：</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5"/>
              <w:gridCol w:w="1473"/>
              <w:gridCol w:w="3927"/>
              <w:gridCol w:w="2481"/>
            </w:tblGrid>
            <w:tr w14:paraId="770CC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334" w:type="pct"/>
                  <w:tcBorders>
                    <w:tl2br w:val="nil"/>
                    <w:tr2bl w:val="nil"/>
                  </w:tcBorders>
                  <w:noWrap w:val="0"/>
                  <w:vAlign w:val="center"/>
                </w:tcPr>
                <w:p w14:paraId="742FED63">
                  <w:pPr>
                    <w:pStyle w:val="13"/>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Cs w:val="21"/>
                    </w:rPr>
                    <w:t>序号</w:t>
                  </w:r>
                </w:p>
              </w:tc>
              <w:tc>
                <w:tcPr>
                  <w:tcW w:w="872" w:type="pct"/>
                  <w:tcBorders>
                    <w:tl2br w:val="nil"/>
                    <w:tr2bl w:val="nil"/>
                  </w:tcBorders>
                  <w:noWrap w:val="0"/>
                  <w:vAlign w:val="center"/>
                </w:tcPr>
                <w:p w14:paraId="519BC61D">
                  <w:pPr>
                    <w:pStyle w:val="13"/>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Cs/>
                      <w:color w:val="auto"/>
                      <w:szCs w:val="21"/>
                    </w:rPr>
                    <w:t>行业类别</w:t>
                  </w:r>
                </w:p>
              </w:tc>
              <w:tc>
                <w:tcPr>
                  <w:tcW w:w="2324" w:type="pct"/>
                  <w:tcBorders>
                    <w:tl2br w:val="nil"/>
                    <w:tr2bl w:val="nil"/>
                  </w:tcBorders>
                  <w:noWrap w:val="0"/>
                  <w:vAlign w:val="center"/>
                </w:tcPr>
                <w:p w14:paraId="77A7F3AB">
                  <w:pPr>
                    <w:pStyle w:val="69"/>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Cs/>
                      <w:color w:val="auto"/>
                      <w:szCs w:val="21"/>
                    </w:rPr>
                    <w:t>类别</w:t>
                  </w:r>
                </w:p>
              </w:tc>
              <w:tc>
                <w:tcPr>
                  <w:tcW w:w="1468" w:type="pct"/>
                  <w:tcBorders>
                    <w:tl2br w:val="nil"/>
                    <w:tr2bl w:val="nil"/>
                  </w:tcBorders>
                  <w:noWrap w:val="0"/>
                  <w:vAlign w:val="center"/>
                </w:tcPr>
                <w:p w14:paraId="129E8A56">
                  <w:pPr>
                    <w:pStyle w:val="69"/>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备注</w:t>
                  </w:r>
                </w:p>
              </w:tc>
            </w:tr>
            <w:tr w14:paraId="4D13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334" w:type="pct"/>
                  <w:tcBorders>
                    <w:tl2br w:val="nil"/>
                    <w:tr2bl w:val="nil"/>
                  </w:tcBorders>
                  <w:noWrap w:val="0"/>
                  <w:vAlign w:val="center"/>
                </w:tcPr>
                <w:p w14:paraId="104F26EF">
                  <w:pPr>
                    <w:pStyle w:val="98"/>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w:t>
                  </w:r>
                </w:p>
              </w:tc>
              <w:tc>
                <w:tcPr>
                  <w:tcW w:w="872" w:type="pct"/>
                  <w:tcBorders>
                    <w:tl2br w:val="nil"/>
                    <w:tr2bl w:val="nil"/>
                  </w:tcBorders>
                  <w:noWrap w:val="0"/>
                  <w:vAlign w:val="center"/>
                </w:tcPr>
                <w:p w14:paraId="5CAF31C4">
                  <w:pPr>
                    <w:pStyle w:val="98"/>
                    <w:keepNext w:val="0"/>
                    <w:keepLines w:val="0"/>
                    <w:pageBreakBefore w:val="0"/>
                    <w:widowControl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Q8411综合医院</w:t>
                  </w:r>
                </w:p>
              </w:tc>
              <w:tc>
                <w:tcPr>
                  <w:tcW w:w="2324" w:type="pct"/>
                  <w:tcBorders>
                    <w:tl2br w:val="nil"/>
                    <w:tr2bl w:val="nil"/>
                  </w:tcBorders>
                  <w:noWrap w:val="0"/>
                  <w:vAlign w:val="center"/>
                </w:tcPr>
                <w:p w14:paraId="453B9C8F">
                  <w:pPr>
                    <w:pStyle w:val="69"/>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eastAsia="宋体" w:cs="Times New Roman"/>
                      <w:color w:val="auto"/>
                      <w:w w:val="100"/>
                      <w:sz w:val="21"/>
                      <w:szCs w:val="21"/>
                      <w:highlight w:val="none"/>
                      <w:lang w:val="en-US" w:eastAsia="zh-CN"/>
                    </w:rPr>
                    <w:t>四十九、卫生—108医院841—其他（住院床位20张以下的除外）</w:t>
                  </w:r>
                </w:p>
              </w:tc>
              <w:tc>
                <w:tcPr>
                  <w:tcW w:w="1468" w:type="pct"/>
                  <w:tcBorders>
                    <w:tl2br w:val="nil"/>
                    <w:tr2bl w:val="nil"/>
                  </w:tcBorders>
                  <w:noWrap w:val="0"/>
                  <w:vAlign w:val="center"/>
                </w:tcPr>
                <w:p w14:paraId="4733AAEF">
                  <w:pPr>
                    <w:pStyle w:val="69"/>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需要进行环境影响评价</w:t>
                  </w:r>
                  <w:r>
                    <w:rPr>
                      <w:rFonts w:hint="eastAsia"/>
                      <w:color w:val="auto"/>
                      <w:lang w:eastAsia="zh-CN"/>
                    </w:rPr>
                    <w:t>，编制环境影响评价报告表</w:t>
                  </w:r>
                </w:p>
              </w:tc>
            </w:tr>
          </w:tbl>
          <w:p w14:paraId="7D971F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eastAsia="zh-CN"/>
              </w:rPr>
              <w:t>综上，本项目</w:t>
            </w:r>
            <w:r>
              <w:rPr>
                <w:rFonts w:ascii="Times New Roman" w:hAnsi="Times New Roman" w:eastAsia="宋体" w:cs="Times New Roman"/>
                <w:color w:val="auto"/>
                <w:sz w:val="24"/>
              </w:rPr>
              <w:t>应编制环境影响评价报告表，受</w:t>
            </w:r>
            <w:r>
              <w:rPr>
                <w:rFonts w:hint="eastAsia" w:ascii="Times New Roman" w:hAnsi="Times New Roman" w:eastAsia="宋体" w:cs="Times New Roman"/>
                <w:color w:val="auto"/>
                <w:sz w:val="24"/>
                <w:lang w:val="en-US" w:eastAsia="zh-CN"/>
              </w:rPr>
              <w:t>淮南市第五人民医院</w:t>
            </w:r>
            <w:r>
              <w:rPr>
                <w:rFonts w:ascii="Times New Roman" w:hAnsi="Times New Roman" w:eastAsia="宋体" w:cs="Times New Roman"/>
                <w:color w:val="auto"/>
                <w:sz w:val="24"/>
              </w:rPr>
              <w:t>委托，</w:t>
            </w:r>
            <w:r>
              <w:rPr>
                <w:rFonts w:hint="eastAsia" w:ascii="Times New Roman" w:hAnsi="Times New Roman" w:eastAsia="宋体" w:cs="Times New Roman"/>
                <w:color w:val="auto"/>
                <w:sz w:val="24"/>
                <w:lang w:eastAsia="zh-CN"/>
              </w:rPr>
              <w:t>安徽璟润环境科技有限公司</w:t>
            </w:r>
            <w:r>
              <w:rPr>
                <w:rFonts w:ascii="Times New Roman" w:hAnsi="Times New Roman" w:eastAsia="宋体" w:cs="Times New Roman"/>
                <w:color w:val="auto"/>
                <w:sz w:val="24"/>
              </w:rPr>
              <w:t>承担本项目的环境影响评价工作。在经过现场踏勘、资料收集和同类企业类比调查研究的基础上，编制了该项目的环境影响评价报告表</w:t>
            </w:r>
            <w:r>
              <w:rPr>
                <w:rFonts w:hint="eastAsia" w:ascii="Times New Roman" w:hAnsi="Times New Roman" w:eastAsia="宋体" w:cs="Times New Roman"/>
                <w:color w:val="auto"/>
                <w:sz w:val="24"/>
                <w:lang w:val="en-US" w:eastAsia="zh-CN"/>
              </w:rPr>
              <w:t>。</w:t>
            </w:r>
          </w:p>
          <w:p w14:paraId="54CF6C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2" w:firstLineChars="200"/>
              <w:jc w:val="both"/>
              <w:textAlignment w:val="auto"/>
              <w:rPr>
                <w:rFonts w:hint="default"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本次环评不涉及放射科等辐射设备相关内容，放射科等辐射设备须另行申报，办理环评手续。</w:t>
            </w:r>
          </w:p>
          <w:p w14:paraId="65238D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2" w:firstLineChars="200"/>
              <w:jc w:val="both"/>
              <w:textAlignment w:val="auto"/>
              <w:rPr>
                <w:rFonts w:hint="default" w:ascii="Times New Roman" w:hAnsi="Times New Roman" w:cs="Times New Roman"/>
                <w:b/>
                <w:color w:val="auto"/>
                <w:kern w:val="2"/>
                <w:sz w:val="24"/>
                <w:szCs w:val="32"/>
              </w:rPr>
            </w:pPr>
            <w:r>
              <w:rPr>
                <w:rFonts w:hint="eastAsia" w:cs="Times New Roman"/>
                <w:b/>
                <w:color w:val="auto"/>
                <w:kern w:val="2"/>
                <w:sz w:val="24"/>
                <w:szCs w:val="32"/>
                <w:lang w:val="en-US" w:eastAsia="zh-CN"/>
              </w:rPr>
              <w:t>2</w:t>
            </w:r>
            <w:r>
              <w:rPr>
                <w:rFonts w:hint="default" w:ascii="Times New Roman" w:hAnsi="Times New Roman" w:cs="Times New Roman"/>
                <w:b/>
                <w:color w:val="auto"/>
                <w:kern w:val="2"/>
                <w:sz w:val="24"/>
                <w:szCs w:val="32"/>
              </w:rPr>
              <w:t>、项目名称、地点、建设单位</w:t>
            </w:r>
          </w:p>
          <w:p w14:paraId="0949D0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cs="Times New Roman"/>
                <w:color w:val="auto"/>
                <w:kern w:val="2"/>
                <w:sz w:val="24"/>
                <w:szCs w:val="32"/>
              </w:rPr>
            </w:pPr>
            <w:r>
              <w:rPr>
                <w:rFonts w:hint="default" w:ascii="Times New Roman" w:hAnsi="Times New Roman" w:cs="Times New Roman"/>
                <w:color w:val="auto"/>
                <w:kern w:val="2"/>
                <w:sz w:val="24"/>
                <w:szCs w:val="32"/>
              </w:rPr>
              <w:t>建设单位：</w:t>
            </w:r>
            <w:r>
              <w:rPr>
                <w:rFonts w:hint="eastAsia" w:cs="Times New Roman"/>
                <w:color w:val="auto"/>
                <w:kern w:val="2"/>
                <w:sz w:val="24"/>
                <w:szCs w:val="32"/>
                <w:lang w:val="en-US" w:eastAsia="zh-CN"/>
              </w:rPr>
              <w:t>淮南市第五人民医院</w:t>
            </w:r>
            <w:r>
              <w:rPr>
                <w:rFonts w:hint="default" w:ascii="Times New Roman" w:hAnsi="Times New Roman" w:cs="Times New Roman"/>
                <w:color w:val="auto"/>
                <w:kern w:val="2"/>
                <w:sz w:val="24"/>
                <w:szCs w:val="32"/>
              </w:rPr>
              <w:t>；</w:t>
            </w:r>
          </w:p>
          <w:p w14:paraId="7A8561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cs="Times New Roman"/>
                <w:color w:val="auto"/>
                <w:kern w:val="2"/>
                <w:sz w:val="24"/>
                <w:szCs w:val="32"/>
              </w:rPr>
            </w:pPr>
            <w:r>
              <w:rPr>
                <w:rFonts w:hint="default" w:ascii="Times New Roman" w:hAnsi="Times New Roman" w:cs="Times New Roman"/>
                <w:color w:val="auto"/>
                <w:kern w:val="2"/>
                <w:sz w:val="24"/>
                <w:szCs w:val="32"/>
              </w:rPr>
              <w:t>项目名称：</w:t>
            </w:r>
            <w:r>
              <w:rPr>
                <w:rFonts w:hint="eastAsia" w:cs="Times New Roman"/>
                <w:color w:val="auto"/>
                <w:sz w:val="24"/>
                <w:szCs w:val="24"/>
                <w:lang w:eastAsia="zh-CN"/>
              </w:rPr>
              <w:t>淮南市第五人民医院综合能力提升项目</w:t>
            </w:r>
            <w:r>
              <w:rPr>
                <w:rFonts w:hint="default" w:ascii="Times New Roman" w:hAnsi="Times New Roman" w:cs="Times New Roman"/>
                <w:color w:val="auto"/>
                <w:kern w:val="2"/>
                <w:sz w:val="24"/>
                <w:szCs w:val="32"/>
              </w:rPr>
              <w:t>；</w:t>
            </w:r>
          </w:p>
          <w:p w14:paraId="017DDA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cs="Times New Roman"/>
                <w:color w:val="auto"/>
                <w:kern w:val="2"/>
                <w:sz w:val="24"/>
                <w:szCs w:val="32"/>
              </w:rPr>
            </w:pPr>
            <w:r>
              <w:rPr>
                <w:rFonts w:hint="default" w:ascii="Times New Roman" w:hAnsi="Times New Roman" w:cs="Times New Roman"/>
                <w:color w:val="auto"/>
                <w:kern w:val="2"/>
                <w:sz w:val="24"/>
                <w:szCs w:val="32"/>
              </w:rPr>
              <w:t>建设地点：</w:t>
            </w:r>
            <w:r>
              <w:rPr>
                <w:rFonts w:hint="eastAsia" w:cs="Times New Roman"/>
                <w:color w:val="auto"/>
                <w:kern w:val="2"/>
                <w:sz w:val="24"/>
                <w:szCs w:val="32"/>
                <w:lang w:eastAsia="zh-CN"/>
              </w:rPr>
              <w:t>安徽省淮南市潘集区珠江路北侧、武夷山路西侧</w:t>
            </w:r>
            <w:r>
              <w:rPr>
                <w:rFonts w:hint="default" w:ascii="Times New Roman" w:hAnsi="Times New Roman" w:cs="Times New Roman"/>
                <w:color w:val="auto"/>
                <w:kern w:val="2"/>
                <w:sz w:val="24"/>
                <w:szCs w:val="32"/>
              </w:rPr>
              <w:t>；</w:t>
            </w:r>
          </w:p>
          <w:p w14:paraId="16514E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cs="Times New Roman"/>
                <w:color w:val="auto"/>
                <w:kern w:val="2"/>
                <w:sz w:val="24"/>
                <w:szCs w:val="32"/>
                <w:lang w:val="en-US" w:eastAsia="zh-CN"/>
              </w:rPr>
            </w:pPr>
            <w:r>
              <w:rPr>
                <w:rFonts w:hint="default" w:ascii="Times New Roman" w:hAnsi="Times New Roman" w:cs="Times New Roman"/>
                <w:color w:val="auto"/>
                <w:kern w:val="2"/>
                <w:sz w:val="24"/>
                <w:szCs w:val="32"/>
                <w:lang w:val="en-US" w:eastAsia="zh-CN"/>
              </w:rPr>
              <w:t>建设规模：</w:t>
            </w:r>
            <w:r>
              <w:rPr>
                <w:rFonts w:hint="eastAsia" w:ascii="Times New Roman" w:hAnsi="Times New Roman" w:eastAsia="宋体" w:cs="Times New Roman"/>
                <w:sz w:val="24"/>
                <w:lang w:val="en-US" w:eastAsia="zh-CN"/>
              </w:rPr>
              <w:t>新建住院综合楼及其裙房，建筑面积共计</w:t>
            </w:r>
            <w:r>
              <w:rPr>
                <w:rFonts w:hint="default" w:ascii="Times New Roman" w:hAnsi="Times New Roman" w:eastAsia="宋体" w:cs="Times New Roman"/>
                <w:sz w:val="24"/>
                <w:lang w:val="en-US" w:eastAsia="zh-CN"/>
              </w:rPr>
              <w:t>17549.4</w:t>
            </w:r>
            <w:r>
              <w:rPr>
                <w:rFonts w:hint="eastAsia" w:ascii="Times New Roman" w:hAnsi="Times New Roman" w:eastAsia="宋体" w:cs="Times New Roman"/>
                <w:sz w:val="24"/>
                <w:lang w:val="en-US" w:eastAsia="zh-CN"/>
              </w:rPr>
              <w:t>平方米，其中地上建筑面积</w:t>
            </w:r>
            <w:r>
              <w:rPr>
                <w:rFonts w:hint="default" w:ascii="Times New Roman" w:hAnsi="Times New Roman" w:eastAsia="宋体" w:cs="Times New Roman"/>
                <w:sz w:val="24"/>
                <w:lang w:val="en-US" w:eastAsia="zh-CN"/>
              </w:rPr>
              <w:t>12698.8</w:t>
            </w:r>
            <w:r>
              <w:rPr>
                <w:rFonts w:hint="eastAsia" w:ascii="Times New Roman" w:hAnsi="Times New Roman" w:eastAsia="宋体" w:cs="Times New Roman"/>
                <w:sz w:val="24"/>
                <w:lang w:val="en-US" w:eastAsia="zh-CN"/>
              </w:rPr>
              <w:t>平方米，地下建筑面积</w:t>
            </w:r>
            <w:r>
              <w:rPr>
                <w:rFonts w:hint="default" w:ascii="Times New Roman" w:hAnsi="Times New Roman" w:eastAsia="宋体" w:cs="Times New Roman"/>
                <w:sz w:val="24"/>
                <w:lang w:val="en-US" w:eastAsia="zh-CN"/>
              </w:rPr>
              <w:t>4850.6</w:t>
            </w:r>
            <w:r>
              <w:rPr>
                <w:rFonts w:hint="eastAsia" w:ascii="Times New Roman" w:hAnsi="Times New Roman" w:eastAsia="宋体" w:cs="Times New Roman"/>
                <w:sz w:val="24"/>
                <w:lang w:val="en-US" w:eastAsia="zh-CN"/>
              </w:rPr>
              <w:t>平方米，建设智能化工程、消防工程、供配电、给排水等配套设施，相关设备购置等；新增</w:t>
            </w:r>
            <w:r>
              <w:rPr>
                <w:rFonts w:hint="default" w:ascii="Times New Roman" w:hAnsi="Times New Roman" w:eastAsia="宋体" w:cs="Times New Roman"/>
                <w:sz w:val="24"/>
                <w:lang w:val="en-US" w:eastAsia="zh-CN"/>
              </w:rPr>
              <w:t>140</w:t>
            </w:r>
            <w:r>
              <w:rPr>
                <w:rFonts w:hint="eastAsia" w:ascii="Times New Roman" w:hAnsi="Times New Roman" w:eastAsia="宋体" w:cs="Times New Roman"/>
                <w:sz w:val="24"/>
                <w:lang w:val="en-US" w:eastAsia="zh-CN"/>
              </w:rPr>
              <w:t>个机动车停车位，</w:t>
            </w:r>
            <w:r>
              <w:rPr>
                <w:rFonts w:hint="default" w:ascii="Times New Roman" w:hAnsi="Times New Roman" w:eastAsia="宋体" w:cs="Times New Roman"/>
                <w:sz w:val="24"/>
                <w:lang w:val="en-US" w:eastAsia="zh-CN"/>
              </w:rPr>
              <w:t>50</w:t>
            </w:r>
            <w:r>
              <w:rPr>
                <w:rFonts w:hint="eastAsia" w:ascii="Times New Roman" w:hAnsi="Times New Roman" w:eastAsia="宋体" w:cs="Times New Roman"/>
                <w:sz w:val="24"/>
                <w:lang w:val="en-US" w:eastAsia="zh-CN"/>
              </w:rPr>
              <w:t>个</w:t>
            </w:r>
            <w:r>
              <w:rPr>
                <w:rFonts w:hint="default" w:ascii="Times New Roman" w:hAnsi="Times New Roman" w:eastAsia="宋体" w:cs="Times New Roman"/>
                <w:sz w:val="24"/>
                <w:lang w:val="en-US" w:eastAsia="zh-CN"/>
              </w:rPr>
              <w:t>120KW</w:t>
            </w:r>
            <w:r>
              <w:rPr>
                <w:rFonts w:hint="eastAsia" w:ascii="Times New Roman" w:hAnsi="Times New Roman" w:eastAsia="宋体" w:cs="Times New Roman"/>
                <w:sz w:val="24"/>
                <w:lang w:val="en-US" w:eastAsia="zh-CN"/>
              </w:rPr>
              <w:t>充电桩，同步新增</w:t>
            </w:r>
            <w:r>
              <w:rPr>
                <w:rFonts w:hint="default" w:ascii="Times New Roman" w:hAnsi="Times New Roman" w:eastAsia="宋体" w:cs="Times New Roman"/>
                <w:sz w:val="24"/>
                <w:lang w:val="en-US" w:eastAsia="zh-CN"/>
              </w:rPr>
              <w:t>260</w:t>
            </w:r>
            <w:r>
              <w:rPr>
                <w:rFonts w:hint="eastAsia" w:ascii="Times New Roman" w:hAnsi="Times New Roman" w:eastAsia="宋体" w:cs="Times New Roman"/>
                <w:sz w:val="24"/>
                <w:lang w:val="en-US" w:eastAsia="zh-CN"/>
              </w:rPr>
              <w:t>个床位数。对原住院楼综合提升改造，改造范围为</w:t>
            </w:r>
            <w:r>
              <w:rPr>
                <w:rFonts w:hint="default" w:ascii="Times New Roman" w:hAnsi="Times New Roman" w:eastAsia="宋体" w:cs="Times New Roman"/>
                <w:sz w:val="24"/>
                <w:lang w:val="en-US" w:eastAsia="zh-CN"/>
              </w:rPr>
              <w:t>4-12</w:t>
            </w:r>
            <w:r>
              <w:rPr>
                <w:rFonts w:hint="eastAsia" w:ascii="Times New Roman" w:hAnsi="Times New Roman" w:eastAsia="宋体" w:cs="Times New Roman"/>
                <w:sz w:val="24"/>
                <w:lang w:val="en-US" w:eastAsia="zh-CN"/>
              </w:rPr>
              <w:t>层，</w:t>
            </w:r>
            <w:r>
              <w:rPr>
                <w:rFonts w:hint="eastAsia" w:cs="Times New Roman"/>
                <w:sz w:val="24"/>
                <w:lang w:val="en-US" w:eastAsia="zh-CN"/>
              </w:rPr>
              <w:t>改造</w:t>
            </w:r>
            <w:r>
              <w:rPr>
                <w:rFonts w:hint="eastAsia" w:ascii="Times New Roman" w:hAnsi="Times New Roman" w:eastAsia="宋体" w:cs="Times New Roman"/>
                <w:sz w:val="24"/>
                <w:lang w:val="en-US" w:eastAsia="zh-CN"/>
              </w:rPr>
              <w:t>建筑面积</w:t>
            </w:r>
            <w:r>
              <w:rPr>
                <w:rFonts w:hint="default" w:ascii="Times New Roman" w:hAnsi="Times New Roman" w:eastAsia="宋体" w:cs="Times New Roman"/>
                <w:sz w:val="24"/>
                <w:lang w:val="en-US" w:eastAsia="zh-CN"/>
              </w:rPr>
              <w:t>11385.00</w:t>
            </w:r>
            <w:r>
              <w:rPr>
                <w:rFonts w:hint="eastAsia" w:ascii="Times New Roman" w:hAnsi="Times New Roman" w:eastAsia="宋体" w:cs="Times New Roman"/>
                <w:sz w:val="24"/>
                <w:lang w:val="en-US" w:eastAsia="zh-CN"/>
              </w:rPr>
              <w:t>平方米，将原有的</w:t>
            </w:r>
            <w:r>
              <w:rPr>
                <w:rFonts w:hint="default" w:ascii="Times New Roman" w:hAnsi="Times New Roman" w:eastAsia="宋体" w:cs="Times New Roman"/>
                <w:sz w:val="24"/>
                <w:lang w:val="en-US" w:eastAsia="zh-CN"/>
              </w:rPr>
              <w:t>180</w:t>
            </w:r>
            <w:r>
              <w:rPr>
                <w:rFonts w:hint="eastAsia" w:ascii="Times New Roman" w:hAnsi="Times New Roman" w:eastAsia="宋体" w:cs="Times New Roman"/>
                <w:sz w:val="24"/>
                <w:lang w:val="en-US" w:eastAsia="zh-CN"/>
              </w:rPr>
              <w:t>张病床全部改造；主要改造内容包括：将原地源热泵空调系统更新为多联机空调系统，对建筑外墙进行翻新，对</w:t>
            </w:r>
            <w:r>
              <w:rPr>
                <w:rFonts w:hint="default" w:ascii="Times New Roman" w:hAnsi="Times New Roman" w:eastAsia="宋体" w:cs="Times New Roman"/>
                <w:sz w:val="24"/>
                <w:lang w:val="en-US" w:eastAsia="zh-CN"/>
              </w:rPr>
              <w:t>4-12</w:t>
            </w:r>
            <w:r>
              <w:rPr>
                <w:rFonts w:hint="eastAsia" w:ascii="Times New Roman" w:hAnsi="Times New Roman" w:eastAsia="宋体" w:cs="Times New Roman"/>
                <w:sz w:val="24"/>
                <w:lang w:val="en-US" w:eastAsia="zh-CN"/>
              </w:rPr>
              <w:t>层病房及配套卫生间进行改造、对智能化系统进行升级，改造室内集中供氧管道约</w:t>
            </w:r>
            <w:r>
              <w:rPr>
                <w:rFonts w:hint="default" w:ascii="Times New Roman" w:hAnsi="Times New Roman" w:eastAsia="宋体" w:cs="Times New Roman"/>
                <w:sz w:val="24"/>
                <w:lang w:val="en-US" w:eastAsia="zh-CN"/>
              </w:rPr>
              <w:t>1000</w:t>
            </w:r>
            <w:r>
              <w:rPr>
                <w:rFonts w:hint="eastAsia" w:ascii="Times New Roman" w:hAnsi="Times New Roman" w:eastAsia="宋体" w:cs="Times New Roman"/>
                <w:sz w:val="24"/>
                <w:lang w:val="en-US" w:eastAsia="zh-CN"/>
              </w:rPr>
              <w:t>米</w:t>
            </w:r>
            <w:r>
              <w:rPr>
                <w:rFonts w:hint="eastAsia"/>
                <w:color w:val="auto"/>
                <w:sz w:val="24"/>
                <w:lang w:val="en-US" w:eastAsia="zh-CN"/>
              </w:rPr>
              <w:t>；</w:t>
            </w:r>
          </w:p>
          <w:p w14:paraId="797457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cs="Times New Roman"/>
                <w:color w:val="auto"/>
                <w:kern w:val="2"/>
                <w:sz w:val="24"/>
                <w:szCs w:val="32"/>
              </w:rPr>
            </w:pPr>
            <w:r>
              <w:rPr>
                <w:rFonts w:hint="default" w:ascii="Times New Roman" w:hAnsi="Times New Roman" w:cs="Times New Roman"/>
                <w:color w:val="auto"/>
                <w:kern w:val="2"/>
                <w:sz w:val="24"/>
                <w:szCs w:val="32"/>
              </w:rPr>
              <w:t>建设性质：</w:t>
            </w:r>
            <w:r>
              <w:rPr>
                <w:rFonts w:hint="eastAsia" w:cs="Times New Roman"/>
                <w:color w:val="auto"/>
                <w:kern w:val="2"/>
                <w:sz w:val="24"/>
                <w:szCs w:val="32"/>
                <w:lang w:val="en-US" w:eastAsia="zh-CN"/>
              </w:rPr>
              <w:t>扩建。</w:t>
            </w:r>
          </w:p>
          <w:p w14:paraId="55E025D9">
            <w:pPr>
              <w:keepNext w:val="0"/>
              <w:keepLines w:val="0"/>
              <w:pageBreakBefore w:val="0"/>
              <w:widowControl w:val="0"/>
              <w:suppressLineNumbers w:val="0"/>
              <w:tabs>
                <w:tab w:val="left" w:pos="3255"/>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kern w:val="2"/>
                <w:sz w:val="21"/>
                <w:szCs w:val="18"/>
              </w:rPr>
            </w:pPr>
            <w:r>
              <w:rPr>
                <w:rFonts w:hint="default" w:ascii="Times New Roman" w:hAnsi="Times New Roman" w:cs="Times New Roman"/>
                <w:b/>
                <w:color w:val="auto"/>
                <w:kern w:val="2"/>
                <w:sz w:val="24"/>
                <w:szCs w:val="21"/>
              </w:rPr>
              <w:t>表</w:t>
            </w:r>
            <w:r>
              <w:rPr>
                <w:rFonts w:hint="default" w:ascii="Times New Roman" w:hAnsi="Times New Roman" w:cs="Times New Roman"/>
                <w:b/>
                <w:color w:val="auto"/>
                <w:kern w:val="2"/>
                <w:sz w:val="24"/>
                <w:szCs w:val="21"/>
                <w:lang w:val="en-US" w:eastAsia="zh-CN"/>
              </w:rPr>
              <w:t>2-</w:t>
            </w:r>
            <w:r>
              <w:rPr>
                <w:rFonts w:hint="default" w:ascii="Times New Roman" w:hAnsi="Times New Roman" w:cs="Times New Roman"/>
                <w:b/>
                <w:color w:val="auto"/>
                <w:kern w:val="2"/>
                <w:sz w:val="24"/>
                <w:szCs w:val="21"/>
              </w:rPr>
              <w:t>1  建设项目组成一览表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gridCol w:w="810"/>
              <w:gridCol w:w="690"/>
              <w:gridCol w:w="2639"/>
              <w:gridCol w:w="2684"/>
              <w:gridCol w:w="1189"/>
            </w:tblGrid>
            <w:tr w14:paraId="2F7B3A80">
              <w:tblPrEx>
                <w:tblCellMar>
                  <w:top w:w="0" w:type="dxa"/>
                  <w:left w:w="108" w:type="dxa"/>
                  <w:bottom w:w="0" w:type="dxa"/>
                  <w:right w:w="108" w:type="dxa"/>
                </w:tblCellMar>
              </w:tblPrEx>
              <w:trPr>
                <w:trHeight w:val="0" w:hRule="atLeast"/>
                <w:jc w:val="center"/>
              </w:trPr>
              <w:tc>
                <w:tcPr>
                  <w:tcW w:w="257" w:type="pct"/>
                  <w:vAlign w:val="center"/>
                </w:tcPr>
                <w:p w14:paraId="1FDB19D0">
                  <w:pPr>
                    <w:jc w:val="center"/>
                    <w:rPr>
                      <w:b/>
                    </w:rPr>
                  </w:pPr>
                  <w:bookmarkStart w:id="2" w:name="OLE_LINK103"/>
                  <w:bookmarkStart w:id="3" w:name="OLE_LINK105"/>
                  <w:bookmarkStart w:id="4" w:name="OLE_LINK104"/>
                  <w:r>
                    <w:rPr>
                      <w:b/>
                    </w:rPr>
                    <w:t>类别</w:t>
                  </w:r>
                </w:p>
              </w:tc>
              <w:tc>
                <w:tcPr>
                  <w:tcW w:w="887" w:type="pct"/>
                  <w:gridSpan w:val="2"/>
                  <w:vAlign w:val="center"/>
                </w:tcPr>
                <w:p w14:paraId="782547E1">
                  <w:pPr>
                    <w:jc w:val="center"/>
                    <w:rPr>
                      <w:b/>
                    </w:rPr>
                  </w:pPr>
                  <w:r>
                    <w:rPr>
                      <w:b/>
                    </w:rPr>
                    <w:t>建设名称</w:t>
                  </w:r>
                </w:p>
              </w:tc>
              <w:tc>
                <w:tcPr>
                  <w:tcW w:w="1562" w:type="pct"/>
                  <w:vAlign w:val="center"/>
                </w:tcPr>
                <w:p w14:paraId="49AE6241">
                  <w:pPr>
                    <w:jc w:val="center"/>
                    <w:rPr>
                      <w:b/>
                    </w:rPr>
                  </w:pPr>
                  <w:r>
                    <w:rPr>
                      <w:rFonts w:hint="eastAsia"/>
                      <w:b/>
                    </w:rPr>
                    <w:t>现有项目</w:t>
                  </w:r>
                  <w:r>
                    <w:rPr>
                      <w:b/>
                    </w:rPr>
                    <w:t>内容及规模</w:t>
                  </w:r>
                </w:p>
              </w:tc>
              <w:tc>
                <w:tcPr>
                  <w:tcW w:w="1588" w:type="pct"/>
                  <w:vAlign w:val="center"/>
                </w:tcPr>
                <w:p w14:paraId="34DD6E6B">
                  <w:pPr>
                    <w:jc w:val="center"/>
                    <w:rPr>
                      <w:b/>
                    </w:rPr>
                  </w:pPr>
                  <w:r>
                    <w:rPr>
                      <w:rFonts w:hint="eastAsia"/>
                      <w:b/>
                      <w:lang w:eastAsia="zh-CN"/>
                    </w:rPr>
                    <w:t>扩建后</w:t>
                  </w:r>
                  <w:r>
                    <w:rPr>
                      <w:b/>
                    </w:rPr>
                    <w:t>工程内容及规模</w:t>
                  </w:r>
                </w:p>
              </w:tc>
              <w:tc>
                <w:tcPr>
                  <w:tcW w:w="704" w:type="pct"/>
                  <w:vAlign w:val="center"/>
                </w:tcPr>
                <w:p w14:paraId="0291549A">
                  <w:pPr>
                    <w:jc w:val="center"/>
                    <w:rPr>
                      <w:b/>
                    </w:rPr>
                  </w:pPr>
                  <w:r>
                    <w:rPr>
                      <w:rFonts w:hint="eastAsia"/>
                      <w:b/>
                    </w:rPr>
                    <w:t>备注</w:t>
                  </w:r>
                </w:p>
              </w:tc>
            </w:tr>
            <w:tr w14:paraId="355B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restart"/>
                  <w:vAlign w:val="center"/>
                </w:tcPr>
                <w:p w14:paraId="67753877">
                  <w:pPr>
                    <w:jc w:val="center"/>
                  </w:pPr>
                  <w:r>
                    <w:t>主体工程</w:t>
                  </w:r>
                </w:p>
              </w:tc>
              <w:tc>
                <w:tcPr>
                  <w:tcW w:w="479" w:type="pct"/>
                  <w:vMerge w:val="restart"/>
                  <w:vAlign w:val="center"/>
                </w:tcPr>
                <w:p w14:paraId="49B1F8BE">
                  <w:pPr>
                    <w:jc w:val="center"/>
                    <w:rPr>
                      <w:rFonts w:hint="eastAsia" w:eastAsia="宋体"/>
                      <w:lang w:eastAsia="zh-CN"/>
                    </w:rPr>
                  </w:pPr>
                  <w:r>
                    <w:rPr>
                      <w:rFonts w:hint="eastAsia"/>
                      <w:lang w:eastAsia="zh-CN"/>
                    </w:rPr>
                    <w:t>门诊大楼（建筑面积</w:t>
                  </w:r>
                  <w:r>
                    <w:rPr>
                      <w:rFonts w:hint="eastAsia"/>
                      <w:lang w:val="en-US" w:eastAsia="zh-CN"/>
                    </w:rPr>
                    <w:t>8107m</w:t>
                  </w:r>
                  <w:r>
                    <w:rPr>
                      <w:rFonts w:hint="eastAsia"/>
                      <w:vertAlign w:val="superscript"/>
                      <w:lang w:val="en-US" w:eastAsia="zh-CN"/>
                    </w:rPr>
                    <w:t>2</w:t>
                  </w:r>
                  <w:r>
                    <w:rPr>
                      <w:rFonts w:hint="eastAsia"/>
                      <w:lang w:eastAsia="zh-CN"/>
                    </w:rPr>
                    <w:t>）</w:t>
                  </w:r>
                </w:p>
              </w:tc>
              <w:tc>
                <w:tcPr>
                  <w:tcW w:w="408" w:type="pct"/>
                  <w:vAlign w:val="center"/>
                </w:tcPr>
                <w:p w14:paraId="5A56FC0C">
                  <w:pPr>
                    <w:jc w:val="center"/>
                    <w:rPr>
                      <w:rFonts w:hint="default" w:eastAsia="宋体"/>
                      <w:lang w:val="en-US" w:eastAsia="zh-CN"/>
                    </w:rPr>
                  </w:pPr>
                  <w:r>
                    <w:rPr>
                      <w:rFonts w:hint="eastAsia"/>
                      <w:lang w:val="en-US" w:eastAsia="zh-CN"/>
                    </w:rPr>
                    <w:t>-1F</w:t>
                  </w:r>
                </w:p>
              </w:tc>
              <w:tc>
                <w:tcPr>
                  <w:tcW w:w="1562" w:type="pct"/>
                  <w:vAlign w:val="center"/>
                </w:tcPr>
                <w:p w14:paraId="00B3E7E6">
                  <w:pPr>
                    <w:jc w:val="center"/>
                    <w:rPr>
                      <w:rFonts w:hint="eastAsia" w:eastAsia="宋体"/>
                      <w:lang w:eastAsia="zh-CN"/>
                    </w:rPr>
                  </w:pPr>
                  <w:r>
                    <w:rPr>
                      <w:rFonts w:hint="eastAsia"/>
                      <w:szCs w:val="21"/>
                      <w:lang w:eastAsia="zh-CN"/>
                    </w:rPr>
                    <w:t>地下车库、配电房。</w:t>
                  </w:r>
                </w:p>
              </w:tc>
              <w:tc>
                <w:tcPr>
                  <w:tcW w:w="1588" w:type="pct"/>
                  <w:vAlign w:val="center"/>
                </w:tcPr>
                <w:p w14:paraId="23C0D999">
                  <w:pPr>
                    <w:jc w:val="center"/>
                    <w:rPr>
                      <w:kern w:val="0"/>
                      <w:szCs w:val="21"/>
                    </w:rPr>
                  </w:pPr>
                  <w:r>
                    <w:rPr>
                      <w:rFonts w:hint="eastAsia"/>
                      <w:szCs w:val="21"/>
                      <w:lang w:eastAsia="zh-CN"/>
                    </w:rPr>
                    <w:t>地下车库、配电房。</w:t>
                  </w:r>
                </w:p>
              </w:tc>
              <w:tc>
                <w:tcPr>
                  <w:tcW w:w="704" w:type="pct"/>
                  <w:vAlign w:val="center"/>
                </w:tcPr>
                <w:p w14:paraId="25E22470">
                  <w:pPr>
                    <w:jc w:val="center"/>
                    <w:rPr>
                      <w:rFonts w:hint="eastAsia" w:eastAsia="宋体"/>
                      <w:kern w:val="0"/>
                      <w:szCs w:val="21"/>
                      <w:lang w:eastAsia="zh-CN"/>
                    </w:rPr>
                  </w:pPr>
                  <w:r>
                    <w:rPr>
                      <w:rFonts w:hint="eastAsia"/>
                      <w:kern w:val="0"/>
                      <w:szCs w:val="21"/>
                      <w:lang w:eastAsia="zh-CN"/>
                    </w:rPr>
                    <w:t>无变化</w:t>
                  </w:r>
                </w:p>
              </w:tc>
            </w:tr>
            <w:tr w14:paraId="3C412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1E0ECF13">
                  <w:pPr>
                    <w:jc w:val="center"/>
                  </w:pPr>
                </w:p>
              </w:tc>
              <w:tc>
                <w:tcPr>
                  <w:tcW w:w="479" w:type="pct"/>
                  <w:vMerge w:val="continue"/>
                  <w:vAlign w:val="center"/>
                </w:tcPr>
                <w:p w14:paraId="2D113CAC">
                  <w:pPr>
                    <w:jc w:val="center"/>
                    <w:rPr>
                      <w:rFonts w:hint="eastAsia" w:eastAsia="宋体"/>
                      <w:lang w:eastAsia="zh-CN"/>
                    </w:rPr>
                  </w:pPr>
                </w:p>
              </w:tc>
              <w:tc>
                <w:tcPr>
                  <w:tcW w:w="408" w:type="pct"/>
                  <w:vAlign w:val="center"/>
                </w:tcPr>
                <w:p w14:paraId="40F69059">
                  <w:pPr>
                    <w:jc w:val="center"/>
                    <w:rPr>
                      <w:rFonts w:hint="default" w:eastAsia="宋体"/>
                      <w:lang w:val="en-US" w:eastAsia="zh-CN"/>
                    </w:rPr>
                  </w:pPr>
                  <w:r>
                    <w:rPr>
                      <w:rFonts w:hint="eastAsia"/>
                      <w:lang w:val="en-US" w:eastAsia="zh-CN"/>
                    </w:rPr>
                    <w:t>1F</w:t>
                  </w:r>
                </w:p>
              </w:tc>
              <w:tc>
                <w:tcPr>
                  <w:tcW w:w="1562" w:type="pct"/>
                  <w:vAlign w:val="center"/>
                </w:tcPr>
                <w:p w14:paraId="37EC29C7">
                  <w:pPr>
                    <w:jc w:val="center"/>
                    <w:rPr>
                      <w:rFonts w:hint="eastAsia"/>
                      <w:szCs w:val="21"/>
                      <w:lang w:eastAsia="zh-CN"/>
                    </w:rPr>
                  </w:pPr>
                  <w:r>
                    <w:rPr>
                      <w:rFonts w:hint="eastAsia"/>
                      <w:szCs w:val="21"/>
                      <w:lang w:eastAsia="zh-CN"/>
                    </w:rPr>
                    <w:t>大厅、楼梯间、等候区、输液大厅、公共走廊、电梯厅、诊室、治疗室、观察室、办公室、护士办公室、值班室等；无菌器材室、磁共振、抢救室、洗胃室、药房、中医科、内科专家门诊、消防控制室、收费处、急诊科、导诊台。</w:t>
                  </w:r>
                </w:p>
              </w:tc>
              <w:tc>
                <w:tcPr>
                  <w:tcW w:w="1588" w:type="pct"/>
                  <w:vAlign w:val="center"/>
                </w:tcPr>
                <w:p w14:paraId="1FF085C2">
                  <w:pPr>
                    <w:jc w:val="center"/>
                    <w:rPr>
                      <w:rFonts w:hint="eastAsia"/>
                      <w:szCs w:val="21"/>
                      <w:lang w:eastAsia="zh-CN"/>
                    </w:rPr>
                  </w:pPr>
                  <w:r>
                    <w:rPr>
                      <w:rFonts w:hint="eastAsia"/>
                      <w:szCs w:val="21"/>
                      <w:lang w:eastAsia="zh-CN"/>
                    </w:rPr>
                    <w:t>大厅、楼梯间、等候区、输液大厅、公共走廊、电梯厅、诊室、治疗室、观察室、办公室、护士办公室、值班室等；无菌器材室、磁共振、抢救室、洗胃室、药房、中医科、内科专家门诊、消防控制室、收费处、急诊科、导诊台。</w:t>
                  </w:r>
                </w:p>
              </w:tc>
              <w:tc>
                <w:tcPr>
                  <w:tcW w:w="704" w:type="pct"/>
                  <w:vAlign w:val="center"/>
                </w:tcPr>
                <w:p w14:paraId="41968C37">
                  <w:pPr>
                    <w:jc w:val="center"/>
                    <w:rPr>
                      <w:rFonts w:hint="eastAsia"/>
                      <w:kern w:val="0"/>
                      <w:szCs w:val="21"/>
                    </w:rPr>
                  </w:pPr>
                  <w:r>
                    <w:rPr>
                      <w:rFonts w:hint="eastAsia"/>
                      <w:kern w:val="0"/>
                      <w:szCs w:val="21"/>
                      <w:lang w:eastAsia="zh-CN"/>
                    </w:rPr>
                    <w:t>无变化</w:t>
                  </w:r>
                </w:p>
              </w:tc>
            </w:tr>
            <w:tr w14:paraId="78120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0B92C851">
                  <w:pPr>
                    <w:jc w:val="center"/>
                  </w:pPr>
                </w:p>
              </w:tc>
              <w:tc>
                <w:tcPr>
                  <w:tcW w:w="479" w:type="pct"/>
                  <w:vMerge w:val="continue"/>
                  <w:vAlign w:val="center"/>
                </w:tcPr>
                <w:p w14:paraId="0D4203FD">
                  <w:pPr>
                    <w:jc w:val="center"/>
                    <w:rPr>
                      <w:rFonts w:hint="eastAsia" w:eastAsia="宋体"/>
                      <w:lang w:eastAsia="zh-CN"/>
                    </w:rPr>
                  </w:pPr>
                </w:p>
              </w:tc>
              <w:tc>
                <w:tcPr>
                  <w:tcW w:w="408" w:type="pct"/>
                  <w:vAlign w:val="center"/>
                </w:tcPr>
                <w:p w14:paraId="41C9B7B5">
                  <w:pPr>
                    <w:jc w:val="center"/>
                    <w:rPr>
                      <w:rFonts w:hint="default" w:eastAsia="宋体"/>
                      <w:lang w:val="en-US" w:eastAsia="zh-CN"/>
                    </w:rPr>
                  </w:pPr>
                  <w:r>
                    <w:rPr>
                      <w:rFonts w:hint="eastAsia"/>
                      <w:lang w:val="en-US" w:eastAsia="zh-CN"/>
                    </w:rPr>
                    <w:t>2F</w:t>
                  </w:r>
                </w:p>
              </w:tc>
              <w:tc>
                <w:tcPr>
                  <w:tcW w:w="1562" w:type="pct"/>
                  <w:vAlign w:val="center"/>
                </w:tcPr>
                <w:p w14:paraId="7FBF9E9C">
                  <w:pPr>
                    <w:jc w:val="center"/>
                    <w:rPr>
                      <w:rFonts w:hint="eastAsia"/>
                      <w:szCs w:val="21"/>
                      <w:lang w:eastAsia="zh-CN"/>
                    </w:rPr>
                  </w:pPr>
                  <w:r>
                    <w:rPr>
                      <w:rFonts w:hint="eastAsia"/>
                      <w:szCs w:val="21"/>
                      <w:lang w:eastAsia="zh-CN"/>
                    </w:rPr>
                    <w:t>大厅、楼梯间、等候区、公共走廊、电梯厅、办公室、诊室、治疗室、值班室、医生办公室、手术室、影像科、检验科、外科门诊、内科门诊、超声心动脑电图室、卫生间、更衣室、盥洗间、洗涤消毒室、污洗间、临检、生化、免疫检验室、污物间、标本处理间、抽血、体液检查等设备用房；血库、苏醒麻醉器材、清洁区走廊。</w:t>
                  </w:r>
                </w:p>
              </w:tc>
              <w:tc>
                <w:tcPr>
                  <w:tcW w:w="1588" w:type="pct"/>
                  <w:vAlign w:val="center"/>
                </w:tcPr>
                <w:p w14:paraId="5AF6CF64">
                  <w:pPr>
                    <w:jc w:val="center"/>
                    <w:rPr>
                      <w:rFonts w:hint="eastAsia"/>
                      <w:szCs w:val="21"/>
                      <w:lang w:eastAsia="zh-CN"/>
                    </w:rPr>
                  </w:pPr>
                  <w:r>
                    <w:rPr>
                      <w:rFonts w:hint="eastAsia"/>
                      <w:szCs w:val="21"/>
                      <w:lang w:eastAsia="zh-CN"/>
                    </w:rPr>
                    <w:t>大厅、楼梯间、等候区、公共走廊、电梯厅、办公室、诊室、治疗室、值班室、医生办公室、手术室、影像科、检验科、外科门诊、内科门诊、超声心动脑电图室、卫生间、更衣室、盥洗间、洗涤消毒室、污洗间、临检、生化、免疫检验室、污物间、标本处理间、抽血、体液检查等设备用房；血库、苏醒麻醉器材、清洁区走廊。</w:t>
                  </w:r>
                </w:p>
              </w:tc>
              <w:tc>
                <w:tcPr>
                  <w:tcW w:w="704" w:type="pct"/>
                  <w:vAlign w:val="center"/>
                </w:tcPr>
                <w:p w14:paraId="5C265416">
                  <w:pPr>
                    <w:jc w:val="center"/>
                    <w:rPr>
                      <w:rFonts w:hint="eastAsia"/>
                      <w:kern w:val="0"/>
                      <w:szCs w:val="21"/>
                    </w:rPr>
                  </w:pPr>
                  <w:r>
                    <w:rPr>
                      <w:rFonts w:hint="eastAsia"/>
                      <w:kern w:val="0"/>
                      <w:szCs w:val="21"/>
                      <w:lang w:eastAsia="zh-CN"/>
                    </w:rPr>
                    <w:t>无变化</w:t>
                  </w:r>
                </w:p>
              </w:tc>
            </w:tr>
            <w:tr w14:paraId="33982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6C26E631">
                  <w:pPr>
                    <w:jc w:val="center"/>
                  </w:pPr>
                </w:p>
              </w:tc>
              <w:tc>
                <w:tcPr>
                  <w:tcW w:w="479" w:type="pct"/>
                  <w:vMerge w:val="continue"/>
                  <w:vAlign w:val="center"/>
                </w:tcPr>
                <w:p w14:paraId="7C8BB3EC">
                  <w:pPr>
                    <w:jc w:val="center"/>
                    <w:rPr>
                      <w:rFonts w:hint="eastAsia" w:eastAsia="宋体"/>
                      <w:lang w:eastAsia="zh-CN"/>
                    </w:rPr>
                  </w:pPr>
                </w:p>
              </w:tc>
              <w:tc>
                <w:tcPr>
                  <w:tcW w:w="408" w:type="pct"/>
                  <w:vAlign w:val="center"/>
                </w:tcPr>
                <w:p w14:paraId="4989111A">
                  <w:pPr>
                    <w:jc w:val="center"/>
                    <w:rPr>
                      <w:rFonts w:hint="default" w:eastAsia="宋体"/>
                      <w:lang w:val="en-US" w:eastAsia="zh-CN"/>
                    </w:rPr>
                  </w:pPr>
                  <w:r>
                    <w:rPr>
                      <w:rFonts w:hint="eastAsia"/>
                      <w:lang w:val="en-US" w:eastAsia="zh-CN"/>
                    </w:rPr>
                    <w:t>3F</w:t>
                  </w:r>
                </w:p>
              </w:tc>
              <w:tc>
                <w:tcPr>
                  <w:tcW w:w="1562" w:type="pct"/>
                  <w:vAlign w:val="center"/>
                </w:tcPr>
                <w:p w14:paraId="01F4E2B2">
                  <w:pPr>
                    <w:jc w:val="center"/>
                    <w:rPr>
                      <w:rFonts w:hint="eastAsia"/>
                      <w:szCs w:val="21"/>
                      <w:lang w:eastAsia="zh-CN"/>
                    </w:rPr>
                  </w:pPr>
                  <w:r>
                    <w:rPr>
                      <w:rFonts w:hint="eastAsia"/>
                      <w:szCs w:val="21"/>
                      <w:lang w:eastAsia="zh-CN"/>
                    </w:rPr>
                    <w:t>中厅、楼梯间、等候区、公共走廊、电梯厅、心电图室、办公室、诊室、治疗室、值班室、医生办公室、卫生间、污物间、清洗间、新风机房、水井、配电间等设备用房；病案室、口腔科、五官科、体检科、心电图室。</w:t>
                  </w:r>
                </w:p>
              </w:tc>
              <w:tc>
                <w:tcPr>
                  <w:tcW w:w="1588" w:type="pct"/>
                  <w:vAlign w:val="center"/>
                </w:tcPr>
                <w:p w14:paraId="41B49474">
                  <w:pPr>
                    <w:jc w:val="center"/>
                    <w:rPr>
                      <w:rFonts w:hint="eastAsia"/>
                      <w:szCs w:val="21"/>
                      <w:lang w:eastAsia="zh-CN"/>
                    </w:rPr>
                  </w:pPr>
                  <w:r>
                    <w:rPr>
                      <w:rFonts w:hint="eastAsia"/>
                      <w:szCs w:val="21"/>
                      <w:lang w:eastAsia="zh-CN"/>
                    </w:rPr>
                    <w:t>中厅、楼梯间、等候区、公共走廊、电梯厅、心电图室、办公室、诊室、治疗室、值班室、医生办公室、卫生间、污物间、清洗间、新风机房、水井、配电间等设备用房；病案室、口腔科、五官科、体检科、心电图室。</w:t>
                  </w:r>
                </w:p>
              </w:tc>
              <w:tc>
                <w:tcPr>
                  <w:tcW w:w="704" w:type="pct"/>
                  <w:vAlign w:val="center"/>
                </w:tcPr>
                <w:p w14:paraId="62FD5A61">
                  <w:pPr>
                    <w:jc w:val="center"/>
                    <w:rPr>
                      <w:rFonts w:hint="eastAsia"/>
                      <w:kern w:val="0"/>
                      <w:szCs w:val="21"/>
                    </w:rPr>
                  </w:pPr>
                  <w:r>
                    <w:rPr>
                      <w:rFonts w:hint="eastAsia"/>
                      <w:kern w:val="0"/>
                      <w:szCs w:val="21"/>
                      <w:lang w:eastAsia="zh-CN"/>
                    </w:rPr>
                    <w:t>无变化</w:t>
                  </w:r>
                </w:p>
              </w:tc>
            </w:tr>
            <w:tr w14:paraId="1D04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509621E6">
                  <w:pPr>
                    <w:jc w:val="center"/>
                  </w:pPr>
                </w:p>
              </w:tc>
              <w:tc>
                <w:tcPr>
                  <w:tcW w:w="479" w:type="pct"/>
                  <w:vMerge w:val="continue"/>
                  <w:vAlign w:val="center"/>
                </w:tcPr>
                <w:p w14:paraId="7EE87D98">
                  <w:pPr>
                    <w:jc w:val="center"/>
                    <w:rPr>
                      <w:rFonts w:hint="eastAsia" w:eastAsia="宋体"/>
                      <w:lang w:eastAsia="zh-CN"/>
                    </w:rPr>
                  </w:pPr>
                </w:p>
              </w:tc>
              <w:tc>
                <w:tcPr>
                  <w:tcW w:w="408" w:type="pct"/>
                  <w:vAlign w:val="center"/>
                </w:tcPr>
                <w:p w14:paraId="545C7A4E">
                  <w:pPr>
                    <w:jc w:val="center"/>
                    <w:rPr>
                      <w:rFonts w:hint="default" w:eastAsia="宋体"/>
                      <w:lang w:val="en-US" w:eastAsia="zh-CN"/>
                    </w:rPr>
                  </w:pPr>
                  <w:r>
                    <w:rPr>
                      <w:rFonts w:hint="eastAsia"/>
                      <w:lang w:val="en-US" w:eastAsia="zh-CN"/>
                    </w:rPr>
                    <w:t>1F</w:t>
                  </w:r>
                </w:p>
              </w:tc>
              <w:tc>
                <w:tcPr>
                  <w:tcW w:w="1562" w:type="pct"/>
                  <w:vAlign w:val="center"/>
                </w:tcPr>
                <w:p w14:paraId="20BD11C8">
                  <w:pPr>
                    <w:jc w:val="center"/>
                    <w:rPr>
                      <w:rFonts w:hint="eastAsia"/>
                      <w:szCs w:val="21"/>
                      <w:lang w:eastAsia="zh-CN"/>
                    </w:rPr>
                  </w:pPr>
                  <w:r>
                    <w:rPr>
                      <w:rFonts w:hint="eastAsia"/>
                      <w:szCs w:val="21"/>
                      <w:lang w:eastAsia="zh-CN"/>
                    </w:rPr>
                    <w:t>中厅、楼梯间、等候区、公共走廊、电梯厅、卫生间、宣教室、检查室、人事科、会议室。</w:t>
                  </w:r>
                </w:p>
              </w:tc>
              <w:tc>
                <w:tcPr>
                  <w:tcW w:w="1588" w:type="pct"/>
                  <w:vAlign w:val="center"/>
                </w:tcPr>
                <w:p w14:paraId="60A742D0">
                  <w:pPr>
                    <w:jc w:val="center"/>
                    <w:rPr>
                      <w:rFonts w:hint="eastAsia"/>
                      <w:szCs w:val="21"/>
                      <w:lang w:eastAsia="zh-CN"/>
                    </w:rPr>
                  </w:pPr>
                  <w:r>
                    <w:rPr>
                      <w:rFonts w:hint="eastAsia"/>
                      <w:szCs w:val="21"/>
                      <w:lang w:eastAsia="zh-CN"/>
                    </w:rPr>
                    <w:t>中厅、楼梯间、等候区、公共走廊、电梯厅、卫生间、宣教室、检查室、人事科、会议室。</w:t>
                  </w:r>
                </w:p>
              </w:tc>
              <w:tc>
                <w:tcPr>
                  <w:tcW w:w="704" w:type="pct"/>
                  <w:vAlign w:val="center"/>
                </w:tcPr>
                <w:p w14:paraId="3B9848A6">
                  <w:pPr>
                    <w:jc w:val="center"/>
                    <w:rPr>
                      <w:rFonts w:hint="eastAsia"/>
                      <w:kern w:val="0"/>
                      <w:szCs w:val="21"/>
                    </w:rPr>
                  </w:pPr>
                  <w:r>
                    <w:rPr>
                      <w:rFonts w:hint="eastAsia"/>
                      <w:kern w:val="0"/>
                      <w:szCs w:val="21"/>
                      <w:lang w:eastAsia="zh-CN"/>
                    </w:rPr>
                    <w:t>无变化</w:t>
                  </w:r>
                </w:p>
              </w:tc>
            </w:tr>
            <w:tr w14:paraId="7E4A8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0C0FBA1B">
                  <w:pPr>
                    <w:jc w:val="center"/>
                  </w:pPr>
                </w:p>
              </w:tc>
              <w:tc>
                <w:tcPr>
                  <w:tcW w:w="479" w:type="pct"/>
                  <w:vMerge w:val="restart"/>
                  <w:vAlign w:val="center"/>
                </w:tcPr>
                <w:p w14:paraId="3B3703FF">
                  <w:pPr>
                    <w:jc w:val="center"/>
                    <w:rPr>
                      <w:rFonts w:hint="eastAsia" w:eastAsia="宋体"/>
                      <w:lang w:eastAsia="zh-CN"/>
                    </w:rPr>
                  </w:pPr>
                  <w:r>
                    <w:rPr>
                      <w:rFonts w:hint="eastAsia"/>
                      <w:lang w:eastAsia="zh-CN"/>
                    </w:rPr>
                    <w:t>住院部楼（建筑面积</w:t>
                  </w:r>
                  <w:r>
                    <w:rPr>
                      <w:rFonts w:hint="eastAsia"/>
                      <w:lang w:val="en-US" w:eastAsia="zh-CN"/>
                    </w:rPr>
                    <w:t>15365m</w:t>
                  </w:r>
                  <w:r>
                    <w:rPr>
                      <w:rFonts w:hint="eastAsia"/>
                      <w:vertAlign w:val="superscript"/>
                      <w:lang w:val="en-US" w:eastAsia="zh-CN"/>
                    </w:rPr>
                    <w:t>2</w:t>
                  </w:r>
                  <w:r>
                    <w:rPr>
                      <w:rFonts w:hint="eastAsia"/>
                      <w:lang w:eastAsia="zh-CN"/>
                    </w:rPr>
                    <w:t>）</w:t>
                  </w:r>
                </w:p>
              </w:tc>
              <w:tc>
                <w:tcPr>
                  <w:tcW w:w="408" w:type="pct"/>
                  <w:vAlign w:val="center"/>
                </w:tcPr>
                <w:p w14:paraId="36FFFACF">
                  <w:pPr>
                    <w:jc w:val="center"/>
                    <w:rPr>
                      <w:rFonts w:hint="default" w:eastAsia="宋体"/>
                      <w:lang w:val="en-US" w:eastAsia="zh-CN"/>
                    </w:rPr>
                  </w:pPr>
                  <w:r>
                    <w:rPr>
                      <w:rFonts w:hint="eastAsia"/>
                      <w:lang w:val="en-US" w:eastAsia="zh-CN"/>
                    </w:rPr>
                    <w:t>-1F</w:t>
                  </w:r>
                </w:p>
              </w:tc>
              <w:tc>
                <w:tcPr>
                  <w:tcW w:w="1562" w:type="pct"/>
                  <w:vAlign w:val="center"/>
                </w:tcPr>
                <w:p w14:paraId="4DD6E091">
                  <w:pPr>
                    <w:jc w:val="center"/>
                    <w:rPr>
                      <w:rFonts w:hint="default"/>
                      <w:szCs w:val="21"/>
                      <w:lang w:val="en-US" w:eastAsia="zh-CN"/>
                    </w:rPr>
                  </w:pPr>
                  <w:r>
                    <w:rPr>
                      <w:rFonts w:hint="eastAsia"/>
                      <w:szCs w:val="21"/>
                      <w:lang w:val="en-US" w:eastAsia="zh-CN"/>
                    </w:rPr>
                    <w:t>车库、储藏室、变配电闸、储油间、柴油机房、值班室、污物处置间、水泵房、消防池。</w:t>
                  </w:r>
                </w:p>
              </w:tc>
              <w:tc>
                <w:tcPr>
                  <w:tcW w:w="1588" w:type="pct"/>
                  <w:vAlign w:val="center"/>
                </w:tcPr>
                <w:p w14:paraId="6E3D4FDE">
                  <w:pPr>
                    <w:jc w:val="center"/>
                    <w:rPr>
                      <w:rFonts w:hint="eastAsia"/>
                      <w:szCs w:val="21"/>
                      <w:lang w:eastAsia="zh-CN"/>
                    </w:rPr>
                  </w:pPr>
                  <w:r>
                    <w:rPr>
                      <w:rFonts w:hint="eastAsia"/>
                      <w:szCs w:val="21"/>
                      <w:lang w:val="en-US" w:eastAsia="zh-CN"/>
                    </w:rPr>
                    <w:t>车库、储藏室、变配电闸、储油间、柴油机房、值班室、污物处置间、水泵房、消防池。</w:t>
                  </w:r>
                </w:p>
              </w:tc>
              <w:tc>
                <w:tcPr>
                  <w:tcW w:w="704" w:type="pct"/>
                  <w:vAlign w:val="center"/>
                </w:tcPr>
                <w:p w14:paraId="16696578">
                  <w:pPr>
                    <w:jc w:val="center"/>
                    <w:rPr>
                      <w:rFonts w:hint="eastAsia"/>
                      <w:kern w:val="0"/>
                      <w:szCs w:val="21"/>
                    </w:rPr>
                  </w:pPr>
                  <w:r>
                    <w:rPr>
                      <w:rFonts w:hint="eastAsia"/>
                      <w:kern w:val="0"/>
                      <w:szCs w:val="21"/>
                      <w:lang w:eastAsia="zh-CN"/>
                    </w:rPr>
                    <w:t>无变化</w:t>
                  </w:r>
                </w:p>
              </w:tc>
            </w:tr>
            <w:tr w14:paraId="1521F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7A78C204">
                  <w:pPr>
                    <w:jc w:val="center"/>
                  </w:pPr>
                </w:p>
              </w:tc>
              <w:tc>
                <w:tcPr>
                  <w:tcW w:w="479" w:type="pct"/>
                  <w:vMerge w:val="continue"/>
                  <w:vAlign w:val="center"/>
                </w:tcPr>
                <w:p w14:paraId="2AB334FF">
                  <w:pPr>
                    <w:jc w:val="center"/>
                    <w:rPr>
                      <w:rFonts w:hint="eastAsia" w:eastAsia="宋体"/>
                      <w:lang w:eastAsia="zh-CN"/>
                    </w:rPr>
                  </w:pPr>
                </w:p>
              </w:tc>
              <w:tc>
                <w:tcPr>
                  <w:tcW w:w="408" w:type="pct"/>
                  <w:vAlign w:val="center"/>
                </w:tcPr>
                <w:p w14:paraId="761C57F5">
                  <w:pPr>
                    <w:jc w:val="center"/>
                    <w:rPr>
                      <w:rFonts w:hint="default" w:eastAsia="宋体"/>
                      <w:lang w:val="en-US" w:eastAsia="zh-CN"/>
                    </w:rPr>
                  </w:pPr>
                  <w:r>
                    <w:rPr>
                      <w:rFonts w:hint="eastAsia"/>
                      <w:lang w:val="en-US" w:eastAsia="zh-CN"/>
                    </w:rPr>
                    <w:t>1F</w:t>
                  </w:r>
                </w:p>
              </w:tc>
              <w:tc>
                <w:tcPr>
                  <w:tcW w:w="1562" w:type="pct"/>
                  <w:vAlign w:val="center"/>
                </w:tcPr>
                <w:p w14:paraId="2C8A5F81">
                  <w:pPr>
                    <w:jc w:val="center"/>
                    <w:rPr>
                      <w:rFonts w:hint="eastAsia"/>
                      <w:szCs w:val="21"/>
                      <w:lang w:eastAsia="zh-CN"/>
                    </w:rPr>
                  </w:pPr>
                  <w:r>
                    <w:rPr>
                      <w:rFonts w:hint="eastAsia"/>
                      <w:szCs w:val="21"/>
                      <w:lang w:eastAsia="zh-CN"/>
                    </w:rPr>
                    <w:t>收费处、西药房、影像科、供应室。</w:t>
                  </w:r>
                </w:p>
              </w:tc>
              <w:tc>
                <w:tcPr>
                  <w:tcW w:w="1588" w:type="pct"/>
                  <w:vAlign w:val="center"/>
                </w:tcPr>
                <w:p w14:paraId="431B29CC">
                  <w:pPr>
                    <w:jc w:val="center"/>
                    <w:rPr>
                      <w:rFonts w:hint="eastAsia"/>
                      <w:szCs w:val="21"/>
                      <w:lang w:eastAsia="zh-CN"/>
                    </w:rPr>
                  </w:pPr>
                  <w:r>
                    <w:rPr>
                      <w:rFonts w:hint="eastAsia"/>
                      <w:szCs w:val="21"/>
                      <w:lang w:eastAsia="zh-CN"/>
                    </w:rPr>
                    <w:t>收费处、西药房、影像科、供应室。</w:t>
                  </w:r>
                </w:p>
              </w:tc>
              <w:tc>
                <w:tcPr>
                  <w:tcW w:w="704" w:type="pct"/>
                  <w:vAlign w:val="center"/>
                </w:tcPr>
                <w:p w14:paraId="6BA7AEE8">
                  <w:pPr>
                    <w:jc w:val="center"/>
                    <w:rPr>
                      <w:rFonts w:hint="eastAsia"/>
                      <w:kern w:val="0"/>
                      <w:szCs w:val="21"/>
                    </w:rPr>
                  </w:pPr>
                  <w:r>
                    <w:rPr>
                      <w:rFonts w:hint="eastAsia"/>
                      <w:kern w:val="0"/>
                      <w:szCs w:val="21"/>
                      <w:lang w:eastAsia="zh-CN"/>
                    </w:rPr>
                    <w:t>无变化</w:t>
                  </w:r>
                </w:p>
              </w:tc>
            </w:tr>
            <w:tr w14:paraId="21DF7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774A94B9">
                  <w:pPr>
                    <w:jc w:val="center"/>
                  </w:pPr>
                </w:p>
              </w:tc>
              <w:tc>
                <w:tcPr>
                  <w:tcW w:w="479" w:type="pct"/>
                  <w:vMerge w:val="continue"/>
                  <w:vAlign w:val="center"/>
                </w:tcPr>
                <w:p w14:paraId="4C164487">
                  <w:pPr>
                    <w:jc w:val="center"/>
                    <w:rPr>
                      <w:rFonts w:hint="eastAsia" w:eastAsia="宋体"/>
                      <w:lang w:eastAsia="zh-CN"/>
                    </w:rPr>
                  </w:pPr>
                </w:p>
              </w:tc>
              <w:tc>
                <w:tcPr>
                  <w:tcW w:w="408" w:type="pct"/>
                  <w:vAlign w:val="center"/>
                </w:tcPr>
                <w:p w14:paraId="68CF6849">
                  <w:pPr>
                    <w:jc w:val="center"/>
                    <w:rPr>
                      <w:rFonts w:hint="default" w:eastAsia="宋体"/>
                      <w:lang w:val="en-US" w:eastAsia="zh-CN"/>
                    </w:rPr>
                  </w:pPr>
                  <w:r>
                    <w:rPr>
                      <w:rFonts w:hint="eastAsia"/>
                      <w:lang w:val="en-US" w:eastAsia="zh-CN"/>
                    </w:rPr>
                    <w:t>2F</w:t>
                  </w:r>
                </w:p>
              </w:tc>
              <w:tc>
                <w:tcPr>
                  <w:tcW w:w="1562" w:type="pct"/>
                  <w:vAlign w:val="center"/>
                </w:tcPr>
                <w:p w14:paraId="4C2332A1">
                  <w:pPr>
                    <w:jc w:val="center"/>
                    <w:rPr>
                      <w:rFonts w:hint="eastAsia"/>
                      <w:szCs w:val="21"/>
                      <w:lang w:eastAsia="zh-CN"/>
                    </w:rPr>
                  </w:pPr>
                  <w:r>
                    <w:rPr>
                      <w:rFonts w:hint="eastAsia"/>
                      <w:szCs w:val="21"/>
                      <w:lang w:eastAsia="zh-CN"/>
                    </w:rPr>
                    <w:t>麻醉科、手术室（微创、腔镜手术中心）。</w:t>
                  </w:r>
                </w:p>
              </w:tc>
              <w:tc>
                <w:tcPr>
                  <w:tcW w:w="1588" w:type="pct"/>
                  <w:vAlign w:val="center"/>
                </w:tcPr>
                <w:p w14:paraId="3B0D49D9">
                  <w:pPr>
                    <w:jc w:val="center"/>
                    <w:rPr>
                      <w:rFonts w:hint="eastAsia"/>
                      <w:szCs w:val="21"/>
                      <w:lang w:eastAsia="zh-CN"/>
                    </w:rPr>
                  </w:pPr>
                  <w:r>
                    <w:rPr>
                      <w:rFonts w:hint="eastAsia"/>
                      <w:szCs w:val="21"/>
                      <w:lang w:eastAsia="zh-CN"/>
                    </w:rPr>
                    <w:t>麻醉科、手术室（微创、腔镜手术中心）。</w:t>
                  </w:r>
                </w:p>
              </w:tc>
              <w:tc>
                <w:tcPr>
                  <w:tcW w:w="704" w:type="pct"/>
                  <w:vAlign w:val="center"/>
                </w:tcPr>
                <w:p w14:paraId="02529ADF">
                  <w:pPr>
                    <w:jc w:val="center"/>
                    <w:rPr>
                      <w:rFonts w:hint="eastAsia"/>
                      <w:kern w:val="0"/>
                      <w:szCs w:val="21"/>
                    </w:rPr>
                  </w:pPr>
                  <w:r>
                    <w:rPr>
                      <w:rFonts w:hint="eastAsia"/>
                      <w:kern w:val="0"/>
                      <w:szCs w:val="21"/>
                      <w:lang w:eastAsia="zh-CN"/>
                    </w:rPr>
                    <w:t>无变化</w:t>
                  </w:r>
                </w:p>
              </w:tc>
            </w:tr>
            <w:tr w14:paraId="67915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6E6AB0B3">
                  <w:pPr>
                    <w:jc w:val="center"/>
                  </w:pPr>
                </w:p>
              </w:tc>
              <w:tc>
                <w:tcPr>
                  <w:tcW w:w="479" w:type="pct"/>
                  <w:vMerge w:val="continue"/>
                  <w:vAlign w:val="center"/>
                </w:tcPr>
                <w:p w14:paraId="5D05EFEA">
                  <w:pPr>
                    <w:jc w:val="center"/>
                    <w:rPr>
                      <w:rFonts w:hint="eastAsia" w:eastAsia="宋体"/>
                      <w:lang w:eastAsia="zh-CN"/>
                    </w:rPr>
                  </w:pPr>
                </w:p>
              </w:tc>
              <w:tc>
                <w:tcPr>
                  <w:tcW w:w="408" w:type="pct"/>
                  <w:vAlign w:val="center"/>
                </w:tcPr>
                <w:p w14:paraId="7D856BF5">
                  <w:pPr>
                    <w:jc w:val="center"/>
                    <w:rPr>
                      <w:rFonts w:hint="default" w:eastAsia="宋体"/>
                      <w:lang w:val="en-US" w:eastAsia="zh-CN"/>
                    </w:rPr>
                  </w:pPr>
                  <w:r>
                    <w:rPr>
                      <w:rFonts w:hint="eastAsia"/>
                      <w:lang w:val="en-US" w:eastAsia="zh-CN"/>
                    </w:rPr>
                    <w:t>3F</w:t>
                  </w:r>
                </w:p>
              </w:tc>
              <w:tc>
                <w:tcPr>
                  <w:tcW w:w="1562" w:type="pct"/>
                  <w:vAlign w:val="center"/>
                </w:tcPr>
                <w:p w14:paraId="33FFBECB">
                  <w:pPr>
                    <w:jc w:val="center"/>
                    <w:rPr>
                      <w:rFonts w:hint="eastAsia"/>
                      <w:szCs w:val="21"/>
                      <w:lang w:eastAsia="zh-CN"/>
                    </w:rPr>
                  </w:pPr>
                  <w:r>
                    <w:rPr>
                      <w:rFonts w:hint="eastAsia"/>
                      <w:szCs w:val="21"/>
                      <w:lang w:eastAsia="zh-CN"/>
                    </w:rPr>
                    <w:t>内科、外科、残疾鉴定、血库、彩超室。</w:t>
                  </w:r>
                </w:p>
              </w:tc>
              <w:tc>
                <w:tcPr>
                  <w:tcW w:w="1588" w:type="pct"/>
                  <w:vAlign w:val="center"/>
                </w:tcPr>
                <w:p w14:paraId="6F5D2148">
                  <w:pPr>
                    <w:jc w:val="center"/>
                    <w:rPr>
                      <w:rFonts w:hint="eastAsia"/>
                      <w:szCs w:val="21"/>
                      <w:lang w:eastAsia="zh-CN"/>
                    </w:rPr>
                  </w:pPr>
                  <w:r>
                    <w:rPr>
                      <w:rFonts w:hint="eastAsia"/>
                      <w:szCs w:val="21"/>
                      <w:lang w:eastAsia="zh-CN"/>
                    </w:rPr>
                    <w:t>内科、外科、残疾鉴定、血库、彩超室。</w:t>
                  </w:r>
                </w:p>
              </w:tc>
              <w:tc>
                <w:tcPr>
                  <w:tcW w:w="704" w:type="pct"/>
                  <w:vAlign w:val="center"/>
                </w:tcPr>
                <w:p w14:paraId="3E35F950">
                  <w:pPr>
                    <w:jc w:val="center"/>
                    <w:rPr>
                      <w:rFonts w:hint="eastAsia"/>
                      <w:kern w:val="0"/>
                      <w:szCs w:val="21"/>
                    </w:rPr>
                  </w:pPr>
                  <w:r>
                    <w:rPr>
                      <w:rFonts w:hint="eastAsia"/>
                      <w:kern w:val="0"/>
                      <w:szCs w:val="21"/>
                      <w:lang w:eastAsia="zh-CN"/>
                    </w:rPr>
                    <w:t>无变化</w:t>
                  </w:r>
                </w:p>
              </w:tc>
            </w:tr>
            <w:tr w14:paraId="2539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403534BE">
                  <w:pPr>
                    <w:jc w:val="center"/>
                  </w:pPr>
                </w:p>
              </w:tc>
              <w:tc>
                <w:tcPr>
                  <w:tcW w:w="479" w:type="pct"/>
                  <w:vMerge w:val="continue"/>
                  <w:vAlign w:val="center"/>
                </w:tcPr>
                <w:p w14:paraId="79723E33">
                  <w:pPr>
                    <w:jc w:val="center"/>
                    <w:rPr>
                      <w:rFonts w:hint="eastAsia" w:eastAsia="宋体"/>
                      <w:lang w:eastAsia="zh-CN"/>
                    </w:rPr>
                  </w:pPr>
                </w:p>
              </w:tc>
              <w:tc>
                <w:tcPr>
                  <w:tcW w:w="408" w:type="pct"/>
                  <w:vAlign w:val="center"/>
                </w:tcPr>
                <w:p w14:paraId="4D84741E">
                  <w:pPr>
                    <w:jc w:val="center"/>
                    <w:rPr>
                      <w:rFonts w:hint="default" w:eastAsia="宋体"/>
                      <w:lang w:val="en-US" w:eastAsia="zh-CN"/>
                    </w:rPr>
                  </w:pPr>
                  <w:r>
                    <w:rPr>
                      <w:rFonts w:hint="eastAsia"/>
                      <w:lang w:val="en-US" w:eastAsia="zh-CN"/>
                    </w:rPr>
                    <w:t>4F</w:t>
                  </w:r>
                </w:p>
              </w:tc>
              <w:tc>
                <w:tcPr>
                  <w:tcW w:w="1562" w:type="pct"/>
                  <w:vAlign w:val="center"/>
                </w:tcPr>
                <w:p w14:paraId="1187C88E">
                  <w:pPr>
                    <w:jc w:val="center"/>
                    <w:rPr>
                      <w:rFonts w:hint="eastAsia"/>
                      <w:szCs w:val="21"/>
                      <w:lang w:eastAsia="zh-CN"/>
                    </w:rPr>
                  </w:pPr>
                  <w:r>
                    <w:rPr>
                      <w:rFonts w:hint="eastAsia"/>
                      <w:szCs w:val="21"/>
                      <w:lang w:eastAsia="zh-CN"/>
                    </w:rPr>
                    <w:t>儿科。</w:t>
                  </w:r>
                </w:p>
              </w:tc>
              <w:tc>
                <w:tcPr>
                  <w:tcW w:w="1588" w:type="pct"/>
                  <w:vAlign w:val="center"/>
                </w:tcPr>
                <w:p w14:paraId="3D1B576B">
                  <w:pPr>
                    <w:jc w:val="center"/>
                    <w:rPr>
                      <w:rFonts w:hint="eastAsia"/>
                      <w:sz w:val="21"/>
                      <w:szCs w:val="21"/>
                      <w:lang w:eastAsia="zh-CN"/>
                    </w:rPr>
                  </w:pPr>
                  <w:r>
                    <w:rPr>
                      <w:rFonts w:hint="eastAsia"/>
                      <w:sz w:val="21"/>
                      <w:szCs w:val="21"/>
                      <w:lang w:eastAsia="zh-CN"/>
                    </w:rPr>
                    <w:t>儿科。</w:t>
                  </w:r>
                </w:p>
              </w:tc>
              <w:tc>
                <w:tcPr>
                  <w:tcW w:w="704" w:type="pct"/>
                  <w:vMerge w:val="restart"/>
                  <w:vAlign w:val="center"/>
                </w:tcPr>
                <w:p w14:paraId="342AB0FD">
                  <w:pPr>
                    <w:jc w:val="center"/>
                    <w:rPr>
                      <w:rFonts w:hint="eastAsia"/>
                      <w:kern w:val="0"/>
                      <w:sz w:val="21"/>
                      <w:szCs w:val="21"/>
                    </w:rPr>
                  </w:pPr>
                  <w:r>
                    <w:rPr>
                      <w:rFonts w:hint="eastAsia" w:ascii="Times New Roman" w:hAnsi="Times New Roman" w:eastAsia="宋体" w:cs="Times New Roman"/>
                      <w:sz w:val="21"/>
                      <w:szCs w:val="21"/>
                      <w:lang w:val="en-US" w:eastAsia="zh-CN"/>
                    </w:rPr>
                    <w:t>原有的</w:t>
                  </w:r>
                  <w:r>
                    <w:rPr>
                      <w:rFonts w:hint="default" w:ascii="Times New Roman" w:hAnsi="Times New Roman" w:eastAsia="宋体" w:cs="Times New Roman"/>
                      <w:sz w:val="21"/>
                      <w:szCs w:val="21"/>
                      <w:lang w:val="en-US" w:eastAsia="zh-CN"/>
                    </w:rPr>
                    <w:t>180</w:t>
                  </w:r>
                  <w:r>
                    <w:rPr>
                      <w:rFonts w:hint="eastAsia" w:ascii="Times New Roman" w:hAnsi="Times New Roman" w:eastAsia="宋体" w:cs="Times New Roman"/>
                      <w:sz w:val="21"/>
                      <w:szCs w:val="21"/>
                      <w:lang w:val="en-US" w:eastAsia="zh-CN"/>
                    </w:rPr>
                    <w:t>张病床全部改造</w:t>
                  </w:r>
                  <w:r>
                    <w:rPr>
                      <w:rFonts w:hint="eastAsia" w:cs="Times New Roman"/>
                      <w:sz w:val="21"/>
                      <w:szCs w:val="21"/>
                      <w:lang w:val="en-US" w:eastAsia="zh-CN"/>
                    </w:rPr>
                    <w:t>，包括</w:t>
                  </w:r>
                  <w:r>
                    <w:rPr>
                      <w:rFonts w:hint="eastAsia" w:ascii="Times New Roman" w:hAnsi="Times New Roman" w:eastAsia="宋体" w:cs="Times New Roman"/>
                      <w:sz w:val="21"/>
                      <w:szCs w:val="21"/>
                      <w:lang w:val="en-US" w:eastAsia="zh-CN"/>
                    </w:rPr>
                    <w:t>将原地源热泵空调系统更新为多联机空调系统，建筑外墙翻新，对病房及配套卫生间改造、智能化系统升级，改造室内集中供氧管道约</w:t>
                  </w:r>
                  <w:r>
                    <w:rPr>
                      <w:rFonts w:hint="default" w:ascii="Times New Roman" w:hAnsi="Times New Roman" w:eastAsia="宋体" w:cs="Times New Roman"/>
                      <w:sz w:val="21"/>
                      <w:szCs w:val="21"/>
                      <w:lang w:val="en-US" w:eastAsia="zh-CN"/>
                    </w:rPr>
                    <w:t>1000</w:t>
                  </w:r>
                  <w:r>
                    <w:rPr>
                      <w:rFonts w:hint="eastAsia" w:ascii="Times New Roman" w:hAnsi="Times New Roman" w:eastAsia="宋体" w:cs="Times New Roman"/>
                      <w:sz w:val="21"/>
                      <w:szCs w:val="21"/>
                      <w:lang w:val="en-US" w:eastAsia="zh-CN"/>
                    </w:rPr>
                    <w:t>米</w:t>
                  </w:r>
                  <w:r>
                    <w:rPr>
                      <w:rFonts w:hint="eastAsia" w:cs="Times New Roman"/>
                      <w:sz w:val="21"/>
                      <w:szCs w:val="21"/>
                      <w:lang w:val="en-US" w:eastAsia="zh-CN"/>
                    </w:rPr>
                    <w:t>。</w:t>
                  </w:r>
                </w:p>
              </w:tc>
            </w:tr>
            <w:tr w14:paraId="3A05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14B0D374">
                  <w:pPr>
                    <w:jc w:val="center"/>
                  </w:pPr>
                </w:p>
              </w:tc>
              <w:tc>
                <w:tcPr>
                  <w:tcW w:w="479" w:type="pct"/>
                  <w:vMerge w:val="continue"/>
                  <w:vAlign w:val="center"/>
                </w:tcPr>
                <w:p w14:paraId="4534815D">
                  <w:pPr>
                    <w:jc w:val="center"/>
                    <w:rPr>
                      <w:rFonts w:hint="eastAsia" w:eastAsia="宋体"/>
                      <w:lang w:eastAsia="zh-CN"/>
                    </w:rPr>
                  </w:pPr>
                </w:p>
              </w:tc>
              <w:tc>
                <w:tcPr>
                  <w:tcW w:w="408" w:type="pct"/>
                  <w:vAlign w:val="center"/>
                </w:tcPr>
                <w:p w14:paraId="55F5AE3C">
                  <w:pPr>
                    <w:jc w:val="center"/>
                    <w:rPr>
                      <w:rFonts w:hint="default" w:eastAsia="宋体"/>
                      <w:lang w:val="en-US" w:eastAsia="zh-CN"/>
                    </w:rPr>
                  </w:pPr>
                  <w:r>
                    <w:rPr>
                      <w:rFonts w:hint="eastAsia"/>
                      <w:lang w:val="en-US" w:eastAsia="zh-CN"/>
                    </w:rPr>
                    <w:t>5F</w:t>
                  </w:r>
                </w:p>
              </w:tc>
              <w:tc>
                <w:tcPr>
                  <w:tcW w:w="1562" w:type="pct"/>
                  <w:vAlign w:val="center"/>
                </w:tcPr>
                <w:p w14:paraId="482B69E0">
                  <w:pPr>
                    <w:jc w:val="center"/>
                    <w:rPr>
                      <w:rFonts w:hint="eastAsia"/>
                      <w:szCs w:val="21"/>
                      <w:lang w:eastAsia="zh-CN"/>
                    </w:rPr>
                  </w:pPr>
                  <w:r>
                    <w:rPr>
                      <w:rFonts w:hint="eastAsia"/>
                      <w:szCs w:val="21"/>
                      <w:lang w:eastAsia="zh-CN"/>
                    </w:rPr>
                    <w:t>妇产科、产房。</w:t>
                  </w:r>
                </w:p>
              </w:tc>
              <w:tc>
                <w:tcPr>
                  <w:tcW w:w="1588" w:type="pct"/>
                  <w:vAlign w:val="center"/>
                </w:tcPr>
                <w:p w14:paraId="776E11E3">
                  <w:pPr>
                    <w:jc w:val="center"/>
                    <w:rPr>
                      <w:rFonts w:hint="eastAsia"/>
                      <w:sz w:val="21"/>
                      <w:szCs w:val="21"/>
                      <w:lang w:eastAsia="zh-CN"/>
                    </w:rPr>
                  </w:pPr>
                  <w:r>
                    <w:rPr>
                      <w:rFonts w:hint="eastAsia"/>
                      <w:sz w:val="21"/>
                      <w:szCs w:val="21"/>
                      <w:lang w:eastAsia="zh-CN"/>
                    </w:rPr>
                    <w:t>妇产科、产房。</w:t>
                  </w:r>
                </w:p>
              </w:tc>
              <w:tc>
                <w:tcPr>
                  <w:tcW w:w="704" w:type="pct"/>
                  <w:vMerge w:val="continue"/>
                  <w:vAlign w:val="center"/>
                </w:tcPr>
                <w:p w14:paraId="05D9DBE1">
                  <w:pPr>
                    <w:jc w:val="center"/>
                    <w:rPr>
                      <w:rFonts w:hint="eastAsia"/>
                      <w:kern w:val="0"/>
                      <w:sz w:val="21"/>
                      <w:szCs w:val="21"/>
                    </w:rPr>
                  </w:pPr>
                </w:p>
              </w:tc>
            </w:tr>
            <w:tr w14:paraId="1D426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7E412EE1">
                  <w:pPr>
                    <w:jc w:val="center"/>
                  </w:pPr>
                </w:p>
              </w:tc>
              <w:tc>
                <w:tcPr>
                  <w:tcW w:w="479" w:type="pct"/>
                  <w:vMerge w:val="continue"/>
                  <w:vAlign w:val="center"/>
                </w:tcPr>
                <w:p w14:paraId="332F6781">
                  <w:pPr>
                    <w:jc w:val="center"/>
                    <w:rPr>
                      <w:rFonts w:hint="eastAsia" w:eastAsia="宋体"/>
                      <w:lang w:eastAsia="zh-CN"/>
                    </w:rPr>
                  </w:pPr>
                </w:p>
              </w:tc>
              <w:tc>
                <w:tcPr>
                  <w:tcW w:w="408" w:type="pct"/>
                  <w:vAlign w:val="center"/>
                </w:tcPr>
                <w:p w14:paraId="5A79698B">
                  <w:pPr>
                    <w:jc w:val="center"/>
                    <w:rPr>
                      <w:rFonts w:hint="default" w:eastAsia="宋体"/>
                      <w:lang w:val="en-US" w:eastAsia="zh-CN"/>
                    </w:rPr>
                  </w:pPr>
                  <w:r>
                    <w:rPr>
                      <w:rFonts w:hint="eastAsia"/>
                      <w:lang w:val="en-US" w:eastAsia="zh-CN"/>
                    </w:rPr>
                    <w:t>6F</w:t>
                  </w:r>
                </w:p>
              </w:tc>
              <w:tc>
                <w:tcPr>
                  <w:tcW w:w="1562" w:type="pct"/>
                  <w:vAlign w:val="center"/>
                </w:tcPr>
                <w:p w14:paraId="54392FB1">
                  <w:pPr>
                    <w:jc w:val="center"/>
                    <w:rPr>
                      <w:rFonts w:hint="eastAsia"/>
                      <w:szCs w:val="21"/>
                      <w:lang w:eastAsia="zh-CN"/>
                    </w:rPr>
                  </w:pPr>
                  <w:r>
                    <w:rPr>
                      <w:rFonts w:hint="eastAsia"/>
                      <w:szCs w:val="21"/>
                      <w:lang w:eastAsia="zh-CN"/>
                    </w:rPr>
                    <w:t>内三科（肿瘤内科、普内科）。</w:t>
                  </w:r>
                </w:p>
              </w:tc>
              <w:tc>
                <w:tcPr>
                  <w:tcW w:w="1588" w:type="pct"/>
                  <w:vAlign w:val="center"/>
                </w:tcPr>
                <w:p w14:paraId="17B6D5BE">
                  <w:pPr>
                    <w:jc w:val="center"/>
                    <w:rPr>
                      <w:rFonts w:hint="eastAsia"/>
                      <w:sz w:val="21"/>
                      <w:szCs w:val="21"/>
                      <w:lang w:eastAsia="zh-CN"/>
                    </w:rPr>
                  </w:pPr>
                  <w:r>
                    <w:rPr>
                      <w:rFonts w:hint="eastAsia"/>
                      <w:sz w:val="21"/>
                      <w:szCs w:val="21"/>
                      <w:lang w:eastAsia="zh-CN"/>
                    </w:rPr>
                    <w:t>内三科（肿瘤内科、普内科）。</w:t>
                  </w:r>
                </w:p>
              </w:tc>
              <w:tc>
                <w:tcPr>
                  <w:tcW w:w="704" w:type="pct"/>
                  <w:vMerge w:val="continue"/>
                  <w:vAlign w:val="center"/>
                </w:tcPr>
                <w:p w14:paraId="71550A41">
                  <w:pPr>
                    <w:jc w:val="center"/>
                    <w:rPr>
                      <w:rFonts w:hint="eastAsia"/>
                      <w:kern w:val="0"/>
                      <w:sz w:val="21"/>
                      <w:szCs w:val="21"/>
                    </w:rPr>
                  </w:pPr>
                </w:p>
              </w:tc>
            </w:tr>
            <w:tr w14:paraId="1E5F7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4440AD53">
                  <w:pPr>
                    <w:jc w:val="center"/>
                  </w:pPr>
                </w:p>
              </w:tc>
              <w:tc>
                <w:tcPr>
                  <w:tcW w:w="479" w:type="pct"/>
                  <w:vMerge w:val="continue"/>
                  <w:vAlign w:val="center"/>
                </w:tcPr>
                <w:p w14:paraId="3B56D6E7">
                  <w:pPr>
                    <w:jc w:val="center"/>
                    <w:rPr>
                      <w:rFonts w:hint="eastAsia" w:eastAsia="宋体"/>
                      <w:lang w:eastAsia="zh-CN"/>
                    </w:rPr>
                  </w:pPr>
                </w:p>
              </w:tc>
              <w:tc>
                <w:tcPr>
                  <w:tcW w:w="408" w:type="pct"/>
                  <w:vAlign w:val="center"/>
                </w:tcPr>
                <w:p w14:paraId="70D6DDBB">
                  <w:pPr>
                    <w:jc w:val="center"/>
                    <w:rPr>
                      <w:rFonts w:hint="default" w:eastAsia="宋体"/>
                      <w:lang w:val="en-US" w:eastAsia="zh-CN"/>
                    </w:rPr>
                  </w:pPr>
                  <w:r>
                    <w:rPr>
                      <w:rFonts w:hint="eastAsia"/>
                      <w:lang w:val="en-US" w:eastAsia="zh-CN"/>
                    </w:rPr>
                    <w:t>7F</w:t>
                  </w:r>
                </w:p>
              </w:tc>
              <w:tc>
                <w:tcPr>
                  <w:tcW w:w="1562" w:type="pct"/>
                  <w:vAlign w:val="center"/>
                </w:tcPr>
                <w:p w14:paraId="05BB2491">
                  <w:pPr>
                    <w:jc w:val="center"/>
                    <w:rPr>
                      <w:rFonts w:hint="eastAsia"/>
                      <w:szCs w:val="21"/>
                      <w:lang w:eastAsia="zh-CN"/>
                    </w:rPr>
                  </w:pPr>
                  <w:r>
                    <w:rPr>
                      <w:rFonts w:hint="eastAsia"/>
                      <w:szCs w:val="21"/>
                      <w:lang w:eastAsia="zh-CN"/>
                    </w:rPr>
                    <w:t>内一科（呼吸内科、消化内科）。</w:t>
                  </w:r>
                </w:p>
              </w:tc>
              <w:tc>
                <w:tcPr>
                  <w:tcW w:w="1588" w:type="pct"/>
                  <w:vAlign w:val="center"/>
                </w:tcPr>
                <w:p w14:paraId="3A0E894F">
                  <w:pPr>
                    <w:jc w:val="center"/>
                    <w:rPr>
                      <w:rFonts w:hint="eastAsia"/>
                      <w:sz w:val="21"/>
                      <w:szCs w:val="21"/>
                      <w:lang w:eastAsia="zh-CN"/>
                    </w:rPr>
                  </w:pPr>
                  <w:r>
                    <w:rPr>
                      <w:rFonts w:hint="eastAsia"/>
                      <w:sz w:val="21"/>
                      <w:szCs w:val="21"/>
                      <w:lang w:eastAsia="zh-CN"/>
                    </w:rPr>
                    <w:t>内一科（呼吸内科、消化内科）。</w:t>
                  </w:r>
                </w:p>
              </w:tc>
              <w:tc>
                <w:tcPr>
                  <w:tcW w:w="704" w:type="pct"/>
                  <w:vMerge w:val="continue"/>
                  <w:vAlign w:val="center"/>
                </w:tcPr>
                <w:p w14:paraId="5D78B0CF">
                  <w:pPr>
                    <w:jc w:val="center"/>
                    <w:rPr>
                      <w:rFonts w:hint="eastAsia"/>
                      <w:kern w:val="0"/>
                      <w:sz w:val="21"/>
                      <w:szCs w:val="21"/>
                    </w:rPr>
                  </w:pPr>
                </w:p>
              </w:tc>
            </w:tr>
            <w:tr w14:paraId="63091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1BAB8BE8">
                  <w:pPr>
                    <w:jc w:val="center"/>
                  </w:pPr>
                </w:p>
              </w:tc>
              <w:tc>
                <w:tcPr>
                  <w:tcW w:w="479" w:type="pct"/>
                  <w:vMerge w:val="continue"/>
                  <w:vAlign w:val="center"/>
                </w:tcPr>
                <w:p w14:paraId="42387341">
                  <w:pPr>
                    <w:jc w:val="center"/>
                    <w:rPr>
                      <w:rFonts w:hint="eastAsia" w:eastAsia="宋体"/>
                      <w:lang w:eastAsia="zh-CN"/>
                    </w:rPr>
                  </w:pPr>
                </w:p>
              </w:tc>
              <w:tc>
                <w:tcPr>
                  <w:tcW w:w="408" w:type="pct"/>
                  <w:vAlign w:val="center"/>
                </w:tcPr>
                <w:p w14:paraId="738B362B">
                  <w:pPr>
                    <w:jc w:val="center"/>
                    <w:rPr>
                      <w:rFonts w:hint="default"/>
                      <w:lang w:val="en-US" w:eastAsia="zh-CN"/>
                    </w:rPr>
                  </w:pPr>
                  <w:r>
                    <w:rPr>
                      <w:rFonts w:hint="eastAsia"/>
                      <w:lang w:val="en-US" w:eastAsia="zh-CN"/>
                    </w:rPr>
                    <w:t>8F</w:t>
                  </w:r>
                </w:p>
              </w:tc>
              <w:tc>
                <w:tcPr>
                  <w:tcW w:w="1562" w:type="pct"/>
                  <w:vAlign w:val="center"/>
                </w:tcPr>
                <w:p w14:paraId="5792D207">
                  <w:pPr>
                    <w:jc w:val="center"/>
                    <w:rPr>
                      <w:rFonts w:hint="eastAsia"/>
                      <w:szCs w:val="21"/>
                      <w:lang w:eastAsia="zh-CN"/>
                    </w:rPr>
                  </w:pPr>
                  <w:r>
                    <w:rPr>
                      <w:rFonts w:hint="eastAsia"/>
                      <w:szCs w:val="21"/>
                      <w:lang w:eastAsia="zh-CN"/>
                    </w:rPr>
                    <w:t>内二科（神经内科、心血管内科）。</w:t>
                  </w:r>
                </w:p>
              </w:tc>
              <w:tc>
                <w:tcPr>
                  <w:tcW w:w="1588" w:type="pct"/>
                  <w:vAlign w:val="center"/>
                </w:tcPr>
                <w:p w14:paraId="6B797180">
                  <w:pPr>
                    <w:jc w:val="center"/>
                    <w:rPr>
                      <w:rFonts w:hint="eastAsia"/>
                      <w:szCs w:val="21"/>
                      <w:lang w:eastAsia="zh-CN"/>
                    </w:rPr>
                  </w:pPr>
                  <w:r>
                    <w:rPr>
                      <w:rFonts w:hint="eastAsia"/>
                      <w:szCs w:val="21"/>
                      <w:lang w:eastAsia="zh-CN"/>
                    </w:rPr>
                    <w:t>内二科（神经内科、心血管内科）。</w:t>
                  </w:r>
                </w:p>
              </w:tc>
              <w:tc>
                <w:tcPr>
                  <w:tcW w:w="704" w:type="pct"/>
                  <w:vMerge w:val="continue"/>
                  <w:vAlign w:val="center"/>
                </w:tcPr>
                <w:p w14:paraId="6F248B8D">
                  <w:pPr>
                    <w:jc w:val="center"/>
                    <w:rPr>
                      <w:rFonts w:hint="eastAsia"/>
                      <w:kern w:val="0"/>
                      <w:szCs w:val="21"/>
                    </w:rPr>
                  </w:pPr>
                </w:p>
              </w:tc>
            </w:tr>
            <w:tr w14:paraId="2C38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0E8F9091">
                  <w:pPr>
                    <w:jc w:val="center"/>
                  </w:pPr>
                </w:p>
              </w:tc>
              <w:tc>
                <w:tcPr>
                  <w:tcW w:w="479" w:type="pct"/>
                  <w:vMerge w:val="continue"/>
                  <w:vAlign w:val="center"/>
                </w:tcPr>
                <w:p w14:paraId="17BDCC88">
                  <w:pPr>
                    <w:jc w:val="center"/>
                    <w:rPr>
                      <w:rFonts w:hint="eastAsia" w:eastAsia="宋体"/>
                      <w:lang w:eastAsia="zh-CN"/>
                    </w:rPr>
                  </w:pPr>
                </w:p>
              </w:tc>
              <w:tc>
                <w:tcPr>
                  <w:tcW w:w="408" w:type="pct"/>
                  <w:vAlign w:val="center"/>
                </w:tcPr>
                <w:p w14:paraId="3C16A2E8">
                  <w:pPr>
                    <w:jc w:val="center"/>
                    <w:rPr>
                      <w:rFonts w:hint="default"/>
                      <w:lang w:val="en-US" w:eastAsia="zh-CN"/>
                    </w:rPr>
                  </w:pPr>
                  <w:r>
                    <w:rPr>
                      <w:rFonts w:hint="eastAsia"/>
                      <w:lang w:val="en-US" w:eastAsia="zh-CN"/>
                    </w:rPr>
                    <w:t>9F</w:t>
                  </w:r>
                </w:p>
              </w:tc>
              <w:tc>
                <w:tcPr>
                  <w:tcW w:w="1562" w:type="pct"/>
                  <w:vAlign w:val="center"/>
                </w:tcPr>
                <w:p w14:paraId="1A6988CC">
                  <w:pPr>
                    <w:jc w:val="center"/>
                    <w:rPr>
                      <w:rFonts w:hint="eastAsia"/>
                      <w:szCs w:val="21"/>
                      <w:lang w:eastAsia="zh-CN"/>
                    </w:rPr>
                  </w:pPr>
                  <w:r>
                    <w:rPr>
                      <w:rFonts w:hint="eastAsia"/>
                      <w:szCs w:val="21"/>
                      <w:lang w:eastAsia="zh-CN"/>
                    </w:rPr>
                    <w:t>外科（微创中心）、肛肠科。</w:t>
                  </w:r>
                </w:p>
              </w:tc>
              <w:tc>
                <w:tcPr>
                  <w:tcW w:w="1588" w:type="pct"/>
                  <w:vAlign w:val="center"/>
                </w:tcPr>
                <w:p w14:paraId="2EF88ADA">
                  <w:pPr>
                    <w:jc w:val="center"/>
                    <w:rPr>
                      <w:rFonts w:hint="eastAsia"/>
                      <w:szCs w:val="21"/>
                      <w:lang w:eastAsia="zh-CN"/>
                    </w:rPr>
                  </w:pPr>
                  <w:r>
                    <w:rPr>
                      <w:rFonts w:hint="eastAsia"/>
                      <w:szCs w:val="21"/>
                      <w:lang w:eastAsia="zh-CN"/>
                    </w:rPr>
                    <w:t>外科（微创中心）、肛肠科。</w:t>
                  </w:r>
                </w:p>
              </w:tc>
              <w:tc>
                <w:tcPr>
                  <w:tcW w:w="704" w:type="pct"/>
                  <w:vMerge w:val="continue"/>
                  <w:vAlign w:val="center"/>
                </w:tcPr>
                <w:p w14:paraId="7480842F">
                  <w:pPr>
                    <w:jc w:val="center"/>
                    <w:rPr>
                      <w:rFonts w:hint="eastAsia"/>
                      <w:kern w:val="0"/>
                      <w:szCs w:val="21"/>
                    </w:rPr>
                  </w:pPr>
                </w:p>
              </w:tc>
            </w:tr>
            <w:tr w14:paraId="04C3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6405AEDF">
                  <w:pPr>
                    <w:jc w:val="center"/>
                  </w:pPr>
                </w:p>
              </w:tc>
              <w:tc>
                <w:tcPr>
                  <w:tcW w:w="479" w:type="pct"/>
                  <w:vMerge w:val="continue"/>
                  <w:vAlign w:val="center"/>
                </w:tcPr>
                <w:p w14:paraId="0C0388A5">
                  <w:pPr>
                    <w:jc w:val="center"/>
                    <w:rPr>
                      <w:rFonts w:hint="eastAsia" w:eastAsia="宋体"/>
                      <w:lang w:eastAsia="zh-CN"/>
                    </w:rPr>
                  </w:pPr>
                </w:p>
              </w:tc>
              <w:tc>
                <w:tcPr>
                  <w:tcW w:w="408" w:type="pct"/>
                  <w:vAlign w:val="center"/>
                </w:tcPr>
                <w:p w14:paraId="7067F18C">
                  <w:pPr>
                    <w:jc w:val="center"/>
                    <w:rPr>
                      <w:rFonts w:hint="default"/>
                      <w:lang w:val="en-US" w:eastAsia="zh-CN"/>
                    </w:rPr>
                  </w:pPr>
                  <w:r>
                    <w:rPr>
                      <w:rFonts w:hint="eastAsia"/>
                      <w:lang w:val="en-US" w:eastAsia="zh-CN"/>
                    </w:rPr>
                    <w:t>10F</w:t>
                  </w:r>
                </w:p>
              </w:tc>
              <w:tc>
                <w:tcPr>
                  <w:tcW w:w="1562" w:type="pct"/>
                  <w:vAlign w:val="center"/>
                </w:tcPr>
                <w:p w14:paraId="035DF81F">
                  <w:pPr>
                    <w:jc w:val="center"/>
                    <w:rPr>
                      <w:rFonts w:hint="eastAsia"/>
                      <w:szCs w:val="21"/>
                      <w:lang w:eastAsia="zh-CN"/>
                    </w:rPr>
                  </w:pPr>
                  <w:r>
                    <w:rPr>
                      <w:rFonts w:hint="eastAsia"/>
                      <w:szCs w:val="21"/>
                      <w:lang w:eastAsia="zh-CN"/>
                    </w:rPr>
                    <w:t>骨科、中医科。</w:t>
                  </w:r>
                </w:p>
              </w:tc>
              <w:tc>
                <w:tcPr>
                  <w:tcW w:w="1588" w:type="pct"/>
                  <w:vAlign w:val="center"/>
                </w:tcPr>
                <w:p w14:paraId="0724CCF8">
                  <w:pPr>
                    <w:jc w:val="center"/>
                    <w:rPr>
                      <w:rFonts w:hint="eastAsia"/>
                      <w:szCs w:val="21"/>
                      <w:lang w:eastAsia="zh-CN"/>
                    </w:rPr>
                  </w:pPr>
                  <w:r>
                    <w:rPr>
                      <w:rFonts w:hint="eastAsia"/>
                      <w:szCs w:val="21"/>
                      <w:lang w:eastAsia="zh-CN"/>
                    </w:rPr>
                    <w:t>骨科、中医科。</w:t>
                  </w:r>
                </w:p>
              </w:tc>
              <w:tc>
                <w:tcPr>
                  <w:tcW w:w="704" w:type="pct"/>
                  <w:vMerge w:val="continue"/>
                  <w:vAlign w:val="center"/>
                </w:tcPr>
                <w:p w14:paraId="540419EA">
                  <w:pPr>
                    <w:jc w:val="center"/>
                    <w:rPr>
                      <w:rFonts w:hint="eastAsia"/>
                      <w:kern w:val="0"/>
                      <w:szCs w:val="21"/>
                    </w:rPr>
                  </w:pPr>
                </w:p>
              </w:tc>
            </w:tr>
            <w:tr w14:paraId="11037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6D730DAC">
                  <w:pPr>
                    <w:jc w:val="center"/>
                  </w:pPr>
                </w:p>
              </w:tc>
              <w:tc>
                <w:tcPr>
                  <w:tcW w:w="479" w:type="pct"/>
                  <w:vMerge w:val="continue"/>
                  <w:vAlign w:val="center"/>
                </w:tcPr>
                <w:p w14:paraId="72D3DA1A">
                  <w:pPr>
                    <w:jc w:val="center"/>
                    <w:rPr>
                      <w:rFonts w:hint="eastAsia" w:eastAsia="宋体"/>
                      <w:lang w:eastAsia="zh-CN"/>
                    </w:rPr>
                  </w:pPr>
                </w:p>
              </w:tc>
              <w:tc>
                <w:tcPr>
                  <w:tcW w:w="408" w:type="pct"/>
                  <w:vAlign w:val="center"/>
                </w:tcPr>
                <w:p w14:paraId="493F9735">
                  <w:pPr>
                    <w:jc w:val="center"/>
                    <w:rPr>
                      <w:rFonts w:hint="default"/>
                      <w:lang w:val="en-US" w:eastAsia="zh-CN"/>
                    </w:rPr>
                  </w:pPr>
                  <w:r>
                    <w:rPr>
                      <w:rFonts w:hint="eastAsia"/>
                      <w:lang w:val="en-US" w:eastAsia="zh-CN"/>
                    </w:rPr>
                    <w:t>11F</w:t>
                  </w:r>
                </w:p>
              </w:tc>
              <w:tc>
                <w:tcPr>
                  <w:tcW w:w="1562" w:type="pct"/>
                  <w:vAlign w:val="center"/>
                </w:tcPr>
                <w:p w14:paraId="1E24BCD4">
                  <w:pPr>
                    <w:jc w:val="center"/>
                    <w:rPr>
                      <w:rFonts w:hint="eastAsia"/>
                      <w:szCs w:val="21"/>
                      <w:lang w:eastAsia="zh-CN"/>
                    </w:rPr>
                  </w:pPr>
                  <w:r>
                    <w:rPr>
                      <w:rFonts w:hint="eastAsia"/>
                      <w:szCs w:val="21"/>
                      <w:lang w:eastAsia="zh-CN"/>
                    </w:rPr>
                    <w:t>行政后勤办公区。</w:t>
                  </w:r>
                </w:p>
              </w:tc>
              <w:tc>
                <w:tcPr>
                  <w:tcW w:w="1588" w:type="pct"/>
                  <w:vAlign w:val="center"/>
                </w:tcPr>
                <w:p w14:paraId="1F76751B">
                  <w:pPr>
                    <w:jc w:val="center"/>
                    <w:rPr>
                      <w:rFonts w:hint="eastAsia"/>
                      <w:szCs w:val="21"/>
                      <w:lang w:eastAsia="zh-CN"/>
                    </w:rPr>
                  </w:pPr>
                  <w:r>
                    <w:rPr>
                      <w:rFonts w:hint="eastAsia"/>
                      <w:szCs w:val="21"/>
                      <w:lang w:eastAsia="zh-CN"/>
                    </w:rPr>
                    <w:t>行政后勤办公区。</w:t>
                  </w:r>
                </w:p>
              </w:tc>
              <w:tc>
                <w:tcPr>
                  <w:tcW w:w="704" w:type="pct"/>
                  <w:vMerge w:val="continue"/>
                  <w:vAlign w:val="center"/>
                </w:tcPr>
                <w:p w14:paraId="7CABC91F">
                  <w:pPr>
                    <w:jc w:val="center"/>
                    <w:rPr>
                      <w:rFonts w:hint="eastAsia"/>
                      <w:kern w:val="0"/>
                      <w:szCs w:val="21"/>
                    </w:rPr>
                  </w:pPr>
                </w:p>
              </w:tc>
            </w:tr>
            <w:tr w14:paraId="0E011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3987CB0B">
                  <w:pPr>
                    <w:jc w:val="center"/>
                  </w:pPr>
                </w:p>
              </w:tc>
              <w:tc>
                <w:tcPr>
                  <w:tcW w:w="479" w:type="pct"/>
                  <w:vMerge w:val="continue"/>
                  <w:vAlign w:val="center"/>
                </w:tcPr>
                <w:p w14:paraId="30E9A723">
                  <w:pPr>
                    <w:jc w:val="center"/>
                    <w:rPr>
                      <w:rFonts w:hint="eastAsia" w:eastAsia="宋体"/>
                      <w:lang w:eastAsia="zh-CN"/>
                    </w:rPr>
                  </w:pPr>
                </w:p>
              </w:tc>
              <w:tc>
                <w:tcPr>
                  <w:tcW w:w="408" w:type="pct"/>
                  <w:vAlign w:val="center"/>
                </w:tcPr>
                <w:p w14:paraId="4F668FD5">
                  <w:pPr>
                    <w:jc w:val="center"/>
                    <w:rPr>
                      <w:rFonts w:hint="default" w:eastAsia="宋体"/>
                      <w:lang w:val="en-US" w:eastAsia="zh-CN"/>
                    </w:rPr>
                  </w:pPr>
                  <w:r>
                    <w:rPr>
                      <w:rFonts w:hint="eastAsia"/>
                      <w:lang w:val="en-US" w:eastAsia="zh-CN"/>
                    </w:rPr>
                    <w:t>12F</w:t>
                  </w:r>
                </w:p>
              </w:tc>
              <w:tc>
                <w:tcPr>
                  <w:tcW w:w="1562" w:type="pct"/>
                  <w:vAlign w:val="center"/>
                </w:tcPr>
                <w:p w14:paraId="3F2C1824">
                  <w:pPr>
                    <w:jc w:val="center"/>
                    <w:rPr>
                      <w:rFonts w:hint="eastAsia"/>
                      <w:szCs w:val="21"/>
                      <w:lang w:eastAsia="zh-CN"/>
                    </w:rPr>
                  </w:pPr>
                  <w:r>
                    <w:rPr>
                      <w:rFonts w:hint="eastAsia"/>
                      <w:szCs w:val="21"/>
                      <w:lang w:eastAsia="zh-CN"/>
                    </w:rPr>
                    <w:t>药库、物品仓库、总值班室。</w:t>
                  </w:r>
                </w:p>
              </w:tc>
              <w:tc>
                <w:tcPr>
                  <w:tcW w:w="1588" w:type="pct"/>
                  <w:vAlign w:val="center"/>
                </w:tcPr>
                <w:p w14:paraId="5A034DE6">
                  <w:pPr>
                    <w:jc w:val="center"/>
                    <w:rPr>
                      <w:rFonts w:hint="eastAsia"/>
                      <w:szCs w:val="21"/>
                      <w:lang w:eastAsia="zh-CN"/>
                    </w:rPr>
                  </w:pPr>
                  <w:r>
                    <w:rPr>
                      <w:rFonts w:hint="eastAsia"/>
                      <w:szCs w:val="21"/>
                      <w:lang w:eastAsia="zh-CN"/>
                    </w:rPr>
                    <w:t>药库、物品仓库、总值班室。</w:t>
                  </w:r>
                </w:p>
              </w:tc>
              <w:tc>
                <w:tcPr>
                  <w:tcW w:w="704" w:type="pct"/>
                  <w:vMerge w:val="continue"/>
                  <w:vAlign w:val="center"/>
                </w:tcPr>
                <w:p w14:paraId="3D1C3A1C">
                  <w:pPr>
                    <w:jc w:val="center"/>
                    <w:rPr>
                      <w:rFonts w:hint="eastAsia"/>
                      <w:kern w:val="0"/>
                      <w:szCs w:val="21"/>
                    </w:rPr>
                  </w:pPr>
                </w:p>
              </w:tc>
            </w:tr>
            <w:tr w14:paraId="6AE4D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1E912706">
                  <w:pPr>
                    <w:jc w:val="center"/>
                  </w:pPr>
                </w:p>
              </w:tc>
              <w:tc>
                <w:tcPr>
                  <w:tcW w:w="887" w:type="pct"/>
                  <w:gridSpan w:val="2"/>
                  <w:vAlign w:val="center"/>
                </w:tcPr>
                <w:p w14:paraId="431CBD0B">
                  <w:pPr>
                    <w:jc w:val="center"/>
                    <w:rPr>
                      <w:rFonts w:hint="eastAsia"/>
                      <w:lang w:val="en-US" w:eastAsia="zh-CN"/>
                    </w:rPr>
                  </w:pPr>
                  <w:r>
                    <w:rPr>
                      <w:rFonts w:hint="eastAsia"/>
                      <w:lang w:eastAsia="zh-CN"/>
                    </w:rPr>
                    <w:t>急救中心（建筑面积</w:t>
                  </w:r>
                  <w:r>
                    <w:rPr>
                      <w:rFonts w:hint="eastAsia"/>
                      <w:lang w:val="en-US" w:eastAsia="zh-CN"/>
                    </w:rPr>
                    <w:t>666m</w:t>
                  </w:r>
                  <w:r>
                    <w:rPr>
                      <w:rFonts w:hint="eastAsia"/>
                      <w:vertAlign w:val="superscript"/>
                      <w:lang w:val="en-US" w:eastAsia="zh-CN"/>
                    </w:rPr>
                    <w:t>2</w:t>
                  </w:r>
                  <w:r>
                    <w:rPr>
                      <w:rFonts w:hint="eastAsia"/>
                      <w:lang w:eastAsia="zh-CN"/>
                    </w:rPr>
                    <w:t>）</w:t>
                  </w:r>
                </w:p>
              </w:tc>
              <w:tc>
                <w:tcPr>
                  <w:tcW w:w="1562" w:type="pct"/>
                  <w:vAlign w:val="center"/>
                </w:tcPr>
                <w:p w14:paraId="342F613A">
                  <w:pPr>
                    <w:jc w:val="center"/>
                    <w:rPr>
                      <w:rFonts w:hint="default"/>
                      <w:szCs w:val="21"/>
                      <w:lang w:val="en-US" w:eastAsia="zh-CN"/>
                    </w:rPr>
                  </w:pPr>
                  <w:r>
                    <w:rPr>
                      <w:rFonts w:hint="eastAsia"/>
                      <w:szCs w:val="21"/>
                      <w:lang w:val="en-US" w:eastAsia="zh-CN"/>
                    </w:rPr>
                    <w:t>3F，医院急救中心（急救区、抢救室、清创室、复苏室等）。</w:t>
                  </w:r>
                </w:p>
              </w:tc>
              <w:tc>
                <w:tcPr>
                  <w:tcW w:w="1588" w:type="pct"/>
                  <w:vAlign w:val="center"/>
                </w:tcPr>
                <w:p w14:paraId="034E1D45">
                  <w:pPr>
                    <w:jc w:val="center"/>
                    <w:rPr>
                      <w:rFonts w:hint="eastAsia"/>
                      <w:szCs w:val="21"/>
                      <w:lang w:eastAsia="zh-CN"/>
                    </w:rPr>
                  </w:pPr>
                  <w:r>
                    <w:rPr>
                      <w:rFonts w:hint="eastAsia"/>
                      <w:szCs w:val="21"/>
                      <w:lang w:val="en-US" w:eastAsia="zh-CN"/>
                    </w:rPr>
                    <w:t>3F，医院急救中心（急救区、抢救室、清创室、复苏室等）。</w:t>
                  </w:r>
                </w:p>
              </w:tc>
              <w:tc>
                <w:tcPr>
                  <w:tcW w:w="704" w:type="pct"/>
                  <w:vAlign w:val="center"/>
                </w:tcPr>
                <w:p w14:paraId="61D06644">
                  <w:pPr>
                    <w:jc w:val="center"/>
                    <w:rPr>
                      <w:rFonts w:hint="eastAsia" w:eastAsia="宋体"/>
                      <w:kern w:val="0"/>
                      <w:szCs w:val="21"/>
                      <w:lang w:eastAsia="zh-CN"/>
                    </w:rPr>
                  </w:pPr>
                  <w:r>
                    <w:rPr>
                      <w:rFonts w:hint="eastAsia"/>
                      <w:kern w:val="0"/>
                      <w:szCs w:val="21"/>
                      <w:lang w:eastAsia="zh-CN"/>
                    </w:rPr>
                    <w:t>无变化</w:t>
                  </w:r>
                </w:p>
              </w:tc>
            </w:tr>
            <w:tr w14:paraId="616F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2FA3466C">
                  <w:pPr>
                    <w:jc w:val="center"/>
                  </w:pPr>
                </w:p>
              </w:tc>
              <w:tc>
                <w:tcPr>
                  <w:tcW w:w="479" w:type="pct"/>
                  <w:vMerge w:val="restart"/>
                  <w:vAlign w:val="center"/>
                </w:tcPr>
                <w:p w14:paraId="0FC2C0D3">
                  <w:pPr>
                    <w:jc w:val="center"/>
                    <w:rPr>
                      <w:rFonts w:hint="default" w:eastAsia="宋体"/>
                      <w:lang w:val="en-US" w:eastAsia="zh-CN"/>
                    </w:rPr>
                  </w:pPr>
                  <w:r>
                    <w:rPr>
                      <w:rFonts w:hint="eastAsia"/>
                      <w:lang w:val="en-US" w:eastAsia="zh-CN"/>
                    </w:rPr>
                    <w:t>住院综合楼（总</w:t>
                  </w:r>
                  <w:r>
                    <w:rPr>
                      <w:rFonts w:hint="eastAsia"/>
                      <w:lang w:eastAsia="zh-CN"/>
                    </w:rPr>
                    <w:t>建筑面积</w:t>
                  </w:r>
                  <w:r>
                    <w:rPr>
                      <w:rFonts w:hint="eastAsia"/>
                      <w:lang w:val="en-US" w:eastAsia="zh-CN"/>
                    </w:rPr>
                    <w:t>12698.8m</w:t>
                  </w:r>
                  <w:r>
                    <w:rPr>
                      <w:rFonts w:hint="eastAsia"/>
                      <w:vertAlign w:val="superscript"/>
                      <w:lang w:val="en-US" w:eastAsia="zh-CN"/>
                    </w:rPr>
                    <w:t>2</w:t>
                  </w:r>
                  <w:r>
                    <w:rPr>
                      <w:rFonts w:hint="eastAsia"/>
                      <w:vertAlign w:val="baseline"/>
                      <w:lang w:val="en-US" w:eastAsia="zh-CN"/>
                    </w:rPr>
                    <w:t>，其中主楼11642.8m</w:t>
                  </w:r>
                  <w:r>
                    <w:rPr>
                      <w:rFonts w:hint="eastAsia"/>
                      <w:vertAlign w:val="superscript"/>
                      <w:lang w:val="en-US" w:eastAsia="zh-CN"/>
                    </w:rPr>
                    <w:t>2</w:t>
                  </w:r>
                  <w:r>
                    <w:rPr>
                      <w:rFonts w:hint="eastAsia"/>
                      <w:vertAlign w:val="baseline"/>
                      <w:lang w:val="en-US" w:eastAsia="zh-CN"/>
                    </w:rPr>
                    <w:t>、裙房1056m</w:t>
                  </w:r>
                  <w:r>
                    <w:rPr>
                      <w:rFonts w:hint="eastAsia"/>
                      <w:vertAlign w:val="superscript"/>
                      <w:lang w:val="en-US" w:eastAsia="zh-CN"/>
                    </w:rPr>
                    <w:t>2</w:t>
                  </w:r>
                  <w:r>
                    <w:rPr>
                      <w:rFonts w:hint="eastAsia"/>
                      <w:lang w:val="en-US" w:eastAsia="zh-CN"/>
                    </w:rPr>
                    <w:t>）</w:t>
                  </w:r>
                </w:p>
              </w:tc>
              <w:tc>
                <w:tcPr>
                  <w:tcW w:w="408" w:type="pct"/>
                  <w:vAlign w:val="center"/>
                </w:tcPr>
                <w:p w14:paraId="2623EFB2">
                  <w:pPr>
                    <w:jc w:val="center"/>
                    <w:rPr>
                      <w:rFonts w:hint="default"/>
                      <w:lang w:val="en-US" w:eastAsia="zh-CN"/>
                    </w:rPr>
                  </w:pPr>
                  <w:r>
                    <w:rPr>
                      <w:rFonts w:hint="eastAsia"/>
                      <w:lang w:val="en-US" w:eastAsia="zh-CN"/>
                    </w:rPr>
                    <w:t>-1F</w:t>
                  </w:r>
                </w:p>
              </w:tc>
              <w:tc>
                <w:tcPr>
                  <w:tcW w:w="1562" w:type="pct"/>
                  <w:vAlign w:val="center"/>
                </w:tcPr>
                <w:p w14:paraId="200258E9">
                  <w:pPr>
                    <w:jc w:val="center"/>
                    <w:rPr>
                      <w:rFonts w:hint="default"/>
                      <w:szCs w:val="21"/>
                      <w:lang w:val="en-US" w:eastAsia="zh-CN"/>
                    </w:rPr>
                  </w:pPr>
                  <w:r>
                    <w:rPr>
                      <w:rFonts w:hint="eastAsia"/>
                      <w:szCs w:val="21"/>
                      <w:lang w:val="en-US" w:eastAsia="zh-CN"/>
                    </w:rPr>
                    <w:t>/</w:t>
                  </w:r>
                </w:p>
              </w:tc>
              <w:tc>
                <w:tcPr>
                  <w:tcW w:w="1588" w:type="pct"/>
                  <w:vAlign w:val="center"/>
                </w:tcPr>
                <w:p w14:paraId="2C0B3320">
                  <w:pPr>
                    <w:jc w:val="center"/>
                    <w:rPr>
                      <w:rFonts w:hint="eastAsia"/>
                      <w:szCs w:val="21"/>
                      <w:lang w:eastAsia="zh-CN"/>
                    </w:rPr>
                  </w:pPr>
                  <w:r>
                    <w:rPr>
                      <w:rFonts w:hint="eastAsia"/>
                      <w:szCs w:val="21"/>
                      <w:lang w:eastAsia="zh-CN"/>
                    </w:rPr>
                    <w:t>建筑面积</w:t>
                  </w:r>
                  <w:r>
                    <w:rPr>
                      <w:rFonts w:hint="eastAsia"/>
                      <w:szCs w:val="21"/>
                      <w:lang w:val="en-US" w:eastAsia="zh-CN"/>
                    </w:rPr>
                    <w:t>4850.6m</w:t>
                  </w:r>
                  <w:r>
                    <w:rPr>
                      <w:rFonts w:hint="eastAsia"/>
                      <w:szCs w:val="21"/>
                      <w:vertAlign w:val="superscript"/>
                      <w:lang w:val="en-US" w:eastAsia="zh-CN"/>
                    </w:rPr>
                    <w:t>2</w:t>
                  </w:r>
                  <w:r>
                    <w:rPr>
                      <w:rFonts w:hint="eastAsia"/>
                      <w:szCs w:val="21"/>
                      <w:lang w:eastAsia="zh-CN"/>
                    </w:rPr>
                    <w:t>，地下车库（新增车位</w:t>
                  </w:r>
                  <w:r>
                    <w:rPr>
                      <w:rFonts w:hint="eastAsia"/>
                      <w:szCs w:val="21"/>
                      <w:lang w:val="en-US" w:eastAsia="zh-CN"/>
                    </w:rPr>
                    <w:t>140个</w:t>
                  </w:r>
                  <w:r>
                    <w:rPr>
                      <w:rFonts w:hint="eastAsia"/>
                      <w:szCs w:val="21"/>
                      <w:lang w:eastAsia="zh-CN"/>
                    </w:rPr>
                    <w:t>）、人防工程、消防泵房、配电室、制冷机房等。</w:t>
                  </w:r>
                </w:p>
              </w:tc>
              <w:tc>
                <w:tcPr>
                  <w:tcW w:w="704" w:type="pct"/>
                  <w:vMerge w:val="restart"/>
                  <w:vAlign w:val="center"/>
                </w:tcPr>
                <w:p w14:paraId="2D4DE7A2">
                  <w:pPr>
                    <w:jc w:val="center"/>
                    <w:rPr>
                      <w:rFonts w:hint="eastAsia" w:eastAsia="宋体"/>
                      <w:kern w:val="0"/>
                      <w:szCs w:val="21"/>
                      <w:lang w:eastAsia="zh-CN"/>
                    </w:rPr>
                  </w:pPr>
                  <w:r>
                    <w:rPr>
                      <w:rFonts w:hint="eastAsia"/>
                      <w:kern w:val="0"/>
                      <w:szCs w:val="21"/>
                      <w:lang w:eastAsia="zh-CN"/>
                    </w:rPr>
                    <w:t>新建</w:t>
                  </w:r>
                </w:p>
              </w:tc>
            </w:tr>
            <w:tr w14:paraId="53AF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4531432D">
                  <w:pPr>
                    <w:jc w:val="center"/>
                  </w:pPr>
                </w:p>
              </w:tc>
              <w:tc>
                <w:tcPr>
                  <w:tcW w:w="479" w:type="pct"/>
                  <w:vMerge w:val="continue"/>
                  <w:vAlign w:val="center"/>
                </w:tcPr>
                <w:p w14:paraId="17CDCF99">
                  <w:pPr>
                    <w:jc w:val="center"/>
                    <w:rPr>
                      <w:rFonts w:hint="default" w:eastAsia="宋体"/>
                      <w:lang w:val="en-US" w:eastAsia="zh-CN"/>
                    </w:rPr>
                  </w:pPr>
                </w:p>
              </w:tc>
              <w:tc>
                <w:tcPr>
                  <w:tcW w:w="408" w:type="pct"/>
                  <w:vAlign w:val="center"/>
                </w:tcPr>
                <w:p w14:paraId="53AEFF7C">
                  <w:pPr>
                    <w:jc w:val="center"/>
                    <w:rPr>
                      <w:rFonts w:hint="default" w:eastAsia="宋体"/>
                      <w:lang w:val="en-US" w:eastAsia="zh-CN"/>
                    </w:rPr>
                  </w:pPr>
                  <w:r>
                    <w:rPr>
                      <w:rFonts w:hint="eastAsia"/>
                      <w:lang w:val="en-US" w:eastAsia="zh-CN"/>
                    </w:rPr>
                    <w:t>1F</w:t>
                  </w:r>
                </w:p>
              </w:tc>
              <w:tc>
                <w:tcPr>
                  <w:tcW w:w="1562" w:type="pct"/>
                  <w:vAlign w:val="center"/>
                </w:tcPr>
                <w:p w14:paraId="5EA942A0">
                  <w:pPr>
                    <w:jc w:val="center"/>
                    <w:rPr>
                      <w:rFonts w:hint="default"/>
                      <w:szCs w:val="21"/>
                      <w:lang w:val="en-US" w:eastAsia="zh-CN"/>
                    </w:rPr>
                  </w:pPr>
                  <w:r>
                    <w:rPr>
                      <w:rFonts w:hint="eastAsia"/>
                      <w:szCs w:val="21"/>
                      <w:lang w:val="en-US" w:eastAsia="zh-CN"/>
                    </w:rPr>
                    <w:t>/</w:t>
                  </w:r>
                </w:p>
              </w:tc>
              <w:tc>
                <w:tcPr>
                  <w:tcW w:w="1588" w:type="pct"/>
                  <w:vAlign w:val="center"/>
                </w:tcPr>
                <w:p w14:paraId="32AD1E1D">
                  <w:pPr>
                    <w:jc w:val="center"/>
                    <w:rPr>
                      <w:rFonts w:hint="eastAsia"/>
                      <w:szCs w:val="21"/>
                      <w:lang w:eastAsia="zh-CN"/>
                    </w:rPr>
                  </w:pPr>
                  <w:r>
                    <w:rPr>
                      <w:rFonts w:hint="eastAsia"/>
                      <w:szCs w:val="21"/>
                      <w:lang w:eastAsia="zh-CN"/>
                    </w:rPr>
                    <w:t>建筑面积</w:t>
                  </w:r>
                  <w:r>
                    <w:rPr>
                      <w:rFonts w:hint="eastAsia"/>
                      <w:szCs w:val="21"/>
                      <w:lang w:val="en-US" w:eastAsia="zh-CN"/>
                    </w:rPr>
                    <w:t>1455.35m</w:t>
                  </w:r>
                  <w:r>
                    <w:rPr>
                      <w:rFonts w:hint="eastAsia"/>
                      <w:szCs w:val="21"/>
                      <w:vertAlign w:val="superscript"/>
                      <w:lang w:val="en-US" w:eastAsia="zh-CN"/>
                    </w:rPr>
                    <w:t>2</w:t>
                  </w:r>
                  <w:r>
                    <w:rPr>
                      <w:rFonts w:hint="eastAsia"/>
                      <w:szCs w:val="21"/>
                      <w:lang w:eastAsia="zh-CN"/>
                    </w:rPr>
                    <w:t>，住院大厅、药物配置、静配中心等。</w:t>
                  </w:r>
                </w:p>
              </w:tc>
              <w:tc>
                <w:tcPr>
                  <w:tcW w:w="704" w:type="pct"/>
                  <w:vMerge w:val="continue"/>
                  <w:vAlign w:val="center"/>
                </w:tcPr>
                <w:p w14:paraId="1A4ADEB8">
                  <w:pPr>
                    <w:jc w:val="center"/>
                    <w:rPr>
                      <w:rFonts w:hint="eastAsia"/>
                      <w:kern w:val="0"/>
                      <w:szCs w:val="21"/>
                    </w:rPr>
                  </w:pPr>
                </w:p>
              </w:tc>
            </w:tr>
            <w:tr w14:paraId="089F3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7D912111">
                  <w:pPr>
                    <w:jc w:val="center"/>
                  </w:pPr>
                </w:p>
              </w:tc>
              <w:tc>
                <w:tcPr>
                  <w:tcW w:w="479" w:type="pct"/>
                  <w:vMerge w:val="continue"/>
                  <w:vAlign w:val="center"/>
                </w:tcPr>
                <w:p w14:paraId="04ACB4EC">
                  <w:pPr>
                    <w:jc w:val="center"/>
                    <w:rPr>
                      <w:rFonts w:hint="eastAsia" w:eastAsia="宋体"/>
                      <w:lang w:eastAsia="zh-CN"/>
                    </w:rPr>
                  </w:pPr>
                </w:p>
              </w:tc>
              <w:tc>
                <w:tcPr>
                  <w:tcW w:w="408" w:type="pct"/>
                  <w:vAlign w:val="center"/>
                </w:tcPr>
                <w:p w14:paraId="5F3AE1D8">
                  <w:pPr>
                    <w:jc w:val="center"/>
                    <w:rPr>
                      <w:rFonts w:hint="default" w:eastAsia="宋体"/>
                      <w:lang w:val="en-US" w:eastAsia="zh-CN"/>
                    </w:rPr>
                  </w:pPr>
                  <w:r>
                    <w:rPr>
                      <w:rFonts w:hint="eastAsia"/>
                      <w:lang w:val="en-US" w:eastAsia="zh-CN"/>
                    </w:rPr>
                    <w:t>2F</w:t>
                  </w:r>
                </w:p>
              </w:tc>
              <w:tc>
                <w:tcPr>
                  <w:tcW w:w="1562" w:type="pct"/>
                  <w:vAlign w:val="center"/>
                </w:tcPr>
                <w:p w14:paraId="013D9122">
                  <w:pPr>
                    <w:jc w:val="center"/>
                    <w:rPr>
                      <w:rFonts w:hint="default"/>
                      <w:szCs w:val="21"/>
                      <w:lang w:val="en-US" w:eastAsia="zh-CN"/>
                    </w:rPr>
                  </w:pPr>
                  <w:r>
                    <w:rPr>
                      <w:rFonts w:hint="eastAsia"/>
                      <w:szCs w:val="21"/>
                      <w:lang w:val="en-US" w:eastAsia="zh-CN"/>
                    </w:rPr>
                    <w:t>/</w:t>
                  </w:r>
                </w:p>
              </w:tc>
              <w:tc>
                <w:tcPr>
                  <w:tcW w:w="1588" w:type="pct"/>
                  <w:vAlign w:val="center"/>
                </w:tcPr>
                <w:p w14:paraId="5B45314C">
                  <w:pPr>
                    <w:jc w:val="center"/>
                    <w:rPr>
                      <w:rFonts w:hint="eastAsia"/>
                      <w:szCs w:val="21"/>
                      <w:lang w:eastAsia="zh-CN"/>
                    </w:rPr>
                  </w:pPr>
                  <w:r>
                    <w:rPr>
                      <w:rFonts w:hint="eastAsia"/>
                      <w:szCs w:val="21"/>
                      <w:lang w:eastAsia="zh-CN"/>
                    </w:rPr>
                    <w:t>建筑面积</w:t>
                  </w:r>
                  <w:r>
                    <w:rPr>
                      <w:rFonts w:hint="eastAsia"/>
                      <w:szCs w:val="21"/>
                      <w:lang w:val="en-US" w:eastAsia="zh-CN"/>
                    </w:rPr>
                    <w:t>1455.35m</w:t>
                  </w:r>
                  <w:r>
                    <w:rPr>
                      <w:rFonts w:hint="eastAsia"/>
                      <w:szCs w:val="21"/>
                      <w:vertAlign w:val="superscript"/>
                      <w:lang w:val="en-US" w:eastAsia="zh-CN"/>
                    </w:rPr>
                    <w:t>2</w:t>
                  </w:r>
                  <w:r>
                    <w:rPr>
                      <w:rFonts w:hint="eastAsia"/>
                      <w:szCs w:val="21"/>
                      <w:lang w:eastAsia="zh-CN"/>
                    </w:rPr>
                    <w:t>，中心药房、值班室、库房等。</w:t>
                  </w:r>
                </w:p>
              </w:tc>
              <w:tc>
                <w:tcPr>
                  <w:tcW w:w="704" w:type="pct"/>
                  <w:vMerge w:val="continue"/>
                  <w:vAlign w:val="center"/>
                </w:tcPr>
                <w:p w14:paraId="24ABF629">
                  <w:pPr>
                    <w:jc w:val="center"/>
                    <w:rPr>
                      <w:rFonts w:hint="eastAsia"/>
                      <w:kern w:val="0"/>
                      <w:szCs w:val="21"/>
                    </w:rPr>
                  </w:pPr>
                </w:p>
              </w:tc>
            </w:tr>
            <w:tr w14:paraId="7F3A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50477E8D">
                  <w:pPr>
                    <w:jc w:val="center"/>
                  </w:pPr>
                </w:p>
              </w:tc>
              <w:tc>
                <w:tcPr>
                  <w:tcW w:w="479" w:type="pct"/>
                  <w:vMerge w:val="continue"/>
                  <w:vAlign w:val="center"/>
                </w:tcPr>
                <w:p w14:paraId="18C9ADEB">
                  <w:pPr>
                    <w:jc w:val="center"/>
                    <w:rPr>
                      <w:rFonts w:hint="eastAsia" w:eastAsia="宋体"/>
                      <w:lang w:eastAsia="zh-CN"/>
                    </w:rPr>
                  </w:pPr>
                </w:p>
              </w:tc>
              <w:tc>
                <w:tcPr>
                  <w:tcW w:w="408" w:type="pct"/>
                  <w:vAlign w:val="center"/>
                </w:tcPr>
                <w:p w14:paraId="5D7BDAB5">
                  <w:pPr>
                    <w:jc w:val="center"/>
                    <w:rPr>
                      <w:rFonts w:hint="default" w:eastAsia="宋体"/>
                      <w:lang w:val="en-US" w:eastAsia="zh-CN"/>
                    </w:rPr>
                  </w:pPr>
                  <w:r>
                    <w:rPr>
                      <w:rFonts w:hint="eastAsia"/>
                      <w:lang w:val="en-US" w:eastAsia="zh-CN"/>
                    </w:rPr>
                    <w:t>3F</w:t>
                  </w:r>
                </w:p>
              </w:tc>
              <w:tc>
                <w:tcPr>
                  <w:tcW w:w="1562" w:type="pct"/>
                  <w:vAlign w:val="center"/>
                </w:tcPr>
                <w:p w14:paraId="3EB8ABAB">
                  <w:pPr>
                    <w:jc w:val="center"/>
                    <w:rPr>
                      <w:rFonts w:hint="default"/>
                      <w:szCs w:val="21"/>
                      <w:lang w:val="en-US" w:eastAsia="zh-CN"/>
                    </w:rPr>
                  </w:pPr>
                  <w:r>
                    <w:rPr>
                      <w:rFonts w:hint="eastAsia"/>
                      <w:szCs w:val="21"/>
                      <w:lang w:val="en-US" w:eastAsia="zh-CN"/>
                    </w:rPr>
                    <w:t>/</w:t>
                  </w:r>
                </w:p>
              </w:tc>
              <w:tc>
                <w:tcPr>
                  <w:tcW w:w="1588" w:type="pct"/>
                  <w:vAlign w:val="center"/>
                </w:tcPr>
                <w:p w14:paraId="4E0D4D78">
                  <w:pPr>
                    <w:jc w:val="center"/>
                    <w:rPr>
                      <w:rFonts w:hint="eastAsia"/>
                      <w:szCs w:val="21"/>
                      <w:lang w:eastAsia="zh-CN"/>
                    </w:rPr>
                  </w:pPr>
                  <w:r>
                    <w:rPr>
                      <w:rFonts w:hint="eastAsia"/>
                      <w:szCs w:val="21"/>
                      <w:lang w:eastAsia="zh-CN"/>
                    </w:rPr>
                    <w:t>建筑面积</w:t>
                  </w:r>
                  <w:r>
                    <w:rPr>
                      <w:rFonts w:hint="eastAsia"/>
                      <w:szCs w:val="21"/>
                      <w:lang w:val="en-US" w:eastAsia="zh-CN"/>
                    </w:rPr>
                    <w:t>1455.35m</w:t>
                  </w:r>
                  <w:r>
                    <w:rPr>
                      <w:rFonts w:hint="eastAsia"/>
                      <w:szCs w:val="21"/>
                      <w:vertAlign w:val="superscript"/>
                      <w:lang w:val="en-US" w:eastAsia="zh-CN"/>
                    </w:rPr>
                    <w:t>2</w:t>
                  </w:r>
                  <w:r>
                    <w:rPr>
                      <w:rFonts w:hint="eastAsia"/>
                      <w:szCs w:val="21"/>
                      <w:lang w:eastAsia="zh-CN"/>
                    </w:rPr>
                    <w:t>，重症医学科、无菌间、药品间、医生办公室、护士办公室等。</w:t>
                  </w:r>
                </w:p>
              </w:tc>
              <w:tc>
                <w:tcPr>
                  <w:tcW w:w="704" w:type="pct"/>
                  <w:vMerge w:val="continue"/>
                  <w:vAlign w:val="center"/>
                </w:tcPr>
                <w:p w14:paraId="59E3AD61">
                  <w:pPr>
                    <w:jc w:val="center"/>
                    <w:rPr>
                      <w:rFonts w:hint="eastAsia"/>
                      <w:kern w:val="0"/>
                      <w:szCs w:val="21"/>
                    </w:rPr>
                  </w:pPr>
                </w:p>
              </w:tc>
            </w:tr>
            <w:tr w14:paraId="1C85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3117A3BB">
                  <w:pPr>
                    <w:jc w:val="center"/>
                  </w:pPr>
                </w:p>
              </w:tc>
              <w:tc>
                <w:tcPr>
                  <w:tcW w:w="479" w:type="pct"/>
                  <w:vMerge w:val="continue"/>
                  <w:vAlign w:val="center"/>
                </w:tcPr>
                <w:p w14:paraId="42D85174">
                  <w:pPr>
                    <w:jc w:val="center"/>
                    <w:rPr>
                      <w:rFonts w:hint="eastAsia" w:eastAsia="宋体"/>
                      <w:lang w:eastAsia="zh-CN"/>
                    </w:rPr>
                  </w:pPr>
                </w:p>
              </w:tc>
              <w:tc>
                <w:tcPr>
                  <w:tcW w:w="408" w:type="pct"/>
                  <w:vAlign w:val="center"/>
                </w:tcPr>
                <w:p w14:paraId="77A3F409">
                  <w:pPr>
                    <w:jc w:val="center"/>
                    <w:rPr>
                      <w:rFonts w:hint="default" w:eastAsia="宋体"/>
                      <w:lang w:val="en-US" w:eastAsia="zh-CN"/>
                    </w:rPr>
                  </w:pPr>
                  <w:r>
                    <w:rPr>
                      <w:rFonts w:hint="eastAsia"/>
                      <w:lang w:val="en-US" w:eastAsia="zh-CN"/>
                    </w:rPr>
                    <w:t>4F</w:t>
                  </w:r>
                </w:p>
              </w:tc>
              <w:tc>
                <w:tcPr>
                  <w:tcW w:w="1562" w:type="pct"/>
                  <w:vAlign w:val="center"/>
                </w:tcPr>
                <w:p w14:paraId="30100B7E">
                  <w:pPr>
                    <w:jc w:val="center"/>
                    <w:rPr>
                      <w:rFonts w:hint="default"/>
                      <w:szCs w:val="21"/>
                      <w:lang w:val="en-US" w:eastAsia="zh-CN"/>
                    </w:rPr>
                  </w:pPr>
                  <w:r>
                    <w:rPr>
                      <w:rFonts w:hint="eastAsia"/>
                      <w:szCs w:val="21"/>
                      <w:lang w:val="en-US" w:eastAsia="zh-CN"/>
                    </w:rPr>
                    <w:t>/</w:t>
                  </w:r>
                </w:p>
              </w:tc>
              <w:tc>
                <w:tcPr>
                  <w:tcW w:w="1588" w:type="pct"/>
                  <w:vAlign w:val="center"/>
                </w:tcPr>
                <w:p w14:paraId="0E274B67">
                  <w:pPr>
                    <w:jc w:val="center"/>
                    <w:rPr>
                      <w:rFonts w:hint="eastAsia"/>
                      <w:szCs w:val="21"/>
                      <w:lang w:eastAsia="zh-CN"/>
                    </w:rPr>
                  </w:pPr>
                  <w:r>
                    <w:rPr>
                      <w:rFonts w:hint="eastAsia"/>
                      <w:szCs w:val="21"/>
                      <w:lang w:eastAsia="zh-CN"/>
                    </w:rPr>
                    <w:t>建筑面积</w:t>
                  </w:r>
                  <w:r>
                    <w:rPr>
                      <w:rFonts w:hint="eastAsia"/>
                      <w:szCs w:val="21"/>
                      <w:lang w:val="en-US" w:eastAsia="zh-CN"/>
                    </w:rPr>
                    <w:t>1455.35m</w:t>
                  </w:r>
                  <w:r>
                    <w:rPr>
                      <w:rFonts w:hint="eastAsia"/>
                      <w:szCs w:val="21"/>
                      <w:vertAlign w:val="superscript"/>
                      <w:lang w:val="en-US" w:eastAsia="zh-CN"/>
                    </w:rPr>
                    <w:t>2</w:t>
                  </w:r>
                  <w:r>
                    <w:rPr>
                      <w:rFonts w:hint="eastAsia"/>
                      <w:szCs w:val="21"/>
                      <w:lang w:eastAsia="zh-CN"/>
                    </w:rPr>
                    <w:t>，血透中心、医值、护值、主任办公室等。</w:t>
                  </w:r>
                </w:p>
              </w:tc>
              <w:tc>
                <w:tcPr>
                  <w:tcW w:w="704" w:type="pct"/>
                  <w:vMerge w:val="continue"/>
                  <w:vAlign w:val="center"/>
                </w:tcPr>
                <w:p w14:paraId="21A79A52">
                  <w:pPr>
                    <w:jc w:val="center"/>
                    <w:rPr>
                      <w:rFonts w:hint="eastAsia"/>
                      <w:kern w:val="0"/>
                      <w:szCs w:val="21"/>
                    </w:rPr>
                  </w:pPr>
                </w:p>
              </w:tc>
            </w:tr>
            <w:tr w14:paraId="6213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61654CF7">
                  <w:pPr>
                    <w:jc w:val="center"/>
                  </w:pPr>
                </w:p>
              </w:tc>
              <w:tc>
                <w:tcPr>
                  <w:tcW w:w="479" w:type="pct"/>
                  <w:vMerge w:val="continue"/>
                  <w:vAlign w:val="center"/>
                </w:tcPr>
                <w:p w14:paraId="0B06C4B8">
                  <w:pPr>
                    <w:jc w:val="center"/>
                    <w:rPr>
                      <w:rFonts w:hint="eastAsia" w:eastAsia="宋体"/>
                      <w:lang w:eastAsia="zh-CN"/>
                    </w:rPr>
                  </w:pPr>
                </w:p>
              </w:tc>
              <w:tc>
                <w:tcPr>
                  <w:tcW w:w="408" w:type="pct"/>
                  <w:vAlign w:val="center"/>
                </w:tcPr>
                <w:p w14:paraId="20E502F3">
                  <w:pPr>
                    <w:jc w:val="center"/>
                    <w:rPr>
                      <w:rFonts w:hint="default" w:eastAsia="宋体"/>
                      <w:lang w:val="en-US" w:eastAsia="zh-CN"/>
                    </w:rPr>
                  </w:pPr>
                  <w:r>
                    <w:rPr>
                      <w:rFonts w:hint="eastAsia"/>
                      <w:lang w:val="en-US" w:eastAsia="zh-CN"/>
                    </w:rPr>
                    <w:t>5F</w:t>
                  </w:r>
                </w:p>
              </w:tc>
              <w:tc>
                <w:tcPr>
                  <w:tcW w:w="1562" w:type="pct"/>
                  <w:vAlign w:val="center"/>
                </w:tcPr>
                <w:p w14:paraId="00BE609C">
                  <w:pPr>
                    <w:jc w:val="center"/>
                    <w:rPr>
                      <w:rFonts w:hint="default"/>
                      <w:szCs w:val="21"/>
                      <w:lang w:val="en-US" w:eastAsia="zh-CN"/>
                    </w:rPr>
                  </w:pPr>
                  <w:r>
                    <w:rPr>
                      <w:rFonts w:hint="eastAsia"/>
                      <w:szCs w:val="21"/>
                      <w:lang w:val="en-US" w:eastAsia="zh-CN"/>
                    </w:rPr>
                    <w:t>/</w:t>
                  </w:r>
                </w:p>
              </w:tc>
              <w:tc>
                <w:tcPr>
                  <w:tcW w:w="1588" w:type="pct"/>
                  <w:vAlign w:val="center"/>
                </w:tcPr>
                <w:p w14:paraId="25B04649">
                  <w:pPr>
                    <w:jc w:val="center"/>
                    <w:rPr>
                      <w:rFonts w:hint="eastAsia"/>
                      <w:szCs w:val="21"/>
                      <w:lang w:eastAsia="zh-CN"/>
                    </w:rPr>
                  </w:pPr>
                  <w:r>
                    <w:rPr>
                      <w:rFonts w:hint="eastAsia"/>
                      <w:szCs w:val="21"/>
                      <w:lang w:eastAsia="zh-CN"/>
                    </w:rPr>
                    <w:t>建筑面积</w:t>
                  </w:r>
                  <w:r>
                    <w:rPr>
                      <w:rFonts w:hint="eastAsia"/>
                      <w:szCs w:val="21"/>
                      <w:lang w:val="en-US" w:eastAsia="zh-CN"/>
                    </w:rPr>
                    <w:t>1455.35m</w:t>
                  </w:r>
                  <w:r>
                    <w:rPr>
                      <w:rFonts w:hint="eastAsia"/>
                      <w:szCs w:val="21"/>
                      <w:vertAlign w:val="superscript"/>
                      <w:lang w:val="en-US" w:eastAsia="zh-CN"/>
                    </w:rPr>
                    <w:t>2</w:t>
                  </w:r>
                  <w:r>
                    <w:rPr>
                      <w:rFonts w:hint="eastAsia"/>
                      <w:szCs w:val="21"/>
                      <w:lang w:eastAsia="zh-CN"/>
                    </w:rPr>
                    <w:t>，手术室、麻醉间、医护办公室等。</w:t>
                  </w:r>
                </w:p>
              </w:tc>
              <w:tc>
                <w:tcPr>
                  <w:tcW w:w="704" w:type="pct"/>
                  <w:vMerge w:val="continue"/>
                  <w:vAlign w:val="center"/>
                </w:tcPr>
                <w:p w14:paraId="590F2D96">
                  <w:pPr>
                    <w:jc w:val="center"/>
                    <w:rPr>
                      <w:rFonts w:hint="eastAsia"/>
                      <w:kern w:val="0"/>
                      <w:szCs w:val="21"/>
                    </w:rPr>
                  </w:pPr>
                </w:p>
              </w:tc>
            </w:tr>
            <w:tr w14:paraId="5C69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35A9524A">
                  <w:pPr>
                    <w:jc w:val="center"/>
                  </w:pPr>
                </w:p>
              </w:tc>
              <w:tc>
                <w:tcPr>
                  <w:tcW w:w="479" w:type="pct"/>
                  <w:vMerge w:val="continue"/>
                  <w:vAlign w:val="center"/>
                </w:tcPr>
                <w:p w14:paraId="4BA63DC6">
                  <w:pPr>
                    <w:jc w:val="center"/>
                    <w:rPr>
                      <w:rFonts w:hint="eastAsia" w:eastAsia="宋体"/>
                      <w:lang w:eastAsia="zh-CN"/>
                    </w:rPr>
                  </w:pPr>
                </w:p>
              </w:tc>
              <w:tc>
                <w:tcPr>
                  <w:tcW w:w="408" w:type="pct"/>
                  <w:vAlign w:val="center"/>
                </w:tcPr>
                <w:p w14:paraId="4BCC1E7E">
                  <w:pPr>
                    <w:jc w:val="center"/>
                    <w:rPr>
                      <w:rFonts w:hint="default" w:eastAsia="宋体"/>
                      <w:lang w:val="en-US" w:eastAsia="zh-CN"/>
                    </w:rPr>
                  </w:pPr>
                  <w:r>
                    <w:rPr>
                      <w:rFonts w:hint="eastAsia"/>
                      <w:lang w:val="en-US" w:eastAsia="zh-CN"/>
                    </w:rPr>
                    <w:t>6F</w:t>
                  </w:r>
                </w:p>
              </w:tc>
              <w:tc>
                <w:tcPr>
                  <w:tcW w:w="1562" w:type="pct"/>
                  <w:vAlign w:val="center"/>
                </w:tcPr>
                <w:p w14:paraId="1F00E6C2">
                  <w:pPr>
                    <w:jc w:val="center"/>
                    <w:rPr>
                      <w:rFonts w:hint="default"/>
                      <w:szCs w:val="21"/>
                      <w:lang w:val="en-US" w:eastAsia="zh-CN"/>
                    </w:rPr>
                  </w:pPr>
                  <w:r>
                    <w:rPr>
                      <w:rFonts w:hint="eastAsia"/>
                      <w:szCs w:val="21"/>
                      <w:lang w:val="en-US" w:eastAsia="zh-CN"/>
                    </w:rPr>
                    <w:t>/</w:t>
                  </w:r>
                </w:p>
              </w:tc>
              <w:tc>
                <w:tcPr>
                  <w:tcW w:w="1588" w:type="pct"/>
                  <w:vAlign w:val="center"/>
                </w:tcPr>
                <w:p w14:paraId="2D4454BC">
                  <w:pPr>
                    <w:jc w:val="center"/>
                    <w:rPr>
                      <w:rFonts w:hint="eastAsia"/>
                      <w:szCs w:val="21"/>
                      <w:lang w:eastAsia="zh-CN"/>
                    </w:rPr>
                  </w:pPr>
                  <w:r>
                    <w:rPr>
                      <w:rFonts w:hint="eastAsia"/>
                      <w:szCs w:val="21"/>
                      <w:lang w:eastAsia="zh-CN"/>
                    </w:rPr>
                    <w:t>建筑面积</w:t>
                  </w:r>
                  <w:r>
                    <w:rPr>
                      <w:rFonts w:hint="eastAsia"/>
                      <w:szCs w:val="21"/>
                      <w:lang w:val="en-US" w:eastAsia="zh-CN"/>
                    </w:rPr>
                    <w:t>1455.35m</w:t>
                  </w:r>
                  <w:r>
                    <w:rPr>
                      <w:rFonts w:hint="eastAsia"/>
                      <w:szCs w:val="21"/>
                      <w:vertAlign w:val="superscript"/>
                      <w:lang w:val="en-US" w:eastAsia="zh-CN"/>
                    </w:rPr>
                    <w:t>2</w:t>
                  </w:r>
                  <w:r>
                    <w:rPr>
                      <w:rFonts w:hint="eastAsia"/>
                      <w:szCs w:val="21"/>
                      <w:lang w:eastAsia="zh-CN"/>
                    </w:rPr>
                    <w:t>，外科、骨科、抢救室等。</w:t>
                  </w:r>
                </w:p>
              </w:tc>
              <w:tc>
                <w:tcPr>
                  <w:tcW w:w="704" w:type="pct"/>
                  <w:vMerge w:val="continue"/>
                  <w:vAlign w:val="center"/>
                </w:tcPr>
                <w:p w14:paraId="684005C4">
                  <w:pPr>
                    <w:jc w:val="center"/>
                    <w:rPr>
                      <w:rFonts w:hint="eastAsia"/>
                      <w:kern w:val="0"/>
                      <w:szCs w:val="21"/>
                    </w:rPr>
                  </w:pPr>
                </w:p>
              </w:tc>
            </w:tr>
            <w:tr w14:paraId="5042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4A04E9AB">
                  <w:pPr>
                    <w:jc w:val="center"/>
                  </w:pPr>
                </w:p>
              </w:tc>
              <w:tc>
                <w:tcPr>
                  <w:tcW w:w="479" w:type="pct"/>
                  <w:vMerge w:val="continue"/>
                  <w:vAlign w:val="center"/>
                </w:tcPr>
                <w:p w14:paraId="065E6154">
                  <w:pPr>
                    <w:jc w:val="center"/>
                    <w:rPr>
                      <w:rFonts w:hint="eastAsia" w:eastAsia="宋体"/>
                      <w:lang w:eastAsia="zh-CN"/>
                    </w:rPr>
                  </w:pPr>
                </w:p>
              </w:tc>
              <w:tc>
                <w:tcPr>
                  <w:tcW w:w="408" w:type="pct"/>
                  <w:vAlign w:val="center"/>
                </w:tcPr>
                <w:p w14:paraId="7295FD4C">
                  <w:pPr>
                    <w:jc w:val="center"/>
                    <w:rPr>
                      <w:rFonts w:hint="default"/>
                      <w:lang w:val="en-US" w:eastAsia="zh-CN"/>
                    </w:rPr>
                  </w:pPr>
                  <w:r>
                    <w:rPr>
                      <w:rFonts w:hint="eastAsia"/>
                      <w:lang w:val="en-US" w:eastAsia="zh-CN"/>
                    </w:rPr>
                    <w:t>7F</w:t>
                  </w:r>
                </w:p>
              </w:tc>
              <w:tc>
                <w:tcPr>
                  <w:tcW w:w="1562" w:type="pct"/>
                  <w:vAlign w:val="center"/>
                </w:tcPr>
                <w:p w14:paraId="67189130">
                  <w:pPr>
                    <w:jc w:val="center"/>
                    <w:rPr>
                      <w:rFonts w:hint="default"/>
                      <w:szCs w:val="21"/>
                      <w:lang w:val="en-US" w:eastAsia="zh-CN"/>
                    </w:rPr>
                  </w:pPr>
                  <w:r>
                    <w:rPr>
                      <w:rFonts w:hint="eastAsia"/>
                      <w:szCs w:val="21"/>
                      <w:lang w:val="en-US" w:eastAsia="zh-CN"/>
                    </w:rPr>
                    <w:t>/</w:t>
                  </w:r>
                </w:p>
              </w:tc>
              <w:tc>
                <w:tcPr>
                  <w:tcW w:w="1588" w:type="pct"/>
                  <w:vAlign w:val="center"/>
                </w:tcPr>
                <w:p w14:paraId="298B8F67">
                  <w:pPr>
                    <w:jc w:val="center"/>
                    <w:rPr>
                      <w:rFonts w:hint="eastAsia"/>
                      <w:szCs w:val="21"/>
                      <w:lang w:eastAsia="zh-CN"/>
                    </w:rPr>
                  </w:pPr>
                  <w:r>
                    <w:rPr>
                      <w:rFonts w:hint="eastAsia"/>
                      <w:szCs w:val="21"/>
                      <w:lang w:eastAsia="zh-CN"/>
                    </w:rPr>
                    <w:t>建筑面积</w:t>
                  </w:r>
                  <w:r>
                    <w:rPr>
                      <w:rFonts w:hint="eastAsia"/>
                      <w:szCs w:val="21"/>
                      <w:lang w:val="en-US" w:eastAsia="zh-CN"/>
                    </w:rPr>
                    <w:t>1455.35m</w:t>
                  </w:r>
                  <w:r>
                    <w:rPr>
                      <w:rFonts w:hint="eastAsia"/>
                      <w:szCs w:val="21"/>
                      <w:vertAlign w:val="superscript"/>
                      <w:lang w:val="en-US" w:eastAsia="zh-CN"/>
                    </w:rPr>
                    <w:t>2</w:t>
                  </w:r>
                  <w:r>
                    <w:rPr>
                      <w:rFonts w:hint="eastAsia"/>
                      <w:szCs w:val="21"/>
                      <w:lang w:eastAsia="zh-CN"/>
                    </w:rPr>
                    <w:t>，泌尿外科、神经外科、抢救室等。</w:t>
                  </w:r>
                </w:p>
              </w:tc>
              <w:tc>
                <w:tcPr>
                  <w:tcW w:w="704" w:type="pct"/>
                  <w:vMerge w:val="continue"/>
                  <w:vAlign w:val="center"/>
                </w:tcPr>
                <w:p w14:paraId="3268FA1A">
                  <w:pPr>
                    <w:jc w:val="center"/>
                    <w:rPr>
                      <w:rFonts w:hint="eastAsia"/>
                      <w:kern w:val="0"/>
                      <w:szCs w:val="21"/>
                    </w:rPr>
                  </w:pPr>
                </w:p>
              </w:tc>
            </w:tr>
            <w:tr w14:paraId="307A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2C36D0E0">
                  <w:pPr>
                    <w:jc w:val="center"/>
                  </w:pPr>
                </w:p>
              </w:tc>
              <w:tc>
                <w:tcPr>
                  <w:tcW w:w="479" w:type="pct"/>
                  <w:vMerge w:val="continue"/>
                  <w:vAlign w:val="center"/>
                </w:tcPr>
                <w:p w14:paraId="0BFB2471">
                  <w:pPr>
                    <w:jc w:val="center"/>
                    <w:rPr>
                      <w:rFonts w:hint="eastAsia" w:eastAsia="宋体"/>
                      <w:lang w:eastAsia="zh-CN"/>
                    </w:rPr>
                  </w:pPr>
                </w:p>
              </w:tc>
              <w:tc>
                <w:tcPr>
                  <w:tcW w:w="408" w:type="pct"/>
                  <w:vAlign w:val="center"/>
                </w:tcPr>
                <w:p w14:paraId="077B6881">
                  <w:pPr>
                    <w:jc w:val="center"/>
                    <w:rPr>
                      <w:rFonts w:hint="default"/>
                      <w:lang w:val="en-US" w:eastAsia="zh-CN"/>
                    </w:rPr>
                  </w:pPr>
                  <w:r>
                    <w:rPr>
                      <w:rFonts w:hint="eastAsia"/>
                      <w:lang w:val="en-US" w:eastAsia="zh-CN"/>
                    </w:rPr>
                    <w:t>8F</w:t>
                  </w:r>
                </w:p>
              </w:tc>
              <w:tc>
                <w:tcPr>
                  <w:tcW w:w="1562" w:type="pct"/>
                  <w:vAlign w:val="center"/>
                </w:tcPr>
                <w:p w14:paraId="50D37410">
                  <w:pPr>
                    <w:jc w:val="center"/>
                    <w:rPr>
                      <w:rFonts w:hint="default"/>
                      <w:szCs w:val="21"/>
                      <w:lang w:val="en-US" w:eastAsia="zh-CN"/>
                    </w:rPr>
                  </w:pPr>
                  <w:r>
                    <w:rPr>
                      <w:rFonts w:hint="eastAsia"/>
                      <w:szCs w:val="21"/>
                      <w:lang w:val="en-US" w:eastAsia="zh-CN"/>
                    </w:rPr>
                    <w:t>/</w:t>
                  </w:r>
                </w:p>
              </w:tc>
              <w:tc>
                <w:tcPr>
                  <w:tcW w:w="1588" w:type="pct"/>
                  <w:vAlign w:val="center"/>
                </w:tcPr>
                <w:p w14:paraId="17B3673D">
                  <w:pPr>
                    <w:jc w:val="center"/>
                    <w:rPr>
                      <w:rFonts w:hint="eastAsia"/>
                      <w:szCs w:val="21"/>
                      <w:lang w:eastAsia="zh-CN"/>
                    </w:rPr>
                  </w:pPr>
                  <w:r>
                    <w:rPr>
                      <w:rFonts w:hint="eastAsia"/>
                      <w:szCs w:val="21"/>
                      <w:lang w:eastAsia="zh-CN"/>
                    </w:rPr>
                    <w:t>建筑面积</w:t>
                  </w:r>
                  <w:r>
                    <w:rPr>
                      <w:rFonts w:hint="eastAsia"/>
                      <w:szCs w:val="21"/>
                      <w:lang w:val="en-US" w:eastAsia="zh-CN"/>
                    </w:rPr>
                    <w:t>1455.35m</w:t>
                  </w:r>
                  <w:r>
                    <w:rPr>
                      <w:rFonts w:hint="eastAsia"/>
                      <w:szCs w:val="21"/>
                      <w:vertAlign w:val="superscript"/>
                      <w:lang w:val="en-US" w:eastAsia="zh-CN"/>
                    </w:rPr>
                    <w:t>2</w:t>
                  </w:r>
                  <w:r>
                    <w:rPr>
                      <w:rFonts w:hint="eastAsia"/>
                      <w:szCs w:val="21"/>
                      <w:lang w:eastAsia="zh-CN"/>
                    </w:rPr>
                    <w:t>，普外科、胸外科、抢救室等。</w:t>
                  </w:r>
                </w:p>
              </w:tc>
              <w:tc>
                <w:tcPr>
                  <w:tcW w:w="704" w:type="pct"/>
                  <w:vMerge w:val="continue"/>
                  <w:vAlign w:val="center"/>
                </w:tcPr>
                <w:p w14:paraId="7C42C9E8">
                  <w:pPr>
                    <w:jc w:val="center"/>
                    <w:rPr>
                      <w:rFonts w:hint="eastAsia"/>
                      <w:kern w:val="0"/>
                      <w:szCs w:val="21"/>
                    </w:rPr>
                  </w:pPr>
                </w:p>
              </w:tc>
            </w:tr>
            <w:tr w14:paraId="4380D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30D6419D">
                  <w:pPr>
                    <w:jc w:val="center"/>
                  </w:pPr>
                </w:p>
              </w:tc>
              <w:tc>
                <w:tcPr>
                  <w:tcW w:w="479" w:type="pct"/>
                  <w:vMerge w:val="continue"/>
                  <w:vAlign w:val="center"/>
                </w:tcPr>
                <w:p w14:paraId="0F1F30C5">
                  <w:pPr>
                    <w:jc w:val="center"/>
                    <w:rPr>
                      <w:rFonts w:hint="eastAsia" w:eastAsia="宋体"/>
                      <w:lang w:eastAsia="zh-CN"/>
                    </w:rPr>
                  </w:pPr>
                </w:p>
              </w:tc>
              <w:tc>
                <w:tcPr>
                  <w:tcW w:w="408" w:type="pct"/>
                  <w:vAlign w:val="center"/>
                </w:tcPr>
                <w:p w14:paraId="53292221">
                  <w:pPr>
                    <w:jc w:val="center"/>
                    <w:rPr>
                      <w:rFonts w:hint="default"/>
                      <w:lang w:val="en-US" w:eastAsia="zh-CN"/>
                    </w:rPr>
                  </w:pPr>
                  <w:r>
                    <w:rPr>
                      <w:rFonts w:hint="eastAsia"/>
                      <w:lang w:val="en-US" w:eastAsia="zh-CN"/>
                    </w:rPr>
                    <w:t>裙房1F</w:t>
                  </w:r>
                </w:p>
              </w:tc>
              <w:tc>
                <w:tcPr>
                  <w:tcW w:w="1562" w:type="pct"/>
                  <w:vAlign w:val="center"/>
                </w:tcPr>
                <w:p w14:paraId="65D0D5E9">
                  <w:pPr>
                    <w:jc w:val="center"/>
                    <w:rPr>
                      <w:rFonts w:hint="default"/>
                      <w:szCs w:val="21"/>
                      <w:lang w:val="en-US" w:eastAsia="zh-CN"/>
                    </w:rPr>
                  </w:pPr>
                  <w:r>
                    <w:rPr>
                      <w:rFonts w:hint="eastAsia"/>
                      <w:szCs w:val="21"/>
                      <w:lang w:val="en-US" w:eastAsia="zh-CN"/>
                    </w:rPr>
                    <w:t>/</w:t>
                  </w:r>
                </w:p>
              </w:tc>
              <w:tc>
                <w:tcPr>
                  <w:tcW w:w="1588" w:type="pct"/>
                  <w:vAlign w:val="center"/>
                </w:tcPr>
                <w:p w14:paraId="6C061DFA">
                  <w:pPr>
                    <w:jc w:val="center"/>
                    <w:rPr>
                      <w:rFonts w:hint="eastAsia"/>
                      <w:szCs w:val="21"/>
                      <w:lang w:eastAsia="zh-CN"/>
                    </w:rPr>
                  </w:pPr>
                  <w:r>
                    <w:rPr>
                      <w:rFonts w:hint="eastAsia"/>
                      <w:szCs w:val="21"/>
                      <w:lang w:eastAsia="zh-CN"/>
                    </w:rPr>
                    <w:t>建筑面积</w:t>
                  </w:r>
                  <w:r>
                    <w:rPr>
                      <w:rFonts w:hint="eastAsia"/>
                      <w:szCs w:val="21"/>
                      <w:lang w:val="en-US" w:eastAsia="zh-CN"/>
                    </w:rPr>
                    <w:t>528m</w:t>
                  </w:r>
                  <w:r>
                    <w:rPr>
                      <w:rFonts w:hint="eastAsia"/>
                      <w:szCs w:val="21"/>
                      <w:vertAlign w:val="superscript"/>
                      <w:lang w:val="en-US" w:eastAsia="zh-CN"/>
                    </w:rPr>
                    <w:t>2</w:t>
                  </w:r>
                  <w:r>
                    <w:rPr>
                      <w:rFonts w:hint="eastAsia"/>
                      <w:szCs w:val="21"/>
                      <w:lang w:eastAsia="zh-CN"/>
                    </w:rPr>
                    <w:t>，影像中心（</w:t>
                  </w:r>
                  <w:r>
                    <w:rPr>
                      <w:rFonts w:hint="eastAsia"/>
                      <w:szCs w:val="21"/>
                      <w:lang w:val="en-US" w:eastAsia="zh-CN"/>
                    </w:rPr>
                    <w:t>DR、DSA等</w:t>
                  </w:r>
                  <w:r>
                    <w:rPr>
                      <w:rFonts w:hint="eastAsia"/>
                      <w:szCs w:val="21"/>
                      <w:lang w:eastAsia="zh-CN"/>
                    </w:rPr>
                    <w:t>）。</w:t>
                  </w:r>
                </w:p>
              </w:tc>
              <w:tc>
                <w:tcPr>
                  <w:tcW w:w="704" w:type="pct"/>
                  <w:vMerge w:val="continue"/>
                  <w:vAlign w:val="center"/>
                </w:tcPr>
                <w:p w14:paraId="14FC3C45">
                  <w:pPr>
                    <w:jc w:val="center"/>
                    <w:rPr>
                      <w:rFonts w:hint="eastAsia"/>
                      <w:kern w:val="0"/>
                      <w:szCs w:val="21"/>
                    </w:rPr>
                  </w:pPr>
                </w:p>
              </w:tc>
            </w:tr>
            <w:tr w14:paraId="69A2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7B0A514F">
                  <w:pPr>
                    <w:jc w:val="center"/>
                  </w:pPr>
                </w:p>
              </w:tc>
              <w:tc>
                <w:tcPr>
                  <w:tcW w:w="479" w:type="pct"/>
                  <w:vMerge w:val="continue"/>
                  <w:vAlign w:val="center"/>
                </w:tcPr>
                <w:p w14:paraId="190C6C3D">
                  <w:pPr>
                    <w:jc w:val="center"/>
                    <w:rPr>
                      <w:rFonts w:hint="eastAsia" w:eastAsia="宋体"/>
                      <w:lang w:eastAsia="zh-CN"/>
                    </w:rPr>
                  </w:pPr>
                </w:p>
              </w:tc>
              <w:tc>
                <w:tcPr>
                  <w:tcW w:w="408" w:type="pct"/>
                  <w:vAlign w:val="center"/>
                </w:tcPr>
                <w:p w14:paraId="413E1390">
                  <w:pPr>
                    <w:jc w:val="center"/>
                    <w:rPr>
                      <w:rFonts w:hint="default" w:eastAsia="宋体"/>
                      <w:lang w:val="en-US" w:eastAsia="zh-CN"/>
                    </w:rPr>
                  </w:pPr>
                  <w:r>
                    <w:rPr>
                      <w:rFonts w:hint="eastAsia"/>
                      <w:lang w:val="en-US" w:eastAsia="zh-CN"/>
                    </w:rPr>
                    <w:t>裙房2F</w:t>
                  </w:r>
                </w:p>
              </w:tc>
              <w:tc>
                <w:tcPr>
                  <w:tcW w:w="1562" w:type="pct"/>
                  <w:vAlign w:val="center"/>
                </w:tcPr>
                <w:p w14:paraId="4C01D2D8">
                  <w:pPr>
                    <w:jc w:val="center"/>
                    <w:rPr>
                      <w:rFonts w:hint="default"/>
                      <w:szCs w:val="21"/>
                      <w:lang w:val="en-US" w:eastAsia="zh-CN"/>
                    </w:rPr>
                  </w:pPr>
                  <w:r>
                    <w:rPr>
                      <w:rFonts w:hint="eastAsia"/>
                      <w:szCs w:val="21"/>
                      <w:lang w:val="en-US" w:eastAsia="zh-CN"/>
                    </w:rPr>
                    <w:t>/</w:t>
                  </w:r>
                </w:p>
              </w:tc>
              <w:tc>
                <w:tcPr>
                  <w:tcW w:w="1588" w:type="pct"/>
                  <w:vAlign w:val="center"/>
                </w:tcPr>
                <w:p w14:paraId="40D01091">
                  <w:pPr>
                    <w:jc w:val="center"/>
                    <w:rPr>
                      <w:rFonts w:hint="eastAsia"/>
                      <w:szCs w:val="21"/>
                      <w:lang w:eastAsia="zh-CN"/>
                    </w:rPr>
                  </w:pPr>
                  <w:r>
                    <w:rPr>
                      <w:rFonts w:hint="eastAsia"/>
                      <w:szCs w:val="21"/>
                      <w:lang w:eastAsia="zh-CN"/>
                    </w:rPr>
                    <w:t>建筑面积</w:t>
                  </w:r>
                  <w:r>
                    <w:rPr>
                      <w:rFonts w:hint="eastAsia"/>
                      <w:szCs w:val="21"/>
                      <w:lang w:val="en-US" w:eastAsia="zh-CN"/>
                    </w:rPr>
                    <w:t>528m</w:t>
                  </w:r>
                  <w:r>
                    <w:rPr>
                      <w:rFonts w:hint="eastAsia"/>
                      <w:szCs w:val="21"/>
                      <w:vertAlign w:val="superscript"/>
                      <w:lang w:val="en-US" w:eastAsia="zh-CN"/>
                    </w:rPr>
                    <w:t>2</w:t>
                  </w:r>
                  <w:r>
                    <w:rPr>
                      <w:rFonts w:hint="eastAsia"/>
                      <w:szCs w:val="21"/>
                      <w:lang w:eastAsia="zh-CN"/>
                    </w:rPr>
                    <w:t>，消毒中心（洗消间、蒸汽发生器、办公室等）。</w:t>
                  </w:r>
                </w:p>
              </w:tc>
              <w:tc>
                <w:tcPr>
                  <w:tcW w:w="704" w:type="pct"/>
                  <w:vMerge w:val="continue"/>
                  <w:vAlign w:val="center"/>
                </w:tcPr>
                <w:p w14:paraId="1CBCBA08">
                  <w:pPr>
                    <w:jc w:val="center"/>
                    <w:rPr>
                      <w:rFonts w:hint="eastAsia"/>
                      <w:kern w:val="0"/>
                      <w:szCs w:val="21"/>
                    </w:rPr>
                  </w:pPr>
                </w:p>
              </w:tc>
            </w:tr>
            <w:tr w14:paraId="7748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Align w:val="center"/>
                </w:tcPr>
                <w:p w14:paraId="6F569A34">
                  <w:pPr>
                    <w:jc w:val="center"/>
                    <w:rPr>
                      <w:rFonts w:hint="eastAsia" w:eastAsia="宋体"/>
                      <w:lang w:eastAsia="zh-CN"/>
                    </w:rPr>
                  </w:pPr>
                  <w:r>
                    <w:rPr>
                      <w:rFonts w:hint="eastAsia"/>
                      <w:lang w:eastAsia="zh-CN"/>
                    </w:rPr>
                    <w:t>辅助工程</w:t>
                  </w:r>
                </w:p>
              </w:tc>
              <w:tc>
                <w:tcPr>
                  <w:tcW w:w="887" w:type="pct"/>
                  <w:gridSpan w:val="2"/>
                  <w:vAlign w:val="center"/>
                </w:tcPr>
                <w:p w14:paraId="5CC8D485">
                  <w:pPr>
                    <w:jc w:val="center"/>
                    <w:rPr>
                      <w:rFonts w:hint="eastAsia" w:eastAsia="宋体"/>
                      <w:color w:val="auto"/>
                      <w:lang w:eastAsia="zh-CN"/>
                    </w:rPr>
                  </w:pPr>
                  <w:r>
                    <w:rPr>
                      <w:rFonts w:hint="eastAsia"/>
                      <w:color w:val="auto"/>
                      <w:lang w:eastAsia="zh-CN"/>
                    </w:rPr>
                    <w:t>食堂</w:t>
                  </w:r>
                </w:p>
              </w:tc>
              <w:tc>
                <w:tcPr>
                  <w:tcW w:w="1562" w:type="pct"/>
                  <w:vAlign w:val="center"/>
                </w:tcPr>
                <w:p w14:paraId="26595BFD">
                  <w:pPr>
                    <w:jc w:val="center"/>
                    <w:rPr>
                      <w:rFonts w:hint="default"/>
                      <w:color w:val="auto"/>
                      <w:szCs w:val="21"/>
                      <w:lang w:val="en-US" w:eastAsia="zh-CN"/>
                    </w:rPr>
                  </w:pPr>
                  <w:r>
                    <w:rPr>
                      <w:rFonts w:hint="eastAsia"/>
                      <w:color w:val="auto"/>
                      <w:szCs w:val="21"/>
                      <w:lang w:eastAsia="zh-CN"/>
                    </w:rPr>
                    <w:t>位于急救中心西侧，为员工提供就餐服务。</w:t>
                  </w:r>
                </w:p>
              </w:tc>
              <w:tc>
                <w:tcPr>
                  <w:tcW w:w="1588" w:type="pct"/>
                  <w:vAlign w:val="center"/>
                </w:tcPr>
                <w:p w14:paraId="6DBE5CB9">
                  <w:pPr>
                    <w:jc w:val="center"/>
                    <w:rPr>
                      <w:rFonts w:hint="eastAsia"/>
                      <w:color w:val="auto"/>
                      <w:szCs w:val="21"/>
                      <w:lang w:eastAsia="zh-CN"/>
                    </w:rPr>
                  </w:pPr>
                  <w:r>
                    <w:rPr>
                      <w:rFonts w:hint="eastAsia"/>
                      <w:color w:val="auto"/>
                      <w:szCs w:val="21"/>
                      <w:lang w:eastAsia="zh-CN"/>
                    </w:rPr>
                    <w:t>依托现有食堂</w:t>
                  </w:r>
                </w:p>
              </w:tc>
              <w:tc>
                <w:tcPr>
                  <w:tcW w:w="704" w:type="pct"/>
                  <w:vAlign w:val="center"/>
                </w:tcPr>
                <w:p w14:paraId="7332E6A1">
                  <w:pPr>
                    <w:jc w:val="center"/>
                    <w:rPr>
                      <w:rFonts w:hint="eastAsia" w:eastAsia="宋体"/>
                      <w:kern w:val="0"/>
                      <w:szCs w:val="21"/>
                      <w:lang w:eastAsia="zh-CN"/>
                    </w:rPr>
                  </w:pPr>
                  <w:r>
                    <w:rPr>
                      <w:rFonts w:hint="eastAsia"/>
                      <w:kern w:val="0"/>
                      <w:szCs w:val="21"/>
                      <w:lang w:eastAsia="zh-CN"/>
                    </w:rPr>
                    <w:t>无变化</w:t>
                  </w:r>
                </w:p>
              </w:tc>
            </w:tr>
            <w:tr w14:paraId="09EA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restart"/>
                  <w:vAlign w:val="center"/>
                </w:tcPr>
                <w:p w14:paraId="203C2928">
                  <w:pPr>
                    <w:jc w:val="center"/>
                  </w:pPr>
                  <w:r>
                    <w:t>公用工程</w:t>
                  </w:r>
                </w:p>
              </w:tc>
              <w:tc>
                <w:tcPr>
                  <w:tcW w:w="887" w:type="pct"/>
                  <w:gridSpan w:val="2"/>
                  <w:vAlign w:val="center"/>
                </w:tcPr>
                <w:p w14:paraId="3AB0A26B">
                  <w:pPr>
                    <w:widowControl/>
                    <w:adjustRightInd w:val="0"/>
                    <w:snapToGrid w:val="0"/>
                    <w:jc w:val="center"/>
                  </w:pPr>
                  <w:r>
                    <w:rPr>
                      <w:szCs w:val="21"/>
                    </w:rPr>
                    <w:t>供水系统</w:t>
                  </w:r>
                </w:p>
              </w:tc>
              <w:tc>
                <w:tcPr>
                  <w:tcW w:w="1562" w:type="pct"/>
                  <w:vAlign w:val="center"/>
                </w:tcPr>
                <w:p w14:paraId="595FC748">
                  <w:pPr>
                    <w:widowControl/>
                    <w:adjustRightInd w:val="0"/>
                    <w:snapToGrid w:val="0"/>
                    <w:jc w:val="center"/>
                    <w:rPr>
                      <w:color w:val="auto"/>
                    </w:rPr>
                  </w:pPr>
                  <w:r>
                    <w:rPr>
                      <w:rFonts w:hint="eastAsia"/>
                      <w:color w:val="auto"/>
                      <w:szCs w:val="21"/>
                    </w:rPr>
                    <w:t>市政供水，</w:t>
                  </w:r>
                  <w:r>
                    <w:rPr>
                      <w:color w:val="auto"/>
                      <w:szCs w:val="21"/>
                    </w:rPr>
                    <w:t>年新鲜水用量为</w:t>
                  </w:r>
                  <w:r>
                    <w:rPr>
                      <w:rFonts w:hint="eastAsia"/>
                      <w:color w:val="auto"/>
                      <w:szCs w:val="21"/>
                      <w:lang w:val="en-US" w:eastAsia="zh-CN"/>
                    </w:rPr>
                    <w:t>36500</w:t>
                  </w:r>
                  <w:r>
                    <w:rPr>
                      <w:rFonts w:hint="eastAsia"/>
                      <w:color w:val="auto"/>
                      <w:szCs w:val="21"/>
                    </w:rPr>
                    <w:t>t</w:t>
                  </w:r>
                  <w:r>
                    <w:rPr>
                      <w:color w:val="auto"/>
                      <w:szCs w:val="21"/>
                    </w:rPr>
                    <w:t>/a</w:t>
                  </w:r>
                </w:p>
              </w:tc>
              <w:tc>
                <w:tcPr>
                  <w:tcW w:w="1588" w:type="pct"/>
                  <w:vAlign w:val="center"/>
                </w:tcPr>
                <w:p w14:paraId="371DB5A0">
                  <w:pPr>
                    <w:jc w:val="center"/>
                    <w:textAlignment w:val="baseline"/>
                    <w:rPr>
                      <w:color w:val="auto"/>
                      <w:kern w:val="0"/>
                      <w:szCs w:val="21"/>
                    </w:rPr>
                  </w:pPr>
                  <w:r>
                    <w:rPr>
                      <w:rFonts w:hint="eastAsia"/>
                      <w:color w:val="auto"/>
                      <w:kern w:val="0"/>
                      <w:szCs w:val="21"/>
                    </w:rPr>
                    <w:t>市政供水，年用水量</w:t>
                  </w:r>
                  <w:r>
                    <w:rPr>
                      <w:rFonts w:hint="eastAsia"/>
                      <w:color w:val="auto"/>
                      <w:kern w:val="0"/>
                      <w:szCs w:val="21"/>
                      <w:lang w:val="en-US" w:eastAsia="zh-CN"/>
                    </w:rPr>
                    <w:t>105215.0095</w:t>
                  </w:r>
                  <w:r>
                    <w:rPr>
                      <w:rFonts w:hint="eastAsia"/>
                      <w:color w:val="auto"/>
                      <w:kern w:val="0"/>
                      <w:szCs w:val="21"/>
                    </w:rPr>
                    <w:t>t/a</w:t>
                  </w:r>
                </w:p>
              </w:tc>
              <w:tc>
                <w:tcPr>
                  <w:tcW w:w="704" w:type="pct"/>
                  <w:vAlign w:val="center"/>
                </w:tcPr>
                <w:p w14:paraId="3C7E958E">
                  <w:pPr>
                    <w:jc w:val="center"/>
                    <w:rPr>
                      <w:color w:val="auto"/>
                      <w:kern w:val="0"/>
                      <w:szCs w:val="21"/>
                    </w:rPr>
                  </w:pPr>
                  <w:r>
                    <w:rPr>
                      <w:rFonts w:hint="eastAsia"/>
                      <w:color w:val="auto"/>
                      <w:kern w:val="0"/>
                      <w:szCs w:val="21"/>
                    </w:rPr>
                    <w:t>依托市政管网供水</w:t>
                  </w:r>
                </w:p>
              </w:tc>
            </w:tr>
            <w:tr w14:paraId="31768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69B035C8">
                  <w:pPr>
                    <w:jc w:val="center"/>
                  </w:pPr>
                </w:p>
              </w:tc>
              <w:tc>
                <w:tcPr>
                  <w:tcW w:w="887" w:type="pct"/>
                  <w:gridSpan w:val="2"/>
                  <w:vAlign w:val="center"/>
                </w:tcPr>
                <w:p w14:paraId="65BBC9F0">
                  <w:pPr>
                    <w:widowControl/>
                    <w:adjustRightInd w:val="0"/>
                    <w:snapToGrid w:val="0"/>
                    <w:jc w:val="center"/>
                  </w:pPr>
                  <w:r>
                    <w:rPr>
                      <w:szCs w:val="21"/>
                    </w:rPr>
                    <w:t>排水工程</w:t>
                  </w:r>
                </w:p>
              </w:tc>
              <w:tc>
                <w:tcPr>
                  <w:tcW w:w="1562" w:type="pct"/>
                  <w:vAlign w:val="center"/>
                </w:tcPr>
                <w:p w14:paraId="4DB9E166">
                  <w:pPr>
                    <w:widowControl/>
                    <w:adjustRightInd w:val="0"/>
                    <w:snapToGrid w:val="0"/>
                    <w:jc w:val="center"/>
                    <w:rPr>
                      <w:color w:val="auto"/>
                      <w:sz w:val="21"/>
                      <w:szCs w:val="21"/>
                    </w:rPr>
                  </w:pPr>
                  <w:r>
                    <w:rPr>
                      <w:rFonts w:hint="eastAsia"/>
                      <w:color w:val="auto"/>
                      <w:sz w:val="21"/>
                      <w:szCs w:val="21"/>
                    </w:rPr>
                    <w:t>雨污分流制，</w:t>
                  </w:r>
                  <w:r>
                    <w:rPr>
                      <w:rFonts w:hint="eastAsia"/>
                      <w:color w:val="auto"/>
                      <w:sz w:val="21"/>
                      <w:szCs w:val="21"/>
                      <w:lang w:eastAsia="zh-CN"/>
                    </w:rPr>
                    <w:t>生活污水（食堂废水先经隔油池预处理）先进入化粪池预处理后再引入医院污水处理站处理后排入潘集污水处理厂；医疗废水（门诊废水、清洁废水、住院病床废水）经医院污水处理站处理后排入潘集污水处理厂。</w:t>
                  </w:r>
                </w:p>
              </w:tc>
              <w:tc>
                <w:tcPr>
                  <w:tcW w:w="1588" w:type="pct"/>
                  <w:vAlign w:val="center"/>
                </w:tcPr>
                <w:p w14:paraId="36F10744">
                  <w:pPr>
                    <w:pStyle w:val="10"/>
                    <w:jc w:val="center"/>
                    <w:rPr>
                      <w:color w:val="auto"/>
                      <w:kern w:val="2"/>
                      <w:sz w:val="21"/>
                      <w:szCs w:val="21"/>
                    </w:rPr>
                  </w:pPr>
                  <w:r>
                    <w:rPr>
                      <w:rFonts w:hint="eastAsia"/>
                      <w:color w:val="auto"/>
                      <w:sz w:val="21"/>
                      <w:szCs w:val="21"/>
                    </w:rPr>
                    <w:t>雨污分流制，</w:t>
                  </w:r>
                  <w:r>
                    <w:rPr>
                      <w:rFonts w:hint="eastAsia" w:ascii="Times New Roman" w:hAnsi="Times New Roman" w:eastAsia="宋体" w:cs="Times New Roman"/>
                      <w:color w:val="auto"/>
                      <w:kern w:val="0"/>
                      <w:sz w:val="21"/>
                      <w:szCs w:val="21"/>
                      <w:lang w:val="en-US" w:eastAsia="zh-CN" w:bidi="ar-SA"/>
                    </w:rPr>
                    <w:t>食堂废水</w:t>
                  </w:r>
                  <w:r>
                    <w:rPr>
                      <w:rFonts w:hint="eastAsia" w:cs="Times New Roman"/>
                      <w:color w:val="auto"/>
                      <w:kern w:val="0"/>
                      <w:sz w:val="21"/>
                      <w:szCs w:val="21"/>
                      <w:lang w:val="en-US" w:eastAsia="zh-CN" w:bidi="ar-SA"/>
                    </w:rPr>
                    <w:t>经隔油池预处理后汇同</w:t>
                  </w:r>
                  <w:r>
                    <w:rPr>
                      <w:rFonts w:hint="eastAsia" w:ascii="Times New Roman" w:hAnsi="Times New Roman" w:eastAsia="宋体" w:cs="Times New Roman"/>
                      <w:color w:val="auto"/>
                      <w:kern w:val="0"/>
                      <w:sz w:val="21"/>
                      <w:szCs w:val="21"/>
                      <w:lang w:val="en-US" w:eastAsia="zh-CN" w:bidi="ar-SA"/>
                    </w:rPr>
                    <w:t>生活污水</w:t>
                  </w:r>
                  <w:r>
                    <w:rPr>
                      <w:rFonts w:hint="eastAsia" w:cs="Times New Roman"/>
                      <w:color w:val="auto"/>
                      <w:kern w:val="0"/>
                      <w:sz w:val="21"/>
                      <w:szCs w:val="21"/>
                      <w:lang w:val="en-US" w:eastAsia="zh-CN" w:bidi="ar-SA"/>
                    </w:rPr>
                    <w:t>一起</w:t>
                  </w:r>
                  <w:r>
                    <w:rPr>
                      <w:rFonts w:hint="eastAsia" w:ascii="Times New Roman" w:hAnsi="Times New Roman" w:eastAsia="宋体" w:cs="Times New Roman"/>
                      <w:color w:val="auto"/>
                      <w:kern w:val="0"/>
                      <w:sz w:val="21"/>
                      <w:szCs w:val="21"/>
                      <w:lang w:val="en-US" w:eastAsia="zh-CN" w:bidi="ar-SA"/>
                    </w:rPr>
                    <w:t>经化粪池处理后进入厂区</w:t>
                  </w:r>
                  <w:r>
                    <w:rPr>
                      <w:rFonts w:hint="eastAsia" w:cs="Times New Roman"/>
                      <w:color w:val="auto"/>
                      <w:kern w:val="0"/>
                      <w:sz w:val="21"/>
                      <w:szCs w:val="21"/>
                      <w:lang w:val="en-US" w:eastAsia="zh-CN" w:bidi="ar-SA"/>
                    </w:rPr>
                    <w:t>污水处理站</w:t>
                  </w:r>
                  <w:r>
                    <w:rPr>
                      <w:rFonts w:hint="eastAsia" w:ascii="Times New Roman" w:hAnsi="Times New Roman" w:eastAsia="宋体" w:cs="Times New Roman"/>
                      <w:color w:val="auto"/>
                      <w:kern w:val="0"/>
                      <w:sz w:val="21"/>
                      <w:szCs w:val="21"/>
                      <w:lang w:val="en-US" w:eastAsia="zh-CN" w:bidi="ar-SA"/>
                    </w:rPr>
                    <w:t>处理后，排入市政污水管网进入</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处理；</w:t>
                  </w:r>
                  <w:r>
                    <w:rPr>
                      <w:rFonts w:hint="eastAsia" w:cs="Times New Roman"/>
                      <w:color w:val="auto"/>
                      <w:kern w:val="0"/>
                      <w:sz w:val="21"/>
                      <w:szCs w:val="21"/>
                      <w:lang w:val="en-US" w:eastAsia="zh-CN" w:bidi="ar-SA"/>
                    </w:rPr>
                    <w:t>医疗废水（住院病床废水、医疗器械洗消废水、门诊废水、清洁废水）直接进入</w:t>
                  </w:r>
                  <w:r>
                    <w:rPr>
                      <w:rFonts w:hint="eastAsia" w:ascii="Times New Roman" w:hAnsi="Times New Roman" w:eastAsia="宋体" w:cs="Times New Roman"/>
                      <w:color w:val="auto"/>
                      <w:kern w:val="0"/>
                      <w:sz w:val="21"/>
                      <w:szCs w:val="21"/>
                      <w:lang w:val="en-US" w:eastAsia="zh-CN" w:bidi="ar-SA"/>
                    </w:rPr>
                    <w:t>厂区</w:t>
                  </w:r>
                  <w:r>
                    <w:rPr>
                      <w:rFonts w:hint="eastAsia" w:cs="Times New Roman"/>
                      <w:color w:val="auto"/>
                      <w:kern w:val="0"/>
                      <w:sz w:val="21"/>
                      <w:szCs w:val="21"/>
                      <w:lang w:val="en-US" w:eastAsia="zh-CN" w:bidi="ar-SA"/>
                    </w:rPr>
                    <w:t>污水处理站</w:t>
                  </w:r>
                  <w:r>
                    <w:rPr>
                      <w:rFonts w:hint="eastAsia" w:ascii="Times New Roman" w:hAnsi="Times New Roman" w:eastAsia="宋体" w:cs="Times New Roman"/>
                      <w:color w:val="auto"/>
                      <w:kern w:val="0"/>
                      <w:sz w:val="21"/>
                      <w:szCs w:val="21"/>
                      <w:lang w:val="en-US" w:eastAsia="zh-CN" w:bidi="ar-SA"/>
                    </w:rPr>
                    <w:t>处理后，排入市政污水管网进入</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处理</w:t>
                  </w:r>
                  <w:r>
                    <w:rPr>
                      <w:rFonts w:hint="eastAsia" w:cs="Times New Roman"/>
                      <w:color w:val="auto"/>
                      <w:kern w:val="0"/>
                      <w:sz w:val="21"/>
                      <w:szCs w:val="21"/>
                      <w:lang w:val="en-US" w:eastAsia="zh-CN" w:bidi="ar-SA"/>
                    </w:rPr>
                    <w:t>；蒸汽发生器浓水和纯水制备浓水直接由厂区污水总排口</w:t>
                  </w:r>
                  <w:r>
                    <w:rPr>
                      <w:rFonts w:hint="eastAsia" w:ascii="Times New Roman" w:hAnsi="Times New Roman" w:eastAsia="宋体" w:cs="Times New Roman"/>
                      <w:color w:val="auto"/>
                      <w:kern w:val="0"/>
                      <w:sz w:val="21"/>
                      <w:szCs w:val="21"/>
                      <w:lang w:val="en-US" w:eastAsia="zh-CN" w:bidi="ar-SA"/>
                    </w:rPr>
                    <w:t>排入市政污水管网进入</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处理</w:t>
                  </w:r>
                  <w:r>
                    <w:rPr>
                      <w:rFonts w:hint="eastAsia"/>
                      <w:color w:val="auto"/>
                      <w:sz w:val="21"/>
                      <w:szCs w:val="21"/>
                      <w:lang w:eastAsia="zh-CN"/>
                    </w:rPr>
                    <w:t>。</w:t>
                  </w:r>
                </w:p>
              </w:tc>
              <w:tc>
                <w:tcPr>
                  <w:tcW w:w="704" w:type="pct"/>
                  <w:vAlign w:val="center"/>
                </w:tcPr>
                <w:p w14:paraId="18F40A11">
                  <w:pPr>
                    <w:jc w:val="center"/>
                    <w:rPr>
                      <w:color w:val="auto"/>
                    </w:rPr>
                  </w:pPr>
                  <w:r>
                    <w:rPr>
                      <w:rFonts w:hint="eastAsia"/>
                      <w:color w:val="auto"/>
                    </w:rPr>
                    <w:t>依托现有污水处理设施</w:t>
                  </w:r>
                </w:p>
              </w:tc>
            </w:tr>
            <w:tr w14:paraId="11101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275E4E3A">
                  <w:pPr>
                    <w:jc w:val="center"/>
                  </w:pPr>
                </w:p>
              </w:tc>
              <w:tc>
                <w:tcPr>
                  <w:tcW w:w="887" w:type="pct"/>
                  <w:gridSpan w:val="2"/>
                  <w:vAlign w:val="center"/>
                </w:tcPr>
                <w:p w14:paraId="18F7C495">
                  <w:pPr>
                    <w:widowControl/>
                    <w:adjustRightInd w:val="0"/>
                    <w:snapToGrid w:val="0"/>
                    <w:jc w:val="center"/>
                  </w:pPr>
                  <w:r>
                    <w:rPr>
                      <w:szCs w:val="21"/>
                    </w:rPr>
                    <w:t>供电系统</w:t>
                  </w:r>
                </w:p>
              </w:tc>
              <w:tc>
                <w:tcPr>
                  <w:tcW w:w="1562" w:type="pct"/>
                  <w:vAlign w:val="center"/>
                </w:tcPr>
                <w:p w14:paraId="543E620F">
                  <w:pPr>
                    <w:widowControl/>
                    <w:adjustRightInd w:val="0"/>
                    <w:snapToGrid w:val="0"/>
                    <w:jc w:val="center"/>
                  </w:pPr>
                  <w:r>
                    <w:rPr>
                      <w:rFonts w:hint="eastAsia"/>
                      <w:bCs/>
                      <w:kern w:val="0"/>
                      <w:szCs w:val="21"/>
                    </w:rPr>
                    <w:t>市政供电管网统一供电，</w:t>
                  </w:r>
                  <w:r>
                    <w:rPr>
                      <w:bCs/>
                      <w:szCs w:val="21"/>
                    </w:rPr>
                    <w:t>年用电量为</w:t>
                  </w:r>
                  <w:r>
                    <w:rPr>
                      <w:rFonts w:hint="eastAsia"/>
                      <w:bCs/>
                      <w:szCs w:val="21"/>
                      <w:lang w:val="en-US" w:eastAsia="zh-CN"/>
                    </w:rPr>
                    <w:t>224</w:t>
                  </w:r>
                  <w:r>
                    <w:rPr>
                      <w:szCs w:val="21"/>
                    </w:rPr>
                    <w:t>万kWˑh</w:t>
                  </w:r>
                </w:p>
              </w:tc>
              <w:tc>
                <w:tcPr>
                  <w:tcW w:w="1588" w:type="pct"/>
                  <w:vAlign w:val="center"/>
                </w:tcPr>
                <w:p w14:paraId="761EBA0E">
                  <w:pPr>
                    <w:jc w:val="center"/>
                    <w:rPr>
                      <w:bCs/>
                      <w:kern w:val="0"/>
                      <w:szCs w:val="21"/>
                    </w:rPr>
                  </w:pPr>
                  <w:r>
                    <w:rPr>
                      <w:rFonts w:hint="eastAsia"/>
                      <w:bCs/>
                      <w:kern w:val="0"/>
                      <w:szCs w:val="21"/>
                    </w:rPr>
                    <w:t>市政供电管网统一供电</w:t>
                  </w:r>
                  <w:r>
                    <w:rPr>
                      <w:rFonts w:hint="eastAsia"/>
                    </w:rPr>
                    <w:t>，年耗电量</w:t>
                  </w:r>
                  <w:r>
                    <w:rPr>
                      <w:rFonts w:hint="eastAsia"/>
                      <w:lang w:val="en-US" w:eastAsia="zh-CN"/>
                    </w:rPr>
                    <w:t>365</w:t>
                  </w:r>
                  <w:r>
                    <w:rPr>
                      <w:kern w:val="0"/>
                      <w:szCs w:val="21"/>
                    </w:rPr>
                    <w:t>万</w:t>
                  </w:r>
                  <w:r>
                    <w:rPr>
                      <w:bCs/>
                      <w:kern w:val="0"/>
                      <w:szCs w:val="21"/>
                    </w:rPr>
                    <w:t>Kwh</w:t>
                  </w:r>
                </w:p>
              </w:tc>
              <w:tc>
                <w:tcPr>
                  <w:tcW w:w="704" w:type="pct"/>
                  <w:vAlign w:val="center"/>
                </w:tcPr>
                <w:p w14:paraId="1F595404">
                  <w:pPr>
                    <w:jc w:val="center"/>
                    <w:rPr>
                      <w:bCs/>
                      <w:kern w:val="0"/>
                      <w:szCs w:val="21"/>
                    </w:rPr>
                  </w:pPr>
                  <w:r>
                    <w:rPr>
                      <w:rFonts w:hint="eastAsia"/>
                    </w:rPr>
                    <w:t>依托市政管网供电</w:t>
                  </w:r>
                </w:p>
              </w:tc>
            </w:tr>
            <w:tr w14:paraId="22494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restart"/>
                  <w:vAlign w:val="center"/>
                </w:tcPr>
                <w:p w14:paraId="50EEC653">
                  <w:pPr>
                    <w:jc w:val="center"/>
                  </w:pPr>
                  <w:r>
                    <w:t>环保工程</w:t>
                  </w:r>
                </w:p>
              </w:tc>
              <w:tc>
                <w:tcPr>
                  <w:tcW w:w="887" w:type="pct"/>
                  <w:gridSpan w:val="2"/>
                  <w:vMerge w:val="restart"/>
                  <w:vAlign w:val="center"/>
                </w:tcPr>
                <w:p w14:paraId="6064F388">
                  <w:pPr>
                    <w:jc w:val="center"/>
                  </w:pPr>
                  <w:r>
                    <w:t>废气</w:t>
                  </w:r>
                </w:p>
              </w:tc>
              <w:tc>
                <w:tcPr>
                  <w:tcW w:w="1562" w:type="pct"/>
                  <w:vAlign w:val="center"/>
                </w:tcPr>
                <w:p w14:paraId="5F123FB7">
                  <w:pPr>
                    <w:jc w:val="center"/>
                    <w:rPr>
                      <w:rFonts w:hint="eastAsia" w:eastAsia="宋体"/>
                      <w:color w:val="auto"/>
                      <w:szCs w:val="21"/>
                      <w:lang w:eastAsia="zh-CN"/>
                    </w:rPr>
                  </w:pPr>
                  <w:r>
                    <w:rPr>
                      <w:rFonts w:hint="eastAsia"/>
                      <w:color w:val="auto"/>
                      <w:szCs w:val="21"/>
                      <w:lang w:eastAsia="zh-CN"/>
                    </w:rPr>
                    <w:t>食堂油烟废气配套油烟净化处理后由排气管道排放。</w:t>
                  </w:r>
                </w:p>
              </w:tc>
              <w:tc>
                <w:tcPr>
                  <w:tcW w:w="1588" w:type="pct"/>
                  <w:vAlign w:val="center"/>
                </w:tcPr>
                <w:p w14:paraId="6EB89236">
                  <w:pPr>
                    <w:jc w:val="center"/>
                    <w:rPr>
                      <w:color w:val="auto"/>
                    </w:rPr>
                  </w:pPr>
                  <w:r>
                    <w:rPr>
                      <w:rFonts w:hint="eastAsia"/>
                      <w:color w:val="auto"/>
                      <w:szCs w:val="21"/>
                      <w:lang w:eastAsia="zh-CN"/>
                    </w:rPr>
                    <w:t>食堂油烟废气配套油烟净化处理后由排气管道排放。</w:t>
                  </w:r>
                </w:p>
              </w:tc>
              <w:tc>
                <w:tcPr>
                  <w:tcW w:w="704" w:type="pct"/>
                  <w:vAlign w:val="center"/>
                </w:tcPr>
                <w:p w14:paraId="32ED4269">
                  <w:pPr>
                    <w:jc w:val="center"/>
                    <w:rPr>
                      <w:rFonts w:hint="default" w:eastAsia="宋体"/>
                      <w:color w:val="auto"/>
                      <w:szCs w:val="21"/>
                      <w:lang w:val="en-US" w:eastAsia="zh-CN"/>
                    </w:rPr>
                  </w:pPr>
                  <w:r>
                    <w:rPr>
                      <w:rFonts w:hint="eastAsia"/>
                      <w:color w:val="auto"/>
                      <w:szCs w:val="21"/>
                      <w:lang w:val="en-US" w:eastAsia="zh-CN"/>
                    </w:rPr>
                    <w:t>新增食堂油烟依托现有油烟净化器处理后排放</w:t>
                  </w:r>
                </w:p>
              </w:tc>
            </w:tr>
            <w:tr w14:paraId="4163C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5EDE5EA2">
                  <w:pPr>
                    <w:jc w:val="center"/>
                  </w:pPr>
                </w:p>
              </w:tc>
              <w:tc>
                <w:tcPr>
                  <w:tcW w:w="887" w:type="pct"/>
                  <w:gridSpan w:val="2"/>
                  <w:vMerge w:val="continue"/>
                  <w:vAlign w:val="center"/>
                </w:tcPr>
                <w:p w14:paraId="5EC741F3">
                  <w:pPr>
                    <w:jc w:val="center"/>
                  </w:pPr>
                </w:p>
              </w:tc>
              <w:tc>
                <w:tcPr>
                  <w:tcW w:w="1562" w:type="pct"/>
                  <w:vAlign w:val="center"/>
                </w:tcPr>
                <w:p w14:paraId="4631D48F">
                  <w:pPr>
                    <w:jc w:val="center"/>
                    <w:rPr>
                      <w:rFonts w:hint="eastAsia" w:eastAsia="宋体"/>
                      <w:color w:val="auto"/>
                      <w:szCs w:val="21"/>
                      <w:lang w:eastAsia="zh-CN"/>
                    </w:rPr>
                  </w:pPr>
                  <w:r>
                    <w:rPr>
                      <w:rFonts w:hint="eastAsia" w:cs="Times New Roman"/>
                      <w:color w:val="auto"/>
                      <w:lang w:val="en-US" w:eastAsia="zh-CN"/>
                    </w:rPr>
                    <w:t>污水处理站产生的恶臭气体经收集后通过一套UV光氧装置处理后由一根排气筒排放；通过地埋式污水处理站密闭掩盖、加强绿化。</w:t>
                  </w:r>
                </w:p>
              </w:tc>
              <w:tc>
                <w:tcPr>
                  <w:tcW w:w="1588" w:type="pct"/>
                  <w:vAlign w:val="center"/>
                </w:tcPr>
                <w:p w14:paraId="1DDBA90C">
                  <w:pPr>
                    <w:jc w:val="center"/>
                    <w:rPr>
                      <w:color w:val="auto"/>
                      <w:szCs w:val="21"/>
                    </w:rPr>
                  </w:pPr>
                  <w:r>
                    <w:rPr>
                      <w:rFonts w:hint="eastAsia" w:cs="Times New Roman"/>
                      <w:color w:val="auto"/>
                      <w:lang w:val="en-US" w:eastAsia="zh-CN"/>
                    </w:rPr>
                    <w:t>污水处理站产生的恶臭气体经收集后通过一套UV光氧装置处理后由一根15m高排气筒（DA001）排放</w:t>
                  </w:r>
                  <w:r>
                    <w:rPr>
                      <w:rFonts w:hint="eastAsia" w:cs="Times New Roman"/>
                      <w:color w:val="auto"/>
                      <w:lang w:val="en-US" w:eastAsia="zh-CN"/>
                    </w:rPr>
                    <w:t>；通过地埋式污水处理站密闭掩盖、加强绿化。</w:t>
                  </w:r>
                </w:p>
              </w:tc>
              <w:tc>
                <w:tcPr>
                  <w:tcW w:w="704" w:type="pct"/>
                  <w:vAlign w:val="center"/>
                </w:tcPr>
                <w:p w14:paraId="044A84DA">
                  <w:pPr>
                    <w:jc w:val="center"/>
                    <w:rPr>
                      <w:rFonts w:hint="default"/>
                      <w:color w:val="auto"/>
                      <w:szCs w:val="21"/>
                      <w:lang w:val="en-US"/>
                    </w:rPr>
                  </w:pPr>
                  <w:r>
                    <w:rPr>
                      <w:rFonts w:hint="eastAsia" w:cs="Times New Roman"/>
                      <w:color w:val="auto"/>
                      <w:lang w:val="en-US" w:eastAsia="zh-CN"/>
                    </w:rPr>
                    <w:t>污水处理站</w:t>
                  </w:r>
                  <w:r>
                    <w:rPr>
                      <w:rFonts w:hint="eastAsia"/>
                      <w:color w:val="auto"/>
                      <w:szCs w:val="21"/>
                      <w:lang w:val="en-US" w:eastAsia="zh-CN"/>
                    </w:rPr>
                    <w:t>新增</w:t>
                  </w:r>
                  <w:r>
                    <w:rPr>
                      <w:rFonts w:hint="eastAsia" w:cs="Times New Roman"/>
                      <w:color w:val="auto"/>
                      <w:lang w:val="en-US" w:eastAsia="zh-CN"/>
                    </w:rPr>
                    <w:t>恶臭气体依托现有废气处理设施处理</w:t>
                  </w:r>
                </w:p>
              </w:tc>
            </w:tr>
            <w:tr w14:paraId="2C73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1AC1B1DB">
                  <w:pPr>
                    <w:jc w:val="center"/>
                  </w:pPr>
                </w:p>
              </w:tc>
              <w:tc>
                <w:tcPr>
                  <w:tcW w:w="887" w:type="pct"/>
                  <w:gridSpan w:val="2"/>
                  <w:vAlign w:val="center"/>
                </w:tcPr>
                <w:p w14:paraId="1061BD1B">
                  <w:pPr>
                    <w:jc w:val="center"/>
                  </w:pPr>
                  <w:r>
                    <w:t>废水</w:t>
                  </w:r>
                </w:p>
              </w:tc>
              <w:tc>
                <w:tcPr>
                  <w:tcW w:w="1562" w:type="pct"/>
                  <w:vAlign w:val="center"/>
                </w:tcPr>
                <w:p w14:paraId="6E8565C7">
                  <w:pPr>
                    <w:jc w:val="center"/>
                    <w:rPr>
                      <w:color w:val="auto"/>
                    </w:rPr>
                  </w:pPr>
                  <w:r>
                    <w:rPr>
                      <w:rFonts w:hint="eastAsia"/>
                      <w:color w:val="auto"/>
                      <w:sz w:val="21"/>
                      <w:szCs w:val="21"/>
                    </w:rPr>
                    <w:t>雨污分流制，</w:t>
                  </w:r>
                  <w:r>
                    <w:rPr>
                      <w:rFonts w:hint="eastAsia"/>
                      <w:color w:val="auto"/>
                      <w:sz w:val="21"/>
                      <w:szCs w:val="21"/>
                      <w:lang w:eastAsia="zh-CN"/>
                    </w:rPr>
                    <w:t>生活污水（食堂废水先经隔油池预处理）先进入化粪池预处理后再引入医院污水处理站处理后排入潘集污水处理厂；医疗废水经医院污水处理站处理后排入潘集污水处理厂</w:t>
                  </w:r>
                  <w:r>
                    <w:rPr>
                      <w:rFonts w:hint="eastAsia"/>
                      <w:color w:val="auto"/>
                      <w:szCs w:val="21"/>
                      <w:lang w:eastAsia="zh-CN"/>
                    </w:rPr>
                    <w:t>。</w:t>
                  </w:r>
                </w:p>
              </w:tc>
              <w:tc>
                <w:tcPr>
                  <w:tcW w:w="1588" w:type="pct"/>
                  <w:vAlign w:val="center"/>
                </w:tcPr>
                <w:p w14:paraId="07904657">
                  <w:pPr>
                    <w:pStyle w:val="10"/>
                    <w:jc w:val="center"/>
                    <w:rPr>
                      <w:color w:val="auto"/>
                    </w:rPr>
                  </w:pPr>
                  <w:r>
                    <w:rPr>
                      <w:rFonts w:hint="eastAsia"/>
                      <w:color w:val="auto"/>
                      <w:sz w:val="21"/>
                      <w:szCs w:val="21"/>
                    </w:rPr>
                    <w:t>雨污分流制，</w:t>
                  </w:r>
                  <w:r>
                    <w:rPr>
                      <w:rFonts w:hint="eastAsia" w:ascii="Times New Roman" w:hAnsi="Times New Roman" w:eastAsia="宋体" w:cs="Times New Roman"/>
                      <w:color w:val="auto"/>
                      <w:kern w:val="0"/>
                      <w:sz w:val="21"/>
                      <w:szCs w:val="21"/>
                      <w:lang w:val="en-US" w:eastAsia="zh-CN" w:bidi="ar-SA"/>
                    </w:rPr>
                    <w:t>食堂废水</w:t>
                  </w:r>
                  <w:r>
                    <w:rPr>
                      <w:rFonts w:hint="eastAsia" w:cs="Times New Roman"/>
                      <w:color w:val="auto"/>
                      <w:kern w:val="0"/>
                      <w:sz w:val="21"/>
                      <w:szCs w:val="21"/>
                      <w:lang w:val="en-US" w:eastAsia="zh-CN" w:bidi="ar-SA"/>
                    </w:rPr>
                    <w:t>经隔油池预处理后汇同</w:t>
                  </w:r>
                  <w:r>
                    <w:rPr>
                      <w:rFonts w:hint="eastAsia" w:ascii="Times New Roman" w:hAnsi="Times New Roman" w:eastAsia="宋体" w:cs="Times New Roman"/>
                      <w:color w:val="auto"/>
                      <w:kern w:val="0"/>
                      <w:sz w:val="21"/>
                      <w:szCs w:val="21"/>
                      <w:lang w:val="en-US" w:eastAsia="zh-CN" w:bidi="ar-SA"/>
                    </w:rPr>
                    <w:t>生活污水</w:t>
                  </w:r>
                  <w:r>
                    <w:rPr>
                      <w:rFonts w:hint="eastAsia" w:cs="Times New Roman"/>
                      <w:color w:val="auto"/>
                      <w:kern w:val="0"/>
                      <w:sz w:val="21"/>
                      <w:szCs w:val="21"/>
                      <w:lang w:val="en-US" w:eastAsia="zh-CN" w:bidi="ar-SA"/>
                    </w:rPr>
                    <w:t>一起</w:t>
                  </w:r>
                  <w:r>
                    <w:rPr>
                      <w:rFonts w:hint="eastAsia" w:ascii="Times New Roman" w:hAnsi="Times New Roman" w:eastAsia="宋体" w:cs="Times New Roman"/>
                      <w:color w:val="auto"/>
                      <w:kern w:val="0"/>
                      <w:sz w:val="21"/>
                      <w:szCs w:val="21"/>
                      <w:lang w:val="en-US" w:eastAsia="zh-CN" w:bidi="ar-SA"/>
                    </w:rPr>
                    <w:t>经化粪池处理后进入厂区</w:t>
                  </w:r>
                  <w:r>
                    <w:rPr>
                      <w:rFonts w:hint="eastAsia" w:cs="Times New Roman"/>
                      <w:color w:val="auto"/>
                      <w:kern w:val="0"/>
                      <w:sz w:val="21"/>
                      <w:szCs w:val="21"/>
                      <w:lang w:val="en-US" w:eastAsia="zh-CN" w:bidi="ar-SA"/>
                    </w:rPr>
                    <w:t>污水处理站</w:t>
                  </w:r>
                  <w:r>
                    <w:rPr>
                      <w:rFonts w:hint="eastAsia" w:ascii="Times New Roman" w:hAnsi="Times New Roman" w:eastAsia="宋体" w:cs="Times New Roman"/>
                      <w:color w:val="auto"/>
                      <w:kern w:val="0"/>
                      <w:sz w:val="21"/>
                      <w:szCs w:val="21"/>
                      <w:lang w:val="en-US" w:eastAsia="zh-CN" w:bidi="ar-SA"/>
                    </w:rPr>
                    <w:t>处理后，排入市政污水管网进入</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处理；</w:t>
                  </w:r>
                  <w:r>
                    <w:rPr>
                      <w:rFonts w:hint="eastAsia" w:cs="Times New Roman"/>
                      <w:color w:val="auto"/>
                      <w:kern w:val="0"/>
                      <w:sz w:val="21"/>
                      <w:szCs w:val="21"/>
                      <w:lang w:val="en-US" w:eastAsia="zh-CN" w:bidi="ar-SA"/>
                    </w:rPr>
                    <w:t>医疗废水（住院病床废水、医疗器械洗消废水、门诊废水、清洁废水）直接进入</w:t>
                  </w:r>
                  <w:r>
                    <w:rPr>
                      <w:rFonts w:hint="eastAsia" w:ascii="Times New Roman" w:hAnsi="Times New Roman" w:eastAsia="宋体" w:cs="Times New Roman"/>
                      <w:color w:val="auto"/>
                      <w:kern w:val="0"/>
                      <w:sz w:val="21"/>
                      <w:szCs w:val="21"/>
                      <w:lang w:val="en-US" w:eastAsia="zh-CN" w:bidi="ar-SA"/>
                    </w:rPr>
                    <w:t>厂区</w:t>
                  </w:r>
                  <w:r>
                    <w:rPr>
                      <w:rFonts w:hint="eastAsia" w:cs="Times New Roman"/>
                      <w:color w:val="auto"/>
                      <w:kern w:val="0"/>
                      <w:sz w:val="21"/>
                      <w:szCs w:val="21"/>
                      <w:lang w:val="en-US" w:eastAsia="zh-CN" w:bidi="ar-SA"/>
                    </w:rPr>
                    <w:t>污水处理站</w:t>
                  </w:r>
                  <w:r>
                    <w:rPr>
                      <w:rFonts w:hint="eastAsia" w:ascii="Times New Roman" w:hAnsi="Times New Roman" w:eastAsia="宋体" w:cs="Times New Roman"/>
                      <w:color w:val="auto"/>
                      <w:kern w:val="0"/>
                      <w:sz w:val="21"/>
                      <w:szCs w:val="21"/>
                      <w:lang w:val="en-US" w:eastAsia="zh-CN" w:bidi="ar-SA"/>
                    </w:rPr>
                    <w:t>处理后，排入市政污水管网进入</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处理</w:t>
                  </w:r>
                  <w:r>
                    <w:rPr>
                      <w:rFonts w:hint="eastAsia" w:cs="Times New Roman"/>
                      <w:color w:val="auto"/>
                      <w:kern w:val="0"/>
                      <w:sz w:val="21"/>
                      <w:szCs w:val="21"/>
                      <w:lang w:val="en-US" w:eastAsia="zh-CN" w:bidi="ar-SA"/>
                    </w:rPr>
                    <w:t>；蒸汽发生器浓水和纯水制备浓水直接由厂区污水总排口</w:t>
                  </w:r>
                  <w:r>
                    <w:rPr>
                      <w:rFonts w:hint="eastAsia" w:ascii="Times New Roman" w:hAnsi="Times New Roman" w:eastAsia="宋体" w:cs="Times New Roman"/>
                      <w:color w:val="auto"/>
                      <w:kern w:val="0"/>
                      <w:sz w:val="21"/>
                      <w:szCs w:val="21"/>
                      <w:lang w:val="en-US" w:eastAsia="zh-CN" w:bidi="ar-SA"/>
                    </w:rPr>
                    <w:t>排入市政污水管网进入</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处理</w:t>
                  </w:r>
                  <w:r>
                    <w:rPr>
                      <w:rFonts w:hint="eastAsia"/>
                      <w:color w:val="auto"/>
                      <w:sz w:val="21"/>
                      <w:szCs w:val="21"/>
                      <w:lang w:eastAsia="zh-CN"/>
                    </w:rPr>
                    <w:t>。</w:t>
                  </w:r>
                </w:p>
              </w:tc>
              <w:tc>
                <w:tcPr>
                  <w:tcW w:w="704" w:type="pct"/>
                  <w:vAlign w:val="center"/>
                </w:tcPr>
                <w:p w14:paraId="2735C160">
                  <w:pPr>
                    <w:jc w:val="center"/>
                    <w:rPr>
                      <w:color w:val="FF0000"/>
                      <w:kern w:val="0"/>
                      <w:szCs w:val="21"/>
                    </w:rPr>
                  </w:pPr>
                  <w:r>
                    <w:rPr>
                      <w:rFonts w:hint="eastAsia"/>
                      <w:color w:val="auto"/>
                    </w:rPr>
                    <w:t>依托现有污水处理设施</w:t>
                  </w:r>
                </w:p>
              </w:tc>
            </w:tr>
            <w:tr w14:paraId="3BB2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2E6A3627">
                  <w:pPr>
                    <w:jc w:val="center"/>
                  </w:pPr>
                </w:p>
              </w:tc>
              <w:tc>
                <w:tcPr>
                  <w:tcW w:w="887" w:type="pct"/>
                  <w:gridSpan w:val="2"/>
                  <w:vAlign w:val="center"/>
                </w:tcPr>
                <w:p w14:paraId="7FB983DB">
                  <w:pPr>
                    <w:jc w:val="center"/>
                  </w:pPr>
                  <w:r>
                    <w:t>噪声</w:t>
                  </w:r>
                </w:p>
              </w:tc>
              <w:tc>
                <w:tcPr>
                  <w:tcW w:w="1562" w:type="pct"/>
                  <w:vAlign w:val="center"/>
                </w:tcPr>
                <w:p w14:paraId="757EE728">
                  <w:pPr>
                    <w:jc w:val="center"/>
                  </w:pPr>
                  <w:r>
                    <w:rPr>
                      <w:bCs/>
                      <w:kern w:val="0"/>
                      <w:szCs w:val="21"/>
                    </w:rPr>
                    <w:t>采取优选低噪声设备、</w:t>
                  </w:r>
                  <w:r>
                    <w:rPr>
                      <w:rFonts w:hint="eastAsia"/>
                      <w:bCs/>
                      <w:kern w:val="0"/>
                      <w:szCs w:val="21"/>
                    </w:rPr>
                    <w:t>厂房</w:t>
                  </w:r>
                  <w:r>
                    <w:rPr>
                      <w:bCs/>
                      <w:kern w:val="0"/>
                      <w:szCs w:val="21"/>
                    </w:rPr>
                    <w:t>隔声、减振等措施</w:t>
                  </w:r>
                </w:p>
              </w:tc>
              <w:tc>
                <w:tcPr>
                  <w:tcW w:w="1588" w:type="pct"/>
                  <w:vAlign w:val="center"/>
                </w:tcPr>
                <w:p w14:paraId="431072EB">
                  <w:pPr>
                    <w:jc w:val="center"/>
                  </w:pPr>
                  <w:r>
                    <w:rPr>
                      <w:rFonts w:hint="eastAsia"/>
                      <w:bCs/>
                      <w:kern w:val="0"/>
                      <w:szCs w:val="21"/>
                    </w:rPr>
                    <w:t>新增</w:t>
                  </w:r>
                  <w:r>
                    <w:rPr>
                      <w:rFonts w:hint="eastAsia"/>
                      <w:bCs/>
                      <w:kern w:val="0"/>
                      <w:szCs w:val="21"/>
                      <w:lang w:eastAsia="zh-CN"/>
                    </w:rPr>
                    <w:t>的医疗设备</w:t>
                  </w:r>
                  <w:r>
                    <w:rPr>
                      <w:rFonts w:hint="eastAsia"/>
                      <w:bCs/>
                      <w:kern w:val="0"/>
                      <w:szCs w:val="21"/>
                    </w:rPr>
                    <w:t>，采取</w:t>
                  </w:r>
                  <w:r>
                    <w:rPr>
                      <w:bCs/>
                      <w:kern w:val="0"/>
                      <w:szCs w:val="21"/>
                    </w:rPr>
                    <w:t>优选低噪声设备</w:t>
                  </w:r>
                  <w:r>
                    <w:rPr>
                      <w:rFonts w:hint="eastAsia"/>
                      <w:bCs/>
                      <w:kern w:val="0"/>
                      <w:szCs w:val="21"/>
                    </w:rPr>
                    <w:t>，厂房隔声</w:t>
                  </w:r>
                  <w:r>
                    <w:rPr>
                      <w:bCs/>
                      <w:kern w:val="0"/>
                      <w:szCs w:val="21"/>
                    </w:rPr>
                    <w:t>、减振等措施</w:t>
                  </w:r>
                </w:p>
              </w:tc>
              <w:tc>
                <w:tcPr>
                  <w:tcW w:w="704" w:type="pct"/>
                  <w:vAlign w:val="center"/>
                </w:tcPr>
                <w:p w14:paraId="6315133F">
                  <w:pPr>
                    <w:jc w:val="center"/>
                    <w:rPr>
                      <w:bCs/>
                      <w:kern w:val="0"/>
                      <w:szCs w:val="21"/>
                    </w:rPr>
                  </w:pPr>
                  <w:r>
                    <w:rPr>
                      <w:rFonts w:hint="eastAsia"/>
                      <w:bCs/>
                      <w:kern w:val="0"/>
                      <w:szCs w:val="21"/>
                    </w:rPr>
                    <w:t>新增</w:t>
                  </w:r>
                  <w:r>
                    <w:rPr>
                      <w:rFonts w:hint="eastAsia"/>
                      <w:bCs/>
                      <w:kern w:val="0"/>
                      <w:szCs w:val="21"/>
                      <w:lang w:eastAsia="zh-CN"/>
                    </w:rPr>
                    <w:t>的医疗设备</w:t>
                  </w:r>
                  <w:r>
                    <w:rPr>
                      <w:rFonts w:hint="eastAsia"/>
                      <w:bCs/>
                      <w:kern w:val="0"/>
                      <w:szCs w:val="21"/>
                    </w:rPr>
                    <w:t>，采取</w:t>
                  </w:r>
                  <w:r>
                    <w:rPr>
                      <w:bCs/>
                      <w:kern w:val="0"/>
                      <w:szCs w:val="21"/>
                    </w:rPr>
                    <w:t>优选低噪声设备</w:t>
                  </w:r>
                </w:p>
              </w:tc>
            </w:tr>
            <w:tr w14:paraId="22C2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504A5C54">
                  <w:pPr>
                    <w:jc w:val="center"/>
                  </w:pPr>
                </w:p>
              </w:tc>
              <w:tc>
                <w:tcPr>
                  <w:tcW w:w="887" w:type="pct"/>
                  <w:gridSpan w:val="2"/>
                  <w:vMerge w:val="restart"/>
                  <w:vAlign w:val="center"/>
                </w:tcPr>
                <w:p w14:paraId="6DDD26CD">
                  <w:pPr>
                    <w:jc w:val="center"/>
                  </w:pPr>
                  <w:r>
                    <w:t>固废</w:t>
                  </w:r>
                </w:p>
              </w:tc>
              <w:tc>
                <w:tcPr>
                  <w:tcW w:w="1562" w:type="pct"/>
                  <w:vAlign w:val="center"/>
                </w:tcPr>
                <w:p w14:paraId="4B3FE74D">
                  <w:pPr>
                    <w:jc w:val="center"/>
                    <w:rPr>
                      <w:rFonts w:hint="eastAsia" w:eastAsia="宋体"/>
                      <w:bCs/>
                      <w:kern w:val="0"/>
                      <w:szCs w:val="21"/>
                      <w:lang w:eastAsia="zh-CN"/>
                    </w:rPr>
                  </w:pPr>
                  <w:r>
                    <w:rPr>
                      <w:rFonts w:hint="eastAsia"/>
                      <w:bCs/>
                      <w:kern w:val="0"/>
                      <w:szCs w:val="21"/>
                    </w:rPr>
                    <w:t>一般固废</w:t>
                  </w:r>
                  <w:r>
                    <w:rPr>
                      <w:rFonts w:hint="eastAsia"/>
                      <w:bCs/>
                      <w:kern w:val="0"/>
                      <w:szCs w:val="21"/>
                      <w:lang w:eastAsia="zh-CN"/>
                    </w:rPr>
                    <w:t>由环卫部门定期清运，垃圾分类收集。</w:t>
                  </w:r>
                </w:p>
              </w:tc>
              <w:tc>
                <w:tcPr>
                  <w:tcW w:w="1588" w:type="pct"/>
                  <w:vAlign w:val="center"/>
                </w:tcPr>
                <w:p w14:paraId="2006D390">
                  <w:pPr>
                    <w:jc w:val="center"/>
                    <w:rPr>
                      <w:bCs/>
                      <w:kern w:val="0"/>
                      <w:szCs w:val="21"/>
                    </w:rPr>
                  </w:pPr>
                  <w:r>
                    <w:rPr>
                      <w:rFonts w:hint="eastAsia"/>
                      <w:bCs/>
                      <w:kern w:val="0"/>
                      <w:szCs w:val="21"/>
                    </w:rPr>
                    <w:t>一般固废</w:t>
                  </w:r>
                  <w:r>
                    <w:rPr>
                      <w:rFonts w:hint="eastAsia"/>
                      <w:bCs/>
                      <w:kern w:val="0"/>
                      <w:szCs w:val="21"/>
                      <w:lang w:eastAsia="zh-CN"/>
                    </w:rPr>
                    <w:t>由环卫部门定期清运，垃圾分类收集。</w:t>
                  </w:r>
                </w:p>
              </w:tc>
              <w:tc>
                <w:tcPr>
                  <w:tcW w:w="704" w:type="pct"/>
                  <w:vAlign w:val="center"/>
                </w:tcPr>
                <w:p w14:paraId="65CF6C77">
                  <w:pPr>
                    <w:jc w:val="center"/>
                    <w:rPr>
                      <w:rFonts w:hint="eastAsia" w:eastAsia="宋体"/>
                      <w:bCs/>
                      <w:kern w:val="0"/>
                      <w:szCs w:val="21"/>
                      <w:lang w:eastAsia="zh-CN"/>
                    </w:rPr>
                  </w:pPr>
                  <w:r>
                    <w:rPr>
                      <w:rFonts w:hint="eastAsia"/>
                      <w:bCs/>
                      <w:kern w:val="0"/>
                      <w:szCs w:val="21"/>
                      <w:lang w:eastAsia="zh-CN"/>
                    </w:rPr>
                    <w:t>依托医院现有垃圾桶</w:t>
                  </w:r>
                </w:p>
              </w:tc>
            </w:tr>
            <w:tr w14:paraId="6492F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 w:type="pct"/>
                  <w:vMerge w:val="continue"/>
                  <w:vAlign w:val="center"/>
                </w:tcPr>
                <w:p w14:paraId="24BE3E35">
                  <w:pPr>
                    <w:jc w:val="center"/>
                  </w:pPr>
                </w:p>
              </w:tc>
              <w:tc>
                <w:tcPr>
                  <w:tcW w:w="887" w:type="pct"/>
                  <w:gridSpan w:val="2"/>
                  <w:vMerge w:val="continue"/>
                  <w:vAlign w:val="center"/>
                </w:tcPr>
                <w:p w14:paraId="71D589BE">
                  <w:pPr>
                    <w:jc w:val="center"/>
                  </w:pPr>
                </w:p>
              </w:tc>
              <w:tc>
                <w:tcPr>
                  <w:tcW w:w="1562" w:type="pct"/>
                  <w:vAlign w:val="center"/>
                </w:tcPr>
                <w:p w14:paraId="76AA63B3">
                  <w:pPr>
                    <w:jc w:val="center"/>
                    <w:rPr>
                      <w:rFonts w:hint="eastAsia" w:eastAsia="宋体"/>
                      <w:bCs/>
                      <w:kern w:val="0"/>
                      <w:szCs w:val="21"/>
                      <w:lang w:eastAsia="zh-CN"/>
                    </w:rPr>
                  </w:pPr>
                  <w:r>
                    <w:rPr>
                      <w:rFonts w:hint="eastAsia"/>
                      <w:bCs/>
                      <w:kern w:val="0"/>
                      <w:szCs w:val="21"/>
                      <w:lang w:eastAsia="zh-CN"/>
                    </w:rPr>
                    <w:t>医疗废物暂存于危废暂存间，定期委托有资质单位处置。</w:t>
                  </w:r>
                </w:p>
              </w:tc>
              <w:tc>
                <w:tcPr>
                  <w:tcW w:w="1588" w:type="pct"/>
                  <w:vAlign w:val="center"/>
                </w:tcPr>
                <w:p w14:paraId="40859485">
                  <w:pPr>
                    <w:jc w:val="center"/>
                    <w:rPr>
                      <w:rFonts w:hint="eastAsia" w:eastAsia="宋体"/>
                      <w:bCs/>
                      <w:kern w:val="0"/>
                      <w:szCs w:val="21"/>
                      <w:lang w:eastAsia="zh-CN"/>
                    </w:rPr>
                  </w:pPr>
                  <w:r>
                    <w:rPr>
                      <w:rFonts w:hint="eastAsia"/>
                      <w:bCs/>
                      <w:kern w:val="0"/>
                      <w:szCs w:val="21"/>
                      <w:lang w:eastAsia="zh-CN"/>
                    </w:rPr>
                    <w:t>医疗废物暂存于危废暂存间，定期委托有资质单位处置。</w:t>
                  </w:r>
                </w:p>
              </w:tc>
              <w:tc>
                <w:tcPr>
                  <w:tcW w:w="704" w:type="pct"/>
                  <w:vMerge w:val="restart"/>
                  <w:vAlign w:val="center"/>
                </w:tcPr>
                <w:p w14:paraId="75177CBD">
                  <w:pPr>
                    <w:jc w:val="center"/>
                    <w:rPr>
                      <w:rFonts w:hint="eastAsia" w:eastAsia="宋体"/>
                      <w:bCs/>
                      <w:kern w:val="0"/>
                      <w:szCs w:val="21"/>
                      <w:lang w:eastAsia="zh-CN"/>
                    </w:rPr>
                  </w:pPr>
                  <w:r>
                    <w:rPr>
                      <w:rFonts w:hint="eastAsia"/>
                      <w:bCs/>
                      <w:kern w:val="0"/>
                      <w:szCs w:val="21"/>
                      <w:lang w:eastAsia="zh-CN"/>
                    </w:rPr>
                    <w:t>依托医院现有危废暂存间</w:t>
                  </w:r>
                </w:p>
              </w:tc>
            </w:tr>
            <w:tr w14:paraId="0F14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257" w:type="pct"/>
                  <w:vMerge w:val="continue"/>
                  <w:vAlign w:val="center"/>
                </w:tcPr>
                <w:p w14:paraId="7BDBB646">
                  <w:pPr>
                    <w:jc w:val="center"/>
                    <w:rPr>
                      <w:rFonts w:hint="eastAsia"/>
                      <w:bCs/>
                      <w:kern w:val="0"/>
                      <w:szCs w:val="21"/>
                    </w:rPr>
                  </w:pPr>
                </w:p>
              </w:tc>
              <w:tc>
                <w:tcPr>
                  <w:tcW w:w="887" w:type="pct"/>
                  <w:gridSpan w:val="2"/>
                  <w:vMerge w:val="continue"/>
                  <w:vAlign w:val="center"/>
                </w:tcPr>
                <w:p w14:paraId="1BDE4FE9">
                  <w:pPr>
                    <w:jc w:val="center"/>
                    <w:rPr>
                      <w:rFonts w:hint="eastAsia"/>
                      <w:bCs/>
                      <w:kern w:val="0"/>
                      <w:szCs w:val="21"/>
                    </w:rPr>
                  </w:pPr>
                </w:p>
              </w:tc>
              <w:tc>
                <w:tcPr>
                  <w:tcW w:w="1562" w:type="pct"/>
                  <w:vAlign w:val="center"/>
                </w:tcPr>
                <w:p w14:paraId="39EE1CBD">
                  <w:pPr>
                    <w:jc w:val="center"/>
                    <w:rPr>
                      <w:rFonts w:hint="eastAsia" w:eastAsia="宋体"/>
                      <w:bCs/>
                      <w:kern w:val="0"/>
                      <w:szCs w:val="21"/>
                      <w:lang w:eastAsia="zh-CN"/>
                    </w:rPr>
                  </w:pPr>
                  <w:r>
                    <w:rPr>
                      <w:rFonts w:hint="eastAsia"/>
                      <w:bCs/>
                      <w:kern w:val="0"/>
                      <w:szCs w:val="21"/>
                      <w:lang w:eastAsia="zh-CN"/>
                    </w:rPr>
                    <w:t>污水处理站污泥暂存于危废暂存间，定期委托有资质单位处置。</w:t>
                  </w:r>
                </w:p>
              </w:tc>
              <w:tc>
                <w:tcPr>
                  <w:tcW w:w="1588" w:type="pct"/>
                  <w:vAlign w:val="center"/>
                </w:tcPr>
                <w:p w14:paraId="34CF9005">
                  <w:pPr>
                    <w:jc w:val="center"/>
                    <w:rPr>
                      <w:rFonts w:hint="eastAsia"/>
                      <w:bCs/>
                      <w:kern w:val="0"/>
                      <w:szCs w:val="21"/>
                    </w:rPr>
                  </w:pPr>
                  <w:r>
                    <w:rPr>
                      <w:rFonts w:hint="eastAsia"/>
                      <w:bCs/>
                      <w:kern w:val="0"/>
                      <w:szCs w:val="21"/>
                      <w:lang w:eastAsia="zh-CN"/>
                    </w:rPr>
                    <w:t>污水处理站污泥暂存于危废暂存间，定期委托有资质单位处置。</w:t>
                  </w:r>
                </w:p>
              </w:tc>
              <w:tc>
                <w:tcPr>
                  <w:tcW w:w="704" w:type="pct"/>
                  <w:vMerge w:val="continue"/>
                  <w:vAlign w:val="center"/>
                </w:tcPr>
                <w:p w14:paraId="777EB050">
                  <w:pPr>
                    <w:jc w:val="center"/>
                    <w:rPr>
                      <w:rFonts w:hint="eastAsia"/>
                      <w:bCs/>
                      <w:kern w:val="0"/>
                      <w:szCs w:val="21"/>
                    </w:rPr>
                  </w:pPr>
                </w:p>
              </w:tc>
            </w:tr>
            <w:bookmarkEnd w:id="2"/>
            <w:bookmarkEnd w:id="3"/>
            <w:bookmarkEnd w:id="4"/>
          </w:tbl>
          <w:p w14:paraId="7E17CDDB">
            <w:pPr>
              <w:pStyle w:val="10"/>
              <w:jc w:val="center"/>
              <w:rPr>
                <w:rFonts w:hint="default" w:eastAsia="宋体"/>
                <w:color w:val="auto"/>
                <w:lang w:val="en-US" w:eastAsia="zh-CN"/>
              </w:rPr>
            </w:pPr>
            <w:r>
              <w:rPr>
                <w:rFonts w:hint="default" w:ascii="Times New Roman" w:hAnsi="Times New Roman" w:cs="Times New Roman"/>
                <w:b/>
                <w:color w:val="auto"/>
                <w:kern w:val="2"/>
                <w:sz w:val="24"/>
                <w:szCs w:val="21"/>
              </w:rPr>
              <w:t>表</w:t>
            </w:r>
            <w:r>
              <w:rPr>
                <w:rFonts w:hint="default" w:ascii="Times New Roman" w:hAnsi="Times New Roman" w:cs="Times New Roman"/>
                <w:b/>
                <w:color w:val="auto"/>
                <w:kern w:val="2"/>
                <w:sz w:val="24"/>
                <w:szCs w:val="21"/>
                <w:lang w:val="en-US" w:eastAsia="zh-CN"/>
              </w:rPr>
              <w:t>2-2</w:t>
            </w:r>
            <w:r>
              <w:rPr>
                <w:rFonts w:hint="default" w:ascii="Times New Roman" w:hAnsi="Times New Roman" w:cs="Times New Roman"/>
                <w:b/>
                <w:color w:val="auto"/>
                <w:kern w:val="2"/>
                <w:sz w:val="24"/>
                <w:szCs w:val="21"/>
              </w:rPr>
              <w:t xml:space="preserve">  建设项目</w:t>
            </w:r>
            <w:r>
              <w:rPr>
                <w:rFonts w:hint="eastAsia" w:cs="Times New Roman"/>
                <w:b/>
                <w:color w:val="auto"/>
                <w:kern w:val="2"/>
                <w:sz w:val="24"/>
                <w:szCs w:val="21"/>
                <w:lang w:val="en-US" w:eastAsia="zh-CN"/>
              </w:rPr>
              <w:t>依</w:t>
            </w:r>
            <w:r>
              <w:rPr>
                <w:rFonts w:hint="eastAsia" w:cs="Times New Roman"/>
                <w:b/>
                <w:bCs w:val="0"/>
                <w:color w:val="auto"/>
                <w:kern w:val="2"/>
                <w:sz w:val="24"/>
                <w:szCs w:val="24"/>
                <w:lang w:val="en-US" w:eastAsia="zh-CN"/>
              </w:rPr>
              <w:t>托</w:t>
            </w:r>
            <w:r>
              <w:rPr>
                <w:rFonts w:hint="eastAsia" w:cs="Times New Roman"/>
                <w:b/>
                <w:bCs w:val="0"/>
                <w:color w:val="auto"/>
                <w:sz w:val="24"/>
                <w:szCs w:val="24"/>
                <w:lang w:val="en-US" w:eastAsia="zh-CN"/>
              </w:rPr>
              <w:t>现有厂区</w:t>
            </w:r>
            <w:r>
              <w:rPr>
                <w:rFonts w:hint="eastAsia" w:cs="Times New Roman"/>
                <w:b/>
                <w:bCs w:val="0"/>
                <w:color w:val="auto"/>
                <w:kern w:val="2"/>
                <w:sz w:val="24"/>
                <w:szCs w:val="24"/>
                <w:lang w:val="en-US" w:eastAsia="zh-CN"/>
              </w:rPr>
              <w:t>工程可行</w:t>
            </w:r>
            <w:r>
              <w:rPr>
                <w:rFonts w:hint="eastAsia" w:cs="Times New Roman"/>
                <w:b/>
                <w:color w:val="auto"/>
                <w:kern w:val="2"/>
                <w:sz w:val="24"/>
                <w:szCs w:val="21"/>
                <w:lang w:val="en-US" w:eastAsia="zh-CN"/>
              </w:rPr>
              <w:t>性并分析</w:t>
            </w:r>
          </w:p>
          <w:tbl>
            <w:tblPr>
              <w:tblStyle w:val="2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703"/>
              <w:gridCol w:w="5662"/>
            </w:tblGrid>
            <w:tr w14:paraId="75375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0" w:type="pct"/>
                  <w:vAlign w:val="center"/>
                </w:tcPr>
                <w:p w14:paraId="02AFC44D">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default" w:ascii="Times New Roman" w:hAnsi="Times New Roman" w:eastAsia="宋体" w:cs="Times New Roman"/>
                      <w:b/>
                      <w:color w:val="auto"/>
                      <w:kern w:val="2"/>
                      <w:sz w:val="21"/>
                      <w:szCs w:val="21"/>
                      <w:lang w:val="en-US" w:eastAsia="zh-CN"/>
                    </w:rPr>
                  </w:pPr>
                  <w:r>
                    <w:rPr>
                      <w:rFonts w:hint="eastAsia" w:cs="Times New Roman"/>
                      <w:b/>
                      <w:color w:val="auto"/>
                      <w:kern w:val="2"/>
                      <w:sz w:val="21"/>
                      <w:szCs w:val="21"/>
                      <w:lang w:val="en-US" w:eastAsia="zh-CN"/>
                    </w:rPr>
                    <w:t>建设名称</w:t>
                  </w:r>
                </w:p>
              </w:tc>
              <w:tc>
                <w:tcPr>
                  <w:tcW w:w="1008" w:type="pct"/>
                  <w:vAlign w:val="center"/>
                </w:tcPr>
                <w:p w14:paraId="540E539C">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default" w:ascii="Times New Roman" w:hAnsi="Times New Roman" w:eastAsia="宋体" w:cs="Times New Roman"/>
                      <w:b/>
                      <w:color w:val="auto"/>
                      <w:kern w:val="2"/>
                      <w:sz w:val="21"/>
                      <w:szCs w:val="21"/>
                    </w:rPr>
                  </w:pPr>
                  <w:r>
                    <w:rPr>
                      <w:rFonts w:hint="eastAsia" w:eastAsia="宋体" w:cs="Times New Roman"/>
                      <w:b/>
                      <w:color w:val="auto"/>
                      <w:kern w:val="2"/>
                      <w:sz w:val="21"/>
                      <w:szCs w:val="21"/>
                      <w:lang w:val="en-US" w:eastAsia="zh-CN"/>
                    </w:rPr>
                    <w:t>依托</w:t>
                  </w:r>
                  <w:r>
                    <w:rPr>
                      <w:rFonts w:hint="eastAsia" w:ascii="Times New Roman" w:hAnsi="Times New Roman" w:eastAsia="宋体" w:cs="Times New Roman"/>
                      <w:b/>
                      <w:color w:val="auto"/>
                      <w:kern w:val="2"/>
                      <w:sz w:val="21"/>
                      <w:szCs w:val="21"/>
                      <w:lang w:val="en-US" w:eastAsia="zh-CN"/>
                    </w:rPr>
                    <w:t>工程</w:t>
                  </w:r>
                </w:p>
              </w:tc>
              <w:tc>
                <w:tcPr>
                  <w:tcW w:w="3351" w:type="pct"/>
                  <w:vAlign w:val="center"/>
                </w:tcPr>
                <w:p w14:paraId="1B1CE870">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eastAsia" w:ascii="Times New Roman" w:hAnsi="Times New Roman" w:eastAsia="宋体" w:cs="Times New Roman"/>
                      <w:b/>
                      <w:color w:val="auto"/>
                      <w:kern w:val="2"/>
                      <w:sz w:val="21"/>
                      <w:szCs w:val="21"/>
                      <w:lang w:val="en-US" w:eastAsia="zh-CN"/>
                    </w:rPr>
                  </w:pPr>
                  <w:r>
                    <w:rPr>
                      <w:rFonts w:hint="eastAsia" w:ascii="Times New Roman" w:hAnsi="Times New Roman" w:eastAsia="宋体" w:cs="Times New Roman"/>
                      <w:b/>
                      <w:color w:val="auto"/>
                      <w:kern w:val="2"/>
                      <w:sz w:val="21"/>
                      <w:szCs w:val="21"/>
                      <w:lang w:val="en-US" w:eastAsia="zh-CN"/>
                    </w:rPr>
                    <w:t>可行性并分析</w:t>
                  </w:r>
                </w:p>
              </w:tc>
            </w:tr>
            <w:tr w14:paraId="4C2F1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pct"/>
                  <w:vAlign w:val="center"/>
                </w:tcPr>
                <w:p w14:paraId="72ECB40B">
                  <w:pPr>
                    <w:keepNext w:val="0"/>
                    <w:keepLines w:val="0"/>
                    <w:suppressLineNumbers w:val="0"/>
                    <w:spacing w:before="0" w:beforeAutospacing="0" w:after="0" w:afterAutospacing="0"/>
                    <w:ind w:left="0" w:leftChars="0" w:right="0" w:rightChars="0"/>
                    <w:jc w:val="center"/>
                    <w:rPr>
                      <w:rFonts w:hint="eastAsia"/>
                      <w:szCs w:val="21"/>
                      <w:lang w:eastAsia="zh-CN"/>
                    </w:rPr>
                  </w:pPr>
                  <w:r>
                    <w:rPr>
                      <w:rFonts w:hint="eastAsia"/>
                      <w:szCs w:val="21"/>
                      <w:lang w:eastAsia="zh-CN"/>
                    </w:rPr>
                    <w:t>污水处理设施</w:t>
                  </w:r>
                </w:p>
              </w:tc>
              <w:tc>
                <w:tcPr>
                  <w:tcW w:w="1008" w:type="pct"/>
                  <w:vAlign w:val="center"/>
                </w:tcPr>
                <w:p w14:paraId="4EFC8BC3">
                  <w:pPr>
                    <w:keepNext w:val="0"/>
                    <w:keepLines w:val="0"/>
                    <w:suppressLineNumbers w:val="0"/>
                    <w:spacing w:before="0" w:beforeAutospacing="0" w:after="0" w:afterAutospacing="0"/>
                    <w:ind w:left="0" w:leftChars="0" w:right="0" w:rightChars="0"/>
                    <w:jc w:val="center"/>
                    <w:rPr>
                      <w:rFonts w:hint="eastAsia"/>
                      <w:color w:val="auto"/>
                      <w:szCs w:val="21"/>
                      <w:lang w:eastAsia="zh-CN"/>
                    </w:rPr>
                  </w:pPr>
                  <w:r>
                    <w:rPr>
                      <w:rFonts w:hint="eastAsia"/>
                      <w:color w:val="auto"/>
                      <w:szCs w:val="21"/>
                      <w:lang w:eastAsia="zh-CN"/>
                    </w:rPr>
                    <w:t>依托厂区现有污水处理设施</w:t>
                  </w:r>
                </w:p>
              </w:tc>
              <w:tc>
                <w:tcPr>
                  <w:tcW w:w="3351" w:type="pct"/>
                  <w:vAlign w:val="center"/>
                </w:tcPr>
                <w:p w14:paraId="7EAFD2F9">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医院现有污水处理站</w:t>
                  </w:r>
                  <w:r>
                    <w:rPr>
                      <w:rFonts w:hint="eastAsia"/>
                      <w:color w:val="auto"/>
                      <w:szCs w:val="21"/>
                      <w:lang w:val="en-US" w:eastAsia="zh-CN"/>
                    </w:rPr>
                    <w:t>处理能力为300t/d</w:t>
                  </w:r>
                  <w:r>
                    <w:rPr>
                      <w:rFonts w:hint="eastAsia"/>
                      <w:bCs/>
                      <w:color w:val="auto"/>
                      <w:szCs w:val="21"/>
                    </w:rPr>
                    <w:t>，</w:t>
                  </w:r>
                  <w:r>
                    <w:rPr>
                      <w:rFonts w:hint="eastAsia"/>
                      <w:bCs/>
                      <w:color w:val="auto"/>
                      <w:szCs w:val="21"/>
                      <w:lang w:eastAsia="zh-CN"/>
                    </w:rPr>
                    <w:t>扩建</w:t>
                  </w:r>
                  <w:r>
                    <w:rPr>
                      <w:rFonts w:hint="eastAsia" w:cs="Times New Roman"/>
                      <w:color w:val="auto"/>
                      <w:sz w:val="21"/>
                      <w:szCs w:val="21"/>
                      <w:lang w:val="en-US" w:eastAsia="zh-CN"/>
                    </w:rPr>
                    <w:t>后全院</w:t>
                  </w:r>
                  <w:r>
                    <w:rPr>
                      <w:rFonts w:hint="eastAsia"/>
                      <w:bCs/>
                      <w:color w:val="auto"/>
                      <w:szCs w:val="21"/>
                    </w:rPr>
                    <w:t>进入</w:t>
                  </w:r>
                  <w:r>
                    <w:rPr>
                      <w:rFonts w:hint="eastAsia"/>
                      <w:bCs/>
                      <w:color w:val="auto"/>
                      <w:szCs w:val="21"/>
                      <w:lang w:eastAsia="zh-CN"/>
                    </w:rPr>
                    <w:t>污水处理站的</w:t>
                  </w:r>
                  <w:r>
                    <w:rPr>
                      <w:rFonts w:hint="eastAsia"/>
                      <w:bCs/>
                      <w:color w:val="auto"/>
                      <w:szCs w:val="21"/>
                    </w:rPr>
                    <w:t>废水量为</w:t>
                  </w:r>
                  <w:r>
                    <w:rPr>
                      <w:rFonts w:hint="eastAsia"/>
                      <w:bCs/>
                      <w:color w:val="auto"/>
                      <w:szCs w:val="21"/>
                      <w:lang w:val="en-US" w:eastAsia="zh-CN"/>
                    </w:rPr>
                    <w:t>229.9404</w:t>
                  </w:r>
                  <w:r>
                    <w:rPr>
                      <w:rFonts w:hint="eastAsia"/>
                      <w:bCs/>
                      <w:color w:val="auto"/>
                      <w:szCs w:val="21"/>
                    </w:rPr>
                    <w:t>t</w:t>
                  </w:r>
                  <w:r>
                    <w:rPr>
                      <w:rFonts w:hint="eastAsia"/>
                      <w:bCs/>
                      <w:color w:val="auto"/>
                      <w:szCs w:val="21"/>
                      <w:lang w:val="en-US" w:eastAsia="zh-CN"/>
                    </w:rPr>
                    <w:t>/d</w:t>
                  </w:r>
                  <w:r>
                    <w:rPr>
                      <w:rFonts w:hint="eastAsia"/>
                      <w:bCs/>
                      <w:color w:val="auto"/>
                      <w:szCs w:val="21"/>
                    </w:rPr>
                    <w:t>，依托可行</w:t>
                  </w:r>
                  <w:r>
                    <w:rPr>
                      <w:rFonts w:hint="eastAsia" w:cs="Times New Roman"/>
                      <w:color w:val="auto"/>
                      <w:sz w:val="21"/>
                      <w:szCs w:val="21"/>
                      <w:lang w:val="en-US" w:eastAsia="zh-CN"/>
                    </w:rPr>
                    <w:t>。</w:t>
                  </w:r>
                </w:p>
              </w:tc>
            </w:tr>
            <w:tr w14:paraId="1BE26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pct"/>
                  <w:vAlign w:val="center"/>
                </w:tcPr>
                <w:p w14:paraId="474ADEA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lang w:eastAsia="zh-CN"/>
                    </w:rPr>
                  </w:pPr>
                  <w:r>
                    <w:rPr>
                      <w:rFonts w:hint="eastAsia" w:cs="Times New Roman"/>
                      <w:color w:val="auto"/>
                      <w:kern w:val="2"/>
                      <w:sz w:val="21"/>
                      <w:lang w:eastAsia="zh-CN"/>
                    </w:rPr>
                    <w:t>危废暂存间</w:t>
                  </w:r>
                </w:p>
              </w:tc>
              <w:tc>
                <w:tcPr>
                  <w:tcW w:w="1008" w:type="pct"/>
                  <w:vAlign w:val="center"/>
                </w:tcPr>
                <w:p w14:paraId="6A3BF5D7">
                  <w:pPr>
                    <w:keepNext w:val="0"/>
                    <w:keepLines w:val="0"/>
                    <w:suppressLineNumbers w:val="0"/>
                    <w:spacing w:before="0" w:beforeAutospacing="0" w:after="0" w:afterAutospacing="0"/>
                    <w:ind w:left="0" w:leftChars="0" w:right="0" w:rightChars="0"/>
                    <w:jc w:val="center"/>
                    <w:rPr>
                      <w:rFonts w:hint="eastAsia" w:eastAsia="宋体" w:cs="Times New Roman"/>
                      <w:color w:val="auto"/>
                      <w:kern w:val="2"/>
                      <w:sz w:val="21"/>
                      <w:szCs w:val="21"/>
                      <w:lang w:val="en-US" w:eastAsia="zh-CN"/>
                    </w:rPr>
                  </w:pPr>
                  <w:r>
                    <w:rPr>
                      <w:rFonts w:hint="eastAsia"/>
                      <w:bCs/>
                      <w:color w:val="auto"/>
                      <w:kern w:val="0"/>
                      <w:sz w:val="21"/>
                      <w:szCs w:val="21"/>
                      <w:lang w:eastAsia="zh-CN"/>
                    </w:rPr>
                    <w:t>依托现有</w:t>
                  </w:r>
                  <w:r>
                    <w:rPr>
                      <w:rFonts w:hint="eastAsia"/>
                      <w:color w:val="auto"/>
                      <w:sz w:val="21"/>
                      <w:szCs w:val="21"/>
                      <w:lang w:eastAsia="zh-CN"/>
                    </w:rPr>
                    <w:t>危废暂存间</w:t>
                  </w:r>
                </w:p>
              </w:tc>
              <w:tc>
                <w:tcPr>
                  <w:tcW w:w="3351" w:type="pct"/>
                  <w:vAlign w:val="center"/>
                </w:tcPr>
                <w:p w14:paraId="3BE93E1B">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现有厂区内设有危废暂存间（10m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），最大贮存能力5t</w:t>
                  </w:r>
                  <w:r>
                    <w:rPr>
                      <w:rFonts w:hint="eastAsia" w:cs="Times New Roman"/>
                      <w:color w:val="auto"/>
                      <w:kern w:val="2"/>
                      <w:sz w:val="21"/>
                      <w:szCs w:val="21"/>
                      <w:lang w:val="en-US" w:eastAsia="zh-CN"/>
                    </w:rPr>
                    <w:t>，现有项目危废产生量约为149.85t/a，本项目扩建后全院危废产生量约256.55t/a，危险废物在院内暂存时间不超过48h</w:t>
                  </w:r>
                  <w:r>
                    <w:rPr>
                      <w:rFonts w:hint="eastAsia"/>
                      <w:color w:val="auto"/>
                      <w:sz w:val="21"/>
                      <w:szCs w:val="21"/>
                    </w:rPr>
                    <w:t>，</w:t>
                  </w:r>
                  <w:r>
                    <w:rPr>
                      <w:rFonts w:hint="eastAsia" w:cs="Times New Roman"/>
                      <w:i w:val="0"/>
                      <w:iCs w:val="0"/>
                      <w:color w:val="auto"/>
                      <w:kern w:val="2"/>
                      <w:sz w:val="21"/>
                      <w:szCs w:val="21"/>
                      <w:lang w:val="en-US" w:eastAsia="zh-CN" w:bidi="ar"/>
                    </w:rPr>
                    <w:t>则一次</w:t>
                  </w:r>
                  <w:r>
                    <w:rPr>
                      <w:rFonts w:hint="eastAsia"/>
                      <w:color w:val="auto"/>
                      <w:sz w:val="21"/>
                      <w:szCs w:val="21"/>
                      <w:highlight w:val="none"/>
                      <w:lang w:val="en-US" w:eastAsia="zh-CN"/>
                    </w:rPr>
                    <w:t>最大暂存危险废物量不超过1.4t</w:t>
                  </w:r>
                  <w:r>
                    <w:rPr>
                      <w:rFonts w:hint="eastAsia" w:cs="Times New Roman"/>
                      <w:i w:val="0"/>
                      <w:iCs w:val="0"/>
                      <w:color w:val="auto"/>
                      <w:kern w:val="2"/>
                      <w:sz w:val="21"/>
                      <w:szCs w:val="21"/>
                      <w:lang w:val="en-US" w:eastAsia="zh-CN" w:bidi="ar"/>
                    </w:rPr>
                    <w:t>，</w:t>
                  </w:r>
                  <w:r>
                    <w:rPr>
                      <w:rFonts w:hint="eastAsia"/>
                      <w:color w:val="auto"/>
                      <w:sz w:val="21"/>
                      <w:szCs w:val="21"/>
                    </w:rPr>
                    <w:t>因此，现有</w:t>
                  </w:r>
                  <w:r>
                    <w:rPr>
                      <w:rFonts w:hint="eastAsia"/>
                      <w:color w:val="auto"/>
                      <w:sz w:val="21"/>
                      <w:szCs w:val="21"/>
                      <w:lang w:val="en-US" w:eastAsia="zh-CN"/>
                    </w:rPr>
                    <w:t>危废暂存间</w:t>
                  </w:r>
                  <w:r>
                    <w:rPr>
                      <w:rFonts w:hint="eastAsia"/>
                      <w:color w:val="auto"/>
                      <w:sz w:val="21"/>
                      <w:szCs w:val="21"/>
                    </w:rPr>
                    <w:t>可以满足要求</w:t>
                  </w:r>
                  <w:r>
                    <w:rPr>
                      <w:rFonts w:hint="eastAsia" w:cs="Times New Roman"/>
                      <w:color w:val="auto"/>
                      <w:kern w:val="2"/>
                      <w:sz w:val="21"/>
                      <w:szCs w:val="21"/>
                      <w:lang w:val="en-US" w:eastAsia="zh-CN"/>
                    </w:rPr>
                    <w:t>，本项目依托可行。</w:t>
                  </w:r>
                </w:p>
              </w:tc>
            </w:tr>
          </w:tbl>
          <w:p w14:paraId="511E8EBA">
            <w:pPr>
              <w:keepNext w:val="0"/>
              <w:keepLines w:val="0"/>
              <w:suppressLineNumbers w:val="0"/>
              <w:spacing w:before="0" w:beforeAutospacing="0" w:after="0" w:afterAutospacing="0" w:line="360" w:lineRule="auto"/>
              <w:ind w:right="0" w:firstLine="482" w:firstLineChars="200"/>
              <w:rPr>
                <w:rFonts w:hint="default" w:ascii="Times New Roman" w:hAnsi="Times New Roman" w:cs="Times New Roman"/>
                <w:b/>
                <w:bCs w:val="0"/>
                <w:color w:val="auto"/>
                <w:kern w:val="2"/>
                <w:sz w:val="24"/>
                <w:szCs w:val="32"/>
              </w:rPr>
            </w:pPr>
            <w:r>
              <w:rPr>
                <w:rFonts w:hint="eastAsia" w:cs="Times New Roman"/>
                <w:b/>
                <w:bCs w:val="0"/>
                <w:color w:val="auto"/>
                <w:kern w:val="2"/>
                <w:sz w:val="24"/>
                <w:szCs w:val="32"/>
                <w:lang w:val="en-US" w:eastAsia="zh-CN"/>
              </w:rPr>
              <w:t>3</w:t>
            </w:r>
            <w:r>
              <w:rPr>
                <w:rFonts w:hint="default" w:ascii="Times New Roman" w:hAnsi="Times New Roman" w:cs="Times New Roman"/>
                <w:b/>
                <w:bCs w:val="0"/>
                <w:color w:val="auto"/>
                <w:kern w:val="2"/>
                <w:sz w:val="24"/>
                <w:szCs w:val="32"/>
              </w:rPr>
              <w:t>、主要生产设备</w:t>
            </w:r>
          </w:p>
          <w:p w14:paraId="4B0460E4">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b/>
                <w:color w:val="auto"/>
                <w:kern w:val="2"/>
                <w:sz w:val="24"/>
                <w:szCs w:val="21"/>
                <w:lang w:val="en-US" w:eastAsia="zh-CN"/>
              </w:rPr>
            </w:pPr>
            <w:r>
              <w:rPr>
                <w:rFonts w:hint="eastAsia" w:cs="Times New Roman"/>
                <w:b w:val="0"/>
                <w:bCs/>
                <w:color w:val="auto"/>
                <w:kern w:val="2"/>
                <w:sz w:val="24"/>
                <w:szCs w:val="32"/>
                <w:lang w:eastAsia="zh-CN"/>
              </w:rPr>
              <w:t>本项目为扩建项目，新增医疗设备主要安置在新建的住院综合楼裙房内，现有项目医疗设备无变化，本次扩建</w:t>
            </w:r>
            <w:r>
              <w:rPr>
                <w:rFonts w:hint="default" w:ascii="Times New Roman" w:hAnsi="Times New Roman" w:cs="Times New Roman"/>
                <w:b w:val="0"/>
                <w:bCs/>
                <w:color w:val="auto"/>
                <w:kern w:val="2"/>
                <w:sz w:val="24"/>
                <w:szCs w:val="32"/>
              </w:rPr>
              <w:t>项目主要设备见</w:t>
            </w:r>
            <w:r>
              <w:rPr>
                <w:rFonts w:hint="default" w:ascii="Times New Roman" w:hAnsi="Times New Roman" w:cs="Times New Roman"/>
                <w:b w:val="0"/>
                <w:bCs/>
                <w:color w:val="auto"/>
                <w:kern w:val="2"/>
                <w:sz w:val="24"/>
                <w:szCs w:val="32"/>
                <w:lang w:val="en-US" w:eastAsia="zh-CN"/>
              </w:rPr>
              <w:t>下</w:t>
            </w:r>
            <w:r>
              <w:rPr>
                <w:rFonts w:hint="default" w:ascii="Times New Roman" w:hAnsi="Times New Roman" w:cs="Times New Roman"/>
                <w:b w:val="0"/>
                <w:bCs/>
                <w:color w:val="auto"/>
                <w:kern w:val="2"/>
                <w:sz w:val="24"/>
                <w:szCs w:val="32"/>
              </w:rPr>
              <w:t>表。</w:t>
            </w:r>
          </w:p>
          <w:p w14:paraId="3460F012">
            <w:pPr>
              <w:keepNext w:val="0"/>
              <w:keepLines w:val="0"/>
              <w:pageBreakBefore w:val="0"/>
              <w:widowControl w:val="0"/>
              <w:suppressLineNumbers w:val="0"/>
              <w:tabs>
                <w:tab w:val="left" w:pos="3255"/>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kern w:val="2"/>
                <w:sz w:val="24"/>
                <w:szCs w:val="21"/>
                <w:lang w:val="en-US" w:eastAsia="zh-CN"/>
              </w:rPr>
            </w:pPr>
            <w:r>
              <w:rPr>
                <w:rFonts w:hint="default" w:ascii="Times New Roman" w:hAnsi="Times New Roman" w:cs="Times New Roman"/>
                <w:b/>
                <w:color w:val="auto"/>
                <w:kern w:val="2"/>
                <w:sz w:val="24"/>
                <w:szCs w:val="21"/>
                <w:lang w:val="en-US" w:eastAsia="zh-CN"/>
              </w:rPr>
              <w:t>表2-</w:t>
            </w:r>
            <w:r>
              <w:rPr>
                <w:rFonts w:hint="eastAsia" w:cs="Times New Roman"/>
                <w:b/>
                <w:color w:val="auto"/>
                <w:kern w:val="2"/>
                <w:sz w:val="24"/>
                <w:szCs w:val="21"/>
                <w:lang w:val="en-US" w:eastAsia="zh-CN"/>
              </w:rPr>
              <w:t>3</w:t>
            </w:r>
            <w:r>
              <w:rPr>
                <w:rFonts w:hint="default" w:ascii="Times New Roman" w:hAnsi="Times New Roman" w:cs="Times New Roman"/>
                <w:b/>
                <w:color w:val="auto"/>
                <w:kern w:val="2"/>
                <w:sz w:val="24"/>
                <w:szCs w:val="21"/>
                <w:lang w:val="en-US" w:eastAsia="zh-CN"/>
              </w:rPr>
              <w:t xml:space="preserve">  项目主要设备一览表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3961"/>
              <w:gridCol w:w="1125"/>
              <w:gridCol w:w="1920"/>
              <w:gridCol w:w="724"/>
            </w:tblGrid>
            <w:tr w14:paraId="29EF3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4" w:type="pct"/>
                  <w:tcBorders>
                    <w:tl2br w:val="nil"/>
                    <w:tr2bl w:val="nil"/>
                  </w:tcBorders>
                  <w:vAlign w:val="center"/>
                </w:tcPr>
                <w:p w14:paraId="5577AC94">
                  <w:pPr>
                    <w:jc w:val="center"/>
                    <w:rPr>
                      <w:b/>
                      <w:szCs w:val="21"/>
                    </w:rPr>
                  </w:pPr>
                  <w:r>
                    <w:rPr>
                      <w:b/>
                      <w:szCs w:val="21"/>
                    </w:rPr>
                    <w:t>序号</w:t>
                  </w:r>
                </w:p>
              </w:tc>
              <w:tc>
                <w:tcPr>
                  <w:tcW w:w="2344" w:type="pct"/>
                  <w:tcBorders>
                    <w:tl2br w:val="nil"/>
                    <w:tr2bl w:val="nil"/>
                  </w:tcBorders>
                  <w:vAlign w:val="center"/>
                </w:tcPr>
                <w:p w14:paraId="50451280">
                  <w:pPr>
                    <w:jc w:val="center"/>
                    <w:rPr>
                      <w:b/>
                      <w:szCs w:val="21"/>
                    </w:rPr>
                  </w:pPr>
                  <w:r>
                    <w:rPr>
                      <w:b/>
                      <w:szCs w:val="21"/>
                    </w:rPr>
                    <w:t>设备及仪器名称</w:t>
                  </w:r>
                </w:p>
              </w:tc>
              <w:tc>
                <w:tcPr>
                  <w:tcW w:w="665" w:type="pct"/>
                  <w:tcBorders>
                    <w:tl2br w:val="nil"/>
                    <w:tr2bl w:val="nil"/>
                  </w:tcBorders>
                  <w:vAlign w:val="center"/>
                </w:tcPr>
                <w:p w14:paraId="08770093">
                  <w:pPr>
                    <w:jc w:val="center"/>
                    <w:rPr>
                      <w:rFonts w:hint="eastAsia" w:eastAsia="宋体"/>
                      <w:b/>
                      <w:szCs w:val="21"/>
                      <w:lang w:eastAsia="zh-CN"/>
                    </w:rPr>
                  </w:pPr>
                  <w:r>
                    <w:rPr>
                      <w:rFonts w:hint="eastAsia"/>
                      <w:b/>
                      <w:szCs w:val="21"/>
                      <w:lang w:eastAsia="zh-CN"/>
                    </w:rPr>
                    <w:t>规格型号</w:t>
                  </w:r>
                </w:p>
              </w:tc>
              <w:tc>
                <w:tcPr>
                  <w:tcW w:w="1136" w:type="pct"/>
                  <w:tcBorders>
                    <w:tl2br w:val="nil"/>
                    <w:tr2bl w:val="nil"/>
                  </w:tcBorders>
                  <w:vAlign w:val="center"/>
                </w:tcPr>
                <w:p w14:paraId="0703764B">
                  <w:pPr>
                    <w:adjustRightInd w:val="0"/>
                    <w:snapToGrid w:val="0"/>
                    <w:jc w:val="center"/>
                    <w:rPr>
                      <w:b/>
                      <w:szCs w:val="21"/>
                    </w:rPr>
                  </w:pPr>
                  <w:r>
                    <w:rPr>
                      <w:b/>
                      <w:szCs w:val="21"/>
                    </w:rPr>
                    <w:t>设备数量</w:t>
                  </w:r>
                  <w:r>
                    <w:rPr>
                      <w:rFonts w:hint="eastAsia"/>
                      <w:b/>
                      <w:szCs w:val="21"/>
                    </w:rPr>
                    <w:t>（台/套）</w:t>
                  </w:r>
                </w:p>
              </w:tc>
              <w:tc>
                <w:tcPr>
                  <w:tcW w:w="428" w:type="pct"/>
                  <w:tcBorders>
                    <w:tl2br w:val="nil"/>
                    <w:tr2bl w:val="nil"/>
                  </w:tcBorders>
                  <w:vAlign w:val="center"/>
                </w:tcPr>
                <w:p w14:paraId="1519E990">
                  <w:pPr>
                    <w:adjustRightInd w:val="0"/>
                    <w:snapToGrid w:val="0"/>
                    <w:jc w:val="center"/>
                    <w:rPr>
                      <w:b/>
                      <w:szCs w:val="21"/>
                    </w:rPr>
                  </w:pPr>
                  <w:r>
                    <w:rPr>
                      <w:b/>
                      <w:szCs w:val="21"/>
                    </w:rPr>
                    <w:t>备注</w:t>
                  </w:r>
                </w:p>
              </w:tc>
            </w:tr>
            <w:tr w14:paraId="188A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424" w:type="pct"/>
                  <w:tcBorders>
                    <w:tl2br w:val="nil"/>
                    <w:tr2bl w:val="nil"/>
                  </w:tcBorders>
                  <w:vAlign w:val="center"/>
                </w:tcPr>
                <w:p w14:paraId="5E4B0FF2">
                  <w:pPr>
                    <w:jc w:val="center"/>
                    <w:rPr>
                      <w:szCs w:val="21"/>
                    </w:rPr>
                  </w:pPr>
                  <w:r>
                    <w:rPr>
                      <w:szCs w:val="21"/>
                    </w:rPr>
                    <w:t>1</w:t>
                  </w:r>
                </w:p>
              </w:tc>
              <w:tc>
                <w:tcPr>
                  <w:tcW w:w="2344" w:type="pct"/>
                  <w:tcBorders>
                    <w:tl2br w:val="nil"/>
                    <w:tr2bl w:val="nil"/>
                  </w:tcBorders>
                  <w:vAlign w:val="center"/>
                </w:tcPr>
                <w:p w14:paraId="6A834FE1">
                  <w:pPr>
                    <w:pStyle w:val="22"/>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eastAsia="zh-CN"/>
                    </w:rPr>
                    <w:t>数字化</w:t>
                  </w:r>
                  <w:r>
                    <w:rPr>
                      <w:rFonts w:hint="eastAsia" w:ascii="Times New Roman" w:hAnsi="Times New Roman" w:eastAsia="宋体" w:cs="Times New Roman"/>
                      <w:sz w:val="21"/>
                      <w:szCs w:val="21"/>
                      <w:lang w:val="en-US" w:eastAsia="zh-CN"/>
                    </w:rPr>
                    <w:t>X射线摄影系统（DR）</w:t>
                  </w:r>
                </w:p>
              </w:tc>
              <w:tc>
                <w:tcPr>
                  <w:tcW w:w="665" w:type="pct"/>
                  <w:tcBorders>
                    <w:tl2br w:val="nil"/>
                    <w:tr2bl w:val="nil"/>
                  </w:tcBorders>
                  <w:vAlign w:val="center"/>
                </w:tcPr>
                <w:p w14:paraId="56A400B9">
                  <w:pPr>
                    <w:pStyle w:val="22"/>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1136" w:type="pct"/>
                  <w:tcBorders>
                    <w:tl2br w:val="nil"/>
                    <w:tr2bl w:val="nil"/>
                  </w:tcBorders>
                  <w:vAlign w:val="center"/>
                </w:tcPr>
                <w:p w14:paraId="32CDD09B">
                  <w:pPr>
                    <w:jc w:val="center"/>
                    <w:rPr>
                      <w:rFonts w:hint="eastAsia" w:eastAsia="宋体"/>
                      <w:szCs w:val="21"/>
                      <w:lang w:val="en-US" w:eastAsia="zh-CN"/>
                    </w:rPr>
                  </w:pPr>
                  <w:r>
                    <w:rPr>
                      <w:rFonts w:hint="eastAsia"/>
                      <w:szCs w:val="21"/>
                      <w:lang w:val="en-US" w:eastAsia="zh-CN"/>
                    </w:rPr>
                    <w:t>1</w:t>
                  </w:r>
                </w:p>
              </w:tc>
              <w:tc>
                <w:tcPr>
                  <w:tcW w:w="428" w:type="pct"/>
                  <w:tcBorders>
                    <w:tl2br w:val="nil"/>
                    <w:tr2bl w:val="nil"/>
                  </w:tcBorders>
                  <w:vAlign w:val="center"/>
                </w:tcPr>
                <w:p w14:paraId="2EE0C878">
                  <w:pPr>
                    <w:adjustRightInd w:val="0"/>
                    <w:snapToGrid w:val="0"/>
                    <w:jc w:val="center"/>
                    <w:rPr>
                      <w:szCs w:val="21"/>
                    </w:rPr>
                  </w:pPr>
                  <w:r>
                    <w:rPr>
                      <w:szCs w:val="21"/>
                    </w:rPr>
                    <w:t>外购</w:t>
                  </w:r>
                </w:p>
              </w:tc>
            </w:tr>
            <w:tr w14:paraId="39DE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tcBorders>
                    <w:tl2br w:val="nil"/>
                    <w:tr2bl w:val="nil"/>
                  </w:tcBorders>
                  <w:vAlign w:val="center"/>
                </w:tcPr>
                <w:p w14:paraId="32AD70C3">
                  <w:pPr>
                    <w:jc w:val="center"/>
                    <w:rPr>
                      <w:szCs w:val="21"/>
                    </w:rPr>
                  </w:pPr>
                  <w:r>
                    <w:rPr>
                      <w:szCs w:val="21"/>
                    </w:rPr>
                    <w:t>2</w:t>
                  </w:r>
                </w:p>
              </w:tc>
              <w:tc>
                <w:tcPr>
                  <w:tcW w:w="2344" w:type="pct"/>
                  <w:tcBorders>
                    <w:tl2br w:val="nil"/>
                    <w:tr2bl w:val="nil"/>
                  </w:tcBorders>
                  <w:vAlign w:val="center"/>
                </w:tcPr>
                <w:p w14:paraId="48FF2E5C">
                  <w:pPr>
                    <w:pStyle w:val="22"/>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医用</w:t>
                  </w:r>
                  <w:r>
                    <w:rPr>
                      <w:rFonts w:hint="default" w:ascii="Times New Roman" w:hAnsi="Times New Roman" w:eastAsia="宋体" w:cs="Times New Roman"/>
                      <w:sz w:val="21"/>
                      <w:szCs w:val="21"/>
                      <w:lang w:val="en-US" w:eastAsia="zh-CN"/>
                    </w:rPr>
                    <w:t>B型</w:t>
                  </w:r>
                  <w:r>
                    <w:rPr>
                      <w:rFonts w:hint="default" w:ascii="Times New Roman" w:hAnsi="Times New Roman" w:eastAsia="宋体" w:cs="Times New Roman"/>
                      <w:sz w:val="21"/>
                      <w:szCs w:val="21"/>
                      <w:lang w:eastAsia="zh-CN"/>
                    </w:rPr>
                    <w:t>超声诊断仪（</w:t>
                  </w:r>
                  <w:r>
                    <w:rPr>
                      <w:rFonts w:hint="default" w:ascii="Times New Roman" w:hAnsi="Times New Roman" w:eastAsia="宋体" w:cs="Times New Roman"/>
                      <w:sz w:val="21"/>
                      <w:szCs w:val="21"/>
                      <w:lang w:val="en-US" w:eastAsia="zh-CN"/>
                    </w:rPr>
                    <w:t>B超</w:t>
                  </w:r>
                  <w:r>
                    <w:rPr>
                      <w:rFonts w:hint="default" w:ascii="Times New Roman" w:hAnsi="Times New Roman" w:eastAsia="宋体" w:cs="Times New Roman"/>
                      <w:sz w:val="21"/>
                      <w:szCs w:val="21"/>
                      <w:lang w:eastAsia="zh-CN"/>
                    </w:rPr>
                    <w:t>）</w:t>
                  </w:r>
                </w:p>
              </w:tc>
              <w:tc>
                <w:tcPr>
                  <w:tcW w:w="665" w:type="pct"/>
                  <w:tcBorders>
                    <w:tl2br w:val="nil"/>
                    <w:tr2bl w:val="nil"/>
                  </w:tcBorders>
                  <w:vAlign w:val="center"/>
                </w:tcPr>
                <w:p w14:paraId="4A693555">
                  <w:pPr>
                    <w:pStyle w:val="22"/>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1136" w:type="pct"/>
                  <w:tcBorders>
                    <w:tl2br w:val="nil"/>
                    <w:tr2bl w:val="nil"/>
                  </w:tcBorders>
                  <w:vAlign w:val="center"/>
                </w:tcPr>
                <w:p w14:paraId="4FD6BDBF">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w:t>
                  </w:r>
                </w:p>
              </w:tc>
              <w:tc>
                <w:tcPr>
                  <w:tcW w:w="428" w:type="pct"/>
                  <w:tcBorders>
                    <w:tl2br w:val="nil"/>
                    <w:tr2bl w:val="nil"/>
                  </w:tcBorders>
                  <w:vAlign w:val="center"/>
                </w:tcPr>
                <w:p w14:paraId="72C98D67">
                  <w:pPr>
                    <w:adjustRightInd w:val="0"/>
                    <w:snapToGrid w:val="0"/>
                    <w:jc w:val="center"/>
                    <w:rPr>
                      <w:szCs w:val="21"/>
                    </w:rPr>
                  </w:pPr>
                  <w:r>
                    <w:rPr>
                      <w:rFonts w:hint="eastAsia"/>
                      <w:szCs w:val="21"/>
                    </w:rPr>
                    <w:t>外购</w:t>
                  </w:r>
                </w:p>
              </w:tc>
            </w:tr>
            <w:tr w14:paraId="07767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tcBorders>
                    <w:tl2br w:val="nil"/>
                    <w:tr2bl w:val="nil"/>
                  </w:tcBorders>
                  <w:vAlign w:val="center"/>
                </w:tcPr>
                <w:p w14:paraId="361B6949">
                  <w:pPr>
                    <w:jc w:val="center"/>
                    <w:rPr>
                      <w:szCs w:val="21"/>
                    </w:rPr>
                  </w:pPr>
                  <w:r>
                    <w:rPr>
                      <w:szCs w:val="21"/>
                    </w:rPr>
                    <w:t>3</w:t>
                  </w:r>
                </w:p>
              </w:tc>
              <w:tc>
                <w:tcPr>
                  <w:tcW w:w="2344" w:type="pct"/>
                  <w:tcBorders>
                    <w:tl2br w:val="nil"/>
                    <w:tr2bl w:val="nil"/>
                  </w:tcBorders>
                  <w:vAlign w:val="center"/>
                </w:tcPr>
                <w:p w14:paraId="68D7C41D">
                  <w:pPr>
                    <w:pStyle w:val="22"/>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移动式</w:t>
                  </w:r>
                  <w:r>
                    <w:rPr>
                      <w:rFonts w:hint="default" w:ascii="Times New Roman" w:hAnsi="Times New Roman" w:eastAsia="宋体" w:cs="Times New Roman"/>
                      <w:sz w:val="21"/>
                      <w:szCs w:val="21"/>
                      <w:lang w:val="en-US" w:eastAsia="zh-CN"/>
                    </w:rPr>
                    <w:t>C形臂X射线机</w:t>
                  </w:r>
                </w:p>
              </w:tc>
              <w:tc>
                <w:tcPr>
                  <w:tcW w:w="665" w:type="pct"/>
                  <w:tcBorders>
                    <w:tl2br w:val="nil"/>
                    <w:tr2bl w:val="nil"/>
                  </w:tcBorders>
                  <w:vAlign w:val="center"/>
                </w:tcPr>
                <w:p w14:paraId="06571D73">
                  <w:pPr>
                    <w:pStyle w:val="22"/>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1136" w:type="pct"/>
                  <w:tcBorders>
                    <w:tl2br w:val="nil"/>
                    <w:tr2bl w:val="nil"/>
                  </w:tcBorders>
                  <w:vAlign w:val="center"/>
                </w:tcPr>
                <w:p w14:paraId="6605125B">
                  <w:pPr>
                    <w:pStyle w:val="22"/>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428" w:type="pct"/>
                  <w:tcBorders>
                    <w:tl2br w:val="nil"/>
                    <w:tr2bl w:val="nil"/>
                  </w:tcBorders>
                  <w:vAlign w:val="center"/>
                </w:tcPr>
                <w:p w14:paraId="06F5125E">
                  <w:pPr>
                    <w:adjustRightInd w:val="0"/>
                    <w:snapToGrid w:val="0"/>
                    <w:jc w:val="center"/>
                    <w:rPr>
                      <w:szCs w:val="21"/>
                    </w:rPr>
                  </w:pPr>
                  <w:r>
                    <w:rPr>
                      <w:szCs w:val="21"/>
                    </w:rPr>
                    <w:t>外购</w:t>
                  </w:r>
                </w:p>
              </w:tc>
            </w:tr>
            <w:tr w14:paraId="7F68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tcBorders>
                    <w:tl2br w:val="nil"/>
                    <w:tr2bl w:val="nil"/>
                  </w:tcBorders>
                  <w:vAlign w:val="center"/>
                </w:tcPr>
                <w:p w14:paraId="6084F969">
                  <w:pPr>
                    <w:jc w:val="center"/>
                    <w:rPr>
                      <w:szCs w:val="21"/>
                    </w:rPr>
                  </w:pPr>
                  <w:r>
                    <w:rPr>
                      <w:szCs w:val="21"/>
                    </w:rPr>
                    <w:t>4</w:t>
                  </w:r>
                </w:p>
              </w:tc>
              <w:tc>
                <w:tcPr>
                  <w:tcW w:w="2344" w:type="pct"/>
                  <w:tcBorders>
                    <w:tl2br w:val="nil"/>
                    <w:tr2bl w:val="nil"/>
                  </w:tcBorders>
                  <w:vAlign w:val="center"/>
                </w:tcPr>
                <w:p w14:paraId="5B025D4E">
                  <w:pPr>
                    <w:pStyle w:val="22"/>
                    <w:jc w:val="center"/>
                    <w:rPr>
                      <w:rFonts w:hint="default"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数字减影血管造影（</w:t>
                  </w:r>
                  <w:r>
                    <w:rPr>
                      <w:rFonts w:hint="eastAsia" w:ascii="Times New Roman" w:hAnsi="Times New Roman" w:eastAsia="宋体" w:cs="Times New Roman"/>
                      <w:sz w:val="21"/>
                      <w:szCs w:val="21"/>
                      <w:lang w:val="en-US" w:eastAsia="zh-CN"/>
                    </w:rPr>
                    <w:t>DSA</w:t>
                  </w:r>
                  <w:r>
                    <w:rPr>
                      <w:rFonts w:hint="eastAsia" w:ascii="Times New Roman" w:hAnsi="Times New Roman" w:eastAsia="宋体" w:cs="Times New Roman"/>
                      <w:sz w:val="21"/>
                      <w:szCs w:val="21"/>
                      <w:lang w:eastAsia="zh-CN"/>
                    </w:rPr>
                    <w:t>）</w:t>
                  </w:r>
                </w:p>
              </w:tc>
              <w:tc>
                <w:tcPr>
                  <w:tcW w:w="665" w:type="pct"/>
                  <w:tcBorders>
                    <w:tl2br w:val="nil"/>
                    <w:tr2bl w:val="nil"/>
                  </w:tcBorders>
                  <w:vAlign w:val="center"/>
                </w:tcPr>
                <w:p w14:paraId="387989BB">
                  <w:pPr>
                    <w:pStyle w:val="22"/>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1136" w:type="pct"/>
                  <w:tcBorders>
                    <w:tl2br w:val="nil"/>
                    <w:tr2bl w:val="nil"/>
                  </w:tcBorders>
                  <w:vAlign w:val="center"/>
                </w:tcPr>
                <w:p w14:paraId="04098CE9">
                  <w:pPr>
                    <w:pStyle w:val="22"/>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428" w:type="pct"/>
                  <w:tcBorders>
                    <w:tl2br w:val="nil"/>
                    <w:tr2bl w:val="nil"/>
                  </w:tcBorders>
                  <w:vAlign w:val="center"/>
                </w:tcPr>
                <w:p w14:paraId="24CBE09A">
                  <w:pPr>
                    <w:adjustRightInd w:val="0"/>
                    <w:snapToGrid w:val="0"/>
                    <w:jc w:val="center"/>
                    <w:rPr>
                      <w:szCs w:val="21"/>
                    </w:rPr>
                  </w:pPr>
                  <w:r>
                    <w:rPr>
                      <w:rFonts w:hint="eastAsia"/>
                      <w:szCs w:val="21"/>
                    </w:rPr>
                    <w:t>外购</w:t>
                  </w:r>
                </w:p>
              </w:tc>
            </w:tr>
            <w:tr w14:paraId="2E6C0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tcBorders>
                    <w:tl2br w:val="nil"/>
                    <w:tr2bl w:val="nil"/>
                  </w:tcBorders>
                  <w:vAlign w:val="center"/>
                </w:tcPr>
                <w:p w14:paraId="2E848F24">
                  <w:pPr>
                    <w:jc w:val="center"/>
                    <w:rPr>
                      <w:szCs w:val="21"/>
                    </w:rPr>
                  </w:pPr>
                  <w:r>
                    <w:rPr>
                      <w:szCs w:val="21"/>
                    </w:rPr>
                    <w:t>5</w:t>
                  </w:r>
                </w:p>
              </w:tc>
              <w:tc>
                <w:tcPr>
                  <w:tcW w:w="2344" w:type="pct"/>
                  <w:tcBorders>
                    <w:tl2br w:val="nil"/>
                    <w:tr2bl w:val="nil"/>
                  </w:tcBorders>
                  <w:vAlign w:val="center"/>
                </w:tcPr>
                <w:p w14:paraId="3A797B52">
                  <w:pPr>
                    <w:pStyle w:val="22"/>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eastAsia="zh-CN"/>
                    </w:rPr>
                    <w:t>乳腺</w:t>
                  </w:r>
                  <w:r>
                    <w:rPr>
                      <w:rFonts w:hint="eastAsia" w:ascii="Times New Roman" w:hAnsi="Times New Roman" w:eastAsia="宋体" w:cs="Times New Roman"/>
                      <w:sz w:val="21"/>
                      <w:szCs w:val="21"/>
                      <w:lang w:val="en-US" w:eastAsia="zh-CN"/>
                    </w:rPr>
                    <w:t>X射线机</w:t>
                  </w:r>
                </w:p>
              </w:tc>
              <w:tc>
                <w:tcPr>
                  <w:tcW w:w="665" w:type="pct"/>
                  <w:tcBorders>
                    <w:tl2br w:val="nil"/>
                    <w:tr2bl w:val="nil"/>
                  </w:tcBorders>
                  <w:vAlign w:val="center"/>
                </w:tcPr>
                <w:p w14:paraId="036A3CF4">
                  <w:pPr>
                    <w:pStyle w:val="22"/>
                    <w:jc w:val="center"/>
                    <w:rPr>
                      <w:rFonts w:hint="default" w:ascii="Times New Roman" w:hAnsi="Times New Roman" w:eastAsia="宋体" w:cs="Times New Roman"/>
                      <w:snapToGrid w:val="0"/>
                      <w:kern w:val="0"/>
                      <w:sz w:val="21"/>
                      <w:szCs w:val="21"/>
                      <w:lang w:val="en-US" w:eastAsia="zh-CN"/>
                    </w:rPr>
                  </w:pPr>
                  <w:r>
                    <w:rPr>
                      <w:rFonts w:hint="default" w:ascii="Times New Roman" w:hAnsi="Times New Roman" w:eastAsia="宋体" w:cs="Times New Roman"/>
                      <w:snapToGrid w:val="0"/>
                      <w:kern w:val="0"/>
                      <w:sz w:val="21"/>
                      <w:szCs w:val="21"/>
                      <w:lang w:val="en-US" w:eastAsia="zh-CN"/>
                    </w:rPr>
                    <w:t>/</w:t>
                  </w:r>
                </w:p>
              </w:tc>
              <w:tc>
                <w:tcPr>
                  <w:tcW w:w="1136" w:type="pct"/>
                  <w:tcBorders>
                    <w:tl2br w:val="nil"/>
                    <w:tr2bl w:val="nil"/>
                  </w:tcBorders>
                  <w:vAlign w:val="center"/>
                </w:tcPr>
                <w:p w14:paraId="0CAC3867">
                  <w:pPr>
                    <w:pStyle w:val="22"/>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428" w:type="pct"/>
                  <w:tcBorders>
                    <w:tl2br w:val="nil"/>
                    <w:tr2bl w:val="nil"/>
                  </w:tcBorders>
                  <w:vAlign w:val="center"/>
                </w:tcPr>
                <w:p w14:paraId="666B8CD7">
                  <w:pPr>
                    <w:adjustRightInd w:val="0"/>
                    <w:snapToGrid w:val="0"/>
                    <w:jc w:val="center"/>
                    <w:rPr>
                      <w:sz w:val="21"/>
                      <w:szCs w:val="21"/>
                    </w:rPr>
                  </w:pPr>
                  <w:r>
                    <w:rPr>
                      <w:sz w:val="21"/>
                      <w:szCs w:val="21"/>
                    </w:rPr>
                    <w:t>外购</w:t>
                  </w:r>
                </w:p>
              </w:tc>
            </w:tr>
            <w:tr w14:paraId="2B434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tcBorders>
                    <w:tl2br w:val="nil"/>
                    <w:tr2bl w:val="nil"/>
                  </w:tcBorders>
                  <w:vAlign w:val="center"/>
                </w:tcPr>
                <w:p w14:paraId="4B211783">
                  <w:pPr>
                    <w:jc w:val="center"/>
                    <w:rPr>
                      <w:szCs w:val="21"/>
                    </w:rPr>
                  </w:pPr>
                  <w:r>
                    <w:rPr>
                      <w:szCs w:val="21"/>
                    </w:rPr>
                    <w:t>6</w:t>
                  </w:r>
                </w:p>
              </w:tc>
              <w:tc>
                <w:tcPr>
                  <w:tcW w:w="2344" w:type="pct"/>
                  <w:tcBorders>
                    <w:tl2br w:val="nil"/>
                    <w:tr2bl w:val="nil"/>
                  </w:tcBorders>
                  <w:vAlign w:val="center"/>
                </w:tcPr>
                <w:p w14:paraId="6F69AA54">
                  <w:pPr>
                    <w:pStyle w:val="22"/>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US" w:eastAsia="zh-CN"/>
                    </w:rPr>
                    <w:t>医用床边数字化X</w:t>
                  </w:r>
                  <w:r>
                    <w:rPr>
                      <w:rFonts w:hint="eastAsia" w:ascii="Times New Roman" w:hAnsi="Times New Roman" w:eastAsia="宋体" w:cs="Times New Roman"/>
                      <w:sz w:val="21"/>
                      <w:szCs w:val="21"/>
                      <w:lang w:val="en-US" w:eastAsia="zh-CN"/>
                    </w:rPr>
                    <w:t>射线摄影机（移动</w:t>
                  </w:r>
                  <w:r>
                    <w:rPr>
                      <w:rFonts w:hint="default" w:ascii="Times New Roman" w:hAnsi="Times New Roman" w:eastAsia="宋体" w:cs="Times New Roman"/>
                      <w:sz w:val="21"/>
                      <w:szCs w:val="21"/>
                      <w:lang w:val="en-US" w:eastAsia="zh-CN"/>
                    </w:rPr>
                    <w:t>DR</w:t>
                  </w:r>
                  <w:r>
                    <w:rPr>
                      <w:rFonts w:hint="eastAsia" w:ascii="Times New Roman" w:hAnsi="Times New Roman" w:eastAsia="宋体" w:cs="Times New Roman"/>
                      <w:sz w:val="21"/>
                      <w:szCs w:val="21"/>
                      <w:lang w:val="en-US" w:eastAsia="zh-CN"/>
                    </w:rPr>
                    <w:t>）</w:t>
                  </w:r>
                </w:p>
              </w:tc>
              <w:tc>
                <w:tcPr>
                  <w:tcW w:w="665" w:type="pct"/>
                  <w:tcBorders>
                    <w:tl2br w:val="nil"/>
                    <w:tr2bl w:val="nil"/>
                  </w:tcBorders>
                  <w:vAlign w:val="center"/>
                </w:tcPr>
                <w:p w14:paraId="5B2089BB">
                  <w:pPr>
                    <w:pStyle w:val="22"/>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1136" w:type="pct"/>
                  <w:tcBorders>
                    <w:tl2br w:val="nil"/>
                    <w:tr2bl w:val="nil"/>
                  </w:tcBorders>
                  <w:vAlign w:val="center"/>
                </w:tcPr>
                <w:p w14:paraId="3D8EDD60">
                  <w:pPr>
                    <w:pStyle w:val="22"/>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428" w:type="pct"/>
                  <w:tcBorders>
                    <w:tl2br w:val="nil"/>
                    <w:tr2bl w:val="nil"/>
                  </w:tcBorders>
                  <w:vAlign w:val="center"/>
                </w:tcPr>
                <w:p w14:paraId="6BB47565">
                  <w:pPr>
                    <w:adjustRightInd w:val="0"/>
                    <w:snapToGrid w:val="0"/>
                    <w:jc w:val="center"/>
                    <w:rPr>
                      <w:rFonts w:hint="eastAsia" w:eastAsia="宋体"/>
                      <w:sz w:val="21"/>
                      <w:szCs w:val="21"/>
                      <w:lang w:eastAsia="zh-CN"/>
                    </w:rPr>
                  </w:pPr>
                  <w:r>
                    <w:rPr>
                      <w:sz w:val="21"/>
                      <w:szCs w:val="21"/>
                    </w:rPr>
                    <w:t>外购</w:t>
                  </w:r>
                </w:p>
              </w:tc>
            </w:tr>
            <w:tr w14:paraId="2974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tcBorders>
                    <w:tl2br w:val="nil"/>
                    <w:tr2bl w:val="nil"/>
                  </w:tcBorders>
                  <w:vAlign w:val="center"/>
                </w:tcPr>
                <w:p w14:paraId="3A97D138">
                  <w:pPr>
                    <w:jc w:val="center"/>
                    <w:rPr>
                      <w:szCs w:val="21"/>
                    </w:rPr>
                  </w:pPr>
                  <w:r>
                    <w:rPr>
                      <w:szCs w:val="21"/>
                    </w:rPr>
                    <w:t>7</w:t>
                  </w:r>
                </w:p>
              </w:tc>
              <w:tc>
                <w:tcPr>
                  <w:tcW w:w="2344" w:type="pct"/>
                  <w:tcBorders>
                    <w:tl2br w:val="nil"/>
                    <w:tr2bl w:val="nil"/>
                  </w:tcBorders>
                  <w:vAlign w:val="center"/>
                </w:tcPr>
                <w:p w14:paraId="5711EE3B">
                  <w:pPr>
                    <w:pStyle w:val="22"/>
                    <w:jc w:val="center"/>
                    <w:rPr>
                      <w:rFonts w:hint="default"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平移门脉动真空灭菌器</w:t>
                  </w:r>
                </w:p>
              </w:tc>
              <w:tc>
                <w:tcPr>
                  <w:tcW w:w="665" w:type="pct"/>
                  <w:tcBorders>
                    <w:tl2br w:val="nil"/>
                    <w:tr2bl w:val="nil"/>
                  </w:tcBorders>
                  <w:vAlign w:val="center"/>
                </w:tcPr>
                <w:p w14:paraId="49BEA5E8">
                  <w:pPr>
                    <w:pStyle w:val="22"/>
                    <w:jc w:val="center"/>
                    <w:rPr>
                      <w:rFonts w:hint="default" w:ascii="Times New Roman" w:hAnsi="Times New Roman" w:eastAsia="宋体" w:cs="Times New Roman"/>
                      <w:snapToGrid w:val="0"/>
                      <w:kern w:val="0"/>
                      <w:sz w:val="21"/>
                      <w:szCs w:val="21"/>
                      <w:lang w:val="en-US" w:eastAsia="zh-CN"/>
                    </w:rPr>
                  </w:pPr>
                  <w:r>
                    <w:rPr>
                      <w:rFonts w:hint="default" w:ascii="Times New Roman" w:hAnsi="Times New Roman" w:eastAsia="宋体" w:cs="Times New Roman"/>
                      <w:snapToGrid w:val="0"/>
                      <w:kern w:val="0"/>
                      <w:sz w:val="21"/>
                      <w:szCs w:val="21"/>
                      <w:lang w:val="en-US" w:eastAsia="zh-CN"/>
                    </w:rPr>
                    <w:t>/</w:t>
                  </w:r>
                </w:p>
              </w:tc>
              <w:tc>
                <w:tcPr>
                  <w:tcW w:w="1136" w:type="pct"/>
                  <w:tcBorders>
                    <w:tl2br w:val="nil"/>
                    <w:tr2bl w:val="nil"/>
                  </w:tcBorders>
                  <w:vAlign w:val="center"/>
                </w:tcPr>
                <w:p w14:paraId="430590A6">
                  <w:pPr>
                    <w:pStyle w:val="22"/>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w:t>
                  </w:r>
                </w:p>
              </w:tc>
              <w:tc>
                <w:tcPr>
                  <w:tcW w:w="428" w:type="pct"/>
                  <w:tcBorders>
                    <w:tl2br w:val="nil"/>
                    <w:tr2bl w:val="nil"/>
                  </w:tcBorders>
                  <w:vAlign w:val="center"/>
                </w:tcPr>
                <w:p w14:paraId="0AA9162B">
                  <w:pPr>
                    <w:adjustRightInd w:val="0"/>
                    <w:snapToGrid w:val="0"/>
                    <w:jc w:val="center"/>
                    <w:rPr>
                      <w:sz w:val="21"/>
                      <w:szCs w:val="21"/>
                    </w:rPr>
                  </w:pPr>
                  <w:r>
                    <w:rPr>
                      <w:sz w:val="21"/>
                      <w:szCs w:val="21"/>
                    </w:rPr>
                    <w:t>外购</w:t>
                  </w:r>
                </w:p>
              </w:tc>
            </w:tr>
            <w:tr w14:paraId="6AF5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tcBorders>
                    <w:tl2br w:val="nil"/>
                    <w:tr2bl w:val="nil"/>
                  </w:tcBorders>
                  <w:vAlign w:val="center"/>
                </w:tcPr>
                <w:p w14:paraId="38BE4344">
                  <w:pPr>
                    <w:jc w:val="center"/>
                    <w:rPr>
                      <w:szCs w:val="21"/>
                    </w:rPr>
                  </w:pPr>
                  <w:r>
                    <w:rPr>
                      <w:szCs w:val="21"/>
                    </w:rPr>
                    <w:t>8</w:t>
                  </w:r>
                </w:p>
              </w:tc>
              <w:tc>
                <w:tcPr>
                  <w:tcW w:w="2344" w:type="pct"/>
                  <w:tcBorders>
                    <w:tl2br w:val="nil"/>
                    <w:tr2bl w:val="nil"/>
                  </w:tcBorders>
                  <w:vAlign w:val="center"/>
                </w:tcPr>
                <w:p w14:paraId="393EB58C">
                  <w:pPr>
                    <w:pStyle w:val="22"/>
                    <w:jc w:val="center"/>
                    <w:rPr>
                      <w:rFonts w:hint="default"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全自动清洗消毒器</w:t>
                  </w:r>
                </w:p>
              </w:tc>
              <w:tc>
                <w:tcPr>
                  <w:tcW w:w="665" w:type="pct"/>
                  <w:tcBorders>
                    <w:tl2br w:val="nil"/>
                    <w:tr2bl w:val="nil"/>
                  </w:tcBorders>
                  <w:vAlign w:val="center"/>
                </w:tcPr>
                <w:p w14:paraId="079A3F2C">
                  <w:pPr>
                    <w:pStyle w:val="22"/>
                    <w:jc w:val="center"/>
                    <w:rPr>
                      <w:rFonts w:hint="default" w:ascii="Times New Roman" w:hAnsi="Times New Roman" w:eastAsia="宋体" w:cs="Times New Roman"/>
                      <w:snapToGrid w:val="0"/>
                      <w:kern w:val="0"/>
                      <w:sz w:val="21"/>
                      <w:szCs w:val="21"/>
                      <w:lang w:val="en-US" w:eastAsia="zh-CN"/>
                    </w:rPr>
                  </w:pPr>
                  <w:r>
                    <w:rPr>
                      <w:rFonts w:hint="default" w:ascii="Times New Roman" w:hAnsi="Times New Roman" w:eastAsia="宋体" w:cs="Times New Roman"/>
                      <w:snapToGrid w:val="0"/>
                      <w:kern w:val="0"/>
                      <w:sz w:val="21"/>
                      <w:szCs w:val="21"/>
                      <w:lang w:val="en-US" w:eastAsia="zh-CN"/>
                    </w:rPr>
                    <w:t>/</w:t>
                  </w:r>
                </w:p>
              </w:tc>
              <w:tc>
                <w:tcPr>
                  <w:tcW w:w="1136" w:type="pct"/>
                  <w:tcBorders>
                    <w:tl2br w:val="nil"/>
                    <w:tr2bl w:val="nil"/>
                  </w:tcBorders>
                  <w:vAlign w:val="center"/>
                </w:tcPr>
                <w:p w14:paraId="47DDB8C2">
                  <w:pPr>
                    <w:pStyle w:val="22"/>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w:t>
                  </w:r>
                </w:p>
              </w:tc>
              <w:tc>
                <w:tcPr>
                  <w:tcW w:w="428" w:type="pct"/>
                  <w:tcBorders>
                    <w:tl2br w:val="nil"/>
                    <w:tr2bl w:val="nil"/>
                  </w:tcBorders>
                  <w:vAlign w:val="center"/>
                </w:tcPr>
                <w:p w14:paraId="788CA267">
                  <w:pPr>
                    <w:adjustRightInd w:val="0"/>
                    <w:snapToGrid w:val="0"/>
                    <w:jc w:val="center"/>
                    <w:rPr>
                      <w:sz w:val="21"/>
                      <w:szCs w:val="21"/>
                    </w:rPr>
                  </w:pPr>
                  <w:r>
                    <w:rPr>
                      <w:rFonts w:hint="eastAsia"/>
                      <w:sz w:val="21"/>
                      <w:szCs w:val="21"/>
                    </w:rPr>
                    <w:t>外购</w:t>
                  </w:r>
                </w:p>
              </w:tc>
            </w:tr>
            <w:tr w14:paraId="07A16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tcBorders>
                    <w:tl2br w:val="nil"/>
                    <w:tr2bl w:val="nil"/>
                  </w:tcBorders>
                  <w:vAlign w:val="center"/>
                </w:tcPr>
                <w:p w14:paraId="7EF73DDF">
                  <w:pPr>
                    <w:jc w:val="center"/>
                    <w:rPr>
                      <w:szCs w:val="21"/>
                    </w:rPr>
                  </w:pPr>
                  <w:r>
                    <w:rPr>
                      <w:szCs w:val="21"/>
                    </w:rPr>
                    <w:t>9</w:t>
                  </w:r>
                </w:p>
              </w:tc>
              <w:tc>
                <w:tcPr>
                  <w:tcW w:w="2344" w:type="pct"/>
                  <w:tcBorders>
                    <w:tl2br w:val="nil"/>
                    <w:tr2bl w:val="nil"/>
                  </w:tcBorders>
                  <w:vAlign w:val="center"/>
                </w:tcPr>
                <w:p w14:paraId="5A86E44D">
                  <w:pPr>
                    <w:pStyle w:val="22"/>
                    <w:jc w:val="center"/>
                    <w:rPr>
                      <w:rFonts w:hint="default"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低温等离子灭菌器</w:t>
                  </w:r>
                </w:p>
              </w:tc>
              <w:tc>
                <w:tcPr>
                  <w:tcW w:w="665" w:type="pct"/>
                  <w:tcBorders>
                    <w:tl2br w:val="nil"/>
                    <w:tr2bl w:val="nil"/>
                  </w:tcBorders>
                  <w:vAlign w:val="center"/>
                </w:tcPr>
                <w:p w14:paraId="6FF963BC">
                  <w:pPr>
                    <w:pStyle w:val="22"/>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snapToGrid w:val="0"/>
                      <w:kern w:val="0"/>
                      <w:sz w:val="21"/>
                      <w:szCs w:val="21"/>
                      <w:lang w:val="en-US" w:eastAsia="zh-CN"/>
                    </w:rPr>
                    <w:t>/</w:t>
                  </w:r>
                </w:p>
              </w:tc>
              <w:tc>
                <w:tcPr>
                  <w:tcW w:w="1136" w:type="pct"/>
                  <w:tcBorders>
                    <w:tl2br w:val="nil"/>
                    <w:tr2bl w:val="nil"/>
                  </w:tcBorders>
                  <w:vAlign w:val="center"/>
                </w:tcPr>
                <w:p w14:paraId="1A3685C2">
                  <w:pPr>
                    <w:pStyle w:val="22"/>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428" w:type="pct"/>
                  <w:tcBorders>
                    <w:tl2br w:val="nil"/>
                    <w:tr2bl w:val="nil"/>
                  </w:tcBorders>
                  <w:vAlign w:val="center"/>
                </w:tcPr>
                <w:p w14:paraId="6A623910">
                  <w:pPr>
                    <w:adjustRightInd w:val="0"/>
                    <w:snapToGrid w:val="0"/>
                    <w:jc w:val="center"/>
                    <w:rPr>
                      <w:sz w:val="21"/>
                      <w:szCs w:val="21"/>
                    </w:rPr>
                  </w:pPr>
                  <w:r>
                    <w:rPr>
                      <w:sz w:val="21"/>
                      <w:szCs w:val="21"/>
                    </w:rPr>
                    <w:t>外购</w:t>
                  </w:r>
                </w:p>
              </w:tc>
            </w:tr>
            <w:tr w14:paraId="207F8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tcBorders>
                    <w:tl2br w:val="nil"/>
                    <w:tr2bl w:val="nil"/>
                  </w:tcBorders>
                  <w:vAlign w:val="center"/>
                </w:tcPr>
                <w:p w14:paraId="66E9FA8C">
                  <w:pPr>
                    <w:jc w:val="center"/>
                    <w:rPr>
                      <w:szCs w:val="21"/>
                    </w:rPr>
                  </w:pPr>
                  <w:r>
                    <w:rPr>
                      <w:szCs w:val="21"/>
                    </w:rPr>
                    <w:t>10</w:t>
                  </w:r>
                </w:p>
              </w:tc>
              <w:tc>
                <w:tcPr>
                  <w:tcW w:w="2344" w:type="pct"/>
                  <w:tcBorders>
                    <w:tl2br w:val="nil"/>
                    <w:tr2bl w:val="nil"/>
                  </w:tcBorders>
                  <w:vAlign w:val="center"/>
                </w:tcPr>
                <w:p w14:paraId="7C4BC970">
                  <w:pPr>
                    <w:pStyle w:val="22"/>
                    <w:jc w:val="center"/>
                    <w:rPr>
                      <w:rFonts w:hint="default"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蒸汽发生器（电）</w:t>
                  </w:r>
                </w:p>
              </w:tc>
              <w:tc>
                <w:tcPr>
                  <w:tcW w:w="665" w:type="pct"/>
                  <w:tcBorders>
                    <w:tl2br w:val="nil"/>
                    <w:tr2bl w:val="nil"/>
                  </w:tcBorders>
                  <w:vAlign w:val="center"/>
                </w:tcPr>
                <w:p w14:paraId="3AC21A2D">
                  <w:pPr>
                    <w:pStyle w:val="22"/>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1.2t/h</w:t>
                  </w:r>
                </w:p>
              </w:tc>
              <w:tc>
                <w:tcPr>
                  <w:tcW w:w="1136" w:type="pct"/>
                  <w:tcBorders>
                    <w:tl2br w:val="nil"/>
                    <w:tr2bl w:val="nil"/>
                  </w:tcBorders>
                  <w:vAlign w:val="center"/>
                </w:tcPr>
                <w:p w14:paraId="222AA1A6">
                  <w:pPr>
                    <w:pStyle w:val="22"/>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428" w:type="pct"/>
                  <w:tcBorders>
                    <w:tl2br w:val="nil"/>
                    <w:tr2bl w:val="nil"/>
                  </w:tcBorders>
                  <w:vAlign w:val="center"/>
                </w:tcPr>
                <w:p w14:paraId="43A488D5">
                  <w:pPr>
                    <w:adjustRightInd w:val="0"/>
                    <w:snapToGrid w:val="0"/>
                    <w:jc w:val="center"/>
                    <w:rPr>
                      <w:sz w:val="21"/>
                      <w:szCs w:val="21"/>
                    </w:rPr>
                  </w:pPr>
                  <w:r>
                    <w:rPr>
                      <w:rFonts w:hint="eastAsia"/>
                      <w:sz w:val="21"/>
                      <w:szCs w:val="21"/>
                    </w:rPr>
                    <w:t>外购</w:t>
                  </w:r>
                </w:p>
              </w:tc>
            </w:tr>
            <w:tr w14:paraId="668A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tcBorders>
                    <w:tl2br w:val="nil"/>
                    <w:tr2bl w:val="nil"/>
                  </w:tcBorders>
                  <w:vAlign w:val="center"/>
                </w:tcPr>
                <w:p w14:paraId="4CA1A065">
                  <w:pPr>
                    <w:jc w:val="center"/>
                    <w:rPr>
                      <w:rFonts w:hint="default" w:eastAsia="宋体"/>
                      <w:szCs w:val="21"/>
                      <w:lang w:val="en-US" w:eastAsia="zh-CN"/>
                    </w:rPr>
                  </w:pPr>
                  <w:r>
                    <w:rPr>
                      <w:rFonts w:hint="eastAsia"/>
                      <w:szCs w:val="21"/>
                      <w:lang w:val="en-US" w:eastAsia="zh-CN"/>
                    </w:rPr>
                    <w:t>11</w:t>
                  </w:r>
                </w:p>
              </w:tc>
              <w:tc>
                <w:tcPr>
                  <w:tcW w:w="2344" w:type="pct"/>
                  <w:tcBorders>
                    <w:tl2br w:val="nil"/>
                    <w:tr2bl w:val="nil"/>
                  </w:tcBorders>
                  <w:vAlign w:val="center"/>
                </w:tcPr>
                <w:p w14:paraId="0C73A35A">
                  <w:pPr>
                    <w:pStyle w:val="22"/>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医用干燥柜</w:t>
                  </w:r>
                </w:p>
              </w:tc>
              <w:tc>
                <w:tcPr>
                  <w:tcW w:w="665" w:type="pct"/>
                  <w:tcBorders>
                    <w:tl2br w:val="nil"/>
                    <w:tr2bl w:val="nil"/>
                  </w:tcBorders>
                  <w:vAlign w:val="center"/>
                </w:tcPr>
                <w:p w14:paraId="4A6D7599">
                  <w:pPr>
                    <w:pStyle w:val="22"/>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w:t>
                  </w:r>
                </w:p>
              </w:tc>
              <w:tc>
                <w:tcPr>
                  <w:tcW w:w="1136" w:type="pct"/>
                  <w:tcBorders>
                    <w:tl2br w:val="nil"/>
                    <w:tr2bl w:val="nil"/>
                  </w:tcBorders>
                  <w:vAlign w:val="center"/>
                </w:tcPr>
                <w:p w14:paraId="68AB75CD">
                  <w:pPr>
                    <w:pStyle w:val="22"/>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428" w:type="pct"/>
                  <w:tcBorders>
                    <w:tl2br w:val="nil"/>
                    <w:tr2bl w:val="nil"/>
                  </w:tcBorders>
                  <w:vAlign w:val="center"/>
                </w:tcPr>
                <w:p w14:paraId="25F3A1F4">
                  <w:pPr>
                    <w:adjustRightInd w:val="0"/>
                    <w:snapToGrid w:val="0"/>
                    <w:jc w:val="center"/>
                    <w:rPr>
                      <w:rFonts w:hint="eastAsia"/>
                      <w:sz w:val="21"/>
                      <w:szCs w:val="21"/>
                    </w:rPr>
                  </w:pPr>
                  <w:r>
                    <w:rPr>
                      <w:sz w:val="21"/>
                      <w:szCs w:val="21"/>
                    </w:rPr>
                    <w:t>外购</w:t>
                  </w:r>
                </w:p>
              </w:tc>
            </w:tr>
            <w:tr w14:paraId="30BB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tcBorders>
                    <w:tl2br w:val="nil"/>
                    <w:tr2bl w:val="nil"/>
                  </w:tcBorders>
                  <w:vAlign w:val="center"/>
                </w:tcPr>
                <w:p w14:paraId="1654D714">
                  <w:pPr>
                    <w:jc w:val="center"/>
                    <w:rPr>
                      <w:rFonts w:hint="default" w:eastAsia="宋体"/>
                      <w:szCs w:val="21"/>
                      <w:lang w:val="en-US" w:eastAsia="zh-CN"/>
                    </w:rPr>
                  </w:pPr>
                  <w:r>
                    <w:rPr>
                      <w:rFonts w:hint="eastAsia"/>
                      <w:szCs w:val="21"/>
                      <w:lang w:val="en-US" w:eastAsia="zh-CN"/>
                    </w:rPr>
                    <w:t>12</w:t>
                  </w:r>
                </w:p>
              </w:tc>
              <w:tc>
                <w:tcPr>
                  <w:tcW w:w="2344" w:type="pct"/>
                  <w:tcBorders>
                    <w:tl2br w:val="nil"/>
                    <w:tr2bl w:val="nil"/>
                  </w:tcBorders>
                  <w:vAlign w:val="center"/>
                </w:tcPr>
                <w:p w14:paraId="512011AB">
                  <w:pPr>
                    <w:pStyle w:val="22"/>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超声波清洗机</w:t>
                  </w:r>
                </w:p>
              </w:tc>
              <w:tc>
                <w:tcPr>
                  <w:tcW w:w="665" w:type="pct"/>
                  <w:tcBorders>
                    <w:tl2br w:val="nil"/>
                    <w:tr2bl w:val="nil"/>
                  </w:tcBorders>
                  <w:vAlign w:val="center"/>
                </w:tcPr>
                <w:p w14:paraId="0E87E8D2">
                  <w:pPr>
                    <w:pStyle w:val="22"/>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w:t>
                  </w:r>
                </w:p>
              </w:tc>
              <w:tc>
                <w:tcPr>
                  <w:tcW w:w="1136" w:type="pct"/>
                  <w:tcBorders>
                    <w:tl2br w:val="nil"/>
                    <w:tr2bl w:val="nil"/>
                  </w:tcBorders>
                  <w:vAlign w:val="center"/>
                </w:tcPr>
                <w:p w14:paraId="138259E4">
                  <w:pPr>
                    <w:pStyle w:val="22"/>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428" w:type="pct"/>
                  <w:tcBorders>
                    <w:tl2br w:val="nil"/>
                    <w:tr2bl w:val="nil"/>
                  </w:tcBorders>
                  <w:vAlign w:val="center"/>
                </w:tcPr>
                <w:p w14:paraId="7FAE2DF7">
                  <w:pPr>
                    <w:adjustRightInd w:val="0"/>
                    <w:snapToGrid w:val="0"/>
                    <w:jc w:val="center"/>
                    <w:rPr>
                      <w:rFonts w:hint="eastAsia"/>
                      <w:sz w:val="21"/>
                      <w:szCs w:val="21"/>
                    </w:rPr>
                  </w:pPr>
                  <w:r>
                    <w:rPr>
                      <w:rFonts w:hint="eastAsia"/>
                      <w:sz w:val="21"/>
                      <w:szCs w:val="21"/>
                    </w:rPr>
                    <w:t>外购</w:t>
                  </w:r>
                </w:p>
              </w:tc>
            </w:tr>
          </w:tbl>
          <w:p w14:paraId="22A099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422" w:firstLineChars="200"/>
              <w:textAlignment w:val="auto"/>
              <w:rPr>
                <w:rFonts w:hint="eastAsia" w:cs="Times New Roman"/>
                <w:b/>
                <w:color w:val="auto"/>
                <w:kern w:val="2"/>
                <w:sz w:val="21"/>
                <w:szCs w:val="21"/>
                <w:lang w:val="en-US" w:eastAsia="zh-CN"/>
              </w:rPr>
            </w:pPr>
            <w:r>
              <w:rPr>
                <w:rFonts w:hint="eastAsia" w:ascii="Times New Roman" w:hAnsi="Times New Roman" w:eastAsia="宋体" w:cs="Times New Roman"/>
                <w:b/>
                <w:bCs/>
                <w:color w:val="auto"/>
                <w:sz w:val="21"/>
                <w:szCs w:val="21"/>
                <w:lang w:val="en-US" w:eastAsia="zh-CN"/>
              </w:rPr>
              <w:t>注：本次环评不涉及放射科等辐射设备相关内容，放射科等辐射设备须另行申报，办理环评手续。</w:t>
            </w:r>
          </w:p>
          <w:p w14:paraId="5A9B72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default" w:ascii="Times New Roman" w:hAnsi="Times New Roman" w:cs="Times New Roman"/>
                <w:b/>
                <w:color w:val="auto"/>
                <w:kern w:val="2"/>
                <w:sz w:val="24"/>
                <w:szCs w:val="32"/>
              </w:rPr>
            </w:pPr>
            <w:r>
              <w:rPr>
                <w:rFonts w:hint="eastAsia" w:cs="Times New Roman"/>
                <w:b/>
                <w:color w:val="auto"/>
                <w:kern w:val="2"/>
                <w:sz w:val="24"/>
                <w:szCs w:val="32"/>
                <w:lang w:val="en-US" w:eastAsia="zh-CN"/>
              </w:rPr>
              <w:t>4</w:t>
            </w:r>
            <w:r>
              <w:rPr>
                <w:rFonts w:hint="default" w:ascii="Times New Roman" w:hAnsi="Times New Roman" w:cs="Times New Roman"/>
                <w:b/>
                <w:color w:val="auto"/>
                <w:kern w:val="2"/>
                <w:sz w:val="24"/>
                <w:szCs w:val="32"/>
              </w:rPr>
              <w:t>、主要原辅材料</w:t>
            </w:r>
          </w:p>
          <w:p w14:paraId="0F8666E3">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b/>
                <w:color w:val="auto"/>
                <w:kern w:val="2"/>
                <w:sz w:val="24"/>
                <w:szCs w:val="24"/>
              </w:rPr>
            </w:pPr>
            <w:r>
              <w:rPr>
                <w:rFonts w:hint="eastAsia" w:cs="Times New Roman"/>
                <w:b w:val="0"/>
                <w:bCs/>
                <w:color w:val="auto"/>
                <w:kern w:val="2"/>
                <w:sz w:val="24"/>
                <w:szCs w:val="32"/>
                <w:lang w:eastAsia="zh-CN"/>
              </w:rPr>
              <w:t>本项目为扩建项目，</w:t>
            </w:r>
            <w:r>
              <w:rPr>
                <w:rFonts w:hint="eastAsia" w:cs="Times New Roman"/>
                <w:b w:val="0"/>
                <w:bCs/>
                <w:color w:val="auto"/>
                <w:sz w:val="24"/>
                <w:lang w:val="en-US" w:eastAsia="zh-CN"/>
              </w:rPr>
              <w:t>现有项目原辅料消耗量及种类均无变化，本次扩建项目</w:t>
            </w:r>
            <w:r>
              <w:rPr>
                <w:rFonts w:hint="default" w:ascii="Times New Roman" w:hAnsi="Times New Roman" w:eastAsia="宋体" w:cs="Times New Roman"/>
                <w:b w:val="0"/>
                <w:bCs/>
                <w:color w:val="auto"/>
                <w:sz w:val="24"/>
              </w:rPr>
              <w:t>主要原辅材料及能源消耗详见下表</w:t>
            </w:r>
            <w:r>
              <w:rPr>
                <w:rFonts w:hint="default" w:ascii="Times New Roman" w:hAnsi="Times New Roman" w:cs="Times New Roman"/>
                <w:color w:val="auto"/>
                <w:kern w:val="2"/>
                <w:sz w:val="24"/>
                <w:szCs w:val="32"/>
              </w:rPr>
              <w:t>。</w:t>
            </w:r>
          </w:p>
          <w:p w14:paraId="2E905A2B">
            <w:pPr>
              <w:keepNext w:val="0"/>
              <w:keepLines w:val="0"/>
              <w:pageBreakBefore w:val="0"/>
              <w:widowControl w:val="0"/>
              <w:suppressLineNumbers w:val="0"/>
              <w:tabs>
                <w:tab w:val="left" w:pos="3255"/>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kern w:val="2"/>
                <w:sz w:val="24"/>
                <w:szCs w:val="24"/>
              </w:rPr>
            </w:pPr>
            <w:r>
              <w:rPr>
                <w:rFonts w:hint="default" w:ascii="Times New Roman" w:hAnsi="Times New Roman" w:cs="Times New Roman"/>
                <w:b/>
                <w:color w:val="auto"/>
                <w:kern w:val="2"/>
                <w:sz w:val="24"/>
                <w:szCs w:val="24"/>
              </w:rPr>
              <w:t>表</w:t>
            </w:r>
            <w:r>
              <w:rPr>
                <w:rFonts w:hint="default" w:ascii="Times New Roman" w:hAnsi="Times New Roman" w:cs="Times New Roman"/>
                <w:b/>
                <w:color w:val="auto"/>
                <w:kern w:val="2"/>
                <w:sz w:val="24"/>
                <w:szCs w:val="24"/>
                <w:lang w:val="en-US" w:eastAsia="zh-CN"/>
              </w:rPr>
              <w:t>2-</w:t>
            </w:r>
            <w:r>
              <w:rPr>
                <w:rFonts w:hint="eastAsia" w:cs="Times New Roman"/>
                <w:b/>
                <w:color w:val="auto"/>
                <w:kern w:val="2"/>
                <w:sz w:val="24"/>
                <w:szCs w:val="24"/>
                <w:lang w:val="en-US" w:eastAsia="zh-CN"/>
              </w:rPr>
              <w:t>4</w:t>
            </w:r>
            <w:r>
              <w:rPr>
                <w:rFonts w:hint="default" w:ascii="Times New Roman" w:hAnsi="Times New Roman" w:cs="Times New Roman"/>
                <w:b/>
                <w:color w:val="auto"/>
                <w:kern w:val="2"/>
                <w:sz w:val="24"/>
                <w:szCs w:val="24"/>
              </w:rPr>
              <w:t xml:space="preserve">  本项目原辅材料一览表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09"/>
              <w:gridCol w:w="1750"/>
              <w:gridCol w:w="1145"/>
              <w:gridCol w:w="1124"/>
              <w:gridCol w:w="1319"/>
              <w:gridCol w:w="1372"/>
              <w:gridCol w:w="1228"/>
            </w:tblGrid>
            <w:tr w14:paraId="1ACA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1B1EC362">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序号</w:t>
                  </w:r>
                </w:p>
              </w:tc>
              <w:tc>
                <w:tcPr>
                  <w:tcW w:w="1751" w:type="dxa"/>
                  <w:noWrap w:val="0"/>
                  <w:vAlign w:val="center"/>
                </w:tcPr>
                <w:p w14:paraId="70255655">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名称</w:t>
                  </w:r>
                </w:p>
              </w:tc>
              <w:tc>
                <w:tcPr>
                  <w:tcW w:w="1146" w:type="dxa"/>
                  <w:tcBorders>
                    <w:right w:val="single" w:color="auto" w:sz="6" w:space="0"/>
                  </w:tcBorders>
                  <w:noWrap w:val="0"/>
                  <w:vAlign w:val="center"/>
                </w:tcPr>
                <w:p w14:paraId="5189FA9B">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eastAsia="zh-CN"/>
                    </w:rPr>
                  </w:pPr>
                  <w:r>
                    <w:rPr>
                      <w:rFonts w:hint="eastAsia" w:cs="Times New Roman"/>
                      <w:bCs/>
                      <w:color w:val="auto"/>
                      <w:sz w:val="21"/>
                      <w:szCs w:val="21"/>
                      <w:lang w:eastAsia="zh-CN"/>
                    </w:rPr>
                    <w:t>单位</w:t>
                  </w:r>
                </w:p>
              </w:tc>
              <w:tc>
                <w:tcPr>
                  <w:tcW w:w="1125" w:type="dxa"/>
                  <w:tcBorders>
                    <w:right w:val="single" w:color="auto" w:sz="6" w:space="0"/>
                  </w:tcBorders>
                  <w:noWrap w:val="0"/>
                  <w:vAlign w:val="center"/>
                </w:tcPr>
                <w:p w14:paraId="6966E675">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eastAsia="zh-CN"/>
                    </w:rPr>
                  </w:pPr>
                  <w:r>
                    <w:rPr>
                      <w:rFonts w:hint="eastAsia" w:cs="Times New Roman"/>
                      <w:bCs/>
                      <w:color w:val="auto"/>
                      <w:sz w:val="21"/>
                      <w:szCs w:val="21"/>
                      <w:lang w:eastAsia="zh-CN"/>
                    </w:rPr>
                    <w:t>规格</w:t>
                  </w:r>
                </w:p>
              </w:tc>
              <w:tc>
                <w:tcPr>
                  <w:tcW w:w="1320" w:type="dxa"/>
                  <w:tcBorders>
                    <w:right w:val="single" w:color="auto" w:sz="6" w:space="0"/>
                  </w:tcBorders>
                  <w:noWrap w:val="0"/>
                  <w:vAlign w:val="center"/>
                </w:tcPr>
                <w:p w14:paraId="6CCF7C80">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年使用量</w:t>
                  </w:r>
                </w:p>
              </w:tc>
              <w:tc>
                <w:tcPr>
                  <w:tcW w:w="1373" w:type="dxa"/>
                  <w:tcBorders>
                    <w:left w:val="single" w:color="auto" w:sz="6" w:space="0"/>
                  </w:tcBorders>
                  <w:noWrap w:val="0"/>
                  <w:vAlign w:val="center"/>
                </w:tcPr>
                <w:p w14:paraId="5D3A8B8C">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最大存储量</w:t>
                  </w:r>
                </w:p>
              </w:tc>
              <w:tc>
                <w:tcPr>
                  <w:tcW w:w="1229" w:type="dxa"/>
                  <w:tcBorders>
                    <w:left w:val="single" w:color="auto" w:sz="6" w:space="0"/>
                  </w:tcBorders>
                  <w:noWrap w:val="0"/>
                  <w:vAlign w:val="center"/>
                </w:tcPr>
                <w:p w14:paraId="7AAF68B0">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贮存位置</w:t>
                  </w:r>
                </w:p>
              </w:tc>
            </w:tr>
            <w:tr w14:paraId="221CC6E8">
              <w:tblPrEx>
                <w:tblCellMar>
                  <w:top w:w="0" w:type="dxa"/>
                  <w:left w:w="0" w:type="dxa"/>
                  <w:bottom w:w="0" w:type="dxa"/>
                  <w:right w:w="0" w:type="dxa"/>
                </w:tblCellMar>
              </w:tblPrEx>
              <w:trPr>
                <w:trHeight w:val="0" w:hRule="atLeast"/>
                <w:jc w:val="center"/>
              </w:trPr>
              <w:tc>
                <w:tcPr>
                  <w:tcW w:w="509" w:type="dxa"/>
                  <w:noWrap w:val="0"/>
                  <w:vAlign w:val="center"/>
                </w:tcPr>
                <w:p w14:paraId="35CE00B5">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w:t>
                  </w:r>
                </w:p>
              </w:tc>
              <w:tc>
                <w:tcPr>
                  <w:tcW w:w="1751" w:type="dxa"/>
                  <w:noWrap w:val="0"/>
                  <w:vAlign w:val="center"/>
                </w:tcPr>
                <w:p w14:paraId="0511D70E">
                  <w:pPr>
                    <w:keepNext w:val="0"/>
                    <w:keepLines w:val="0"/>
                    <w:pageBreakBefore w:val="0"/>
                    <w:widowControl w:val="0"/>
                    <w:bidi w:val="0"/>
                    <w:spacing w:beforeAutospacing="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一次性输液管</w:t>
                  </w:r>
                </w:p>
              </w:tc>
              <w:tc>
                <w:tcPr>
                  <w:tcW w:w="1146" w:type="dxa"/>
                  <w:tcBorders>
                    <w:right w:val="single" w:color="auto" w:sz="6" w:space="0"/>
                  </w:tcBorders>
                  <w:noWrap w:val="0"/>
                  <w:vAlign w:val="center"/>
                </w:tcPr>
                <w:p w14:paraId="1820B847">
                  <w:pPr>
                    <w:keepNext w:val="0"/>
                    <w:keepLines w:val="0"/>
                    <w:pageBreakBefore w:val="0"/>
                    <w:widowControl w:val="0"/>
                    <w:bidi w:val="0"/>
                    <w:spacing w:beforeAutospacing="0" w:afterAutospacing="0"/>
                    <w:ind w:left="0" w:leftChars="0" w:right="0" w:rightChars="0"/>
                    <w:jc w:val="center"/>
                    <w:rPr>
                      <w:rFonts w:hint="default"/>
                      <w:color w:val="auto"/>
                      <w:sz w:val="21"/>
                      <w:szCs w:val="21"/>
                      <w:lang w:val="en-US" w:eastAsia="zh-CN"/>
                    </w:rPr>
                  </w:pPr>
                  <w:r>
                    <w:rPr>
                      <w:rFonts w:hint="eastAsia"/>
                      <w:color w:val="auto"/>
                      <w:sz w:val="21"/>
                      <w:szCs w:val="21"/>
                      <w:lang w:eastAsia="zh-CN"/>
                    </w:rPr>
                    <w:t>只</w:t>
                  </w:r>
                  <w:r>
                    <w:rPr>
                      <w:rFonts w:hint="eastAsia"/>
                      <w:color w:val="auto"/>
                      <w:sz w:val="21"/>
                      <w:szCs w:val="21"/>
                      <w:lang w:val="en-US" w:eastAsia="zh-CN"/>
                    </w:rPr>
                    <w:t>/年</w:t>
                  </w:r>
                </w:p>
              </w:tc>
              <w:tc>
                <w:tcPr>
                  <w:tcW w:w="1125" w:type="dxa"/>
                  <w:tcBorders>
                    <w:right w:val="single" w:color="auto" w:sz="6" w:space="0"/>
                  </w:tcBorders>
                  <w:noWrap w:val="0"/>
                  <w:vAlign w:val="center"/>
                </w:tcPr>
                <w:p w14:paraId="4DF87668">
                  <w:pPr>
                    <w:keepNext w:val="0"/>
                    <w:keepLines w:val="0"/>
                    <w:pageBreakBefore w:val="0"/>
                    <w:widowControl w:val="0"/>
                    <w:bidi w:val="0"/>
                    <w:spacing w:beforeAutospacing="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w:t>
                  </w:r>
                </w:p>
              </w:tc>
              <w:tc>
                <w:tcPr>
                  <w:tcW w:w="1320" w:type="dxa"/>
                  <w:tcBorders>
                    <w:right w:val="single" w:color="auto" w:sz="6" w:space="0"/>
                  </w:tcBorders>
                  <w:noWrap w:val="0"/>
                  <w:vAlign w:val="center"/>
                </w:tcPr>
                <w:p w14:paraId="2AA606A9">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60000</w:t>
                  </w:r>
                </w:p>
              </w:tc>
              <w:tc>
                <w:tcPr>
                  <w:tcW w:w="1373" w:type="dxa"/>
                  <w:tcBorders>
                    <w:left w:val="single" w:color="auto" w:sz="6" w:space="0"/>
                  </w:tcBorders>
                  <w:noWrap w:val="0"/>
                  <w:vAlign w:val="center"/>
                </w:tcPr>
                <w:p w14:paraId="18535C1D">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1500</w:t>
                  </w:r>
                </w:p>
              </w:tc>
              <w:tc>
                <w:tcPr>
                  <w:tcW w:w="1229" w:type="dxa"/>
                  <w:vMerge w:val="restart"/>
                  <w:tcBorders>
                    <w:left w:val="single" w:color="auto" w:sz="6" w:space="0"/>
                  </w:tcBorders>
                  <w:noWrap w:val="0"/>
                  <w:vAlign w:val="center"/>
                </w:tcPr>
                <w:p w14:paraId="1D6B6D6F">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药品间、库房、各诊室</w:t>
                  </w:r>
                </w:p>
              </w:tc>
            </w:tr>
            <w:tr w14:paraId="65D1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4E66C558">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ascii="Times New Roman" w:hAnsi="Times New Roman" w:eastAsia="宋体" w:cs="Times New Roman"/>
                      <w:bCs/>
                      <w:color w:val="auto"/>
                      <w:sz w:val="21"/>
                      <w:szCs w:val="21"/>
                    </w:rPr>
                  </w:pPr>
                  <w:r>
                    <w:rPr>
                      <w:rFonts w:hint="eastAsia" w:cs="Times New Roman"/>
                      <w:bCs/>
                      <w:color w:val="auto"/>
                      <w:sz w:val="21"/>
                      <w:szCs w:val="21"/>
                      <w:lang w:val="en-US" w:eastAsia="zh-CN"/>
                    </w:rPr>
                    <w:t>2</w:t>
                  </w:r>
                </w:p>
              </w:tc>
              <w:tc>
                <w:tcPr>
                  <w:tcW w:w="1751" w:type="dxa"/>
                  <w:noWrap w:val="0"/>
                  <w:vAlign w:val="center"/>
                </w:tcPr>
                <w:p w14:paraId="2DAC6347">
                  <w:pPr>
                    <w:keepNext w:val="0"/>
                    <w:keepLines w:val="0"/>
                    <w:pageBreakBefore w:val="0"/>
                    <w:widowControl w:val="0"/>
                    <w:bidi w:val="0"/>
                    <w:spacing w:beforeAutospacing="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一次性注射器</w:t>
                  </w:r>
                </w:p>
              </w:tc>
              <w:tc>
                <w:tcPr>
                  <w:tcW w:w="1146" w:type="dxa"/>
                  <w:tcBorders>
                    <w:right w:val="single" w:color="auto" w:sz="6" w:space="0"/>
                  </w:tcBorders>
                  <w:noWrap w:val="0"/>
                  <w:vAlign w:val="center"/>
                </w:tcPr>
                <w:p w14:paraId="32DB14A7">
                  <w:pPr>
                    <w:keepNext w:val="0"/>
                    <w:keepLines w:val="0"/>
                    <w:pageBreakBefore w:val="0"/>
                    <w:widowControl w:val="0"/>
                    <w:bidi w:val="0"/>
                    <w:spacing w:beforeAutospacing="0" w:afterAutospacing="0"/>
                    <w:ind w:left="0" w:leftChars="0" w:right="0" w:rightChars="0"/>
                    <w:jc w:val="center"/>
                    <w:rPr>
                      <w:rFonts w:hint="default"/>
                      <w:color w:val="auto"/>
                      <w:sz w:val="21"/>
                      <w:szCs w:val="21"/>
                      <w:lang w:val="en-US" w:eastAsia="zh-CN"/>
                    </w:rPr>
                  </w:pPr>
                  <w:r>
                    <w:rPr>
                      <w:rFonts w:hint="eastAsia"/>
                      <w:color w:val="auto"/>
                      <w:sz w:val="21"/>
                      <w:szCs w:val="21"/>
                      <w:lang w:eastAsia="zh-CN"/>
                    </w:rPr>
                    <w:t>只</w:t>
                  </w:r>
                  <w:r>
                    <w:rPr>
                      <w:rFonts w:hint="eastAsia"/>
                      <w:color w:val="auto"/>
                      <w:sz w:val="21"/>
                      <w:szCs w:val="21"/>
                      <w:lang w:val="en-US" w:eastAsia="zh-CN"/>
                    </w:rPr>
                    <w:t>/年</w:t>
                  </w:r>
                </w:p>
              </w:tc>
              <w:tc>
                <w:tcPr>
                  <w:tcW w:w="1125" w:type="dxa"/>
                  <w:tcBorders>
                    <w:right w:val="single" w:color="auto" w:sz="6" w:space="0"/>
                  </w:tcBorders>
                  <w:noWrap w:val="0"/>
                  <w:vAlign w:val="center"/>
                </w:tcPr>
                <w:p w14:paraId="271D37C2">
                  <w:pPr>
                    <w:keepNext w:val="0"/>
                    <w:keepLines w:val="0"/>
                    <w:pageBreakBefore w:val="0"/>
                    <w:widowControl w:val="0"/>
                    <w:bidi w:val="0"/>
                    <w:spacing w:beforeAutospacing="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w:t>
                  </w:r>
                </w:p>
              </w:tc>
              <w:tc>
                <w:tcPr>
                  <w:tcW w:w="1320" w:type="dxa"/>
                  <w:tcBorders>
                    <w:right w:val="single" w:color="auto" w:sz="6" w:space="0"/>
                  </w:tcBorders>
                  <w:noWrap w:val="0"/>
                  <w:vAlign w:val="center"/>
                </w:tcPr>
                <w:p w14:paraId="0A7C4FF7">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60000</w:t>
                  </w:r>
                </w:p>
              </w:tc>
              <w:tc>
                <w:tcPr>
                  <w:tcW w:w="1373" w:type="dxa"/>
                  <w:tcBorders>
                    <w:left w:val="single" w:color="auto" w:sz="6" w:space="0"/>
                  </w:tcBorders>
                  <w:noWrap w:val="0"/>
                  <w:vAlign w:val="center"/>
                </w:tcPr>
                <w:p w14:paraId="4FB1E238">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1500</w:t>
                  </w:r>
                </w:p>
              </w:tc>
              <w:tc>
                <w:tcPr>
                  <w:tcW w:w="1229" w:type="dxa"/>
                  <w:vMerge w:val="continue"/>
                  <w:tcBorders>
                    <w:left w:val="single" w:color="auto" w:sz="6" w:space="0"/>
                  </w:tcBorders>
                  <w:noWrap w:val="0"/>
                  <w:vAlign w:val="center"/>
                </w:tcPr>
                <w:p w14:paraId="7CEA60A3">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3252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2D4A109B">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3</w:t>
                  </w:r>
                </w:p>
              </w:tc>
              <w:tc>
                <w:tcPr>
                  <w:tcW w:w="1751" w:type="dxa"/>
                  <w:noWrap w:val="0"/>
                  <w:vAlign w:val="center"/>
                </w:tcPr>
                <w:p w14:paraId="28429EDD">
                  <w:pPr>
                    <w:keepNext w:val="0"/>
                    <w:keepLines w:val="0"/>
                    <w:pageBreakBefore w:val="0"/>
                    <w:widowControl w:val="0"/>
                    <w:bidi w:val="0"/>
                    <w:spacing w:beforeAutospacing="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一次性引流袋</w:t>
                  </w:r>
                </w:p>
              </w:tc>
              <w:tc>
                <w:tcPr>
                  <w:tcW w:w="1146" w:type="dxa"/>
                  <w:tcBorders>
                    <w:right w:val="single" w:color="auto" w:sz="6" w:space="0"/>
                  </w:tcBorders>
                  <w:noWrap w:val="0"/>
                  <w:vAlign w:val="center"/>
                </w:tcPr>
                <w:p w14:paraId="509CFF88">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olor w:val="auto"/>
                      <w:sz w:val="21"/>
                      <w:szCs w:val="21"/>
                      <w:lang w:eastAsia="zh-CN"/>
                    </w:rPr>
                    <w:t>只</w:t>
                  </w:r>
                  <w:r>
                    <w:rPr>
                      <w:rFonts w:hint="eastAsia"/>
                      <w:color w:val="auto"/>
                      <w:sz w:val="21"/>
                      <w:szCs w:val="21"/>
                      <w:lang w:val="en-US" w:eastAsia="zh-CN"/>
                    </w:rPr>
                    <w:t>/年</w:t>
                  </w:r>
                </w:p>
              </w:tc>
              <w:tc>
                <w:tcPr>
                  <w:tcW w:w="1125" w:type="dxa"/>
                  <w:tcBorders>
                    <w:right w:val="single" w:color="auto" w:sz="6" w:space="0"/>
                  </w:tcBorders>
                  <w:noWrap w:val="0"/>
                  <w:vAlign w:val="center"/>
                </w:tcPr>
                <w:p w14:paraId="664F6EBA">
                  <w:pPr>
                    <w:keepNext w:val="0"/>
                    <w:keepLines w:val="0"/>
                    <w:pageBreakBefore w:val="0"/>
                    <w:widowControl w:val="0"/>
                    <w:bidi w:val="0"/>
                    <w:spacing w:beforeAutospacing="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w:t>
                  </w:r>
                </w:p>
              </w:tc>
              <w:tc>
                <w:tcPr>
                  <w:tcW w:w="1320" w:type="dxa"/>
                  <w:tcBorders>
                    <w:right w:val="single" w:color="auto" w:sz="6" w:space="0"/>
                  </w:tcBorders>
                  <w:noWrap w:val="0"/>
                  <w:vAlign w:val="center"/>
                </w:tcPr>
                <w:p w14:paraId="1BC910E4">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300</w:t>
                  </w:r>
                </w:p>
              </w:tc>
              <w:tc>
                <w:tcPr>
                  <w:tcW w:w="1373" w:type="dxa"/>
                  <w:tcBorders>
                    <w:left w:val="single" w:color="auto" w:sz="6" w:space="0"/>
                  </w:tcBorders>
                  <w:noWrap w:val="0"/>
                  <w:vAlign w:val="center"/>
                </w:tcPr>
                <w:p w14:paraId="737EE8A2">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20</w:t>
                  </w:r>
                </w:p>
              </w:tc>
              <w:tc>
                <w:tcPr>
                  <w:tcW w:w="1229" w:type="dxa"/>
                  <w:vMerge w:val="continue"/>
                  <w:tcBorders>
                    <w:left w:val="single" w:color="auto" w:sz="6" w:space="0"/>
                  </w:tcBorders>
                  <w:noWrap w:val="0"/>
                  <w:vAlign w:val="center"/>
                </w:tcPr>
                <w:p w14:paraId="109CBA01">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1EB8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660E2672">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4</w:t>
                  </w:r>
                </w:p>
              </w:tc>
              <w:tc>
                <w:tcPr>
                  <w:tcW w:w="1751" w:type="dxa"/>
                  <w:noWrap w:val="0"/>
                  <w:vAlign w:val="center"/>
                </w:tcPr>
                <w:p w14:paraId="5C61AF82">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一次性头皮针头</w:t>
                  </w:r>
                </w:p>
              </w:tc>
              <w:tc>
                <w:tcPr>
                  <w:tcW w:w="1146" w:type="dxa"/>
                  <w:tcBorders>
                    <w:right w:val="single" w:color="auto" w:sz="6" w:space="0"/>
                  </w:tcBorders>
                  <w:noWrap w:val="0"/>
                  <w:vAlign w:val="center"/>
                </w:tcPr>
                <w:p w14:paraId="7A2011E4">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olor w:val="auto"/>
                      <w:sz w:val="21"/>
                      <w:szCs w:val="21"/>
                      <w:lang w:eastAsia="zh-CN"/>
                    </w:rPr>
                    <w:t>只</w:t>
                  </w:r>
                  <w:r>
                    <w:rPr>
                      <w:rFonts w:hint="eastAsia"/>
                      <w:color w:val="auto"/>
                      <w:sz w:val="21"/>
                      <w:szCs w:val="21"/>
                      <w:lang w:val="en-US" w:eastAsia="zh-CN"/>
                    </w:rPr>
                    <w:t>/年</w:t>
                  </w:r>
                </w:p>
              </w:tc>
              <w:tc>
                <w:tcPr>
                  <w:tcW w:w="1125" w:type="dxa"/>
                  <w:tcBorders>
                    <w:right w:val="single" w:color="auto" w:sz="6" w:space="0"/>
                  </w:tcBorders>
                  <w:noWrap w:val="0"/>
                  <w:vAlign w:val="center"/>
                </w:tcPr>
                <w:p w14:paraId="1A14867C">
                  <w:pPr>
                    <w:keepNext w:val="0"/>
                    <w:keepLines w:val="0"/>
                    <w:pageBreakBefore w:val="0"/>
                    <w:widowControl w:val="0"/>
                    <w:bidi w:val="0"/>
                    <w:spacing w:beforeAutospacing="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w:t>
                  </w:r>
                </w:p>
              </w:tc>
              <w:tc>
                <w:tcPr>
                  <w:tcW w:w="1320" w:type="dxa"/>
                  <w:tcBorders>
                    <w:right w:val="single" w:color="auto" w:sz="6" w:space="0"/>
                  </w:tcBorders>
                  <w:noWrap w:val="0"/>
                  <w:vAlign w:val="center"/>
                </w:tcPr>
                <w:p w14:paraId="12D6FE50">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10000</w:t>
                  </w:r>
                </w:p>
              </w:tc>
              <w:tc>
                <w:tcPr>
                  <w:tcW w:w="1373" w:type="dxa"/>
                  <w:tcBorders>
                    <w:left w:val="single" w:color="auto" w:sz="6" w:space="0"/>
                  </w:tcBorders>
                  <w:noWrap w:val="0"/>
                  <w:vAlign w:val="center"/>
                </w:tcPr>
                <w:p w14:paraId="77B59698">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250</w:t>
                  </w:r>
                </w:p>
              </w:tc>
              <w:tc>
                <w:tcPr>
                  <w:tcW w:w="1229" w:type="dxa"/>
                  <w:vMerge w:val="continue"/>
                  <w:tcBorders>
                    <w:left w:val="single" w:color="auto" w:sz="6" w:space="0"/>
                  </w:tcBorders>
                  <w:noWrap w:val="0"/>
                  <w:vAlign w:val="center"/>
                </w:tcPr>
                <w:p w14:paraId="332C66B3">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53F13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51456F10">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5</w:t>
                  </w:r>
                </w:p>
              </w:tc>
              <w:tc>
                <w:tcPr>
                  <w:tcW w:w="1751" w:type="dxa"/>
                  <w:noWrap w:val="0"/>
                  <w:vAlign w:val="center"/>
                </w:tcPr>
                <w:p w14:paraId="05EFF296">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一次性袋式输液器</w:t>
                  </w:r>
                </w:p>
              </w:tc>
              <w:tc>
                <w:tcPr>
                  <w:tcW w:w="1146" w:type="dxa"/>
                  <w:tcBorders>
                    <w:right w:val="single" w:color="auto" w:sz="6" w:space="0"/>
                  </w:tcBorders>
                  <w:noWrap w:val="0"/>
                  <w:vAlign w:val="center"/>
                </w:tcPr>
                <w:p w14:paraId="3A178E02">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olor w:val="auto"/>
                      <w:sz w:val="21"/>
                      <w:szCs w:val="21"/>
                      <w:lang w:eastAsia="zh-CN"/>
                    </w:rPr>
                    <w:t>只</w:t>
                  </w:r>
                  <w:r>
                    <w:rPr>
                      <w:rFonts w:hint="eastAsia"/>
                      <w:color w:val="auto"/>
                      <w:sz w:val="21"/>
                      <w:szCs w:val="21"/>
                      <w:lang w:val="en-US" w:eastAsia="zh-CN"/>
                    </w:rPr>
                    <w:t>/年</w:t>
                  </w:r>
                </w:p>
              </w:tc>
              <w:tc>
                <w:tcPr>
                  <w:tcW w:w="1125" w:type="dxa"/>
                  <w:tcBorders>
                    <w:right w:val="single" w:color="auto" w:sz="6" w:space="0"/>
                  </w:tcBorders>
                  <w:noWrap w:val="0"/>
                  <w:vAlign w:val="center"/>
                </w:tcPr>
                <w:p w14:paraId="13829620">
                  <w:pPr>
                    <w:keepNext w:val="0"/>
                    <w:keepLines w:val="0"/>
                    <w:pageBreakBefore w:val="0"/>
                    <w:widowControl w:val="0"/>
                    <w:bidi w:val="0"/>
                    <w:spacing w:beforeAutospacing="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w:t>
                  </w:r>
                </w:p>
              </w:tc>
              <w:tc>
                <w:tcPr>
                  <w:tcW w:w="1320" w:type="dxa"/>
                  <w:tcBorders>
                    <w:right w:val="single" w:color="auto" w:sz="6" w:space="0"/>
                  </w:tcBorders>
                  <w:noWrap w:val="0"/>
                  <w:vAlign w:val="center"/>
                </w:tcPr>
                <w:p w14:paraId="3BDDA885">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10000</w:t>
                  </w:r>
                </w:p>
              </w:tc>
              <w:tc>
                <w:tcPr>
                  <w:tcW w:w="1373" w:type="dxa"/>
                  <w:tcBorders>
                    <w:left w:val="single" w:color="auto" w:sz="6" w:space="0"/>
                  </w:tcBorders>
                  <w:noWrap w:val="0"/>
                  <w:vAlign w:val="center"/>
                </w:tcPr>
                <w:p w14:paraId="0B986E11">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250</w:t>
                  </w:r>
                </w:p>
              </w:tc>
              <w:tc>
                <w:tcPr>
                  <w:tcW w:w="1229" w:type="dxa"/>
                  <w:vMerge w:val="continue"/>
                  <w:tcBorders>
                    <w:left w:val="single" w:color="auto" w:sz="6" w:space="0"/>
                  </w:tcBorders>
                  <w:noWrap w:val="0"/>
                  <w:vAlign w:val="center"/>
                </w:tcPr>
                <w:p w14:paraId="38F9D38D">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p>
              </w:tc>
            </w:tr>
            <w:tr w14:paraId="14740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20763C4C">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6</w:t>
                  </w:r>
                </w:p>
              </w:tc>
              <w:tc>
                <w:tcPr>
                  <w:tcW w:w="1751" w:type="dxa"/>
                  <w:noWrap w:val="0"/>
                  <w:vAlign w:val="center"/>
                </w:tcPr>
                <w:p w14:paraId="1727D132">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一次性输血器</w:t>
                  </w:r>
                </w:p>
              </w:tc>
              <w:tc>
                <w:tcPr>
                  <w:tcW w:w="1146" w:type="dxa"/>
                  <w:tcBorders>
                    <w:right w:val="single" w:color="auto" w:sz="6" w:space="0"/>
                  </w:tcBorders>
                  <w:noWrap w:val="0"/>
                  <w:vAlign w:val="center"/>
                </w:tcPr>
                <w:p w14:paraId="397C7679">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olor w:val="auto"/>
                      <w:sz w:val="21"/>
                      <w:szCs w:val="21"/>
                      <w:lang w:eastAsia="zh-CN"/>
                    </w:rPr>
                    <w:t>只</w:t>
                  </w:r>
                  <w:r>
                    <w:rPr>
                      <w:rFonts w:hint="eastAsia"/>
                      <w:color w:val="auto"/>
                      <w:sz w:val="21"/>
                      <w:szCs w:val="21"/>
                      <w:lang w:val="en-US" w:eastAsia="zh-CN"/>
                    </w:rPr>
                    <w:t>/年</w:t>
                  </w:r>
                </w:p>
              </w:tc>
              <w:tc>
                <w:tcPr>
                  <w:tcW w:w="1125" w:type="dxa"/>
                  <w:tcBorders>
                    <w:right w:val="single" w:color="auto" w:sz="6" w:space="0"/>
                  </w:tcBorders>
                  <w:noWrap w:val="0"/>
                  <w:vAlign w:val="center"/>
                </w:tcPr>
                <w:p w14:paraId="2C545143">
                  <w:pPr>
                    <w:keepNext w:val="0"/>
                    <w:keepLines w:val="0"/>
                    <w:pageBreakBefore w:val="0"/>
                    <w:widowControl w:val="0"/>
                    <w:bidi w:val="0"/>
                    <w:spacing w:beforeAutospacing="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w:t>
                  </w:r>
                </w:p>
              </w:tc>
              <w:tc>
                <w:tcPr>
                  <w:tcW w:w="1320" w:type="dxa"/>
                  <w:tcBorders>
                    <w:right w:val="single" w:color="auto" w:sz="6" w:space="0"/>
                  </w:tcBorders>
                  <w:noWrap w:val="0"/>
                  <w:vAlign w:val="center"/>
                </w:tcPr>
                <w:p w14:paraId="3FAA05A9">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100</w:t>
                  </w:r>
                </w:p>
              </w:tc>
              <w:tc>
                <w:tcPr>
                  <w:tcW w:w="1373" w:type="dxa"/>
                  <w:tcBorders>
                    <w:left w:val="single" w:color="auto" w:sz="6" w:space="0"/>
                  </w:tcBorders>
                  <w:noWrap w:val="0"/>
                  <w:vAlign w:val="center"/>
                </w:tcPr>
                <w:p w14:paraId="2971D698">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10</w:t>
                  </w:r>
                </w:p>
              </w:tc>
              <w:tc>
                <w:tcPr>
                  <w:tcW w:w="1229" w:type="dxa"/>
                  <w:vMerge w:val="continue"/>
                  <w:tcBorders>
                    <w:left w:val="single" w:color="auto" w:sz="6" w:space="0"/>
                  </w:tcBorders>
                  <w:noWrap w:val="0"/>
                  <w:vAlign w:val="center"/>
                </w:tcPr>
                <w:p w14:paraId="7CDEDDF9">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47805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384BF05E">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7</w:t>
                  </w:r>
                </w:p>
              </w:tc>
              <w:tc>
                <w:tcPr>
                  <w:tcW w:w="1751" w:type="dxa"/>
                  <w:noWrap w:val="0"/>
                  <w:vAlign w:val="center"/>
                </w:tcPr>
                <w:p w14:paraId="1F2EA4A0">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一次性塑料试管</w:t>
                  </w:r>
                </w:p>
              </w:tc>
              <w:tc>
                <w:tcPr>
                  <w:tcW w:w="1146" w:type="dxa"/>
                  <w:tcBorders>
                    <w:right w:val="single" w:color="auto" w:sz="6" w:space="0"/>
                  </w:tcBorders>
                  <w:noWrap w:val="0"/>
                  <w:vAlign w:val="center"/>
                </w:tcPr>
                <w:p w14:paraId="645FB23A">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olor w:val="auto"/>
                      <w:sz w:val="21"/>
                      <w:szCs w:val="21"/>
                      <w:lang w:eastAsia="zh-CN"/>
                    </w:rPr>
                    <w:t>只</w:t>
                  </w:r>
                  <w:r>
                    <w:rPr>
                      <w:rFonts w:hint="eastAsia"/>
                      <w:color w:val="auto"/>
                      <w:sz w:val="21"/>
                      <w:szCs w:val="21"/>
                      <w:lang w:val="en-US" w:eastAsia="zh-CN"/>
                    </w:rPr>
                    <w:t>/年</w:t>
                  </w:r>
                </w:p>
              </w:tc>
              <w:tc>
                <w:tcPr>
                  <w:tcW w:w="1125" w:type="dxa"/>
                  <w:tcBorders>
                    <w:right w:val="single" w:color="auto" w:sz="6" w:space="0"/>
                  </w:tcBorders>
                  <w:noWrap w:val="0"/>
                  <w:vAlign w:val="center"/>
                </w:tcPr>
                <w:p w14:paraId="1E1623ED">
                  <w:pPr>
                    <w:keepNext w:val="0"/>
                    <w:keepLines w:val="0"/>
                    <w:pageBreakBefore w:val="0"/>
                    <w:widowControl w:val="0"/>
                    <w:bidi w:val="0"/>
                    <w:spacing w:beforeAutospacing="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w:t>
                  </w:r>
                </w:p>
              </w:tc>
              <w:tc>
                <w:tcPr>
                  <w:tcW w:w="1320" w:type="dxa"/>
                  <w:tcBorders>
                    <w:right w:val="single" w:color="auto" w:sz="6" w:space="0"/>
                  </w:tcBorders>
                  <w:noWrap w:val="0"/>
                  <w:vAlign w:val="center"/>
                </w:tcPr>
                <w:p w14:paraId="7576812F">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64000</w:t>
                  </w:r>
                </w:p>
              </w:tc>
              <w:tc>
                <w:tcPr>
                  <w:tcW w:w="1373" w:type="dxa"/>
                  <w:tcBorders>
                    <w:left w:val="single" w:color="auto" w:sz="6" w:space="0"/>
                  </w:tcBorders>
                  <w:noWrap w:val="0"/>
                  <w:vAlign w:val="center"/>
                </w:tcPr>
                <w:p w14:paraId="25086C18">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1500</w:t>
                  </w:r>
                </w:p>
              </w:tc>
              <w:tc>
                <w:tcPr>
                  <w:tcW w:w="1229" w:type="dxa"/>
                  <w:vMerge w:val="continue"/>
                  <w:tcBorders>
                    <w:left w:val="single" w:color="auto" w:sz="6" w:space="0"/>
                  </w:tcBorders>
                  <w:noWrap w:val="0"/>
                  <w:vAlign w:val="center"/>
                </w:tcPr>
                <w:p w14:paraId="6B53361A">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782D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0CCBFC92">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8</w:t>
                  </w:r>
                </w:p>
              </w:tc>
              <w:tc>
                <w:tcPr>
                  <w:tcW w:w="1751" w:type="dxa"/>
                  <w:noWrap w:val="0"/>
                  <w:vAlign w:val="center"/>
                </w:tcPr>
                <w:p w14:paraId="16A81162">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真空采血针头</w:t>
                  </w:r>
                </w:p>
              </w:tc>
              <w:tc>
                <w:tcPr>
                  <w:tcW w:w="1146" w:type="dxa"/>
                  <w:tcBorders>
                    <w:right w:val="single" w:color="auto" w:sz="6" w:space="0"/>
                  </w:tcBorders>
                  <w:noWrap w:val="0"/>
                  <w:vAlign w:val="center"/>
                </w:tcPr>
                <w:p w14:paraId="6DE9D0C3">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olor w:val="auto"/>
                      <w:sz w:val="21"/>
                      <w:szCs w:val="21"/>
                      <w:lang w:eastAsia="zh-CN"/>
                    </w:rPr>
                    <w:t>只</w:t>
                  </w:r>
                  <w:r>
                    <w:rPr>
                      <w:rFonts w:hint="eastAsia"/>
                      <w:color w:val="auto"/>
                      <w:sz w:val="21"/>
                      <w:szCs w:val="21"/>
                      <w:lang w:val="en-US" w:eastAsia="zh-CN"/>
                    </w:rPr>
                    <w:t>/年</w:t>
                  </w:r>
                </w:p>
              </w:tc>
              <w:tc>
                <w:tcPr>
                  <w:tcW w:w="1125" w:type="dxa"/>
                  <w:tcBorders>
                    <w:right w:val="single" w:color="auto" w:sz="6" w:space="0"/>
                  </w:tcBorders>
                  <w:noWrap w:val="0"/>
                  <w:vAlign w:val="center"/>
                </w:tcPr>
                <w:p w14:paraId="46A7D8E6">
                  <w:pPr>
                    <w:keepNext w:val="0"/>
                    <w:keepLines w:val="0"/>
                    <w:pageBreakBefore w:val="0"/>
                    <w:widowControl w:val="0"/>
                    <w:bidi w:val="0"/>
                    <w:spacing w:beforeAutospacing="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w:t>
                  </w:r>
                </w:p>
              </w:tc>
              <w:tc>
                <w:tcPr>
                  <w:tcW w:w="1320" w:type="dxa"/>
                  <w:tcBorders>
                    <w:right w:val="single" w:color="auto" w:sz="6" w:space="0"/>
                  </w:tcBorders>
                  <w:noWrap w:val="0"/>
                  <w:vAlign w:val="center"/>
                </w:tcPr>
                <w:p w14:paraId="39C0B8D1">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57000</w:t>
                  </w:r>
                </w:p>
              </w:tc>
              <w:tc>
                <w:tcPr>
                  <w:tcW w:w="1373" w:type="dxa"/>
                  <w:tcBorders>
                    <w:left w:val="single" w:color="auto" w:sz="6" w:space="0"/>
                  </w:tcBorders>
                  <w:noWrap w:val="0"/>
                  <w:vAlign w:val="center"/>
                </w:tcPr>
                <w:p w14:paraId="4D32989A">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1200</w:t>
                  </w:r>
                </w:p>
              </w:tc>
              <w:tc>
                <w:tcPr>
                  <w:tcW w:w="1229" w:type="dxa"/>
                  <w:vMerge w:val="continue"/>
                  <w:tcBorders>
                    <w:left w:val="single" w:color="auto" w:sz="6" w:space="0"/>
                  </w:tcBorders>
                  <w:noWrap w:val="0"/>
                  <w:vAlign w:val="center"/>
                </w:tcPr>
                <w:p w14:paraId="159A5846">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7336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2E7115F9">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9</w:t>
                  </w:r>
                </w:p>
              </w:tc>
              <w:tc>
                <w:tcPr>
                  <w:tcW w:w="1751" w:type="dxa"/>
                  <w:noWrap w:val="0"/>
                  <w:vAlign w:val="center"/>
                </w:tcPr>
                <w:p w14:paraId="3FB3F4FE">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一次性小便杯</w:t>
                  </w:r>
                </w:p>
              </w:tc>
              <w:tc>
                <w:tcPr>
                  <w:tcW w:w="1146" w:type="dxa"/>
                  <w:tcBorders>
                    <w:right w:val="single" w:color="auto" w:sz="6" w:space="0"/>
                  </w:tcBorders>
                  <w:noWrap w:val="0"/>
                  <w:vAlign w:val="center"/>
                </w:tcPr>
                <w:p w14:paraId="578DAF77">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olor w:val="auto"/>
                      <w:sz w:val="21"/>
                      <w:szCs w:val="21"/>
                      <w:lang w:eastAsia="zh-CN"/>
                    </w:rPr>
                    <w:t>只</w:t>
                  </w:r>
                  <w:r>
                    <w:rPr>
                      <w:rFonts w:hint="eastAsia"/>
                      <w:color w:val="auto"/>
                      <w:sz w:val="21"/>
                      <w:szCs w:val="21"/>
                      <w:lang w:val="en-US" w:eastAsia="zh-CN"/>
                    </w:rPr>
                    <w:t>/年</w:t>
                  </w:r>
                </w:p>
              </w:tc>
              <w:tc>
                <w:tcPr>
                  <w:tcW w:w="1125" w:type="dxa"/>
                  <w:tcBorders>
                    <w:right w:val="single" w:color="auto" w:sz="6" w:space="0"/>
                  </w:tcBorders>
                  <w:noWrap w:val="0"/>
                  <w:vAlign w:val="center"/>
                </w:tcPr>
                <w:p w14:paraId="7A5C2D73">
                  <w:pPr>
                    <w:keepNext w:val="0"/>
                    <w:keepLines w:val="0"/>
                    <w:pageBreakBefore w:val="0"/>
                    <w:widowControl w:val="0"/>
                    <w:bidi w:val="0"/>
                    <w:spacing w:beforeAutospacing="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w:t>
                  </w:r>
                </w:p>
              </w:tc>
              <w:tc>
                <w:tcPr>
                  <w:tcW w:w="1320" w:type="dxa"/>
                  <w:tcBorders>
                    <w:right w:val="single" w:color="auto" w:sz="6" w:space="0"/>
                  </w:tcBorders>
                  <w:noWrap w:val="0"/>
                  <w:vAlign w:val="center"/>
                </w:tcPr>
                <w:p w14:paraId="00C5101A">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20000</w:t>
                  </w:r>
                </w:p>
              </w:tc>
              <w:tc>
                <w:tcPr>
                  <w:tcW w:w="1373" w:type="dxa"/>
                  <w:tcBorders>
                    <w:left w:val="single" w:color="auto" w:sz="6" w:space="0"/>
                  </w:tcBorders>
                  <w:noWrap w:val="0"/>
                  <w:vAlign w:val="center"/>
                </w:tcPr>
                <w:p w14:paraId="279CEEEE">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500</w:t>
                  </w:r>
                </w:p>
              </w:tc>
              <w:tc>
                <w:tcPr>
                  <w:tcW w:w="1229" w:type="dxa"/>
                  <w:vMerge w:val="continue"/>
                  <w:tcBorders>
                    <w:left w:val="single" w:color="auto" w:sz="6" w:space="0"/>
                  </w:tcBorders>
                  <w:noWrap w:val="0"/>
                  <w:vAlign w:val="center"/>
                </w:tcPr>
                <w:p w14:paraId="0D717776">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0C6F9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6016CE84">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10</w:t>
                  </w:r>
                </w:p>
              </w:tc>
              <w:tc>
                <w:tcPr>
                  <w:tcW w:w="1751" w:type="dxa"/>
                  <w:noWrap w:val="0"/>
                  <w:vAlign w:val="center"/>
                </w:tcPr>
                <w:p w14:paraId="0F93B2F7">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一次性大便盒</w:t>
                  </w:r>
                </w:p>
              </w:tc>
              <w:tc>
                <w:tcPr>
                  <w:tcW w:w="1146" w:type="dxa"/>
                  <w:tcBorders>
                    <w:right w:val="single" w:color="auto" w:sz="6" w:space="0"/>
                  </w:tcBorders>
                  <w:noWrap w:val="0"/>
                  <w:vAlign w:val="center"/>
                </w:tcPr>
                <w:p w14:paraId="1271AD0A">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olor w:val="auto"/>
                      <w:sz w:val="21"/>
                      <w:szCs w:val="21"/>
                      <w:lang w:eastAsia="zh-CN"/>
                    </w:rPr>
                    <w:t>只</w:t>
                  </w:r>
                  <w:r>
                    <w:rPr>
                      <w:rFonts w:hint="eastAsia"/>
                      <w:color w:val="auto"/>
                      <w:sz w:val="21"/>
                      <w:szCs w:val="21"/>
                      <w:lang w:val="en-US" w:eastAsia="zh-CN"/>
                    </w:rPr>
                    <w:t>/年</w:t>
                  </w:r>
                </w:p>
              </w:tc>
              <w:tc>
                <w:tcPr>
                  <w:tcW w:w="1125" w:type="dxa"/>
                  <w:tcBorders>
                    <w:right w:val="single" w:color="auto" w:sz="6" w:space="0"/>
                  </w:tcBorders>
                  <w:noWrap w:val="0"/>
                  <w:vAlign w:val="center"/>
                </w:tcPr>
                <w:p w14:paraId="0B24EDDF">
                  <w:pPr>
                    <w:keepNext w:val="0"/>
                    <w:keepLines w:val="0"/>
                    <w:pageBreakBefore w:val="0"/>
                    <w:widowControl w:val="0"/>
                    <w:bidi w:val="0"/>
                    <w:spacing w:beforeAutospacing="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w:t>
                  </w:r>
                </w:p>
              </w:tc>
              <w:tc>
                <w:tcPr>
                  <w:tcW w:w="1320" w:type="dxa"/>
                  <w:tcBorders>
                    <w:right w:val="single" w:color="auto" w:sz="6" w:space="0"/>
                  </w:tcBorders>
                  <w:noWrap w:val="0"/>
                  <w:vAlign w:val="center"/>
                </w:tcPr>
                <w:p w14:paraId="60DAEB1F">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15000</w:t>
                  </w:r>
                </w:p>
              </w:tc>
              <w:tc>
                <w:tcPr>
                  <w:tcW w:w="1373" w:type="dxa"/>
                  <w:tcBorders>
                    <w:left w:val="single" w:color="auto" w:sz="6" w:space="0"/>
                  </w:tcBorders>
                  <w:noWrap w:val="0"/>
                  <w:vAlign w:val="center"/>
                </w:tcPr>
                <w:p w14:paraId="6671F5F1">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300</w:t>
                  </w:r>
                </w:p>
              </w:tc>
              <w:tc>
                <w:tcPr>
                  <w:tcW w:w="1229" w:type="dxa"/>
                  <w:vMerge w:val="continue"/>
                  <w:tcBorders>
                    <w:left w:val="single" w:color="auto" w:sz="6" w:space="0"/>
                  </w:tcBorders>
                  <w:noWrap w:val="0"/>
                  <w:vAlign w:val="center"/>
                </w:tcPr>
                <w:p w14:paraId="6C5490B2">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237DF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036B58ED">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11</w:t>
                  </w:r>
                </w:p>
              </w:tc>
              <w:tc>
                <w:tcPr>
                  <w:tcW w:w="1751" w:type="dxa"/>
                  <w:noWrap w:val="0"/>
                  <w:vAlign w:val="center"/>
                </w:tcPr>
                <w:p w14:paraId="389F232C">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一次性隔离衣</w:t>
                  </w:r>
                </w:p>
              </w:tc>
              <w:tc>
                <w:tcPr>
                  <w:tcW w:w="1146" w:type="dxa"/>
                  <w:tcBorders>
                    <w:right w:val="single" w:color="auto" w:sz="6" w:space="0"/>
                  </w:tcBorders>
                  <w:noWrap w:val="0"/>
                  <w:vAlign w:val="center"/>
                </w:tcPr>
                <w:p w14:paraId="2B41A9FB">
                  <w:pPr>
                    <w:keepNext w:val="0"/>
                    <w:keepLines w:val="0"/>
                    <w:pageBreakBefore w:val="0"/>
                    <w:widowControl w:val="0"/>
                    <w:bidi w:val="0"/>
                    <w:spacing w:beforeAutospacing="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件/年</w:t>
                  </w:r>
                </w:p>
              </w:tc>
              <w:tc>
                <w:tcPr>
                  <w:tcW w:w="1125" w:type="dxa"/>
                  <w:tcBorders>
                    <w:right w:val="single" w:color="auto" w:sz="6" w:space="0"/>
                  </w:tcBorders>
                  <w:noWrap w:val="0"/>
                  <w:vAlign w:val="center"/>
                </w:tcPr>
                <w:p w14:paraId="5D81A9C6">
                  <w:pPr>
                    <w:keepNext w:val="0"/>
                    <w:keepLines w:val="0"/>
                    <w:pageBreakBefore w:val="0"/>
                    <w:widowControl w:val="0"/>
                    <w:bidi w:val="0"/>
                    <w:spacing w:beforeAutospacing="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1320" w:type="dxa"/>
                  <w:tcBorders>
                    <w:right w:val="single" w:color="auto" w:sz="6" w:space="0"/>
                  </w:tcBorders>
                  <w:noWrap w:val="0"/>
                  <w:vAlign w:val="center"/>
                </w:tcPr>
                <w:p w14:paraId="11C9D1E7">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3000</w:t>
                  </w:r>
                </w:p>
              </w:tc>
              <w:tc>
                <w:tcPr>
                  <w:tcW w:w="1373" w:type="dxa"/>
                  <w:tcBorders>
                    <w:left w:val="single" w:color="auto" w:sz="6" w:space="0"/>
                  </w:tcBorders>
                  <w:noWrap w:val="0"/>
                  <w:vAlign w:val="center"/>
                </w:tcPr>
                <w:p w14:paraId="1FF207E1">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100</w:t>
                  </w:r>
                </w:p>
              </w:tc>
              <w:tc>
                <w:tcPr>
                  <w:tcW w:w="1229" w:type="dxa"/>
                  <w:vMerge w:val="continue"/>
                  <w:tcBorders>
                    <w:left w:val="single" w:color="auto" w:sz="6" w:space="0"/>
                  </w:tcBorders>
                  <w:noWrap w:val="0"/>
                  <w:vAlign w:val="center"/>
                </w:tcPr>
                <w:p w14:paraId="75B1D184">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5CC26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16FB4156">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12</w:t>
                  </w:r>
                </w:p>
              </w:tc>
              <w:tc>
                <w:tcPr>
                  <w:tcW w:w="1751" w:type="dxa"/>
                  <w:noWrap w:val="0"/>
                  <w:vAlign w:val="center"/>
                </w:tcPr>
                <w:p w14:paraId="2E6772FD">
                  <w:pPr>
                    <w:keepNext w:val="0"/>
                    <w:keepLines w:val="0"/>
                    <w:pageBreakBefore w:val="0"/>
                    <w:widowControl w:val="0"/>
                    <w:bidi w:val="0"/>
                    <w:spacing w:beforeAutospacing="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PE手套</w:t>
                  </w:r>
                </w:p>
              </w:tc>
              <w:tc>
                <w:tcPr>
                  <w:tcW w:w="1146" w:type="dxa"/>
                  <w:tcBorders>
                    <w:right w:val="single" w:color="auto" w:sz="6" w:space="0"/>
                  </w:tcBorders>
                  <w:noWrap w:val="0"/>
                  <w:vAlign w:val="center"/>
                </w:tcPr>
                <w:p w14:paraId="260AE06C">
                  <w:pPr>
                    <w:keepNext w:val="0"/>
                    <w:keepLines w:val="0"/>
                    <w:pageBreakBefore w:val="0"/>
                    <w:widowControl w:val="0"/>
                    <w:bidi w:val="0"/>
                    <w:spacing w:beforeAutospacing="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包/年</w:t>
                  </w:r>
                </w:p>
              </w:tc>
              <w:tc>
                <w:tcPr>
                  <w:tcW w:w="1125" w:type="dxa"/>
                  <w:tcBorders>
                    <w:right w:val="single" w:color="auto" w:sz="6" w:space="0"/>
                  </w:tcBorders>
                  <w:noWrap w:val="0"/>
                  <w:vAlign w:val="center"/>
                </w:tcPr>
                <w:p w14:paraId="3C787941">
                  <w:pPr>
                    <w:keepNext w:val="0"/>
                    <w:keepLines w:val="0"/>
                    <w:pageBreakBefore w:val="0"/>
                    <w:widowControl w:val="0"/>
                    <w:bidi w:val="0"/>
                    <w:spacing w:beforeAutospacing="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1320" w:type="dxa"/>
                  <w:tcBorders>
                    <w:right w:val="single" w:color="auto" w:sz="6" w:space="0"/>
                  </w:tcBorders>
                  <w:noWrap w:val="0"/>
                  <w:vAlign w:val="center"/>
                </w:tcPr>
                <w:p w14:paraId="17909A52">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1500</w:t>
                  </w:r>
                </w:p>
              </w:tc>
              <w:tc>
                <w:tcPr>
                  <w:tcW w:w="1373" w:type="dxa"/>
                  <w:tcBorders>
                    <w:left w:val="single" w:color="auto" w:sz="6" w:space="0"/>
                  </w:tcBorders>
                  <w:noWrap w:val="0"/>
                  <w:vAlign w:val="center"/>
                </w:tcPr>
                <w:p w14:paraId="7391B725">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50</w:t>
                  </w:r>
                </w:p>
              </w:tc>
              <w:tc>
                <w:tcPr>
                  <w:tcW w:w="1229" w:type="dxa"/>
                  <w:vMerge w:val="continue"/>
                  <w:tcBorders>
                    <w:left w:val="single" w:color="auto" w:sz="6" w:space="0"/>
                  </w:tcBorders>
                  <w:noWrap w:val="0"/>
                  <w:vAlign w:val="center"/>
                </w:tcPr>
                <w:p w14:paraId="700C52A5">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650F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708266A4">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13</w:t>
                  </w:r>
                </w:p>
              </w:tc>
              <w:tc>
                <w:tcPr>
                  <w:tcW w:w="1751" w:type="dxa"/>
                  <w:noWrap w:val="0"/>
                  <w:vAlign w:val="center"/>
                </w:tcPr>
                <w:p w14:paraId="70C5C350">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一次性口罩</w:t>
                  </w:r>
                </w:p>
              </w:tc>
              <w:tc>
                <w:tcPr>
                  <w:tcW w:w="1146" w:type="dxa"/>
                  <w:tcBorders>
                    <w:right w:val="single" w:color="auto" w:sz="6" w:space="0"/>
                  </w:tcBorders>
                  <w:noWrap w:val="0"/>
                  <w:vAlign w:val="center"/>
                </w:tcPr>
                <w:p w14:paraId="7F8F2993">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olor w:val="auto"/>
                      <w:sz w:val="21"/>
                      <w:szCs w:val="21"/>
                      <w:lang w:eastAsia="zh-CN"/>
                    </w:rPr>
                    <w:t>只</w:t>
                  </w:r>
                  <w:r>
                    <w:rPr>
                      <w:rFonts w:hint="eastAsia"/>
                      <w:color w:val="auto"/>
                      <w:sz w:val="21"/>
                      <w:szCs w:val="21"/>
                      <w:lang w:val="en-US" w:eastAsia="zh-CN"/>
                    </w:rPr>
                    <w:t>/年</w:t>
                  </w:r>
                </w:p>
              </w:tc>
              <w:tc>
                <w:tcPr>
                  <w:tcW w:w="1125" w:type="dxa"/>
                  <w:tcBorders>
                    <w:right w:val="single" w:color="auto" w:sz="6" w:space="0"/>
                  </w:tcBorders>
                  <w:noWrap w:val="0"/>
                  <w:vAlign w:val="center"/>
                </w:tcPr>
                <w:p w14:paraId="0F8E87DB">
                  <w:pPr>
                    <w:keepNext w:val="0"/>
                    <w:keepLines w:val="0"/>
                    <w:pageBreakBefore w:val="0"/>
                    <w:widowControl w:val="0"/>
                    <w:bidi w:val="0"/>
                    <w:spacing w:beforeAutospacing="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w:t>
                  </w:r>
                </w:p>
              </w:tc>
              <w:tc>
                <w:tcPr>
                  <w:tcW w:w="1320" w:type="dxa"/>
                  <w:tcBorders>
                    <w:right w:val="single" w:color="auto" w:sz="6" w:space="0"/>
                  </w:tcBorders>
                  <w:noWrap w:val="0"/>
                  <w:vAlign w:val="center"/>
                </w:tcPr>
                <w:p w14:paraId="7AB13C6E">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100000</w:t>
                  </w:r>
                </w:p>
              </w:tc>
              <w:tc>
                <w:tcPr>
                  <w:tcW w:w="1373" w:type="dxa"/>
                  <w:tcBorders>
                    <w:left w:val="single" w:color="auto" w:sz="6" w:space="0"/>
                  </w:tcBorders>
                  <w:noWrap w:val="0"/>
                  <w:vAlign w:val="center"/>
                </w:tcPr>
                <w:p w14:paraId="15114F15">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2000</w:t>
                  </w:r>
                </w:p>
              </w:tc>
              <w:tc>
                <w:tcPr>
                  <w:tcW w:w="1229" w:type="dxa"/>
                  <w:vMerge w:val="continue"/>
                  <w:tcBorders>
                    <w:left w:val="single" w:color="auto" w:sz="6" w:space="0"/>
                  </w:tcBorders>
                  <w:noWrap w:val="0"/>
                  <w:vAlign w:val="center"/>
                </w:tcPr>
                <w:p w14:paraId="60C1ACF0">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7904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399772D2">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14</w:t>
                  </w:r>
                </w:p>
              </w:tc>
              <w:tc>
                <w:tcPr>
                  <w:tcW w:w="1751" w:type="dxa"/>
                  <w:noWrap w:val="0"/>
                  <w:vAlign w:val="center"/>
                </w:tcPr>
                <w:p w14:paraId="5BE0EF55">
                  <w:pPr>
                    <w:keepNext w:val="0"/>
                    <w:keepLines w:val="0"/>
                    <w:pageBreakBefore w:val="0"/>
                    <w:widowControl w:val="0"/>
                    <w:bidi w:val="0"/>
                    <w:spacing w:beforeAutospacing="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75%乙醇消毒液</w:t>
                  </w:r>
                </w:p>
              </w:tc>
              <w:tc>
                <w:tcPr>
                  <w:tcW w:w="1146" w:type="dxa"/>
                  <w:tcBorders>
                    <w:right w:val="single" w:color="auto" w:sz="6" w:space="0"/>
                  </w:tcBorders>
                  <w:noWrap w:val="0"/>
                  <w:vAlign w:val="center"/>
                </w:tcPr>
                <w:p w14:paraId="73BAEAB3">
                  <w:pPr>
                    <w:keepNext w:val="0"/>
                    <w:keepLines w:val="0"/>
                    <w:pageBreakBefore w:val="0"/>
                    <w:widowControl w:val="0"/>
                    <w:bidi w:val="0"/>
                    <w:spacing w:beforeAutospacing="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瓶/年</w:t>
                  </w:r>
                </w:p>
              </w:tc>
              <w:tc>
                <w:tcPr>
                  <w:tcW w:w="1125" w:type="dxa"/>
                  <w:tcBorders>
                    <w:right w:val="single" w:color="auto" w:sz="6" w:space="0"/>
                  </w:tcBorders>
                  <w:noWrap w:val="0"/>
                  <w:vAlign w:val="center"/>
                </w:tcPr>
                <w:p w14:paraId="0BD9FE07">
                  <w:pPr>
                    <w:keepNext w:val="0"/>
                    <w:keepLines w:val="0"/>
                    <w:pageBreakBefore w:val="0"/>
                    <w:widowControl w:val="0"/>
                    <w:bidi w:val="0"/>
                    <w:spacing w:beforeAutospacing="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500ml/瓶</w:t>
                  </w:r>
                </w:p>
              </w:tc>
              <w:tc>
                <w:tcPr>
                  <w:tcW w:w="1320" w:type="dxa"/>
                  <w:tcBorders>
                    <w:right w:val="single" w:color="auto" w:sz="6" w:space="0"/>
                  </w:tcBorders>
                  <w:noWrap w:val="0"/>
                  <w:vAlign w:val="center"/>
                </w:tcPr>
                <w:p w14:paraId="2106C518">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2000</w:t>
                  </w:r>
                </w:p>
              </w:tc>
              <w:tc>
                <w:tcPr>
                  <w:tcW w:w="1373" w:type="dxa"/>
                  <w:tcBorders>
                    <w:left w:val="single" w:color="auto" w:sz="6" w:space="0"/>
                  </w:tcBorders>
                  <w:noWrap w:val="0"/>
                  <w:vAlign w:val="center"/>
                </w:tcPr>
                <w:p w14:paraId="1CBEA355">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100</w:t>
                  </w:r>
                </w:p>
              </w:tc>
              <w:tc>
                <w:tcPr>
                  <w:tcW w:w="1229" w:type="dxa"/>
                  <w:vMerge w:val="continue"/>
                  <w:tcBorders>
                    <w:left w:val="single" w:color="auto" w:sz="6" w:space="0"/>
                  </w:tcBorders>
                  <w:noWrap w:val="0"/>
                  <w:vAlign w:val="center"/>
                </w:tcPr>
                <w:p w14:paraId="2F49CD22">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5FA1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5FDC4544">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15</w:t>
                  </w:r>
                </w:p>
              </w:tc>
              <w:tc>
                <w:tcPr>
                  <w:tcW w:w="1751" w:type="dxa"/>
                  <w:noWrap w:val="0"/>
                  <w:vAlign w:val="center"/>
                </w:tcPr>
                <w:p w14:paraId="77F1D8BA">
                  <w:pPr>
                    <w:keepNext w:val="0"/>
                    <w:keepLines w:val="0"/>
                    <w:pageBreakBefore w:val="0"/>
                    <w:widowControl w:val="0"/>
                    <w:bidi w:val="0"/>
                    <w:spacing w:beforeAutospacing="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95%乙醇消毒液</w:t>
                  </w:r>
                </w:p>
              </w:tc>
              <w:tc>
                <w:tcPr>
                  <w:tcW w:w="1146" w:type="dxa"/>
                  <w:tcBorders>
                    <w:right w:val="single" w:color="auto" w:sz="6" w:space="0"/>
                  </w:tcBorders>
                  <w:noWrap w:val="0"/>
                  <w:vAlign w:val="center"/>
                </w:tcPr>
                <w:p w14:paraId="794B0A2B">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瓶/年</w:t>
                  </w:r>
                </w:p>
              </w:tc>
              <w:tc>
                <w:tcPr>
                  <w:tcW w:w="1125" w:type="dxa"/>
                  <w:tcBorders>
                    <w:right w:val="single" w:color="auto" w:sz="6" w:space="0"/>
                  </w:tcBorders>
                  <w:noWrap w:val="0"/>
                  <w:vAlign w:val="center"/>
                </w:tcPr>
                <w:p w14:paraId="0A14482D">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500ml/瓶</w:t>
                  </w:r>
                </w:p>
              </w:tc>
              <w:tc>
                <w:tcPr>
                  <w:tcW w:w="1320" w:type="dxa"/>
                  <w:tcBorders>
                    <w:right w:val="single" w:color="auto" w:sz="6" w:space="0"/>
                  </w:tcBorders>
                  <w:noWrap w:val="0"/>
                  <w:vAlign w:val="center"/>
                </w:tcPr>
                <w:p w14:paraId="0B070CC6">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20</w:t>
                  </w:r>
                </w:p>
              </w:tc>
              <w:tc>
                <w:tcPr>
                  <w:tcW w:w="1373" w:type="dxa"/>
                  <w:tcBorders>
                    <w:left w:val="single" w:color="auto" w:sz="6" w:space="0"/>
                  </w:tcBorders>
                  <w:noWrap w:val="0"/>
                  <w:vAlign w:val="center"/>
                </w:tcPr>
                <w:p w14:paraId="6C12E0C0">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2</w:t>
                  </w:r>
                </w:p>
              </w:tc>
              <w:tc>
                <w:tcPr>
                  <w:tcW w:w="1229" w:type="dxa"/>
                  <w:vMerge w:val="continue"/>
                  <w:tcBorders>
                    <w:left w:val="single" w:color="auto" w:sz="6" w:space="0"/>
                  </w:tcBorders>
                  <w:noWrap w:val="0"/>
                  <w:vAlign w:val="center"/>
                </w:tcPr>
                <w:p w14:paraId="7DA06EB3">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3292E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762588D3">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16</w:t>
                  </w:r>
                </w:p>
              </w:tc>
              <w:tc>
                <w:tcPr>
                  <w:tcW w:w="1751" w:type="dxa"/>
                  <w:noWrap w:val="0"/>
                  <w:vAlign w:val="center"/>
                </w:tcPr>
                <w:p w14:paraId="1F255A41">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医用纱布</w:t>
                  </w:r>
                </w:p>
              </w:tc>
              <w:tc>
                <w:tcPr>
                  <w:tcW w:w="1146" w:type="dxa"/>
                  <w:tcBorders>
                    <w:right w:val="single" w:color="auto" w:sz="6" w:space="0"/>
                  </w:tcBorders>
                  <w:noWrap w:val="0"/>
                  <w:vAlign w:val="center"/>
                </w:tcPr>
                <w:p w14:paraId="770B1F49">
                  <w:pPr>
                    <w:keepNext w:val="0"/>
                    <w:keepLines w:val="0"/>
                    <w:pageBreakBefore w:val="0"/>
                    <w:widowControl w:val="0"/>
                    <w:bidi w:val="0"/>
                    <w:spacing w:beforeAutospacing="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卷/年</w:t>
                  </w:r>
                </w:p>
              </w:tc>
              <w:tc>
                <w:tcPr>
                  <w:tcW w:w="1125" w:type="dxa"/>
                  <w:tcBorders>
                    <w:right w:val="single" w:color="auto" w:sz="6" w:space="0"/>
                  </w:tcBorders>
                  <w:noWrap w:val="0"/>
                  <w:vAlign w:val="center"/>
                </w:tcPr>
                <w:p w14:paraId="3A221336">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1320" w:type="dxa"/>
                  <w:tcBorders>
                    <w:right w:val="single" w:color="auto" w:sz="6" w:space="0"/>
                  </w:tcBorders>
                  <w:noWrap w:val="0"/>
                  <w:vAlign w:val="center"/>
                </w:tcPr>
                <w:p w14:paraId="28E1C28D">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3000</w:t>
                  </w:r>
                </w:p>
              </w:tc>
              <w:tc>
                <w:tcPr>
                  <w:tcW w:w="1373" w:type="dxa"/>
                  <w:tcBorders>
                    <w:left w:val="single" w:color="auto" w:sz="6" w:space="0"/>
                  </w:tcBorders>
                  <w:noWrap w:val="0"/>
                  <w:vAlign w:val="center"/>
                </w:tcPr>
                <w:p w14:paraId="0B7D4178">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100</w:t>
                  </w:r>
                </w:p>
              </w:tc>
              <w:tc>
                <w:tcPr>
                  <w:tcW w:w="1229" w:type="dxa"/>
                  <w:vMerge w:val="continue"/>
                  <w:tcBorders>
                    <w:left w:val="single" w:color="auto" w:sz="6" w:space="0"/>
                  </w:tcBorders>
                  <w:noWrap w:val="0"/>
                  <w:vAlign w:val="center"/>
                </w:tcPr>
                <w:p w14:paraId="63CE2A28">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6697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55286D6D">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17</w:t>
                  </w:r>
                </w:p>
              </w:tc>
              <w:tc>
                <w:tcPr>
                  <w:tcW w:w="1751" w:type="dxa"/>
                  <w:noWrap w:val="0"/>
                  <w:vAlign w:val="center"/>
                </w:tcPr>
                <w:p w14:paraId="460C4D97">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纱布块</w:t>
                  </w:r>
                </w:p>
              </w:tc>
              <w:tc>
                <w:tcPr>
                  <w:tcW w:w="1146" w:type="dxa"/>
                  <w:tcBorders>
                    <w:right w:val="single" w:color="auto" w:sz="6" w:space="0"/>
                  </w:tcBorders>
                  <w:noWrap w:val="0"/>
                  <w:vAlign w:val="center"/>
                </w:tcPr>
                <w:p w14:paraId="0A3100FB">
                  <w:pPr>
                    <w:keepNext w:val="0"/>
                    <w:keepLines w:val="0"/>
                    <w:pageBreakBefore w:val="0"/>
                    <w:widowControl w:val="0"/>
                    <w:bidi w:val="0"/>
                    <w:spacing w:beforeAutospacing="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块/年</w:t>
                  </w:r>
                </w:p>
              </w:tc>
              <w:tc>
                <w:tcPr>
                  <w:tcW w:w="1125" w:type="dxa"/>
                  <w:tcBorders>
                    <w:right w:val="single" w:color="auto" w:sz="6" w:space="0"/>
                  </w:tcBorders>
                  <w:noWrap w:val="0"/>
                  <w:vAlign w:val="center"/>
                </w:tcPr>
                <w:p w14:paraId="5225509A">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olor w:val="auto"/>
                      <w:sz w:val="21"/>
                      <w:szCs w:val="21"/>
                      <w:lang w:val="en-US" w:eastAsia="zh-CN"/>
                    </w:rPr>
                    <w:t>/</w:t>
                  </w:r>
                </w:p>
              </w:tc>
              <w:tc>
                <w:tcPr>
                  <w:tcW w:w="1320" w:type="dxa"/>
                  <w:tcBorders>
                    <w:right w:val="single" w:color="auto" w:sz="6" w:space="0"/>
                  </w:tcBorders>
                  <w:noWrap w:val="0"/>
                  <w:vAlign w:val="center"/>
                </w:tcPr>
                <w:p w14:paraId="189381C8">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20000</w:t>
                  </w:r>
                </w:p>
              </w:tc>
              <w:tc>
                <w:tcPr>
                  <w:tcW w:w="1373" w:type="dxa"/>
                  <w:tcBorders>
                    <w:left w:val="single" w:color="auto" w:sz="6" w:space="0"/>
                  </w:tcBorders>
                  <w:noWrap w:val="0"/>
                  <w:vAlign w:val="center"/>
                </w:tcPr>
                <w:p w14:paraId="77FA8605">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500</w:t>
                  </w:r>
                </w:p>
              </w:tc>
              <w:tc>
                <w:tcPr>
                  <w:tcW w:w="1229" w:type="dxa"/>
                  <w:vMerge w:val="continue"/>
                  <w:tcBorders>
                    <w:left w:val="single" w:color="auto" w:sz="6" w:space="0"/>
                  </w:tcBorders>
                  <w:noWrap w:val="0"/>
                  <w:vAlign w:val="center"/>
                </w:tcPr>
                <w:p w14:paraId="4B003AC4">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74C8E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308C3615">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18</w:t>
                  </w:r>
                </w:p>
              </w:tc>
              <w:tc>
                <w:tcPr>
                  <w:tcW w:w="1751" w:type="dxa"/>
                  <w:noWrap w:val="0"/>
                  <w:vAlign w:val="center"/>
                </w:tcPr>
                <w:p w14:paraId="4BF156C7">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血糖试纸</w:t>
                  </w:r>
                </w:p>
              </w:tc>
              <w:tc>
                <w:tcPr>
                  <w:tcW w:w="1146" w:type="dxa"/>
                  <w:tcBorders>
                    <w:right w:val="single" w:color="auto" w:sz="6" w:space="0"/>
                  </w:tcBorders>
                  <w:noWrap w:val="0"/>
                  <w:vAlign w:val="center"/>
                </w:tcPr>
                <w:p w14:paraId="1D0053E6">
                  <w:pPr>
                    <w:keepNext w:val="0"/>
                    <w:keepLines w:val="0"/>
                    <w:pageBreakBefore w:val="0"/>
                    <w:widowControl w:val="0"/>
                    <w:bidi w:val="0"/>
                    <w:spacing w:beforeAutospacing="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份/年</w:t>
                  </w:r>
                </w:p>
              </w:tc>
              <w:tc>
                <w:tcPr>
                  <w:tcW w:w="1125" w:type="dxa"/>
                  <w:tcBorders>
                    <w:right w:val="single" w:color="auto" w:sz="6" w:space="0"/>
                  </w:tcBorders>
                  <w:noWrap w:val="0"/>
                  <w:vAlign w:val="center"/>
                </w:tcPr>
                <w:p w14:paraId="23AA28FD">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1320" w:type="dxa"/>
                  <w:tcBorders>
                    <w:right w:val="single" w:color="auto" w:sz="6" w:space="0"/>
                  </w:tcBorders>
                  <w:noWrap w:val="0"/>
                  <w:vAlign w:val="center"/>
                </w:tcPr>
                <w:p w14:paraId="1F6D4F27">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16000</w:t>
                  </w:r>
                </w:p>
              </w:tc>
              <w:tc>
                <w:tcPr>
                  <w:tcW w:w="1373" w:type="dxa"/>
                  <w:tcBorders>
                    <w:left w:val="single" w:color="auto" w:sz="6" w:space="0"/>
                  </w:tcBorders>
                  <w:noWrap w:val="0"/>
                  <w:vAlign w:val="center"/>
                </w:tcPr>
                <w:p w14:paraId="2DED851C">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400</w:t>
                  </w:r>
                </w:p>
              </w:tc>
              <w:tc>
                <w:tcPr>
                  <w:tcW w:w="1229" w:type="dxa"/>
                  <w:vMerge w:val="continue"/>
                  <w:tcBorders>
                    <w:left w:val="single" w:color="auto" w:sz="6" w:space="0"/>
                  </w:tcBorders>
                  <w:noWrap w:val="0"/>
                  <w:vAlign w:val="center"/>
                </w:tcPr>
                <w:p w14:paraId="75EB33F7">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69318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122DAAFA">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19</w:t>
                  </w:r>
                </w:p>
              </w:tc>
              <w:tc>
                <w:tcPr>
                  <w:tcW w:w="1751" w:type="dxa"/>
                  <w:noWrap w:val="0"/>
                  <w:vAlign w:val="center"/>
                </w:tcPr>
                <w:p w14:paraId="7CC9454A">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无菌采血针</w:t>
                  </w:r>
                </w:p>
              </w:tc>
              <w:tc>
                <w:tcPr>
                  <w:tcW w:w="1146" w:type="dxa"/>
                  <w:tcBorders>
                    <w:right w:val="single" w:color="auto" w:sz="6" w:space="0"/>
                  </w:tcBorders>
                  <w:noWrap w:val="0"/>
                  <w:vAlign w:val="center"/>
                </w:tcPr>
                <w:p w14:paraId="70A5D9DD">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olor w:val="auto"/>
                      <w:sz w:val="21"/>
                      <w:szCs w:val="21"/>
                      <w:lang w:eastAsia="zh-CN"/>
                    </w:rPr>
                    <w:t>只</w:t>
                  </w:r>
                  <w:r>
                    <w:rPr>
                      <w:rFonts w:hint="eastAsia"/>
                      <w:color w:val="auto"/>
                      <w:sz w:val="21"/>
                      <w:szCs w:val="21"/>
                      <w:lang w:val="en-US" w:eastAsia="zh-CN"/>
                    </w:rPr>
                    <w:t>/年</w:t>
                  </w:r>
                </w:p>
              </w:tc>
              <w:tc>
                <w:tcPr>
                  <w:tcW w:w="1125" w:type="dxa"/>
                  <w:tcBorders>
                    <w:right w:val="single" w:color="auto" w:sz="6" w:space="0"/>
                  </w:tcBorders>
                  <w:noWrap w:val="0"/>
                  <w:vAlign w:val="center"/>
                </w:tcPr>
                <w:p w14:paraId="313E99DA">
                  <w:pPr>
                    <w:keepNext w:val="0"/>
                    <w:keepLines w:val="0"/>
                    <w:pageBreakBefore w:val="0"/>
                    <w:widowControl w:val="0"/>
                    <w:bidi w:val="0"/>
                    <w:spacing w:beforeAutospacing="0" w:afterAutospacing="0"/>
                    <w:ind w:left="0" w:leftChars="0" w:right="0" w:rightChars="0"/>
                    <w:jc w:val="center"/>
                    <w:rPr>
                      <w:rFonts w:hint="eastAsia"/>
                      <w:color w:val="auto"/>
                      <w:sz w:val="21"/>
                      <w:szCs w:val="21"/>
                      <w:lang w:eastAsia="zh-CN"/>
                    </w:rPr>
                  </w:pPr>
                  <w:r>
                    <w:rPr>
                      <w:rFonts w:hint="eastAsia"/>
                      <w:color w:val="auto"/>
                      <w:sz w:val="21"/>
                      <w:szCs w:val="21"/>
                      <w:lang w:val="en-US" w:eastAsia="zh-CN"/>
                    </w:rPr>
                    <w:t>/</w:t>
                  </w:r>
                </w:p>
              </w:tc>
              <w:tc>
                <w:tcPr>
                  <w:tcW w:w="1320" w:type="dxa"/>
                  <w:tcBorders>
                    <w:right w:val="single" w:color="auto" w:sz="6" w:space="0"/>
                  </w:tcBorders>
                  <w:noWrap w:val="0"/>
                  <w:vAlign w:val="center"/>
                </w:tcPr>
                <w:p w14:paraId="76F85E08">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20000</w:t>
                  </w:r>
                </w:p>
              </w:tc>
              <w:tc>
                <w:tcPr>
                  <w:tcW w:w="1373" w:type="dxa"/>
                  <w:tcBorders>
                    <w:left w:val="single" w:color="auto" w:sz="6" w:space="0"/>
                  </w:tcBorders>
                  <w:noWrap w:val="0"/>
                  <w:vAlign w:val="center"/>
                </w:tcPr>
                <w:p w14:paraId="3C11FECB">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500</w:t>
                  </w:r>
                </w:p>
              </w:tc>
              <w:tc>
                <w:tcPr>
                  <w:tcW w:w="1229" w:type="dxa"/>
                  <w:vMerge w:val="continue"/>
                  <w:tcBorders>
                    <w:left w:val="single" w:color="auto" w:sz="6" w:space="0"/>
                  </w:tcBorders>
                  <w:noWrap w:val="0"/>
                  <w:vAlign w:val="center"/>
                </w:tcPr>
                <w:p w14:paraId="0936844D">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4956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7731F40B">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20</w:t>
                  </w:r>
                </w:p>
              </w:tc>
              <w:tc>
                <w:tcPr>
                  <w:tcW w:w="1751" w:type="dxa"/>
                  <w:noWrap w:val="0"/>
                  <w:vAlign w:val="center"/>
                </w:tcPr>
                <w:p w14:paraId="5870AFE0">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医用棉签</w:t>
                  </w:r>
                </w:p>
              </w:tc>
              <w:tc>
                <w:tcPr>
                  <w:tcW w:w="1146" w:type="dxa"/>
                  <w:tcBorders>
                    <w:right w:val="single" w:color="auto" w:sz="6" w:space="0"/>
                  </w:tcBorders>
                  <w:noWrap w:val="0"/>
                  <w:vAlign w:val="center"/>
                </w:tcPr>
                <w:p w14:paraId="3B98CB12">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包/年</w:t>
                  </w:r>
                </w:p>
              </w:tc>
              <w:tc>
                <w:tcPr>
                  <w:tcW w:w="1125" w:type="dxa"/>
                  <w:tcBorders>
                    <w:right w:val="single" w:color="auto" w:sz="6" w:space="0"/>
                  </w:tcBorders>
                  <w:noWrap w:val="0"/>
                  <w:vAlign w:val="center"/>
                </w:tcPr>
                <w:p w14:paraId="46667AC6">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1320" w:type="dxa"/>
                  <w:tcBorders>
                    <w:right w:val="single" w:color="auto" w:sz="6" w:space="0"/>
                  </w:tcBorders>
                  <w:noWrap w:val="0"/>
                  <w:vAlign w:val="center"/>
                </w:tcPr>
                <w:p w14:paraId="0D3EFACB">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40000</w:t>
                  </w:r>
                </w:p>
              </w:tc>
              <w:tc>
                <w:tcPr>
                  <w:tcW w:w="1373" w:type="dxa"/>
                  <w:tcBorders>
                    <w:left w:val="single" w:color="auto" w:sz="6" w:space="0"/>
                  </w:tcBorders>
                  <w:noWrap w:val="0"/>
                  <w:vAlign w:val="center"/>
                </w:tcPr>
                <w:p w14:paraId="2E0835E4">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1000</w:t>
                  </w:r>
                </w:p>
              </w:tc>
              <w:tc>
                <w:tcPr>
                  <w:tcW w:w="1229" w:type="dxa"/>
                  <w:vMerge w:val="continue"/>
                  <w:tcBorders>
                    <w:left w:val="single" w:color="auto" w:sz="6" w:space="0"/>
                  </w:tcBorders>
                  <w:noWrap w:val="0"/>
                  <w:vAlign w:val="center"/>
                </w:tcPr>
                <w:p w14:paraId="009A63B0">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7F7E6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52931D52">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21</w:t>
                  </w:r>
                </w:p>
              </w:tc>
              <w:tc>
                <w:tcPr>
                  <w:tcW w:w="1751" w:type="dxa"/>
                  <w:noWrap w:val="0"/>
                  <w:vAlign w:val="center"/>
                </w:tcPr>
                <w:p w14:paraId="0638A4D4">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大头棉签</w:t>
                  </w:r>
                </w:p>
              </w:tc>
              <w:tc>
                <w:tcPr>
                  <w:tcW w:w="1146" w:type="dxa"/>
                  <w:tcBorders>
                    <w:right w:val="single" w:color="auto" w:sz="6" w:space="0"/>
                  </w:tcBorders>
                  <w:noWrap w:val="0"/>
                  <w:vAlign w:val="center"/>
                </w:tcPr>
                <w:p w14:paraId="49B4FC51">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olor w:val="auto"/>
                      <w:sz w:val="21"/>
                      <w:szCs w:val="21"/>
                      <w:lang w:eastAsia="zh-CN"/>
                    </w:rPr>
                    <w:t>只</w:t>
                  </w:r>
                  <w:r>
                    <w:rPr>
                      <w:rFonts w:hint="eastAsia"/>
                      <w:color w:val="auto"/>
                      <w:sz w:val="21"/>
                      <w:szCs w:val="21"/>
                      <w:lang w:val="en-US" w:eastAsia="zh-CN"/>
                    </w:rPr>
                    <w:t>/年</w:t>
                  </w:r>
                </w:p>
              </w:tc>
              <w:tc>
                <w:tcPr>
                  <w:tcW w:w="1125" w:type="dxa"/>
                  <w:tcBorders>
                    <w:right w:val="single" w:color="auto" w:sz="6" w:space="0"/>
                  </w:tcBorders>
                  <w:noWrap w:val="0"/>
                  <w:vAlign w:val="center"/>
                </w:tcPr>
                <w:p w14:paraId="1259BAAF">
                  <w:pPr>
                    <w:keepNext w:val="0"/>
                    <w:keepLines w:val="0"/>
                    <w:pageBreakBefore w:val="0"/>
                    <w:widowControl w:val="0"/>
                    <w:bidi w:val="0"/>
                    <w:spacing w:beforeAutospacing="0" w:afterAutospacing="0"/>
                    <w:ind w:left="0" w:leftChars="0" w:right="0" w:rightChars="0"/>
                    <w:jc w:val="center"/>
                    <w:rPr>
                      <w:rFonts w:hint="eastAsia"/>
                      <w:color w:val="auto"/>
                      <w:sz w:val="21"/>
                      <w:szCs w:val="21"/>
                      <w:lang w:eastAsia="zh-CN"/>
                    </w:rPr>
                  </w:pPr>
                  <w:r>
                    <w:rPr>
                      <w:rFonts w:hint="eastAsia"/>
                      <w:color w:val="auto"/>
                      <w:sz w:val="21"/>
                      <w:szCs w:val="21"/>
                      <w:lang w:val="en-US" w:eastAsia="zh-CN"/>
                    </w:rPr>
                    <w:t>/</w:t>
                  </w:r>
                </w:p>
              </w:tc>
              <w:tc>
                <w:tcPr>
                  <w:tcW w:w="1320" w:type="dxa"/>
                  <w:tcBorders>
                    <w:right w:val="single" w:color="auto" w:sz="6" w:space="0"/>
                  </w:tcBorders>
                  <w:noWrap w:val="0"/>
                  <w:vAlign w:val="center"/>
                </w:tcPr>
                <w:p w14:paraId="65FC78B3">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800</w:t>
                  </w:r>
                </w:p>
              </w:tc>
              <w:tc>
                <w:tcPr>
                  <w:tcW w:w="1373" w:type="dxa"/>
                  <w:tcBorders>
                    <w:left w:val="single" w:color="auto" w:sz="6" w:space="0"/>
                  </w:tcBorders>
                  <w:noWrap w:val="0"/>
                  <w:vAlign w:val="center"/>
                </w:tcPr>
                <w:p w14:paraId="39155454">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40</w:t>
                  </w:r>
                </w:p>
              </w:tc>
              <w:tc>
                <w:tcPr>
                  <w:tcW w:w="1229" w:type="dxa"/>
                  <w:vMerge w:val="continue"/>
                  <w:tcBorders>
                    <w:left w:val="single" w:color="auto" w:sz="6" w:space="0"/>
                  </w:tcBorders>
                  <w:noWrap w:val="0"/>
                  <w:vAlign w:val="center"/>
                </w:tcPr>
                <w:p w14:paraId="58561A20">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1875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4E1723E8">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22</w:t>
                  </w:r>
                </w:p>
              </w:tc>
              <w:tc>
                <w:tcPr>
                  <w:tcW w:w="1751" w:type="dxa"/>
                  <w:noWrap w:val="0"/>
                  <w:vAlign w:val="center"/>
                </w:tcPr>
                <w:p w14:paraId="6FD4F3F1">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一次性中单</w:t>
                  </w:r>
                </w:p>
              </w:tc>
              <w:tc>
                <w:tcPr>
                  <w:tcW w:w="1146" w:type="dxa"/>
                  <w:tcBorders>
                    <w:right w:val="single" w:color="auto" w:sz="6" w:space="0"/>
                  </w:tcBorders>
                  <w:noWrap w:val="0"/>
                  <w:vAlign w:val="center"/>
                </w:tcPr>
                <w:p w14:paraId="47C6B75C">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件/年</w:t>
                  </w:r>
                </w:p>
              </w:tc>
              <w:tc>
                <w:tcPr>
                  <w:tcW w:w="1125" w:type="dxa"/>
                  <w:tcBorders>
                    <w:right w:val="single" w:color="auto" w:sz="6" w:space="0"/>
                  </w:tcBorders>
                  <w:noWrap w:val="0"/>
                  <w:vAlign w:val="center"/>
                </w:tcPr>
                <w:p w14:paraId="686B1B74">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1320" w:type="dxa"/>
                  <w:tcBorders>
                    <w:right w:val="single" w:color="auto" w:sz="6" w:space="0"/>
                  </w:tcBorders>
                  <w:noWrap w:val="0"/>
                  <w:vAlign w:val="center"/>
                </w:tcPr>
                <w:p w14:paraId="1486AA73">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1500</w:t>
                  </w:r>
                </w:p>
              </w:tc>
              <w:tc>
                <w:tcPr>
                  <w:tcW w:w="1373" w:type="dxa"/>
                  <w:tcBorders>
                    <w:left w:val="single" w:color="auto" w:sz="6" w:space="0"/>
                  </w:tcBorders>
                  <w:noWrap w:val="0"/>
                  <w:vAlign w:val="center"/>
                </w:tcPr>
                <w:p w14:paraId="19BD2DF5">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50</w:t>
                  </w:r>
                </w:p>
              </w:tc>
              <w:tc>
                <w:tcPr>
                  <w:tcW w:w="1229" w:type="dxa"/>
                  <w:vMerge w:val="continue"/>
                  <w:tcBorders>
                    <w:left w:val="single" w:color="auto" w:sz="6" w:space="0"/>
                  </w:tcBorders>
                  <w:noWrap w:val="0"/>
                  <w:vAlign w:val="center"/>
                </w:tcPr>
                <w:p w14:paraId="6419884F">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4CDC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7D93B06B">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23</w:t>
                  </w:r>
                </w:p>
              </w:tc>
              <w:tc>
                <w:tcPr>
                  <w:tcW w:w="1751" w:type="dxa"/>
                  <w:noWrap w:val="0"/>
                  <w:vAlign w:val="center"/>
                </w:tcPr>
                <w:p w14:paraId="6C453E68">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一次性床罩</w:t>
                  </w:r>
                </w:p>
              </w:tc>
              <w:tc>
                <w:tcPr>
                  <w:tcW w:w="1146" w:type="dxa"/>
                  <w:tcBorders>
                    <w:right w:val="single" w:color="auto" w:sz="6" w:space="0"/>
                  </w:tcBorders>
                  <w:noWrap w:val="0"/>
                  <w:vAlign w:val="center"/>
                </w:tcPr>
                <w:p w14:paraId="7E07C976">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件/年</w:t>
                  </w:r>
                </w:p>
              </w:tc>
              <w:tc>
                <w:tcPr>
                  <w:tcW w:w="1125" w:type="dxa"/>
                  <w:tcBorders>
                    <w:right w:val="single" w:color="auto" w:sz="6" w:space="0"/>
                  </w:tcBorders>
                  <w:noWrap w:val="0"/>
                  <w:vAlign w:val="center"/>
                </w:tcPr>
                <w:p w14:paraId="7CAE7A48">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olor w:val="auto"/>
                      <w:sz w:val="21"/>
                      <w:szCs w:val="21"/>
                      <w:lang w:val="en-US" w:eastAsia="zh-CN"/>
                    </w:rPr>
                    <w:t>/</w:t>
                  </w:r>
                </w:p>
              </w:tc>
              <w:tc>
                <w:tcPr>
                  <w:tcW w:w="1320" w:type="dxa"/>
                  <w:tcBorders>
                    <w:right w:val="single" w:color="auto" w:sz="6" w:space="0"/>
                  </w:tcBorders>
                  <w:noWrap w:val="0"/>
                  <w:vAlign w:val="center"/>
                </w:tcPr>
                <w:p w14:paraId="1931ED4E">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1000</w:t>
                  </w:r>
                </w:p>
              </w:tc>
              <w:tc>
                <w:tcPr>
                  <w:tcW w:w="1373" w:type="dxa"/>
                  <w:tcBorders>
                    <w:left w:val="single" w:color="auto" w:sz="6" w:space="0"/>
                  </w:tcBorders>
                  <w:noWrap w:val="0"/>
                  <w:vAlign w:val="center"/>
                </w:tcPr>
                <w:p w14:paraId="15AD60F6">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40</w:t>
                  </w:r>
                </w:p>
              </w:tc>
              <w:tc>
                <w:tcPr>
                  <w:tcW w:w="1229" w:type="dxa"/>
                  <w:vMerge w:val="continue"/>
                  <w:tcBorders>
                    <w:left w:val="single" w:color="auto" w:sz="6" w:space="0"/>
                  </w:tcBorders>
                  <w:noWrap w:val="0"/>
                  <w:vAlign w:val="center"/>
                </w:tcPr>
                <w:p w14:paraId="437C5022">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283F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7D721832">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24</w:t>
                  </w:r>
                </w:p>
              </w:tc>
              <w:tc>
                <w:tcPr>
                  <w:tcW w:w="1751" w:type="dxa"/>
                  <w:noWrap w:val="0"/>
                  <w:vAlign w:val="center"/>
                </w:tcPr>
                <w:p w14:paraId="2946721E">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一次性治疗巾</w:t>
                  </w:r>
                </w:p>
              </w:tc>
              <w:tc>
                <w:tcPr>
                  <w:tcW w:w="1146" w:type="dxa"/>
                  <w:tcBorders>
                    <w:right w:val="single" w:color="auto" w:sz="6" w:space="0"/>
                  </w:tcBorders>
                  <w:noWrap w:val="0"/>
                  <w:vAlign w:val="center"/>
                </w:tcPr>
                <w:p w14:paraId="2688CFB8">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件/年</w:t>
                  </w:r>
                </w:p>
              </w:tc>
              <w:tc>
                <w:tcPr>
                  <w:tcW w:w="1125" w:type="dxa"/>
                  <w:tcBorders>
                    <w:right w:val="single" w:color="auto" w:sz="6" w:space="0"/>
                  </w:tcBorders>
                  <w:noWrap w:val="0"/>
                  <w:vAlign w:val="center"/>
                </w:tcPr>
                <w:p w14:paraId="664F5AD8">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1320" w:type="dxa"/>
                  <w:tcBorders>
                    <w:right w:val="single" w:color="auto" w:sz="6" w:space="0"/>
                  </w:tcBorders>
                  <w:noWrap w:val="0"/>
                  <w:vAlign w:val="center"/>
                </w:tcPr>
                <w:p w14:paraId="4EBB2FEE">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800</w:t>
                  </w:r>
                </w:p>
              </w:tc>
              <w:tc>
                <w:tcPr>
                  <w:tcW w:w="1373" w:type="dxa"/>
                  <w:tcBorders>
                    <w:left w:val="single" w:color="auto" w:sz="6" w:space="0"/>
                  </w:tcBorders>
                  <w:noWrap w:val="0"/>
                  <w:vAlign w:val="center"/>
                </w:tcPr>
                <w:p w14:paraId="71048696">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40</w:t>
                  </w:r>
                </w:p>
              </w:tc>
              <w:tc>
                <w:tcPr>
                  <w:tcW w:w="1229" w:type="dxa"/>
                  <w:vMerge w:val="continue"/>
                  <w:tcBorders>
                    <w:left w:val="single" w:color="auto" w:sz="6" w:space="0"/>
                  </w:tcBorders>
                  <w:noWrap w:val="0"/>
                  <w:vAlign w:val="center"/>
                </w:tcPr>
                <w:p w14:paraId="0052D296">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08208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49FBD038">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25</w:t>
                  </w:r>
                </w:p>
              </w:tc>
              <w:tc>
                <w:tcPr>
                  <w:tcW w:w="1751" w:type="dxa"/>
                  <w:noWrap w:val="0"/>
                  <w:vAlign w:val="center"/>
                </w:tcPr>
                <w:p w14:paraId="589189F6">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一次性手术衣</w:t>
                  </w:r>
                </w:p>
              </w:tc>
              <w:tc>
                <w:tcPr>
                  <w:tcW w:w="1146" w:type="dxa"/>
                  <w:tcBorders>
                    <w:right w:val="single" w:color="auto" w:sz="6" w:space="0"/>
                  </w:tcBorders>
                  <w:noWrap w:val="0"/>
                  <w:vAlign w:val="center"/>
                </w:tcPr>
                <w:p w14:paraId="0FA135CA">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件/年</w:t>
                  </w:r>
                </w:p>
              </w:tc>
              <w:tc>
                <w:tcPr>
                  <w:tcW w:w="1125" w:type="dxa"/>
                  <w:tcBorders>
                    <w:right w:val="single" w:color="auto" w:sz="6" w:space="0"/>
                  </w:tcBorders>
                  <w:noWrap w:val="0"/>
                  <w:vAlign w:val="center"/>
                </w:tcPr>
                <w:p w14:paraId="4B85BB1E">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olor w:val="auto"/>
                      <w:sz w:val="21"/>
                      <w:szCs w:val="21"/>
                      <w:lang w:val="en-US" w:eastAsia="zh-CN"/>
                    </w:rPr>
                    <w:t>/</w:t>
                  </w:r>
                </w:p>
              </w:tc>
              <w:tc>
                <w:tcPr>
                  <w:tcW w:w="1320" w:type="dxa"/>
                  <w:tcBorders>
                    <w:right w:val="single" w:color="auto" w:sz="6" w:space="0"/>
                  </w:tcBorders>
                  <w:noWrap w:val="0"/>
                  <w:vAlign w:val="center"/>
                </w:tcPr>
                <w:p w14:paraId="21CC58B8">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500</w:t>
                  </w:r>
                </w:p>
              </w:tc>
              <w:tc>
                <w:tcPr>
                  <w:tcW w:w="1373" w:type="dxa"/>
                  <w:tcBorders>
                    <w:left w:val="single" w:color="auto" w:sz="6" w:space="0"/>
                  </w:tcBorders>
                  <w:noWrap w:val="0"/>
                  <w:vAlign w:val="center"/>
                </w:tcPr>
                <w:p w14:paraId="0F441C24">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40</w:t>
                  </w:r>
                </w:p>
              </w:tc>
              <w:tc>
                <w:tcPr>
                  <w:tcW w:w="1229" w:type="dxa"/>
                  <w:vMerge w:val="continue"/>
                  <w:tcBorders>
                    <w:left w:val="single" w:color="auto" w:sz="6" w:space="0"/>
                  </w:tcBorders>
                  <w:noWrap w:val="0"/>
                  <w:vAlign w:val="center"/>
                </w:tcPr>
                <w:p w14:paraId="77411580">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7CB7A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44D1FCB1">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26</w:t>
                  </w:r>
                </w:p>
              </w:tc>
              <w:tc>
                <w:tcPr>
                  <w:tcW w:w="1751" w:type="dxa"/>
                  <w:noWrap w:val="0"/>
                  <w:vAlign w:val="center"/>
                </w:tcPr>
                <w:p w14:paraId="1613971A">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一次性帽子</w:t>
                  </w:r>
                </w:p>
              </w:tc>
              <w:tc>
                <w:tcPr>
                  <w:tcW w:w="1146" w:type="dxa"/>
                  <w:tcBorders>
                    <w:right w:val="single" w:color="auto" w:sz="6" w:space="0"/>
                  </w:tcBorders>
                  <w:noWrap w:val="0"/>
                  <w:vAlign w:val="center"/>
                </w:tcPr>
                <w:p w14:paraId="1079CC82">
                  <w:pPr>
                    <w:keepNext w:val="0"/>
                    <w:keepLines w:val="0"/>
                    <w:pageBreakBefore w:val="0"/>
                    <w:widowControl w:val="0"/>
                    <w:bidi w:val="0"/>
                    <w:spacing w:beforeAutospacing="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顶/年</w:t>
                  </w:r>
                </w:p>
              </w:tc>
              <w:tc>
                <w:tcPr>
                  <w:tcW w:w="1125" w:type="dxa"/>
                  <w:tcBorders>
                    <w:right w:val="single" w:color="auto" w:sz="6" w:space="0"/>
                  </w:tcBorders>
                  <w:noWrap w:val="0"/>
                  <w:vAlign w:val="center"/>
                </w:tcPr>
                <w:p w14:paraId="4493FA9E">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1320" w:type="dxa"/>
                  <w:tcBorders>
                    <w:right w:val="single" w:color="auto" w:sz="6" w:space="0"/>
                  </w:tcBorders>
                  <w:noWrap w:val="0"/>
                  <w:vAlign w:val="center"/>
                </w:tcPr>
                <w:p w14:paraId="454F073A">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15000</w:t>
                  </w:r>
                </w:p>
              </w:tc>
              <w:tc>
                <w:tcPr>
                  <w:tcW w:w="1373" w:type="dxa"/>
                  <w:tcBorders>
                    <w:left w:val="single" w:color="auto" w:sz="6" w:space="0"/>
                  </w:tcBorders>
                  <w:noWrap w:val="0"/>
                  <w:vAlign w:val="center"/>
                </w:tcPr>
                <w:p w14:paraId="25FE4F10">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400</w:t>
                  </w:r>
                </w:p>
              </w:tc>
              <w:tc>
                <w:tcPr>
                  <w:tcW w:w="1229" w:type="dxa"/>
                  <w:vMerge w:val="continue"/>
                  <w:tcBorders>
                    <w:left w:val="single" w:color="auto" w:sz="6" w:space="0"/>
                  </w:tcBorders>
                  <w:noWrap w:val="0"/>
                  <w:vAlign w:val="center"/>
                </w:tcPr>
                <w:p w14:paraId="6F1690E7">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6A06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5B0C3C47">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27</w:t>
                  </w:r>
                </w:p>
              </w:tc>
              <w:tc>
                <w:tcPr>
                  <w:tcW w:w="1751" w:type="dxa"/>
                  <w:noWrap w:val="0"/>
                  <w:vAlign w:val="center"/>
                </w:tcPr>
                <w:p w14:paraId="2D7D5855">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灭菌手套</w:t>
                  </w:r>
                </w:p>
              </w:tc>
              <w:tc>
                <w:tcPr>
                  <w:tcW w:w="1146" w:type="dxa"/>
                  <w:tcBorders>
                    <w:right w:val="single" w:color="auto" w:sz="6" w:space="0"/>
                  </w:tcBorders>
                  <w:noWrap w:val="0"/>
                  <w:vAlign w:val="center"/>
                </w:tcPr>
                <w:p w14:paraId="5F0B0CCB">
                  <w:pPr>
                    <w:keepNext w:val="0"/>
                    <w:keepLines w:val="0"/>
                    <w:pageBreakBefore w:val="0"/>
                    <w:widowControl w:val="0"/>
                    <w:bidi w:val="0"/>
                    <w:spacing w:beforeAutospacing="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副/年</w:t>
                  </w:r>
                </w:p>
              </w:tc>
              <w:tc>
                <w:tcPr>
                  <w:tcW w:w="1125" w:type="dxa"/>
                  <w:tcBorders>
                    <w:right w:val="single" w:color="auto" w:sz="6" w:space="0"/>
                  </w:tcBorders>
                  <w:noWrap w:val="0"/>
                  <w:vAlign w:val="center"/>
                </w:tcPr>
                <w:p w14:paraId="35CC4199">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olor w:val="auto"/>
                      <w:sz w:val="21"/>
                      <w:szCs w:val="21"/>
                      <w:lang w:val="en-US" w:eastAsia="zh-CN"/>
                    </w:rPr>
                    <w:t>/</w:t>
                  </w:r>
                </w:p>
              </w:tc>
              <w:tc>
                <w:tcPr>
                  <w:tcW w:w="1320" w:type="dxa"/>
                  <w:tcBorders>
                    <w:right w:val="single" w:color="auto" w:sz="6" w:space="0"/>
                  </w:tcBorders>
                  <w:noWrap w:val="0"/>
                  <w:vAlign w:val="center"/>
                </w:tcPr>
                <w:p w14:paraId="2655141E">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20000</w:t>
                  </w:r>
                </w:p>
              </w:tc>
              <w:tc>
                <w:tcPr>
                  <w:tcW w:w="1373" w:type="dxa"/>
                  <w:tcBorders>
                    <w:left w:val="single" w:color="auto" w:sz="6" w:space="0"/>
                  </w:tcBorders>
                  <w:noWrap w:val="0"/>
                  <w:vAlign w:val="center"/>
                </w:tcPr>
                <w:p w14:paraId="139FA765">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500</w:t>
                  </w:r>
                </w:p>
              </w:tc>
              <w:tc>
                <w:tcPr>
                  <w:tcW w:w="1229" w:type="dxa"/>
                  <w:vMerge w:val="continue"/>
                  <w:tcBorders>
                    <w:left w:val="single" w:color="auto" w:sz="6" w:space="0"/>
                  </w:tcBorders>
                  <w:noWrap w:val="0"/>
                  <w:vAlign w:val="center"/>
                </w:tcPr>
                <w:p w14:paraId="24A5AE13">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18FD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02FD119D">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28</w:t>
                  </w:r>
                </w:p>
              </w:tc>
              <w:tc>
                <w:tcPr>
                  <w:tcW w:w="1751" w:type="dxa"/>
                  <w:noWrap w:val="0"/>
                  <w:vAlign w:val="center"/>
                </w:tcPr>
                <w:p w14:paraId="6CA33A4C">
                  <w:pPr>
                    <w:keepNext w:val="0"/>
                    <w:keepLines w:val="0"/>
                    <w:pageBreakBefore w:val="0"/>
                    <w:widowControl w:val="0"/>
                    <w:bidi w:val="0"/>
                    <w:spacing w:beforeAutospacing="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84消毒液</w:t>
                  </w:r>
                </w:p>
              </w:tc>
              <w:tc>
                <w:tcPr>
                  <w:tcW w:w="1146" w:type="dxa"/>
                  <w:tcBorders>
                    <w:right w:val="single" w:color="auto" w:sz="6" w:space="0"/>
                  </w:tcBorders>
                  <w:noWrap w:val="0"/>
                  <w:vAlign w:val="center"/>
                </w:tcPr>
                <w:p w14:paraId="3E262391">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瓶/年</w:t>
                  </w:r>
                </w:p>
              </w:tc>
              <w:tc>
                <w:tcPr>
                  <w:tcW w:w="1125" w:type="dxa"/>
                  <w:tcBorders>
                    <w:right w:val="single" w:color="auto" w:sz="6" w:space="0"/>
                  </w:tcBorders>
                  <w:noWrap w:val="0"/>
                  <w:vAlign w:val="center"/>
                </w:tcPr>
                <w:p w14:paraId="3730BCF8">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500ml/瓶</w:t>
                  </w:r>
                </w:p>
              </w:tc>
              <w:tc>
                <w:tcPr>
                  <w:tcW w:w="1320" w:type="dxa"/>
                  <w:tcBorders>
                    <w:right w:val="single" w:color="auto" w:sz="6" w:space="0"/>
                  </w:tcBorders>
                  <w:noWrap w:val="0"/>
                  <w:vAlign w:val="center"/>
                </w:tcPr>
                <w:p w14:paraId="38A55F18">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1650</w:t>
                  </w:r>
                </w:p>
              </w:tc>
              <w:tc>
                <w:tcPr>
                  <w:tcW w:w="1373" w:type="dxa"/>
                  <w:tcBorders>
                    <w:left w:val="single" w:color="auto" w:sz="6" w:space="0"/>
                  </w:tcBorders>
                  <w:noWrap w:val="0"/>
                  <w:vAlign w:val="center"/>
                </w:tcPr>
                <w:p w14:paraId="748661A9">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80</w:t>
                  </w:r>
                </w:p>
              </w:tc>
              <w:tc>
                <w:tcPr>
                  <w:tcW w:w="1229" w:type="dxa"/>
                  <w:vMerge w:val="continue"/>
                  <w:tcBorders>
                    <w:left w:val="single" w:color="auto" w:sz="6" w:space="0"/>
                  </w:tcBorders>
                  <w:noWrap w:val="0"/>
                  <w:vAlign w:val="center"/>
                </w:tcPr>
                <w:p w14:paraId="595F8FAB">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55D75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67E75A22">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29</w:t>
                  </w:r>
                </w:p>
              </w:tc>
              <w:tc>
                <w:tcPr>
                  <w:tcW w:w="1751" w:type="dxa"/>
                  <w:noWrap w:val="0"/>
                  <w:vAlign w:val="center"/>
                </w:tcPr>
                <w:p w14:paraId="5EE01134">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碘伏消毒液</w:t>
                  </w:r>
                </w:p>
              </w:tc>
              <w:tc>
                <w:tcPr>
                  <w:tcW w:w="1146" w:type="dxa"/>
                  <w:tcBorders>
                    <w:right w:val="single" w:color="auto" w:sz="6" w:space="0"/>
                  </w:tcBorders>
                  <w:noWrap w:val="0"/>
                  <w:vAlign w:val="center"/>
                </w:tcPr>
                <w:p w14:paraId="389A1F12">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瓶/年</w:t>
                  </w:r>
                </w:p>
              </w:tc>
              <w:tc>
                <w:tcPr>
                  <w:tcW w:w="1125" w:type="dxa"/>
                  <w:tcBorders>
                    <w:right w:val="single" w:color="auto" w:sz="6" w:space="0"/>
                  </w:tcBorders>
                  <w:noWrap w:val="0"/>
                  <w:vAlign w:val="center"/>
                </w:tcPr>
                <w:p w14:paraId="7FA4EF08">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500ml/瓶</w:t>
                  </w:r>
                </w:p>
              </w:tc>
              <w:tc>
                <w:tcPr>
                  <w:tcW w:w="1320" w:type="dxa"/>
                  <w:tcBorders>
                    <w:right w:val="single" w:color="auto" w:sz="6" w:space="0"/>
                  </w:tcBorders>
                  <w:noWrap w:val="0"/>
                  <w:vAlign w:val="center"/>
                </w:tcPr>
                <w:p w14:paraId="5433FD08">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800</w:t>
                  </w:r>
                </w:p>
              </w:tc>
              <w:tc>
                <w:tcPr>
                  <w:tcW w:w="1373" w:type="dxa"/>
                  <w:tcBorders>
                    <w:left w:val="single" w:color="auto" w:sz="6" w:space="0"/>
                  </w:tcBorders>
                  <w:noWrap w:val="0"/>
                  <w:vAlign w:val="center"/>
                </w:tcPr>
                <w:p w14:paraId="0602527A">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40</w:t>
                  </w:r>
                </w:p>
              </w:tc>
              <w:tc>
                <w:tcPr>
                  <w:tcW w:w="1229" w:type="dxa"/>
                  <w:vMerge w:val="continue"/>
                  <w:tcBorders>
                    <w:left w:val="single" w:color="auto" w:sz="6" w:space="0"/>
                  </w:tcBorders>
                  <w:noWrap w:val="0"/>
                  <w:vAlign w:val="center"/>
                </w:tcPr>
                <w:p w14:paraId="755A3528">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p>
              </w:tc>
            </w:tr>
            <w:tr w14:paraId="3B316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591FF980">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r>
                    <w:rPr>
                      <w:rFonts w:hint="eastAsia" w:cs="Times New Roman"/>
                      <w:bCs/>
                      <w:color w:val="auto"/>
                      <w:sz w:val="21"/>
                      <w:szCs w:val="21"/>
                      <w:lang w:val="en-US" w:eastAsia="zh-CN"/>
                    </w:rPr>
                    <w:t>30</w:t>
                  </w:r>
                </w:p>
              </w:tc>
              <w:tc>
                <w:tcPr>
                  <w:tcW w:w="1751" w:type="dxa"/>
                  <w:noWrap w:val="0"/>
                  <w:vAlign w:val="center"/>
                </w:tcPr>
                <w:p w14:paraId="6D977C35">
                  <w:pPr>
                    <w:keepNext w:val="0"/>
                    <w:keepLines w:val="0"/>
                    <w:pageBreakBefore w:val="0"/>
                    <w:widowControl w:val="0"/>
                    <w:bidi w:val="0"/>
                    <w:spacing w:beforeAutospacing="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多酶清洗剂</w:t>
                  </w:r>
                </w:p>
              </w:tc>
              <w:tc>
                <w:tcPr>
                  <w:tcW w:w="1146" w:type="dxa"/>
                  <w:tcBorders>
                    <w:right w:val="single" w:color="auto" w:sz="6" w:space="0"/>
                  </w:tcBorders>
                  <w:noWrap w:val="0"/>
                  <w:vAlign w:val="center"/>
                </w:tcPr>
                <w:p w14:paraId="2974EFCA">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瓶/年</w:t>
                  </w:r>
                </w:p>
              </w:tc>
              <w:tc>
                <w:tcPr>
                  <w:tcW w:w="1125" w:type="dxa"/>
                  <w:tcBorders>
                    <w:right w:val="single" w:color="auto" w:sz="6" w:space="0"/>
                  </w:tcBorders>
                  <w:noWrap w:val="0"/>
                  <w:vAlign w:val="center"/>
                </w:tcPr>
                <w:p w14:paraId="17502AA5">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500ml/瓶</w:t>
                  </w:r>
                </w:p>
              </w:tc>
              <w:tc>
                <w:tcPr>
                  <w:tcW w:w="1320" w:type="dxa"/>
                  <w:tcBorders>
                    <w:right w:val="single" w:color="auto" w:sz="6" w:space="0"/>
                  </w:tcBorders>
                  <w:noWrap w:val="0"/>
                  <w:vAlign w:val="center"/>
                </w:tcPr>
                <w:p w14:paraId="4534476D">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60</w:t>
                  </w:r>
                </w:p>
              </w:tc>
              <w:tc>
                <w:tcPr>
                  <w:tcW w:w="1373" w:type="dxa"/>
                  <w:tcBorders>
                    <w:left w:val="single" w:color="auto" w:sz="6" w:space="0"/>
                  </w:tcBorders>
                  <w:noWrap w:val="0"/>
                  <w:vAlign w:val="center"/>
                </w:tcPr>
                <w:p w14:paraId="1F43EBBA">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4</w:t>
                  </w:r>
                </w:p>
              </w:tc>
              <w:tc>
                <w:tcPr>
                  <w:tcW w:w="1229" w:type="dxa"/>
                  <w:tcBorders>
                    <w:left w:val="single" w:color="auto" w:sz="6" w:space="0"/>
                  </w:tcBorders>
                  <w:noWrap w:val="0"/>
                  <w:vAlign w:val="center"/>
                </w:tcPr>
                <w:p w14:paraId="68E056A6">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r>
                    <w:rPr>
                      <w:rFonts w:hint="eastAsia" w:cs="Times New Roman"/>
                      <w:bCs/>
                      <w:color w:val="auto"/>
                      <w:sz w:val="21"/>
                      <w:szCs w:val="21"/>
                      <w:lang w:val="en-US" w:eastAsia="zh-CN"/>
                    </w:rPr>
                    <w:t>消毒中心</w:t>
                  </w:r>
                </w:p>
              </w:tc>
            </w:tr>
            <w:tr w14:paraId="7C8B9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7717C705">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31</w:t>
                  </w:r>
                </w:p>
              </w:tc>
              <w:tc>
                <w:tcPr>
                  <w:tcW w:w="1751" w:type="dxa"/>
                  <w:noWrap w:val="0"/>
                  <w:vAlign w:val="center"/>
                </w:tcPr>
                <w:p w14:paraId="15BC95FF">
                  <w:pPr>
                    <w:keepNext w:val="0"/>
                    <w:keepLines w:val="0"/>
                    <w:pageBreakBefore w:val="0"/>
                    <w:widowControl w:val="0"/>
                    <w:bidi w:val="0"/>
                    <w:spacing w:beforeAutospacing="0" w:afterAutospacing="0"/>
                    <w:ind w:left="0" w:leftChars="0" w:right="0" w:rightChars="0"/>
                    <w:jc w:val="center"/>
                    <w:rPr>
                      <w:rFonts w:hint="eastAsia" w:cs="Times New Roman"/>
                      <w:color w:val="auto"/>
                      <w:kern w:val="2"/>
                      <w:sz w:val="21"/>
                      <w:szCs w:val="21"/>
                      <w:lang w:val="en-US" w:eastAsia="zh-CN" w:bidi="ar-SA"/>
                    </w:rPr>
                  </w:pPr>
                  <w:r>
                    <w:rPr>
                      <w:rFonts w:hint="eastAsia"/>
                      <w:color w:val="auto"/>
                      <w:highlight w:val="none"/>
                      <w:lang w:val="en-US" w:eastAsia="zh-CN"/>
                    </w:rPr>
                    <w:t>单过硫酸氢钾</w:t>
                  </w:r>
                </w:p>
              </w:tc>
              <w:tc>
                <w:tcPr>
                  <w:tcW w:w="1146" w:type="dxa"/>
                  <w:tcBorders>
                    <w:right w:val="single" w:color="auto" w:sz="6" w:space="0"/>
                  </w:tcBorders>
                  <w:noWrap w:val="0"/>
                  <w:vAlign w:val="center"/>
                </w:tcPr>
                <w:p w14:paraId="6A6D3FBB">
                  <w:pPr>
                    <w:keepNext w:val="0"/>
                    <w:keepLines w:val="0"/>
                    <w:pageBreakBefore w:val="0"/>
                    <w:widowControl w:val="0"/>
                    <w:bidi w:val="0"/>
                    <w:spacing w:beforeAutospacing="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吨/年</w:t>
                  </w:r>
                </w:p>
              </w:tc>
              <w:tc>
                <w:tcPr>
                  <w:tcW w:w="1125" w:type="dxa"/>
                  <w:tcBorders>
                    <w:right w:val="single" w:color="auto" w:sz="6" w:space="0"/>
                  </w:tcBorders>
                  <w:noWrap w:val="0"/>
                  <w:vAlign w:val="center"/>
                </w:tcPr>
                <w:p w14:paraId="230C506E">
                  <w:pPr>
                    <w:keepNext w:val="0"/>
                    <w:keepLines w:val="0"/>
                    <w:pageBreakBefore w:val="0"/>
                    <w:widowControl w:val="0"/>
                    <w:bidi w:val="0"/>
                    <w:spacing w:beforeAutospacing="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袋装</w:t>
                  </w:r>
                </w:p>
              </w:tc>
              <w:tc>
                <w:tcPr>
                  <w:tcW w:w="1320" w:type="dxa"/>
                  <w:tcBorders>
                    <w:right w:val="single" w:color="auto" w:sz="6" w:space="0"/>
                  </w:tcBorders>
                  <w:noWrap w:val="0"/>
                  <w:vAlign w:val="center"/>
                </w:tcPr>
                <w:p w14:paraId="6BB64C64">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3.5</w:t>
                  </w:r>
                </w:p>
              </w:tc>
              <w:tc>
                <w:tcPr>
                  <w:tcW w:w="1373" w:type="dxa"/>
                  <w:tcBorders>
                    <w:left w:val="single" w:color="auto" w:sz="6" w:space="0"/>
                  </w:tcBorders>
                  <w:noWrap w:val="0"/>
                  <w:vAlign w:val="center"/>
                </w:tcPr>
                <w:p w14:paraId="418A8512">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0.5</w:t>
                  </w:r>
                </w:p>
              </w:tc>
              <w:tc>
                <w:tcPr>
                  <w:tcW w:w="1229" w:type="dxa"/>
                  <w:tcBorders>
                    <w:left w:val="single" w:color="auto" w:sz="6" w:space="0"/>
                  </w:tcBorders>
                  <w:noWrap w:val="0"/>
                  <w:vAlign w:val="center"/>
                </w:tcPr>
                <w:p w14:paraId="1D8823EC">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bCs/>
                      <w:color w:val="auto"/>
                      <w:sz w:val="21"/>
                      <w:szCs w:val="21"/>
                      <w:lang w:val="en-US" w:eastAsia="zh-CN"/>
                    </w:rPr>
                  </w:pPr>
                  <w:r>
                    <w:rPr>
                      <w:rFonts w:hint="eastAsia" w:cs="Times New Roman"/>
                      <w:bCs/>
                      <w:color w:val="auto"/>
                      <w:sz w:val="21"/>
                      <w:szCs w:val="21"/>
                      <w:lang w:val="en-US" w:eastAsia="zh-CN"/>
                    </w:rPr>
                    <w:t>污水处理站</w:t>
                  </w:r>
                </w:p>
              </w:tc>
            </w:tr>
            <w:tr w14:paraId="7D5D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noWrap w:val="0"/>
                  <w:vAlign w:val="center"/>
                </w:tcPr>
                <w:p w14:paraId="39AD30DF">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32</w:t>
                  </w:r>
                </w:p>
              </w:tc>
              <w:tc>
                <w:tcPr>
                  <w:tcW w:w="1751" w:type="dxa"/>
                  <w:noWrap w:val="0"/>
                  <w:vAlign w:val="center"/>
                </w:tcPr>
                <w:p w14:paraId="3BED79A0">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水</w:t>
                  </w:r>
                </w:p>
              </w:tc>
              <w:tc>
                <w:tcPr>
                  <w:tcW w:w="1146" w:type="dxa"/>
                  <w:tcBorders>
                    <w:right w:val="single" w:color="auto" w:sz="6" w:space="0"/>
                  </w:tcBorders>
                  <w:noWrap w:val="0"/>
                  <w:vAlign w:val="center"/>
                </w:tcPr>
                <w:p w14:paraId="7FD691D7">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1125" w:type="dxa"/>
                  <w:tcBorders>
                    <w:right w:val="single" w:color="auto" w:sz="6" w:space="0"/>
                  </w:tcBorders>
                  <w:noWrap w:val="0"/>
                  <w:vAlign w:val="center"/>
                </w:tcPr>
                <w:p w14:paraId="0B2CD65B">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1320" w:type="dxa"/>
                  <w:tcBorders>
                    <w:right w:val="single" w:color="auto" w:sz="6" w:space="0"/>
                  </w:tcBorders>
                  <w:noWrap w:val="0"/>
                  <w:vAlign w:val="center"/>
                </w:tcPr>
                <w:p w14:paraId="3D21BE94">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68715.0095t/a</w:t>
                  </w:r>
                </w:p>
              </w:tc>
              <w:tc>
                <w:tcPr>
                  <w:tcW w:w="1373" w:type="dxa"/>
                  <w:tcBorders>
                    <w:left w:val="single" w:color="auto" w:sz="6" w:space="0"/>
                  </w:tcBorders>
                  <w:noWrap w:val="0"/>
                  <w:vAlign w:val="center"/>
                </w:tcPr>
                <w:p w14:paraId="057433B9">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w:t>
                  </w:r>
                </w:p>
              </w:tc>
              <w:tc>
                <w:tcPr>
                  <w:tcW w:w="1229" w:type="dxa"/>
                  <w:tcBorders>
                    <w:left w:val="single" w:color="auto" w:sz="6" w:space="0"/>
                  </w:tcBorders>
                  <w:noWrap w:val="0"/>
                  <w:vAlign w:val="center"/>
                </w:tcPr>
                <w:p w14:paraId="7921371B">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w:t>
                  </w:r>
                </w:p>
              </w:tc>
            </w:tr>
            <w:tr w14:paraId="333A8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9" w:type="dxa"/>
                  <w:tcBorders>
                    <w:bottom w:val="single" w:color="auto" w:sz="6" w:space="0"/>
                  </w:tcBorders>
                  <w:noWrap w:val="0"/>
                  <w:vAlign w:val="center"/>
                </w:tcPr>
                <w:p w14:paraId="6FFC1B61">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33</w:t>
                  </w:r>
                </w:p>
              </w:tc>
              <w:tc>
                <w:tcPr>
                  <w:tcW w:w="1751" w:type="dxa"/>
                  <w:noWrap w:val="0"/>
                  <w:vAlign w:val="center"/>
                </w:tcPr>
                <w:p w14:paraId="32B56B65">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电</w:t>
                  </w:r>
                </w:p>
              </w:tc>
              <w:tc>
                <w:tcPr>
                  <w:tcW w:w="1146" w:type="dxa"/>
                  <w:tcBorders>
                    <w:bottom w:val="single" w:color="auto" w:sz="6" w:space="0"/>
                    <w:right w:val="single" w:color="auto" w:sz="6" w:space="0"/>
                  </w:tcBorders>
                  <w:noWrap w:val="0"/>
                  <w:vAlign w:val="center"/>
                </w:tcPr>
                <w:p w14:paraId="71810F36">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1125" w:type="dxa"/>
                  <w:tcBorders>
                    <w:bottom w:val="single" w:color="auto" w:sz="6" w:space="0"/>
                    <w:right w:val="single" w:color="auto" w:sz="6" w:space="0"/>
                  </w:tcBorders>
                  <w:noWrap w:val="0"/>
                  <w:vAlign w:val="center"/>
                </w:tcPr>
                <w:p w14:paraId="7879E1D6">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1320" w:type="dxa"/>
                  <w:tcBorders>
                    <w:bottom w:val="single" w:color="auto" w:sz="6" w:space="0"/>
                    <w:right w:val="single" w:color="auto" w:sz="6" w:space="0"/>
                  </w:tcBorders>
                  <w:noWrap w:val="0"/>
                  <w:vAlign w:val="center"/>
                </w:tcPr>
                <w:p w14:paraId="7F2DD7A1">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141万</w:t>
                  </w:r>
                  <w:r>
                    <w:rPr>
                      <w:rFonts w:hint="default" w:ascii="Times New Roman" w:hAnsi="Times New Roman" w:eastAsia="微软雅黑" w:cs="Times New Roman"/>
                      <w:i w:val="0"/>
                      <w:iCs w:val="0"/>
                      <w:caps w:val="0"/>
                      <w:color w:val="auto"/>
                      <w:spacing w:val="0"/>
                      <w:sz w:val="21"/>
                      <w:szCs w:val="21"/>
                      <w:shd w:val="clear" w:fill="FFFFFF"/>
                    </w:rPr>
                    <w:t>kW·h</w:t>
                  </w:r>
                </w:p>
              </w:tc>
              <w:tc>
                <w:tcPr>
                  <w:tcW w:w="1373" w:type="dxa"/>
                  <w:tcBorders>
                    <w:left w:val="single" w:color="auto" w:sz="6" w:space="0"/>
                    <w:bottom w:val="single" w:color="auto" w:sz="6" w:space="0"/>
                  </w:tcBorders>
                  <w:noWrap w:val="0"/>
                  <w:vAlign w:val="center"/>
                </w:tcPr>
                <w:p w14:paraId="2477DF34">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cs="Times New Roman"/>
                      <w:bCs/>
                      <w:color w:val="auto"/>
                      <w:sz w:val="21"/>
                      <w:szCs w:val="21"/>
                      <w:lang w:val="en-US" w:eastAsia="zh-CN"/>
                    </w:rPr>
                  </w:pPr>
                  <w:r>
                    <w:rPr>
                      <w:rFonts w:hint="eastAsia" w:cs="Times New Roman"/>
                      <w:bCs/>
                      <w:color w:val="auto"/>
                      <w:sz w:val="21"/>
                      <w:szCs w:val="21"/>
                      <w:lang w:val="en-US" w:eastAsia="zh-CN"/>
                    </w:rPr>
                    <w:t>/</w:t>
                  </w:r>
                </w:p>
              </w:tc>
              <w:tc>
                <w:tcPr>
                  <w:tcW w:w="1229" w:type="dxa"/>
                  <w:tcBorders>
                    <w:left w:val="single" w:color="auto" w:sz="6" w:space="0"/>
                    <w:bottom w:val="single" w:color="auto" w:sz="6" w:space="0"/>
                  </w:tcBorders>
                  <w:noWrap w:val="0"/>
                  <w:vAlign w:val="center"/>
                </w:tcPr>
                <w:p w14:paraId="3F912E92">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w:t>
                  </w:r>
                </w:p>
              </w:tc>
            </w:tr>
          </w:tbl>
          <w:p w14:paraId="5C8FF0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jc w:val="both"/>
              <w:textAlignment w:val="auto"/>
              <w:rPr>
                <w:rFonts w:hint="eastAsia" w:ascii="Times New Roman" w:hAnsi="Times New Roman" w:eastAsia="宋体" w:cs="Times New Roman"/>
                <w:b/>
                <w:color w:val="auto"/>
                <w:kern w:val="2"/>
                <w:sz w:val="24"/>
                <w:szCs w:val="32"/>
                <w:lang w:eastAsia="zh-CN"/>
              </w:rPr>
            </w:pPr>
            <w:r>
              <w:rPr>
                <w:rFonts w:hint="eastAsia" w:ascii="Times New Roman" w:hAnsi="Times New Roman" w:cs="Times New Roman"/>
                <w:b/>
                <w:color w:val="auto"/>
                <w:kern w:val="2"/>
                <w:sz w:val="24"/>
                <w:szCs w:val="32"/>
                <w:lang w:val="en-US" w:eastAsia="zh-CN"/>
              </w:rPr>
              <w:t>6</w:t>
            </w:r>
            <w:r>
              <w:rPr>
                <w:rFonts w:hint="default" w:ascii="Times New Roman" w:hAnsi="Times New Roman" w:cs="Times New Roman"/>
                <w:b/>
                <w:color w:val="auto"/>
                <w:kern w:val="2"/>
                <w:sz w:val="24"/>
                <w:szCs w:val="32"/>
              </w:rPr>
              <w:t>、项目定员及工作制度</w:t>
            </w:r>
          </w:p>
          <w:p w14:paraId="74B805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firstLine="480" w:firstLineChars="200"/>
              <w:jc w:val="both"/>
              <w:textAlignment w:val="auto"/>
              <w:rPr>
                <w:sz w:val="24"/>
                <w:szCs w:val="32"/>
              </w:rPr>
            </w:pPr>
            <w:r>
              <w:rPr>
                <w:rFonts w:hint="eastAsia"/>
                <w:sz w:val="24"/>
                <w:szCs w:val="32"/>
              </w:rPr>
              <w:t>本</w:t>
            </w:r>
            <w:r>
              <w:rPr>
                <w:rFonts w:hint="eastAsia"/>
                <w:sz w:val="24"/>
                <w:szCs w:val="32"/>
                <w:lang w:eastAsia="zh-CN"/>
              </w:rPr>
              <w:t>次扩建</w:t>
            </w:r>
            <w:r>
              <w:rPr>
                <w:rFonts w:hint="eastAsia"/>
                <w:sz w:val="24"/>
                <w:szCs w:val="32"/>
              </w:rPr>
              <w:t>项目新增</w:t>
            </w:r>
            <w:r>
              <w:rPr>
                <w:rFonts w:hint="eastAsia"/>
                <w:sz w:val="24"/>
                <w:szCs w:val="32"/>
                <w:lang w:eastAsia="zh-CN"/>
              </w:rPr>
              <w:t>临床医师</w:t>
            </w:r>
            <w:r>
              <w:rPr>
                <w:rFonts w:hint="eastAsia"/>
                <w:sz w:val="24"/>
                <w:szCs w:val="32"/>
                <w:lang w:val="en-US" w:eastAsia="zh-CN"/>
              </w:rPr>
              <w:t>232人、护理人员293人、后勤人员20人</w:t>
            </w:r>
            <w:r>
              <w:rPr>
                <w:sz w:val="24"/>
                <w:szCs w:val="32"/>
              </w:rPr>
              <w:t>。</w:t>
            </w:r>
          </w:p>
          <w:p w14:paraId="745409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firstLine="480" w:firstLineChars="200"/>
              <w:jc w:val="both"/>
              <w:textAlignment w:val="auto"/>
              <w:rPr>
                <w:rFonts w:hint="eastAsia" w:cs="Times New Roman"/>
                <w:b/>
                <w:color w:val="auto"/>
                <w:kern w:val="2"/>
                <w:sz w:val="24"/>
                <w:szCs w:val="32"/>
                <w:lang w:val="en-US" w:eastAsia="zh-CN"/>
              </w:rPr>
            </w:pPr>
            <w:r>
              <w:rPr>
                <w:sz w:val="24"/>
                <w:szCs w:val="32"/>
              </w:rPr>
              <w:t>工作制度：</w:t>
            </w:r>
            <w:r>
              <w:rPr>
                <w:rFonts w:hint="default" w:ascii="Times New Roman" w:hAnsi="Times New Roman" w:eastAsia="宋体" w:cs="Times New Roman"/>
                <w:color w:val="auto"/>
                <w:sz w:val="24"/>
                <w:szCs w:val="24"/>
                <w:highlight w:val="none"/>
                <w:lang w:val="en-US" w:eastAsia="zh-CN"/>
              </w:rPr>
              <w:t>每天24小时运转，全年</w:t>
            </w:r>
            <w:r>
              <w:rPr>
                <w:rFonts w:hint="eastAsia" w:ascii="Times New Roman" w:hAnsi="Times New Roman" w:eastAsia="宋体" w:cs="Times New Roman"/>
                <w:color w:val="auto"/>
                <w:sz w:val="24"/>
                <w:szCs w:val="24"/>
                <w:highlight w:val="none"/>
                <w:lang w:val="en-US" w:eastAsia="zh-CN"/>
              </w:rPr>
              <w:t>营业</w:t>
            </w:r>
            <w:r>
              <w:rPr>
                <w:rFonts w:hint="default" w:ascii="Times New Roman" w:hAnsi="Times New Roman" w:eastAsia="宋体" w:cs="Times New Roman"/>
                <w:color w:val="auto"/>
                <w:sz w:val="24"/>
                <w:szCs w:val="24"/>
                <w:highlight w:val="none"/>
                <w:lang w:val="en-US" w:eastAsia="zh-CN"/>
              </w:rPr>
              <w:t>365天</w:t>
            </w:r>
            <w:r>
              <w:rPr>
                <w:rFonts w:hint="default" w:ascii="Times New Roman" w:hAnsi="Times New Roman" w:cs="Times New Roman"/>
                <w:color w:val="auto"/>
                <w:kern w:val="2"/>
                <w:sz w:val="24"/>
                <w:szCs w:val="32"/>
              </w:rPr>
              <w:t>。</w:t>
            </w:r>
          </w:p>
          <w:p w14:paraId="4D3DFC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firstLine="482" w:firstLineChars="200"/>
              <w:jc w:val="both"/>
              <w:textAlignment w:val="auto"/>
              <w:rPr>
                <w:rFonts w:hint="default" w:ascii="Times New Roman" w:hAnsi="Times New Roman" w:cs="Times New Roman"/>
                <w:b/>
                <w:color w:val="auto"/>
                <w:kern w:val="2"/>
                <w:sz w:val="24"/>
                <w:szCs w:val="32"/>
                <w:lang w:val="en-US" w:eastAsia="zh-CN"/>
              </w:rPr>
            </w:pPr>
            <w:r>
              <w:rPr>
                <w:rFonts w:hint="eastAsia" w:cs="Times New Roman"/>
                <w:b/>
                <w:color w:val="auto"/>
                <w:kern w:val="2"/>
                <w:sz w:val="24"/>
                <w:szCs w:val="32"/>
                <w:lang w:val="en-US" w:eastAsia="zh-CN"/>
              </w:rPr>
              <w:t>7</w:t>
            </w:r>
            <w:r>
              <w:rPr>
                <w:rFonts w:hint="default" w:ascii="Times New Roman" w:hAnsi="Times New Roman" w:cs="Times New Roman"/>
                <w:b/>
                <w:color w:val="auto"/>
                <w:kern w:val="2"/>
                <w:sz w:val="24"/>
                <w:szCs w:val="32"/>
                <w:lang w:val="en-US" w:eastAsia="zh-CN"/>
              </w:rPr>
              <w:t>、公用工程</w:t>
            </w:r>
          </w:p>
          <w:p w14:paraId="495037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cs="Times New Roman"/>
                <w:b w:val="0"/>
                <w:bCs/>
                <w:color w:val="auto"/>
                <w:kern w:val="2"/>
                <w:sz w:val="24"/>
                <w:szCs w:val="32"/>
                <w:lang w:val="en-US" w:eastAsia="zh-CN"/>
              </w:rPr>
            </w:pPr>
            <w:r>
              <w:rPr>
                <w:rFonts w:hint="default" w:ascii="Times New Roman" w:hAnsi="Times New Roman" w:cs="Times New Roman"/>
                <w:b w:val="0"/>
                <w:bCs/>
                <w:color w:val="auto"/>
                <w:kern w:val="2"/>
                <w:sz w:val="24"/>
                <w:szCs w:val="32"/>
                <w:lang w:val="en-US" w:eastAsia="zh-CN"/>
              </w:rPr>
              <w:t>（1）用</w:t>
            </w:r>
            <w:r>
              <w:rPr>
                <w:rFonts w:hint="eastAsia" w:cs="Times New Roman"/>
                <w:b w:val="0"/>
                <w:bCs/>
                <w:color w:val="auto"/>
                <w:kern w:val="2"/>
                <w:sz w:val="24"/>
                <w:szCs w:val="32"/>
                <w:lang w:val="en-US" w:eastAsia="zh-CN"/>
              </w:rPr>
              <w:t>、排</w:t>
            </w:r>
            <w:r>
              <w:rPr>
                <w:rFonts w:hint="default" w:ascii="Times New Roman" w:hAnsi="Times New Roman" w:cs="Times New Roman"/>
                <w:b w:val="0"/>
                <w:bCs/>
                <w:color w:val="auto"/>
                <w:kern w:val="2"/>
                <w:sz w:val="24"/>
                <w:szCs w:val="32"/>
                <w:lang w:val="en-US" w:eastAsia="zh-CN"/>
              </w:rPr>
              <w:t>水</w:t>
            </w:r>
          </w:p>
          <w:p w14:paraId="2A92A59E">
            <w:pPr>
              <w:keepNext w:val="0"/>
              <w:keepLines w:val="0"/>
              <w:pageBreakBefore w:val="0"/>
              <w:widowControl w:val="0"/>
              <w:bidi w:val="0"/>
              <w:adjustRightInd w:val="0"/>
              <w:snapToGrid w:val="0"/>
              <w:spacing w:beforeAutospacing="0" w:afterAutospacing="0" w:line="360" w:lineRule="auto"/>
              <w:ind w:left="0" w:leftChars="0" w:right="0" w:rightChars="0" w:firstLine="480" w:firstLineChars="200"/>
              <w:jc w:val="both"/>
              <w:rPr>
                <w:rFonts w:hint="default" w:ascii="Times New Roman" w:hAnsi="Times New Roman" w:cs="Times New Roman"/>
                <w:color w:val="auto"/>
                <w:sz w:val="24"/>
                <w:lang w:eastAsia="zh-CN"/>
              </w:rPr>
            </w:pPr>
            <w:r>
              <w:rPr>
                <w:rFonts w:hint="eastAsia" w:cs="Times New Roman"/>
                <w:bCs/>
                <w:color w:val="auto"/>
                <w:sz w:val="24"/>
                <w:szCs w:val="24"/>
                <w:lang w:eastAsia="zh-CN"/>
              </w:rPr>
              <w:t>建设单位不设洗衣房，所有衣服委外洗涤，因此无相关洗涤用水产生。本项目用水主要为医护人员生活用水、后勤人员生活用水、食堂用水、住院病床用水、医疗器械洗消用水以及地面保洁用水</w:t>
            </w:r>
            <w:r>
              <w:rPr>
                <w:rFonts w:hint="eastAsia" w:cs="Times New Roman"/>
                <w:color w:val="auto"/>
                <w:kern w:val="1"/>
                <w:sz w:val="24"/>
                <w:lang w:eastAsia="zh-CN"/>
              </w:rPr>
              <w:t>。</w:t>
            </w:r>
            <w:r>
              <w:rPr>
                <w:rFonts w:hint="eastAsia" w:cs="Times New Roman"/>
                <w:color w:val="auto"/>
                <w:kern w:val="1"/>
                <w:sz w:val="24"/>
                <w:szCs w:val="24"/>
                <w:lang w:eastAsia="zh-CN"/>
              </w:rPr>
              <w:t>项目</w:t>
            </w:r>
            <w:r>
              <w:rPr>
                <w:rFonts w:hint="eastAsia" w:ascii="Times New Roman" w:hAnsi="Times New Roman" w:eastAsia="宋体" w:cs="Times New Roman"/>
                <w:color w:val="auto"/>
                <w:kern w:val="0"/>
                <w:sz w:val="24"/>
                <w:szCs w:val="24"/>
                <w:lang w:val="en-US" w:eastAsia="zh-CN" w:bidi="ar-SA"/>
              </w:rPr>
              <w:t>食堂废水</w:t>
            </w:r>
            <w:r>
              <w:rPr>
                <w:rFonts w:hint="eastAsia" w:cs="Times New Roman"/>
                <w:color w:val="auto"/>
                <w:kern w:val="0"/>
                <w:sz w:val="24"/>
                <w:szCs w:val="24"/>
                <w:lang w:val="en-US" w:eastAsia="zh-CN" w:bidi="ar-SA"/>
              </w:rPr>
              <w:t>经隔油池预处理后汇同</w:t>
            </w:r>
            <w:r>
              <w:rPr>
                <w:rFonts w:hint="eastAsia" w:ascii="Times New Roman" w:hAnsi="Times New Roman" w:eastAsia="宋体" w:cs="Times New Roman"/>
                <w:color w:val="auto"/>
                <w:kern w:val="0"/>
                <w:sz w:val="24"/>
                <w:szCs w:val="24"/>
                <w:lang w:val="en-US" w:eastAsia="zh-CN" w:bidi="ar-SA"/>
              </w:rPr>
              <w:t>生活污水</w:t>
            </w:r>
            <w:r>
              <w:rPr>
                <w:rFonts w:hint="eastAsia" w:cs="Times New Roman"/>
                <w:color w:val="auto"/>
                <w:kern w:val="0"/>
                <w:sz w:val="24"/>
                <w:szCs w:val="24"/>
                <w:lang w:val="en-US" w:eastAsia="zh-CN" w:bidi="ar-SA"/>
              </w:rPr>
              <w:t>一起</w:t>
            </w:r>
            <w:r>
              <w:rPr>
                <w:rFonts w:hint="eastAsia" w:ascii="Times New Roman" w:hAnsi="Times New Roman" w:eastAsia="宋体" w:cs="Times New Roman"/>
                <w:color w:val="auto"/>
                <w:kern w:val="0"/>
                <w:sz w:val="24"/>
                <w:szCs w:val="24"/>
                <w:lang w:val="en-US" w:eastAsia="zh-CN" w:bidi="ar-SA"/>
              </w:rPr>
              <w:t>经化粪池处理后进入厂区</w:t>
            </w:r>
            <w:r>
              <w:rPr>
                <w:rFonts w:hint="eastAsia" w:cs="Times New Roman"/>
                <w:color w:val="auto"/>
                <w:kern w:val="0"/>
                <w:sz w:val="24"/>
                <w:szCs w:val="24"/>
                <w:lang w:val="en-US" w:eastAsia="zh-CN" w:bidi="ar-SA"/>
              </w:rPr>
              <w:t>污水处理站</w:t>
            </w:r>
            <w:r>
              <w:rPr>
                <w:rFonts w:hint="eastAsia" w:ascii="Times New Roman" w:hAnsi="Times New Roman" w:eastAsia="宋体" w:cs="Times New Roman"/>
                <w:color w:val="auto"/>
                <w:kern w:val="0"/>
                <w:sz w:val="24"/>
                <w:szCs w:val="24"/>
                <w:lang w:val="en-US" w:eastAsia="zh-CN" w:bidi="ar-SA"/>
              </w:rPr>
              <w:t>处理后，排入市政污水管网进入</w:t>
            </w:r>
            <w:r>
              <w:rPr>
                <w:rFonts w:hint="eastAsia" w:cs="Times New Roman"/>
                <w:color w:val="auto"/>
                <w:kern w:val="0"/>
                <w:sz w:val="24"/>
                <w:szCs w:val="24"/>
                <w:lang w:val="en-US" w:eastAsia="zh-CN" w:bidi="ar-SA"/>
              </w:rPr>
              <w:t>潘集污水处理厂</w:t>
            </w:r>
            <w:r>
              <w:rPr>
                <w:rFonts w:hint="eastAsia" w:ascii="Times New Roman" w:hAnsi="Times New Roman" w:eastAsia="宋体" w:cs="Times New Roman"/>
                <w:color w:val="auto"/>
                <w:kern w:val="0"/>
                <w:sz w:val="24"/>
                <w:szCs w:val="24"/>
                <w:lang w:val="en-US" w:eastAsia="zh-CN" w:bidi="ar-SA"/>
              </w:rPr>
              <w:t>处理；</w:t>
            </w:r>
            <w:r>
              <w:rPr>
                <w:rFonts w:hint="eastAsia" w:cs="Times New Roman"/>
                <w:color w:val="auto"/>
                <w:kern w:val="0"/>
                <w:sz w:val="24"/>
                <w:szCs w:val="24"/>
                <w:lang w:val="en-US" w:eastAsia="zh-CN" w:bidi="ar-SA"/>
              </w:rPr>
              <w:t>住院病床废水、医疗器械洗消废水直接进入</w:t>
            </w:r>
            <w:r>
              <w:rPr>
                <w:rFonts w:hint="eastAsia" w:ascii="Times New Roman" w:hAnsi="Times New Roman" w:eastAsia="宋体" w:cs="Times New Roman"/>
                <w:color w:val="auto"/>
                <w:kern w:val="0"/>
                <w:sz w:val="24"/>
                <w:szCs w:val="24"/>
                <w:lang w:val="en-US" w:eastAsia="zh-CN" w:bidi="ar-SA"/>
              </w:rPr>
              <w:t>厂区</w:t>
            </w:r>
            <w:r>
              <w:rPr>
                <w:rFonts w:hint="eastAsia" w:cs="Times New Roman"/>
                <w:color w:val="auto"/>
                <w:kern w:val="0"/>
                <w:sz w:val="24"/>
                <w:szCs w:val="24"/>
                <w:lang w:val="en-US" w:eastAsia="zh-CN" w:bidi="ar-SA"/>
              </w:rPr>
              <w:t>污水处理站</w:t>
            </w:r>
            <w:r>
              <w:rPr>
                <w:rFonts w:hint="eastAsia" w:ascii="Times New Roman" w:hAnsi="Times New Roman" w:eastAsia="宋体" w:cs="Times New Roman"/>
                <w:color w:val="auto"/>
                <w:kern w:val="0"/>
                <w:sz w:val="24"/>
                <w:szCs w:val="24"/>
                <w:lang w:val="en-US" w:eastAsia="zh-CN" w:bidi="ar-SA"/>
              </w:rPr>
              <w:t>处理后，排入市政污水管网进入</w:t>
            </w:r>
            <w:r>
              <w:rPr>
                <w:rFonts w:hint="eastAsia" w:cs="Times New Roman"/>
                <w:color w:val="auto"/>
                <w:kern w:val="0"/>
                <w:sz w:val="24"/>
                <w:szCs w:val="24"/>
                <w:lang w:val="en-US" w:eastAsia="zh-CN" w:bidi="ar-SA"/>
              </w:rPr>
              <w:t>潘集污水处理厂</w:t>
            </w:r>
            <w:r>
              <w:rPr>
                <w:rFonts w:hint="eastAsia" w:ascii="Times New Roman" w:hAnsi="Times New Roman" w:eastAsia="宋体" w:cs="Times New Roman"/>
                <w:color w:val="auto"/>
                <w:kern w:val="0"/>
                <w:sz w:val="24"/>
                <w:szCs w:val="24"/>
                <w:lang w:val="en-US" w:eastAsia="zh-CN" w:bidi="ar-SA"/>
              </w:rPr>
              <w:t>处理</w:t>
            </w:r>
            <w:r>
              <w:rPr>
                <w:rFonts w:hint="eastAsia" w:cs="Times New Roman"/>
                <w:color w:val="auto"/>
                <w:kern w:val="0"/>
                <w:sz w:val="24"/>
                <w:szCs w:val="24"/>
                <w:lang w:val="en-US" w:eastAsia="zh-CN" w:bidi="ar-SA"/>
              </w:rPr>
              <w:t>；蒸汽发生器浓水和纯水制备浓水直接由厂区污水总排口</w:t>
            </w:r>
            <w:r>
              <w:rPr>
                <w:rFonts w:hint="eastAsia" w:ascii="Times New Roman" w:hAnsi="Times New Roman" w:eastAsia="宋体" w:cs="Times New Roman"/>
                <w:color w:val="auto"/>
                <w:kern w:val="0"/>
                <w:sz w:val="24"/>
                <w:szCs w:val="24"/>
                <w:lang w:val="en-US" w:eastAsia="zh-CN" w:bidi="ar-SA"/>
              </w:rPr>
              <w:t>排入市政污水管网进入</w:t>
            </w:r>
            <w:r>
              <w:rPr>
                <w:rFonts w:hint="eastAsia" w:cs="Times New Roman"/>
                <w:color w:val="auto"/>
                <w:kern w:val="0"/>
                <w:sz w:val="24"/>
                <w:szCs w:val="24"/>
                <w:lang w:val="en-US" w:eastAsia="zh-CN" w:bidi="ar-SA"/>
              </w:rPr>
              <w:t>潘集污水处理厂</w:t>
            </w:r>
            <w:r>
              <w:rPr>
                <w:rFonts w:hint="eastAsia" w:ascii="Times New Roman" w:hAnsi="Times New Roman" w:eastAsia="宋体" w:cs="Times New Roman"/>
                <w:color w:val="auto"/>
                <w:kern w:val="0"/>
                <w:sz w:val="24"/>
                <w:szCs w:val="24"/>
                <w:lang w:val="en-US" w:eastAsia="zh-CN" w:bidi="ar-SA"/>
              </w:rPr>
              <w:t>处理</w:t>
            </w:r>
            <w:r>
              <w:rPr>
                <w:rFonts w:hint="eastAsia" w:ascii="Times New Roman" w:hAnsi="Times New Roman" w:eastAsia="宋体" w:cs="Times New Roman"/>
                <w:bCs/>
                <w:color w:val="auto"/>
                <w:sz w:val="24"/>
                <w:szCs w:val="24"/>
                <w:lang w:val="en-US" w:eastAsia="zh-CN"/>
              </w:rPr>
              <w:t>。</w:t>
            </w:r>
          </w:p>
          <w:p w14:paraId="59C06F29">
            <w:pPr>
              <w:adjustRightInd w:val="0"/>
              <w:snapToGrid w:val="0"/>
              <w:spacing w:line="360" w:lineRule="auto"/>
              <w:ind w:firstLine="480" w:firstLineChars="200"/>
              <w:rPr>
                <w:rFonts w:hint="eastAsia" w:cs="Times New Roman"/>
                <w:b/>
                <w:bCs/>
                <w:color w:val="auto"/>
                <w:sz w:val="24"/>
                <w:szCs w:val="24"/>
                <w:lang w:eastAsia="zh-CN"/>
              </w:rPr>
            </w:pPr>
            <w:r>
              <w:rPr>
                <w:rFonts w:hint="default" w:ascii="Times New Roman" w:hAnsi="Times New Roman" w:eastAsia="宋体" w:cs="Times New Roman"/>
                <w:color w:val="auto"/>
                <w:sz w:val="24"/>
                <w:szCs w:val="24"/>
                <w:lang w:val="en-US" w:eastAsia="zh-CN"/>
              </w:rPr>
              <w:t>①</w:t>
            </w:r>
            <w:r>
              <w:rPr>
                <w:rFonts w:hint="eastAsia" w:cs="Times New Roman"/>
                <w:b w:val="0"/>
                <w:bCs w:val="0"/>
                <w:color w:val="auto"/>
                <w:sz w:val="24"/>
                <w:szCs w:val="24"/>
                <w:lang w:eastAsia="zh-CN"/>
              </w:rPr>
              <w:t>医护人员生活用水</w:t>
            </w:r>
          </w:p>
          <w:p w14:paraId="7AF43A8F">
            <w:pPr>
              <w:adjustRightInd w:val="0"/>
              <w:snapToGrid w:val="0"/>
              <w:spacing w:line="360" w:lineRule="auto"/>
              <w:ind w:firstLine="480" w:firstLineChars="200"/>
              <w:rPr>
                <w:rFonts w:hint="eastAsia" w:ascii="Times New Roman" w:hAnsi="Times New Roman" w:cs="Times New Roman"/>
                <w:color w:val="auto"/>
                <w:sz w:val="24"/>
                <w:szCs w:val="24"/>
                <w:lang w:val="en-US" w:eastAsia="zh-CN"/>
              </w:rPr>
            </w:pPr>
            <w:r>
              <w:rPr>
                <w:rFonts w:hint="eastAsia" w:cs="Times New Roman"/>
                <w:b w:val="0"/>
                <w:bCs w:val="0"/>
                <w:color w:val="auto"/>
                <w:sz w:val="24"/>
                <w:szCs w:val="24"/>
                <w:lang w:eastAsia="zh-CN"/>
              </w:rPr>
              <w:t>本次扩建</w:t>
            </w:r>
            <w:r>
              <w:rPr>
                <w:rFonts w:hint="default" w:ascii="Times New Roman" w:hAnsi="Times New Roman" w:cs="Times New Roman"/>
                <w:color w:val="auto"/>
                <w:sz w:val="24"/>
                <w:szCs w:val="24"/>
                <w:lang w:eastAsia="zh-CN"/>
              </w:rPr>
              <w:t>项目</w:t>
            </w:r>
            <w:r>
              <w:rPr>
                <w:rFonts w:hint="eastAsia" w:cs="Times New Roman"/>
                <w:color w:val="auto"/>
                <w:sz w:val="24"/>
                <w:szCs w:val="24"/>
                <w:lang w:eastAsia="zh-CN"/>
              </w:rPr>
              <w:t>新增医护人员总计</w:t>
            </w:r>
            <w:r>
              <w:rPr>
                <w:rFonts w:hint="eastAsia" w:cs="Times New Roman"/>
                <w:color w:val="auto"/>
                <w:sz w:val="24"/>
                <w:szCs w:val="24"/>
                <w:lang w:val="en-US" w:eastAsia="zh-CN"/>
              </w:rPr>
              <w:t>525</w:t>
            </w:r>
            <w:r>
              <w:rPr>
                <w:rFonts w:hint="default" w:ascii="Times New Roman" w:hAnsi="Times New Roman" w:cs="Times New Roman"/>
                <w:color w:val="auto"/>
                <w:sz w:val="24"/>
                <w:szCs w:val="24"/>
              </w:rPr>
              <w:t>人，</w:t>
            </w:r>
            <w:r>
              <w:rPr>
                <w:rFonts w:hint="eastAsia"/>
                <w:color w:val="auto"/>
                <w:sz w:val="24"/>
                <w:szCs w:val="24"/>
                <w:highlight w:val="none"/>
                <w:lang w:val="en-US" w:eastAsia="zh-CN"/>
              </w:rPr>
              <w:t>参照</w:t>
            </w:r>
            <w:r>
              <w:rPr>
                <w:rFonts w:hint="eastAsia"/>
                <w:color w:val="auto"/>
                <w:sz w:val="24"/>
                <w:szCs w:val="24"/>
                <w:highlight w:val="none"/>
                <w:lang w:eastAsia="zh-CN"/>
              </w:rPr>
              <w:t>《综合医院建筑设计规范》（GB51039-2014）</w:t>
            </w:r>
            <w:r>
              <w:rPr>
                <w:color w:val="auto"/>
                <w:sz w:val="24"/>
                <w:szCs w:val="24"/>
                <w:highlight w:val="none"/>
              </w:rPr>
              <w:t>中</w:t>
            </w:r>
            <w:r>
              <w:rPr>
                <w:rFonts w:hint="eastAsia"/>
                <w:color w:val="auto"/>
                <w:sz w:val="24"/>
                <w:szCs w:val="24"/>
                <w:highlight w:val="none"/>
                <w:lang w:eastAsia="zh-CN"/>
              </w:rPr>
              <w:t>“</w:t>
            </w:r>
            <w:r>
              <w:rPr>
                <w:rFonts w:hint="eastAsia"/>
                <w:color w:val="auto"/>
                <w:sz w:val="24"/>
                <w:szCs w:val="24"/>
                <w:highlight w:val="none"/>
              </w:rPr>
              <w:t>表6.2.2医院生活用水量定额</w:t>
            </w:r>
            <w:r>
              <w:rPr>
                <w:rFonts w:hint="eastAsia"/>
                <w:color w:val="auto"/>
                <w:sz w:val="24"/>
                <w:szCs w:val="24"/>
                <w:highlight w:val="none"/>
                <w:lang w:eastAsia="zh-CN"/>
              </w:rPr>
              <w:t>”可知，医务人员用水量为</w:t>
            </w:r>
            <w:r>
              <w:rPr>
                <w:rFonts w:hint="eastAsia"/>
                <w:color w:val="auto"/>
                <w:sz w:val="24"/>
                <w:szCs w:val="24"/>
                <w:highlight w:val="none"/>
                <w:lang w:val="en-US" w:eastAsia="zh-CN"/>
              </w:rPr>
              <w:t>150~250</w:t>
            </w:r>
            <w:r>
              <w:rPr>
                <w:color w:val="auto"/>
                <w:sz w:val="24"/>
                <w:szCs w:val="24"/>
                <w:highlight w:val="none"/>
              </w:rPr>
              <w:t>L/（人</w:t>
            </w:r>
            <w:r>
              <w:rPr>
                <w:rFonts w:hint="eastAsia"/>
                <w:color w:val="auto"/>
                <w:sz w:val="24"/>
                <w:szCs w:val="24"/>
                <w:highlight w:val="none"/>
                <w:lang w:val="en-US" w:eastAsia="zh-CN"/>
              </w:rPr>
              <w:t>·</w:t>
            </w:r>
            <w:r>
              <w:rPr>
                <w:color w:val="auto"/>
                <w:sz w:val="24"/>
                <w:szCs w:val="24"/>
                <w:highlight w:val="none"/>
              </w:rPr>
              <w:t>班），</w:t>
            </w:r>
            <w:r>
              <w:rPr>
                <w:rFonts w:hint="eastAsia"/>
                <w:color w:val="auto"/>
                <w:sz w:val="24"/>
                <w:szCs w:val="24"/>
                <w:highlight w:val="none"/>
                <w:lang w:val="en-US" w:eastAsia="zh-CN"/>
              </w:rPr>
              <w:t>本次评价取</w:t>
            </w:r>
            <w:r>
              <w:rPr>
                <w:color w:val="auto"/>
                <w:sz w:val="24"/>
                <w:szCs w:val="24"/>
                <w:highlight w:val="none"/>
              </w:rPr>
              <w:t>150L/（人</w:t>
            </w:r>
            <w:r>
              <w:rPr>
                <w:rFonts w:hint="eastAsia"/>
                <w:color w:val="auto"/>
                <w:sz w:val="24"/>
                <w:szCs w:val="24"/>
                <w:highlight w:val="none"/>
                <w:lang w:val="en-US" w:eastAsia="zh-CN"/>
              </w:rPr>
              <w:t>·</w:t>
            </w:r>
            <w:r>
              <w:rPr>
                <w:color w:val="auto"/>
                <w:sz w:val="24"/>
                <w:szCs w:val="24"/>
                <w:highlight w:val="none"/>
              </w:rPr>
              <w:t>班）</w:t>
            </w:r>
            <w:r>
              <w:rPr>
                <w:rFonts w:hint="default" w:ascii="Times New Roman" w:hAnsi="Times New Roman" w:cs="Times New Roman"/>
                <w:color w:val="auto"/>
                <w:sz w:val="24"/>
                <w:szCs w:val="24"/>
                <w:lang w:eastAsia="zh-CN"/>
              </w:rPr>
              <w:t>，则</w:t>
            </w:r>
            <w:r>
              <w:rPr>
                <w:rFonts w:hint="eastAsia" w:ascii="Times New Roman" w:hAnsi="Times New Roman" w:cs="Times New Roman"/>
                <w:color w:val="auto"/>
                <w:sz w:val="24"/>
                <w:szCs w:val="24"/>
                <w:lang w:eastAsia="zh-CN"/>
              </w:rPr>
              <w:t>本项目医护人员</w:t>
            </w:r>
            <w:r>
              <w:rPr>
                <w:rFonts w:hint="default" w:ascii="Times New Roman" w:hAnsi="Times New Roman" w:cs="Times New Roman"/>
                <w:color w:val="auto"/>
                <w:sz w:val="24"/>
                <w:szCs w:val="24"/>
                <w:lang w:eastAsia="zh-CN"/>
              </w:rPr>
              <w:t>用水总量为</w:t>
            </w:r>
            <w:r>
              <w:rPr>
                <w:rFonts w:hint="eastAsia" w:ascii="Times New Roman" w:hAnsi="Times New Roman" w:cs="Times New Roman"/>
                <w:color w:val="auto"/>
                <w:sz w:val="24"/>
                <w:szCs w:val="24"/>
                <w:lang w:val="en-US" w:eastAsia="zh-CN"/>
              </w:rPr>
              <w:t>78.75</w:t>
            </w:r>
            <w:r>
              <w:rPr>
                <w:rFonts w:hint="default" w:ascii="Times New Roman" w:hAnsi="Times New Roman" w:cs="Times New Roman"/>
                <w:color w:val="auto"/>
                <w:sz w:val="24"/>
                <w:szCs w:val="24"/>
                <w:lang w:eastAsia="zh-CN"/>
              </w:rPr>
              <w:t>t/d，即</w:t>
            </w:r>
            <w:r>
              <w:rPr>
                <w:rFonts w:hint="eastAsia" w:ascii="Times New Roman" w:hAnsi="Times New Roman" w:cs="Times New Roman"/>
                <w:color w:val="auto"/>
                <w:sz w:val="24"/>
                <w:szCs w:val="24"/>
                <w:lang w:val="en-US" w:eastAsia="zh-CN"/>
              </w:rPr>
              <w:t>28743.75</w:t>
            </w:r>
            <w:r>
              <w:rPr>
                <w:rFonts w:hint="default" w:ascii="Times New Roman" w:hAnsi="Times New Roman" w:cs="Times New Roman"/>
                <w:color w:val="auto"/>
                <w:sz w:val="24"/>
                <w:szCs w:val="24"/>
                <w:lang w:eastAsia="zh-CN"/>
              </w:rPr>
              <w:t>t/a。排放系数按</w:t>
            </w:r>
            <w:r>
              <w:rPr>
                <w:rFonts w:hint="default" w:ascii="Times New Roman" w:hAnsi="Times New Roman" w:cs="Times New Roman"/>
                <w:color w:val="auto"/>
                <w:sz w:val="24"/>
                <w:szCs w:val="24"/>
                <w:lang w:val="en-US" w:eastAsia="zh-CN"/>
              </w:rPr>
              <w:t>0.8计，</w:t>
            </w:r>
            <w:r>
              <w:rPr>
                <w:rFonts w:hint="default" w:ascii="Times New Roman" w:hAnsi="Times New Roman" w:cs="Times New Roman"/>
                <w:color w:val="auto"/>
                <w:sz w:val="24"/>
                <w:szCs w:val="24"/>
                <w:lang w:eastAsia="zh-CN"/>
              </w:rPr>
              <w:t>则</w:t>
            </w:r>
            <w:r>
              <w:rPr>
                <w:rFonts w:hint="eastAsia" w:ascii="Times New Roman" w:hAnsi="Times New Roman" w:cs="Times New Roman"/>
                <w:color w:val="auto"/>
                <w:sz w:val="24"/>
                <w:szCs w:val="24"/>
                <w:lang w:eastAsia="zh-CN"/>
              </w:rPr>
              <w:t>废水</w:t>
            </w:r>
            <w:r>
              <w:rPr>
                <w:rFonts w:hint="default" w:ascii="Times New Roman" w:hAnsi="Times New Roman" w:cs="Times New Roman"/>
                <w:color w:val="auto"/>
                <w:sz w:val="24"/>
                <w:szCs w:val="24"/>
                <w:lang w:eastAsia="zh-CN"/>
              </w:rPr>
              <w:t>排水量为</w:t>
            </w:r>
            <w:r>
              <w:rPr>
                <w:rFonts w:hint="eastAsia" w:ascii="Times New Roman" w:hAnsi="Times New Roman" w:cs="Times New Roman"/>
                <w:color w:val="auto"/>
                <w:sz w:val="24"/>
                <w:szCs w:val="24"/>
                <w:lang w:val="en-US" w:eastAsia="zh-CN"/>
              </w:rPr>
              <w:t>63</w:t>
            </w:r>
            <w:r>
              <w:rPr>
                <w:rFonts w:hint="default" w:ascii="Times New Roman" w:hAnsi="Times New Roman" w:cs="Times New Roman"/>
                <w:color w:val="auto"/>
                <w:sz w:val="24"/>
                <w:szCs w:val="24"/>
                <w:lang w:val="en-US" w:eastAsia="zh-CN"/>
              </w:rPr>
              <w:t>t/d（</w:t>
            </w:r>
            <w:r>
              <w:rPr>
                <w:rFonts w:hint="eastAsia" w:ascii="Times New Roman" w:hAnsi="Times New Roman" w:cs="Times New Roman"/>
                <w:color w:val="auto"/>
                <w:sz w:val="24"/>
                <w:szCs w:val="24"/>
                <w:lang w:val="en-US" w:eastAsia="zh-CN"/>
              </w:rPr>
              <w:t>22995</w:t>
            </w:r>
            <w:r>
              <w:rPr>
                <w:rFonts w:hint="default" w:ascii="Times New Roman" w:hAnsi="Times New Roman" w:cs="Times New Roman"/>
                <w:color w:val="auto"/>
                <w:sz w:val="24"/>
                <w:szCs w:val="24"/>
                <w:lang w:eastAsia="zh-CN"/>
              </w:rPr>
              <w:t>t</w:t>
            </w:r>
            <w:r>
              <w:rPr>
                <w:rFonts w:hint="default" w:ascii="Times New Roman" w:hAnsi="Times New Roman" w:cs="Times New Roman"/>
                <w:color w:val="auto"/>
                <w:sz w:val="24"/>
                <w:szCs w:val="24"/>
                <w:lang w:val="en-US" w:eastAsia="zh-CN"/>
              </w:rPr>
              <w:t>/a）</w:t>
            </w:r>
            <w:r>
              <w:rPr>
                <w:rFonts w:hint="eastAsia" w:ascii="Times New Roman" w:hAnsi="Times New Roman" w:cs="Times New Roman"/>
                <w:color w:val="auto"/>
                <w:sz w:val="24"/>
                <w:szCs w:val="24"/>
                <w:lang w:val="en-US" w:eastAsia="zh-CN"/>
              </w:rPr>
              <w:t>。</w:t>
            </w:r>
          </w:p>
          <w:p w14:paraId="3216DEE9">
            <w:pPr>
              <w:adjustRightInd w:val="0"/>
              <w:snapToGrid w:val="0"/>
              <w:spacing w:line="360" w:lineRule="auto"/>
              <w:ind w:firstLine="480" w:firstLineChars="200"/>
              <w:rPr>
                <w:rFonts w:hint="eastAsia" w:cs="Times New Roman"/>
                <w:b w:val="0"/>
                <w:bCs w:val="0"/>
                <w:color w:val="auto"/>
                <w:sz w:val="24"/>
                <w:szCs w:val="24"/>
                <w:lang w:eastAsia="zh-CN"/>
              </w:rPr>
            </w:pPr>
            <w:r>
              <w:rPr>
                <w:rFonts w:hint="default" w:ascii="Times New Roman" w:hAnsi="Times New Roman" w:eastAsia="宋体" w:cstheme="minorBidi"/>
                <w:b w:val="0"/>
                <w:bCs w:val="0"/>
                <w:snapToGrid w:val="0"/>
                <w:color w:val="auto"/>
                <w:kern w:val="0"/>
                <w:sz w:val="24"/>
                <w:szCs w:val="24"/>
                <w:highlight w:val="none"/>
                <w:lang w:val="en-US" w:eastAsia="zh-CN" w:bidi="ar-SA"/>
              </w:rPr>
              <w:t>②</w:t>
            </w:r>
            <w:r>
              <w:rPr>
                <w:rFonts w:hint="eastAsia" w:cs="Times New Roman"/>
                <w:bCs/>
                <w:color w:val="auto"/>
                <w:sz w:val="24"/>
                <w:szCs w:val="24"/>
                <w:lang w:eastAsia="zh-CN"/>
              </w:rPr>
              <w:t>后勤人员生活用水</w:t>
            </w:r>
          </w:p>
          <w:p w14:paraId="7305BFC7">
            <w:pPr>
              <w:adjustRightInd w:val="0"/>
              <w:snapToGrid w:val="0"/>
              <w:spacing w:line="360" w:lineRule="auto"/>
              <w:ind w:firstLine="480" w:firstLineChars="200"/>
              <w:rPr>
                <w:rFonts w:hint="eastAsia" w:cs="Times New Roman"/>
                <w:b w:val="0"/>
                <w:bCs w:val="0"/>
                <w:color w:val="auto"/>
                <w:sz w:val="24"/>
                <w:szCs w:val="24"/>
                <w:lang w:eastAsia="zh-CN"/>
              </w:rPr>
            </w:pPr>
            <w:r>
              <w:rPr>
                <w:rFonts w:hint="eastAsia" w:cs="Times New Roman"/>
                <w:b w:val="0"/>
                <w:bCs w:val="0"/>
                <w:color w:val="auto"/>
                <w:sz w:val="24"/>
                <w:szCs w:val="24"/>
                <w:lang w:eastAsia="zh-CN"/>
              </w:rPr>
              <w:t>本次扩建</w:t>
            </w:r>
            <w:r>
              <w:rPr>
                <w:rFonts w:hint="default" w:ascii="Times New Roman" w:hAnsi="Times New Roman" w:cs="Times New Roman"/>
                <w:color w:val="auto"/>
                <w:sz w:val="24"/>
                <w:szCs w:val="24"/>
                <w:lang w:eastAsia="zh-CN"/>
              </w:rPr>
              <w:t>项目</w:t>
            </w:r>
            <w:r>
              <w:rPr>
                <w:rFonts w:hint="eastAsia" w:cs="Times New Roman"/>
                <w:color w:val="auto"/>
                <w:sz w:val="24"/>
                <w:szCs w:val="24"/>
                <w:lang w:eastAsia="zh-CN"/>
              </w:rPr>
              <w:t>新增后勤人员总计</w:t>
            </w:r>
            <w:r>
              <w:rPr>
                <w:rFonts w:hint="eastAsia" w:cs="Times New Roman"/>
                <w:color w:val="auto"/>
                <w:sz w:val="24"/>
                <w:szCs w:val="24"/>
                <w:lang w:val="en-US" w:eastAsia="zh-CN"/>
              </w:rPr>
              <w:t>20</w:t>
            </w:r>
            <w:r>
              <w:rPr>
                <w:rFonts w:hint="default" w:ascii="Times New Roman" w:hAnsi="Times New Roman" w:cs="Times New Roman"/>
                <w:color w:val="auto"/>
                <w:sz w:val="24"/>
                <w:szCs w:val="24"/>
              </w:rPr>
              <w:t>人，</w:t>
            </w:r>
            <w:r>
              <w:rPr>
                <w:rFonts w:hint="eastAsia"/>
                <w:color w:val="auto"/>
                <w:sz w:val="24"/>
                <w:szCs w:val="24"/>
                <w:highlight w:val="none"/>
                <w:lang w:val="en-US" w:eastAsia="zh-CN"/>
              </w:rPr>
              <w:t>参照</w:t>
            </w:r>
            <w:r>
              <w:rPr>
                <w:rFonts w:hint="eastAsia"/>
                <w:color w:val="auto"/>
                <w:sz w:val="24"/>
                <w:szCs w:val="24"/>
                <w:highlight w:val="none"/>
                <w:lang w:eastAsia="zh-CN"/>
              </w:rPr>
              <w:t>《综合医院建筑设计规范》（GB51039-2014）</w:t>
            </w:r>
            <w:r>
              <w:rPr>
                <w:color w:val="auto"/>
                <w:sz w:val="24"/>
                <w:szCs w:val="24"/>
                <w:highlight w:val="none"/>
              </w:rPr>
              <w:t>中</w:t>
            </w:r>
            <w:r>
              <w:rPr>
                <w:rFonts w:hint="eastAsia"/>
                <w:color w:val="auto"/>
                <w:sz w:val="24"/>
                <w:szCs w:val="24"/>
                <w:highlight w:val="none"/>
                <w:lang w:eastAsia="zh-CN"/>
              </w:rPr>
              <w:t>“</w:t>
            </w:r>
            <w:r>
              <w:rPr>
                <w:rFonts w:hint="eastAsia"/>
                <w:color w:val="auto"/>
                <w:sz w:val="24"/>
                <w:szCs w:val="24"/>
                <w:highlight w:val="none"/>
              </w:rPr>
              <w:t>表6.2.2医院生活用水量定额</w:t>
            </w:r>
            <w:r>
              <w:rPr>
                <w:rFonts w:hint="eastAsia"/>
                <w:color w:val="auto"/>
                <w:sz w:val="24"/>
                <w:szCs w:val="24"/>
                <w:highlight w:val="none"/>
                <w:lang w:eastAsia="zh-CN"/>
              </w:rPr>
              <w:t>”可知，医院后勤职工用水量为</w:t>
            </w:r>
            <w:r>
              <w:rPr>
                <w:rFonts w:hint="eastAsia"/>
                <w:color w:val="auto"/>
                <w:sz w:val="24"/>
                <w:szCs w:val="24"/>
                <w:highlight w:val="none"/>
                <w:lang w:val="en-US" w:eastAsia="zh-CN"/>
              </w:rPr>
              <w:t>80~100</w:t>
            </w:r>
            <w:r>
              <w:rPr>
                <w:color w:val="auto"/>
                <w:sz w:val="24"/>
                <w:szCs w:val="24"/>
                <w:highlight w:val="none"/>
              </w:rPr>
              <w:t>L/（人</w:t>
            </w:r>
            <w:r>
              <w:rPr>
                <w:rFonts w:hint="eastAsia"/>
                <w:color w:val="auto"/>
                <w:sz w:val="24"/>
                <w:szCs w:val="24"/>
                <w:highlight w:val="none"/>
                <w:lang w:val="en-US" w:eastAsia="zh-CN"/>
              </w:rPr>
              <w:t>·</w:t>
            </w:r>
            <w:r>
              <w:rPr>
                <w:color w:val="auto"/>
                <w:sz w:val="24"/>
                <w:szCs w:val="24"/>
                <w:highlight w:val="none"/>
              </w:rPr>
              <w:t>班），</w:t>
            </w:r>
            <w:r>
              <w:rPr>
                <w:rFonts w:hint="eastAsia"/>
                <w:color w:val="auto"/>
                <w:sz w:val="24"/>
                <w:szCs w:val="24"/>
                <w:highlight w:val="none"/>
                <w:lang w:val="en-US" w:eastAsia="zh-CN"/>
              </w:rPr>
              <w:t>本次评价取8</w:t>
            </w:r>
            <w:r>
              <w:rPr>
                <w:color w:val="auto"/>
                <w:sz w:val="24"/>
                <w:szCs w:val="24"/>
                <w:highlight w:val="none"/>
              </w:rPr>
              <w:t>0L/（人</w:t>
            </w:r>
            <w:r>
              <w:rPr>
                <w:rFonts w:hint="eastAsia"/>
                <w:color w:val="auto"/>
                <w:sz w:val="24"/>
                <w:szCs w:val="24"/>
                <w:highlight w:val="none"/>
                <w:lang w:val="en-US" w:eastAsia="zh-CN"/>
              </w:rPr>
              <w:t>·</w:t>
            </w:r>
            <w:r>
              <w:rPr>
                <w:color w:val="auto"/>
                <w:sz w:val="24"/>
                <w:szCs w:val="24"/>
                <w:highlight w:val="none"/>
              </w:rPr>
              <w:t>班）</w:t>
            </w:r>
            <w:r>
              <w:rPr>
                <w:rFonts w:hint="default" w:ascii="Times New Roman" w:hAnsi="Times New Roman" w:cs="Times New Roman"/>
                <w:color w:val="auto"/>
                <w:sz w:val="24"/>
                <w:szCs w:val="24"/>
                <w:lang w:eastAsia="zh-CN"/>
              </w:rPr>
              <w:t>，则</w:t>
            </w:r>
            <w:r>
              <w:rPr>
                <w:rFonts w:hint="eastAsia" w:ascii="Times New Roman" w:hAnsi="Times New Roman" w:cs="Times New Roman"/>
                <w:color w:val="auto"/>
                <w:sz w:val="24"/>
                <w:szCs w:val="24"/>
                <w:lang w:eastAsia="zh-CN"/>
              </w:rPr>
              <w:t>本项目后勤人员</w:t>
            </w:r>
            <w:r>
              <w:rPr>
                <w:rFonts w:hint="default" w:ascii="Times New Roman" w:hAnsi="Times New Roman" w:cs="Times New Roman"/>
                <w:color w:val="auto"/>
                <w:sz w:val="24"/>
                <w:szCs w:val="24"/>
                <w:lang w:eastAsia="zh-CN"/>
              </w:rPr>
              <w:t>用水总量为</w:t>
            </w:r>
            <w:r>
              <w:rPr>
                <w:rFonts w:hint="eastAsia" w:ascii="Times New Roman" w:hAnsi="Times New Roman" w:cs="Times New Roman"/>
                <w:color w:val="auto"/>
                <w:sz w:val="24"/>
                <w:szCs w:val="24"/>
                <w:lang w:val="en-US" w:eastAsia="zh-CN"/>
              </w:rPr>
              <w:t>1.6</w:t>
            </w:r>
            <w:r>
              <w:rPr>
                <w:rFonts w:hint="default" w:ascii="Times New Roman" w:hAnsi="Times New Roman" w:cs="Times New Roman"/>
                <w:color w:val="auto"/>
                <w:sz w:val="24"/>
                <w:szCs w:val="24"/>
                <w:lang w:eastAsia="zh-CN"/>
              </w:rPr>
              <w:t>t/d，即</w:t>
            </w:r>
            <w:r>
              <w:rPr>
                <w:rFonts w:hint="eastAsia" w:ascii="Times New Roman" w:hAnsi="Times New Roman" w:cs="Times New Roman"/>
                <w:color w:val="auto"/>
                <w:sz w:val="24"/>
                <w:szCs w:val="24"/>
                <w:lang w:val="en-US" w:eastAsia="zh-CN"/>
              </w:rPr>
              <w:t>584</w:t>
            </w:r>
            <w:r>
              <w:rPr>
                <w:rFonts w:hint="default" w:ascii="Times New Roman" w:hAnsi="Times New Roman" w:cs="Times New Roman"/>
                <w:color w:val="auto"/>
                <w:sz w:val="24"/>
                <w:szCs w:val="24"/>
                <w:lang w:eastAsia="zh-CN"/>
              </w:rPr>
              <w:t>t/a。排放系数按</w:t>
            </w:r>
            <w:r>
              <w:rPr>
                <w:rFonts w:hint="default" w:ascii="Times New Roman" w:hAnsi="Times New Roman" w:cs="Times New Roman"/>
                <w:color w:val="auto"/>
                <w:sz w:val="24"/>
                <w:szCs w:val="24"/>
                <w:lang w:val="en-US" w:eastAsia="zh-CN"/>
              </w:rPr>
              <w:t>0.8计，</w:t>
            </w:r>
            <w:r>
              <w:rPr>
                <w:rFonts w:hint="default" w:ascii="Times New Roman" w:hAnsi="Times New Roman" w:cs="Times New Roman"/>
                <w:color w:val="auto"/>
                <w:sz w:val="24"/>
                <w:szCs w:val="24"/>
                <w:lang w:eastAsia="zh-CN"/>
              </w:rPr>
              <w:t>则</w:t>
            </w:r>
            <w:r>
              <w:rPr>
                <w:rFonts w:hint="eastAsia" w:cs="Times New Roman"/>
                <w:color w:val="auto"/>
                <w:sz w:val="24"/>
                <w:szCs w:val="24"/>
                <w:lang w:eastAsia="zh-CN"/>
              </w:rPr>
              <w:t>废水</w:t>
            </w:r>
            <w:r>
              <w:rPr>
                <w:rFonts w:hint="default" w:ascii="Times New Roman" w:hAnsi="Times New Roman" w:cs="Times New Roman"/>
                <w:color w:val="auto"/>
                <w:sz w:val="24"/>
                <w:szCs w:val="24"/>
                <w:lang w:eastAsia="zh-CN"/>
              </w:rPr>
              <w:t>排水量为</w:t>
            </w:r>
            <w:r>
              <w:rPr>
                <w:rFonts w:hint="eastAsia" w:ascii="Times New Roman" w:hAnsi="Times New Roman" w:cs="Times New Roman"/>
                <w:color w:val="auto"/>
                <w:sz w:val="24"/>
                <w:szCs w:val="24"/>
                <w:lang w:val="en-US" w:eastAsia="zh-CN"/>
              </w:rPr>
              <w:t>1.28</w:t>
            </w:r>
            <w:r>
              <w:rPr>
                <w:rFonts w:hint="default" w:ascii="Times New Roman" w:hAnsi="Times New Roman" w:cs="Times New Roman"/>
                <w:color w:val="auto"/>
                <w:sz w:val="24"/>
                <w:szCs w:val="24"/>
                <w:lang w:val="en-US" w:eastAsia="zh-CN"/>
              </w:rPr>
              <w:t>t/d（</w:t>
            </w:r>
            <w:r>
              <w:rPr>
                <w:rFonts w:hint="eastAsia" w:ascii="Times New Roman" w:hAnsi="Times New Roman" w:cs="Times New Roman"/>
                <w:color w:val="auto"/>
                <w:sz w:val="24"/>
                <w:szCs w:val="24"/>
                <w:lang w:val="en-US" w:eastAsia="zh-CN"/>
              </w:rPr>
              <w:t>467.2</w:t>
            </w:r>
            <w:r>
              <w:rPr>
                <w:rFonts w:hint="default" w:ascii="Times New Roman" w:hAnsi="Times New Roman" w:cs="Times New Roman"/>
                <w:color w:val="auto"/>
                <w:sz w:val="24"/>
                <w:szCs w:val="24"/>
                <w:lang w:eastAsia="zh-CN"/>
              </w:rPr>
              <w:t>t</w:t>
            </w:r>
            <w:r>
              <w:rPr>
                <w:rFonts w:hint="default" w:ascii="Times New Roman" w:hAnsi="Times New Roman" w:cs="Times New Roman"/>
                <w:color w:val="auto"/>
                <w:sz w:val="24"/>
                <w:szCs w:val="24"/>
                <w:lang w:val="en-US" w:eastAsia="zh-CN"/>
              </w:rPr>
              <w:t>/a）</w:t>
            </w:r>
            <w:r>
              <w:rPr>
                <w:rFonts w:hint="eastAsia" w:ascii="Times New Roman" w:hAnsi="Times New Roman" w:cs="Times New Roman"/>
                <w:color w:val="auto"/>
                <w:sz w:val="24"/>
                <w:szCs w:val="24"/>
                <w:lang w:val="en-US" w:eastAsia="zh-CN"/>
              </w:rPr>
              <w:t>。</w:t>
            </w:r>
          </w:p>
          <w:p w14:paraId="57449AD8">
            <w:pPr>
              <w:adjustRightInd w:val="0"/>
              <w:snapToGrid w:val="0"/>
              <w:spacing w:line="360" w:lineRule="auto"/>
              <w:ind w:firstLine="480" w:firstLineChars="200"/>
              <w:rPr>
                <w:rFonts w:hint="eastAsia" w:cs="Times New Roman"/>
                <w:b w:val="0"/>
                <w:bCs w:val="0"/>
                <w:color w:val="auto"/>
                <w:sz w:val="24"/>
                <w:szCs w:val="24"/>
                <w:lang w:eastAsia="zh-CN"/>
              </w:rPr>
            </w:pPr>
            <w:r>
              <w:rPr>
                <w:rFonts w:hint="default" w:ascii="Times New Roman" w:hAnsi="Times New Roman" w:cs="Times New Roman"/>
                <w:color w:val="auto"/>
                <w:sz w:val="24"/>
                <w:szCs w:val="24"/>
                <w:highlight w:val="none"/>
                <w:lang w:val="en-US" w:eastAsia="zh-CN"/>
              </w:rPr>
              <w:t>③</w:t>
            </w:r>
            <w:r>
              <w:rPr>
                <w:rFonts w:hint="eastAsia" w:cs="Times New Roman"/>
                <w:b w:val="0"/>
                <w:bCs w:val="0"/>
                <w:color w:val="auto"/>
                <w:sz w:val="24"/>
                <w:szCs w:val="24"/>
                <w:lang w:eastAsia="zh-CN"/>
              </w:rPr>
              <w:t>食堂用水</w:t>
            </w:r>
          </w:p>
          <w:p w14:paraId="3F54C022">
            <w:pPr>
              <w:adjustRightInd w:val="0"/>
              <w:snapToGrid w:val="0"/>
              <w:spacing w:line="360" w:lineRule="auto"/>
              <w:ind w:firstLine="480" w:firstLineChars="200"/>
              <w:rPr>
                <w:rFonts w:hint="eastAsia" w:cs="Times New Roman"/>
                <w:color w:val="auto"/>
                <w:kern w:val="0"/>
                <w:sz w:val="24"/>
                <w:lang w:val="en-US" w:eastAsia="zh-CN"/>
              </w:rPr>
            </w:pPr>
            <w:r>
              <w:rPr>
                <w:rFonts w:hint="eastAsia" w:ascii="Times New Roman" w:hAnsi="Times New Roman" w:cs="Times New Roman"/>
                <w:color w:val="auto"/>
                <w:sz w:val="24"/>
                <w:lang w:eastAsia="zh-CN"/>
              </w:rPr>
              <w:t>本</w:t>
            </w:r>
            <w:r>
              <w:rPr>
                <w:rFonts w:hint="eastAsia" w:cs="Times New Roman"/>
                <w:b w:val="0"/>
                <w:bCs w:val="0"/>
                <w:color w:val="auto"/>
                <w:sz w:val="24"/>
                <w:lang w:eastAsia="zh-CN"/>
              </w:rPr>
              <w:t>次扩建</w:t>
            </w:r>
            <w:r>
              <w:rPr>
                <w:rFonts w:hint="default" w:ascii="Times New Roman" w:hAnsi="Times New Roman" w:cs="Times New Roman"/>
                <w:color w:val="auto"/>
                <w:sz w:val="24"/>
                <w:lang w:eastAsia="zh-CN"/>
              </w:rPr>
              <w:t>项目</w:t>
            </w:r>
            <w:r>
              <w:rPr>
                <w:rFonts w:hint="eastAsia" w:cs="Times New Roman"/>
                <w:color w:val="auto"/>
                <w:sz w:val="24"/>
                <w:lang w:eastAsia="zh-CN"/>
              </w:rPr>
              <w:t>新增员工总计</w:t>
            </w:r>
            <w:r>
              <w:rPr>
                <w:rFonts w:hint="eastAsia" w:cs="Times New Roman"/>
                <w:color w:val="auto"/>
                <w:sz w:val="24"/>
                <w:lang w:val="en-US" w:eastAsia="zh-CN"/>
              </w:rPr>
              <w:t>545</w:t>
            </w:r>
            <w:r>
              <w:rPr>
                <w:rFonts w:hint="default" w:ascii="Times New Roman" w:hAnsi="Times New Roman" w:cs="Times New Roman"/>
                <w:color w:val="auto"/>
                <w:sz w:val="24"/>
              </w:rPr>
              <w:t>人，</w:t>
            </w:r>
            <w:r>
              <w:rPr>
                <w:rFonts w:hint="eastAsia"/>
                <w:color w:val="auto"/>
                <w:sz w:val="24"/>
                <w:szCs w:val="24"/>
                <w:highlight w:val="none"/>
                <w:lang w:val="en-US" w:eastAsia="zh-CN"/>
              </w:rPr>
              <w:t>参照</w:t>
            </w:r>
            <w:r>
              <w:rPr>
                <w:rFonts w:hint="eastAsia"/>
                <w:color w:val="auto"/>
                <w:sz w:val="24"/>
                <w:szCs w:val="24"/>
                <w:highlight w:val="none"/>
                <w:lang w:eastAsia="zh-CN"/>
              </w:rPr>
              <w:t>《综合医院建筑设计规范》（GB51039-2014）</w:t>
            </w:r>
            <w:r>
              <w:rPr>
                <w:color w:val="auto"/>
                <w:sz w:val="24"/>
                <w:szCs w:val="24"/>
                <w:highlight w:val="none"/>
              </w:rPr>
              <w:t>中</w:t>
            </w:r>
            <w:r>
              <w:rPr>
                <w:rFonts w:hint="eastAsia"/>
                <w:color w:val="auto"/>
                <w:sz w:val="24"/>
                <w:szCs w:val="24"/>
                <w:highlight w:val="none"/>
                <w:lang w:eastAsia="zh-CN"/>
              </w:rPr>
              <w:t>“</w:t>
            </w:r>
            <w:r>
              <w:rPr>
                <w:rFonts w:hint="eastAsia"/>
                <w:color w:val="auto"/>
                <w:sz w:val="24"/>
                <w:szCs w:val="24"/>
                <w:highlight w:val="none"/>
              </w:rPr>
              <w:t>表6.2.2医院生活用水量定额</w:t>
            </w:r>
            <w:r>
              <w:rPr>
                <w:rFonts w:hint="eastAsia"/>
                <w:color w:val="auto"/>
                <w:sz w:val="24"/>
                <w:szCs w:val="24"/>
                <w:highlight w:val="none"/>
                <w:lang w:eastAsia="zh-CN"/>
              </w:rPr>
              <w:t>”可知，食堂餐饮用水量为</w:t>
            </w:r>
            <w:r>
              <w:rPr>
                <w:rFonts w:hint="eastAsia"/>
                <w:color w:val="auto"/>
                <w:sz w:val="24"/>
                <w:szCs w:val="24"/>
                <w:highlight w:val="none"/>
                <w:lang w:val="en-US" w:eastAsia="zh-CN"/>
              </w:rPr>
              <w:t>20~25</w:t>
            </w:r>
            <w:r>
              <w:rPr>
                <w:color w:val="auto"/>
                <w:sz w:val="24"/>
                <w:szCs w:val="24"/>
                <w:highlight w:val="none"/>
              </w:rPr>
              <w:t>L/（人</w:t>
            </w:r>
            <w:r>
              <w:rPr>
                <w:rFonts w:hint="eastAsia"/>
                <w:color w:val="auto"/>
                <w:sz w:val="24"/>
                <w:szCs w:val="24"/>
                <w:highlight w:val="none"/>
                <w:lang w:val="en-US" w:eastAsia="zh-CN"/>
              </w:rPr>
              <w:t>·次</w:t>
            </w:r>
            <w:r>
              <w:rPr>
                <w:color w:val="auto"/>
                <w:sz w:val="24"/>
                <w:szCs w:val="24"/>
                <w:highlight w:val="none"/>
              </w:rPr>
              <w:t>），</w:t>
            </w:r>
            <w:r>
              <w:rPr>
                <w:rFonts w:hint="eastAsia"/>
                <w:color w:val="auto"/>
                <w:sz w:val="24"/>
                <w:szCs w:val="24"/>
                <w:highlight w:val="none"/>
                <w:lang w:val="en-US" w:eastAsia="zh-CN"/>
              </w:rPr>
              <w:t>本次评价取2</w:t>
            </w:r>
            <w:r>
              <w:rPr>
                <w:color w:val="auto"/>
                <w:sz w:val="24"/>
                <w:szCs w:val="24"/>
                <w:highlight w:val="none"/>
              </w:rPr>
              <w:t>0L/（人</w:t>
            </w:r>
            <w:r>
              <w:rPr>
                <w:rFonts w:hint="eastAsia"/>
                <w:color w:val="auto"/>
                <w:sz w:val="24"/>
                <w:szCs w:val="24"/>
                <w:highlight w:val="none"/>
                <w:lang w:val="en-US" w:eastAsia="zh-CN"/>
              </w:rPr>
              <w:t>·次</w:t>
            </w:r>
            <w:r>
              <w:rPr>
                <w:color w:val="auto"/>
                <w:sz w:val="24"/>
                <w:szCs w:val="24"/>
                <w:highlight w:val="none"/>
              </w:rPr>
              <w:t>）</w:t>
            </w:r>
            <w:r>
              <w:rPr>
                <w:rFonts w:hint="default" w:ascii="Times New Roman" w:hAnsi="Times New Roman" w:cs="Times New Roman"/>
                <w:color w:val="auto"/>
                <w:sz w:val="24"/>
              </w:rPr>
              <w:t>，每天提供</w:t>
            </w:r>
            <w:r>
              <w:rPr>
                <w:rFonts w:hint="eastAsia" w:ascii="Times New Roman" w:hAnsi="Times New Roman" w:cs="Times New Roman"/>
                <w:color w:val="auto"/>
                <w:sz w:val="24"/>
                <w:lang w:eastAsia="zh-CN"/>
              </w:rPr>
              <w:t>早、</w:t>
            </w:r>
            <w:r>
              <w:rPr>
                <w:rFonts w:hint="default" w:ascii="Times New Roman" w:hAnsi="Times New Roman" w:cs="Times New Roman"/>
                <w:color w:val="auto"/>
                <w:sz w:val="24"/>
              </w:rPr>
              <w:t>中、晚餐，则项目食堂餐饮用水量为</w:t>
            </w:r>
            <w:r>
              <w:rPr>
                <w:rFonts w:hint="eastAsia" w:ascii="Times New Roman" w:hAnsi="Times New Roman" w:cs="Times New Roman"/>
                <w:color w:val="auto"/>
                <w:sz w:val="24"/>
                <w:lang w:val="en-US" w:eastAsia="zh-CN"/>
              </w:rPr>
              <w:t>32.7</w:t>
            </w:r>
            <w:r>
              <w:rPr>
                <w:rFonts w:hint="default" w:ascii="Times New Roman" w:hAnsi="Times New Roman" w:cs="Times New Roman"/>
                <w:color w:val="auto"/>
                <w:sz w:val="24"/>
              </w:rPr>
              <w:t>t/d，</w:t>
            </w:r>
            <w:r>
              <w:rPr>
                <w:rFonts w:hint="eastAsia" w:ascii="Times New Roman" w:hAnsi="Times New Roman" w:cs="Times New Roman"/>
                <w:color w:val="auto"/>
                <w:sz w:val="24"/>
                <w:lang w:val="en-US" w:eastAsia="zh-CN"/>
              </w:rPr>
              <w:t>11935.5</w:t>
            </w:r>
            <w:r>
              <w:rPr>
                <w:rFonts w:hint="default" w:ascii="Times New Roman" w:hAnsi="Times New Roman" w:cs="Times New Roman"/>
                <w:color w:val="auto"/>
                <w:sz w:val="24"/>
              </w:rPr>
              <w:t>t/a。食堂餐饮废水排放系数</w:t>
            </w:r>
            <w:r>
              <w:rPr>
                <w:rFonts w:hint="eastAsia" w:cs="Times New Roman"/>
                <w:color w:val="auto"/>
                <w:sz w:val="24"/>
                <w:lang w:eastAsia="zh-CN"/>
              </w:rPr>
              <w:t>按</w:t>
            </w:r>
            <w:r>
              <w:rPr>
                <w:rFonts w:hint="default" w:ascii="Times New Roman" w:hAnsi="Times New Roman" w:cs="Times New Roman"/>
                <w:color w:val="auto"/>
                <w:sz w:val="24"/>
              </w:rPr>
              <w:t>0.8</w:t>
            </w:r>
            <w:r>
              <w:rPr>
                <w:rFonts w:hint="eastAsia" w:cs="Times New Roman"/>
                <w:color w:val="auto"/>
                <w:sz w:val="24"/>
                <w:lang w:eastAsia="zh-CN"/>
              </w:rPr>
              <w:t>计</w:t>
            </w:r>
            <w:r>
              <w:rPr>
                <w:rFonts w:hint="default" w:ascii="Times New Roman" w:hAnsi="Times New Roman" w:cs="Times New Roman"/>
                <w:color w:val="auto"/>
                <w:sz w:val="24"/>
              </w:rPr>
              <w:t>，则</w:t>
            </w:r>
            <w:r>
              <w:rPr>
                <w:rFonts w:hint="eastAsia" w:ascii="Times New Roman" w:hAnsi="Times New Roman" w:cs="Times New Roman"/>
                <w:color w:val="auto"/>
                <w:sz w:val="24"/>
                <w:lang w:eastAsia="zh-CN"/>
              </w:rPr>
              <w:t>本项目</w:t>
            </w:r>
            <w:r>
              <w:rPr>
                <w:rFonts w:hint="default" w:ascii="Times New Roman" w:hAnsi="Times New Roman" w:cs="Times New Roman"/>
                <w:color w:val="auto"/>
                <w:sz w:val="24"/>
              </w:rPr>
              <w:t>食堂废水排放量为</w:t>
            </w:r>
            <w:r>
              <w:rPr>
                <w:rFonts w:hint="eastAsia" w:ascii="Times New Roman" w:hAnsi="Times New Roman" w:cs="Times New Roman"/>
                <w:color w:val="auto"/>
                <w:sz w:val="24"/>
                <w:lang w:val="en-US" w:eastAsia="zh-CN"/>
              </w:rPr>
              <w:t>26.16</w:t>
            </w:r>
            <w:r>
              <w:rPr>
                <w:rFonts w:hint="default" w:ascii="Times New Roman" w:hAnsi="Times New Roman" w:cs="Times New Roman"/>
                <w:color w:val="auto"/>
                <w:sz w:val="24"/>
              </w:rPr>
              <w:t>t/d，</w:t>
            </w:r>
            <w:r>
              <w:rPr>
                <w:rFonts w:hint="eastAsia" w:ascii="Times New Roman" w:hAnsi="Times New Roman" w:cs="Times New Roman"/>
                <w:color w:val="auto"/>
                <w:sz w:val="24"/>
                <w:lang w:val="en-US" w:eastAsia="zh-CN"/>
              </w:rPr>
              <w:t>9548.4</w:t>
            </w:r>
            <w:r>
              <w:rPr>
                <w:rFonts w:hint="default" w:ascii="Times New Roman" w:hAnsi="Times New Roman" w:cs="Times New Roman"/>
                <w:color w:val="auto"/>
                <w:sz w:val="24"/>
              </w:rPr>
              <w:t>t/a</w:t>
            </w:r>
            <w:r>
              <w:rPr>
                <w:rFonts w:hint="eastAsia" w:cs="Times New Roman"/>
                <w:color w:val="auto"/>
                <w:kern w:val="0"/>
                <w:sz w:val="24"/>
                <w:lang w:val="en-US" w:eastAsia="zh-CN"/>
              </w:rPr>
              <w:t>。</w:t>
            </w:r>
          </w:p>
          <w:p w14:paraId="62A17043">
            <w:pPr>
              <w:adjustRightInd w:val="0"/>
              <w:snapToGrid w:val="0"/>
              <w:spacing w:line="360" w:lineRule="auto"/>
              <w:ind w:firstLine="480" w:firstLineChars="200"/>
              <w:rPr>
                <w:rFonts w:hint="eastAsia" w:cs="Times New Roman"/>
                <w:color w:val="auto"/>
                <w:kern w:val="0"/>
                <w:sz w:val="24"/>
                <w:szCs w:val="24"/>
                <w:lang w:val="en-US" w:eastAsia="zh-CN"/>
              </w:rPr>
            </w:pPr>
            <w:r>
              <w:rPr>
                <w:rFonts w:hint="default" w:ascii="Times New Roman" w:hAnsi="Times New Roman" w:cs="Times New Roman"/>
                <w:color w:val="auto"/>
                <w:sz w:val="24"/>
                <w:szCs w:val="24"/>
                <w:lang w:eastAsia="zh-CN"/>
              </w:rPr>
              <w:t>④</w:t>
            </w:r>
            <w:r>
              <w:rPr>
                <w:rFonts w:hint="eastAsia" w:ascii="Times New Roman" w:hAnsi="Times New Roman" w:cs="Times New Roman"/>
                <w:color w:val="auto"/>
                <w:sz w:val="24"/>
                <w:szCs w:val="24"/>
                <w:lang w:eastAsia="zh-CN"/>
              </w:rPr>
              <w:t>住院病床用水</w:t>
            </w:r>
          </w:p>
          <w:p w14:paraId="4F06A277">
            <w:pPr>
              <w:pStyle w:val="121"/>
              <w:bidi w:val="0"/>
              <w:rPr>
                <w:rFonts w:hint="eastAsia" w:cs="Times New Roman"/>
                <w:color w:val="auto"/>
                <w:kern w:val="0"/>
                <w:sz w:val="24"/>
                <w:szCs w:val="24"/>
                <w:lang w:val="en-US" w:eastAsia="zh-CN"/>
              </w:rPr>
            </w:pPr>
            <w:r>
              <w:rPr>
                <w:rFonts w:hint="eastAsia"/>
                <w:color w:val="auto"/>
                <w:sz w:val="24"/>
                <w:szCs w:val="24"/>
                <w:highlight w:val="none"/>
                <w:lang w:val="en-US" w:eastAsia="zh-CN"/>
              </w:rPr>
              <w:t>本次扩建项目新增</w:t>
            </w:r>
            <w:r>
              <w:rPr>
                <w:color w:val="auto"/>
                <w:sz w:val="24"/>
                <w:szCs w:val="24"/>
                <w:highlight w:val="none"/>
              </w:rPr>
              <w:t>床位数</w:t>
            </w:r>
            <w:r>
              <w:rPr>
                <w:rFonts w:hint="eastAsia"/>
                <w:color w:val="auto"/>
                <w:sz w:val="24"/>
                <w:szCs w:val="24"/>
                <w:highlight w:val="none"/>
                <w:lang w:val="en-US" w:eastAsia="zh-CN"/>
              </w:rPr>
              <w:t>260</w:t>
            </w:r>
            <w:r>
              <w:rPr>
                <w:color w:val="auto"/>
                <w:sz w:val="24"/>
                <w:szCs w:val="24"/>
                <w:highlight w:val="none"/>
              </w:rPr>
              <w:t>张</w:t>
            </w:r>
            <w:r>
              <w:rPr>
                <w:rFonts w:hint="eastAsia"/>
                <w:color w:val="auto"/>
                <w:sz w:val="24"/>
                <w:szCs w:val="24"/>
                <w:highlight w:val="none"/>
                <w:lang w:eastAsia="zh-CN"/>
              </w:rPr>
              <w:t>。</w:t>
            </w:r>
            <w:r>
              <w:rPr>
                <w:rFonts w:hint="eastAsia"/>
                <w:color w:val="auto"/>
                <w:sz w:val="24"/>
                <w:szCs w:val="24"/>
                <w:highlight w:val="none"/>
                <w:lang w:val="en-US" w:eastAsia="zh-CN"/>
              </w:rPr>
              <w:t>参照</w:t>
            </w:r>
            <w:r>
              <w:rPr>
                <w:rFonts w:hint="eastAsia"/>
                <w:color w:val="auto"/>
                <w:sz w:val="24"/>
                <w:szCs w:val="24"/>
                <w:highlight w:val="none"/>
                <w:lang w:eastAsia="zh-CN"/>
              </w:rPr>
              <w:t>《综合医院建筑设计规范》（GB51039-2014）</w:t>
            </w:r>
            <w:r>
              <w:rPr>
                <w:color w:val="auto"/>
                <w:sz w:val="24"/>
                <w:szCs w:val="24"/>
                <w:highlight w:val="none"/>
              </w:rPr>
              <w:t>中</w:t>
            </w:r>
            <w:r>
              <w:rPr>
                <w:rFonts w:hint="eastAsia"/>
                <w:color w:val="auto"/>
                <w:sz w:val="24"/>
                <w:szCs w:val="24"/>
                <w:highlight w:val="none"/>
                <w:lang w:eastAsia="zh-CN"/>
              </w:rPr>
              <w:t>“</w:t>
            </w:r>
            <w:r>
              <w:rPr>
                <w:rFonts w:hint="eastAsia"/>
                <w:color w:val="auto"/>
                <w:sz w:val="24"/>
                <w:szCs w:val="24"/>
                <w:highlight w:val="none"/>
              </w:rPr>
              <w:t>表6.2.2医院生活用水量定额</w:t>
            </w:r>
            <w:r>
              <w:rPr>
                <w:rFonts w:hint="eastAsia"/>
                <w:color w:val="auto"/>
                <w:sz w:val="24"/>
                <w:szCs w:val="24"/>
                <w:highlight w:val="none"/>
                <w:lang w:eastAsia="zh-CN"/>
              </w:rPr>
              <w:t>”可知，每病床</w:t>
            </w:r>
            <w:r>
              <w:rPr>
                <w:rFonts w:hint="eastAsia"/>
                <w:color w:val="auto"/>
                <w:sz w:val="24"/>
                <w:szCs w:val="24"/>
                <w:highlight w:val="none"/>
                <w:lang w:val="en-US" w:eastAsia="zh-CN"/>
              </w:rPr>
              <w:t>用水量为250-400L/（床·d），本次评价取250L/（床·d），按照满负荷时计算住院病床用水量，则本项目住院病床用水量为65t/d，23725t/a。排污系数按照0.8计，则住院病床废水排水量为52t/d，18980t/a。</w:t>
            </w:r>
          </w:p>
          <w:p w14:paraId="763A5C22">
            <w:pPr>
              <w:adjustRightInd w:val="0"/>
              <w:snapToGrid w:val="0"/>
              <w:spacing w:line="360" w:lineRule="auto"/>
              <w:ind w:firstLine="480" w:firstLineChars="200"/>
              <w:rPr>
                <w:rFonts w:hint="eastAsia" w:cs="Times New Roman"/>
                <w:color w:val="auto"/>
                <w:kern w:val="0"/>
                <w:sz w:val="24"/>
                <w:lang w:val="en-US" w:eastAsia="zh-CN"/>
              </w:rPr>
            </w:pPr>
            <w:r>
              <w:rPr>
                <w:rFonts w:hint="default" w:ascii="Times New Roman" w:hAnsi="Times New Roman" w:eastAsia="宋体" w:cs="Times New Roman"/>
                <w:color w:val="auto"/>
                <w:sz w:val="24"/>
                <w:szCs w:val="24"/>
                <w:lang w:val="en-US" w:eastAsia="zh-CN"/>
              </w:rPr>
              <w:t>⑤</w:t>
            </w:r>
            <w:r>
              <w:rPr>
                <w:rFonts w:hint="eastAsia" w:cs="Times New Roman"/>
                <w:bCs/>
                <w:color w:val="auto"/>
                <w:sz w:val="24"/>
                <w:szCs w:val="24"/>
                <w:lang w:eastAsia="zh-CN"/>
              </w:rPr>
              <w:t>医疗器械洗消用水</w:t>
            </w:r>
          </w:p>
          <w:p w14:paraId="084D6AB1">
            <w:pPr>
              <w:pStyle w:val="121"/>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医疗器械使用后需按要求进行洗消处理，本次扩建项目各种医疗器械洗消流程如下：</w:t>
            </w:r>
          </w:p>
          <w:p w14:paraId="7A1C0F43">
            <w:pPr>
              <w:pStyle w:val="121"/>
              <w:keepNext w:val="0"/>
              <w:keepLines w:val="0"/>
              <w:pageBreakBefore w:val="0"/>
              <w:widowControl w:val="0"/>
              <w:kinsoku/>
              <w:wordWrap/>
              <w:overflowPunct/>
              <w:topLinePunct w:val="0"/>
              <w:autoSpaceDE/>
              <w:autoSpaceDN/>
              <w:bidi w:val="0"/>
              <w:spacing w:line="360" w:lineRule="auto"/>
              <w:ind w:firstLine="480" w:firstLineChars="200"/>
              <w:textAlignment w:val="auto"/>
              <w:rPr>
                <w:color w:val="auto"/>
                <w:sz w:val="24"/>
                <w:szCs w:val="24"/>
                <w:highlight w:val="none"/>
              </w:rPr>
            </w:pPr>
            <w:r>
              <w:rPr>
                <w:rFonts w:hint="eastAsia"/>
                <w:color w:val="auto"/>
                <w:sz w:val="24"/>
                <w:szCs w:val="24"/>
                <w:highlight w:val="none"/>
                <w:lang w:val="en-US" w:eastAsia="zh-CN"/>
              </w:rPr>
              <w:t>洗消过程主要包括</w:t>
            </w:r>
            <w:r>
              <w:rPr>
                <w:rFonts w:hint="eastAsia"/>
                <w:b/>
                <w:bCs/>
                <w:color w:val="auto"/>
                <w:sz w:val="24"/>
                <w:szCs w:val="24"/>
                <w:highlight w:val="none"/>
                <w:lang w:val="en-US" w:eastAsia="zh-CN"/>
              </w:rPr>
              <w:t>人工冲洗</w:t>
            </w:r>
            <w:r>
              <w:rPr>
                <w:rFonts w:hint="eastAsia"/>
                <w:color w:val="auto"/>
                <w:sz w:val="24"/>
                <w:szCs w:val="24"/>
                <w:highlight w:val="none"/>
                <w:lang w:val="en-US" w:eastAsia="zh-CN"/>
              </w:rPr>
              <w:t>（自来水）→</w:t>
            </w:r>
            <w:r>
              <w:rPr>
                <w:rFonts w:hint="eastAsia"/>
                <w:b/>
                <w:bCs/>
                <w:color w:val="auto"/>
                <w:sz w:val="24"/>
                <w:szCs w:val="24"/>
                <w:highlight w:val="none"/>
                <w:lang w:val="en-US" w:eastAsia="zh-CN"/>
              </w:rPr>
              <w:t>超声波清洗</w:t>
            </w:r>
            <w:r>
              <w:rPr>
                <w:rFonts w:hint="eastAsia"/>
                <w:color w:val="auto"/>
                <w:sz w:val="24"/>
                <w:szCs w:val="24"/>
                <w:highlight w:val="none"/>
                <w:lang w:val="en-US" w:eastAsia="zh-CN"/>
              </w:rPr>
              <w:t>（使用纯水）→</w:t>
            </w:r>
            <w:r>
              <w:rPr>
                <w:rFonts w:hint="eastAsia"/>
                <w:b/>
                <w:bCs/>
                <w:color w:val="auto"/>
                <w:sz w:val="24"/>
                <w:szCs w:val="24"/>
                <w:highlight w:val="none"/>
                <w:lang w:val="en-US" w:eastAsia="zh-CN"/>
              </w:rPr>
              <w:t>酶洗</w:t>
            </w:r>
            <w:r>
              <w:rPr>
                <w:rFonts w:hint="eastAsia"/>
                <w:color w:val="auto"/>
                <w:sz w:val="24"/>
                <w:szCs w:val="24"/>
                <w:highlight w:val="none"/>
                <w:lang w:val="en-US" w:eastAsia="zh-CN"/>
              </w:rPr>
              <w:t>（多酶清洗剂与纯水兑水比例1:100）→</w:t>
            </w:r>
            <w:r>
              <w:rPr>
                <w:rFonts w:hint="eastAsia"/>
                <w:b/>
                <w:bCs/>
                <w:color w:val="auto"/>
                <w:sz w:val="24"/>
                <w:szCs w:val="24"/>
                <w:highlight w:val="none"/>
                <w:lang w:val="en-US" w:eastAsia="zh-CN"/>
              </w:rPr>
              <w:t>终末漂洗</w:t>
            </w:r>
            <w:r>
              <w:rPr>
                <w:rFonts w:hint="eastAsia"/>
                <w:color w:val="auto"/>
                <w:sz w:val="24"/>
                <w:szCs w:val="24"/>
                <w:highlight w:val="none"/>
                <w:lang w:val="en-US" w:eastAsia="zh-CN"/>
              </w:rPr>
              <w:t>（纯水）→</w:t>
            </w:r>
            <w:r>
              <w:rPr>
                <w:rFonts w:hint="eastAsia"/>
                <w:b/>
                <w:bCs/>
                <w:color w:val="auto"/>
                <w:sz w:val="24"/>
                <w:szCs w:val="24"/>
                <w:highlight w:val="none"/>
                <w:lang w:val="en-US" w:eastAsia="zh-CN"/>
              </w:rPr>
              <w:t>蒸汽灭菌</w:t>
            </w:r>
            <w:r>
              <w:rPr>
                <w:rFonts w:hint="eastAsia"/>
                <w:b w:val="0"/>
                <w:bCs w:val="0"/>
                <w:color w:val="auto"/>
                <w:sz w:val="24"/>
                <w:szCs w:val="24"/>
                <w:highlight w:val="none"/>
                <w:lang w:val="en-US" w:eastAsia="zh-CN"/>
              </w:rPr>
              <w:t>（纯水进入蒸汽发生器制热供给蒸汽）</w:t>
            </w:r>
            <w:r>
              <w:rPr>
                <w:rFonts w:hint="eastAsia"/>
                <w:color w:val="auto"/>
                <w:sz w:val="24"/>
                <w:szCs w:val="24"/>
                <w:highlight w:val="none"/>
                <w:lang w:val="en-US" w:eastAsia="zh-CN"/>
              </w:rPr>
              <w:t>→</w:t>
            </w:r>
            <w:r>
              <w:rPr>
                <w:rFonts w:hint="eastAsia"/>
                <w:b/>
                <w:bCs/>
                <w:color w:val="auto"/>
                <w:sz w:val="24"/>
                <w:szCs w:val="24"/>
                <w:highlight w:val="none"/>
                <w:lang w:val="en-US" w:eastAsia="zh-CN"/>
              </w:rPr>
              <w:t>干燥</w:t>
            </w:r>
            <w:r>
              <w:rPr>
                <w:rFonts w:hint="eastAsia"/>
                <w:color w:val="auto"/>
                <w:sz w:val="24"/>
                <w:szCs w:val="24"/>
                <w:highlight w:val="none"/>
                <w:lang w:val="en-US" w:eastAsia="zh-CN"/>
              </w:rPr>
              <w:t>（70-90℃，约20分钟，根据器械结构复杂程度可适当延长干燥时间）。部分精密</w:t>
            </w:r>
            <w:r>
              <w:rPr>
                <w:rFonts w:hint="default"/>
                <w:color w:val="auto"/>
                <w:sz w:val="24"/>
                <w:szCs w:val="24"/>
                <w:highlight w:val="none"/>
              </w:rPr>
              <w:t>器械</w:t>
            </w:r>
            <w:r>
              <w:rPr>
                <w:rFonts w:hint="eastAsia"/>
                <w:color w:val="auto"/>
                <w:sz w:val="24"/>
                <w:szCs w:val="24"/>
                <w:highlight w:val="none"/>
                <w:lang w:eastAsia="zh-CN"/>
              </w:rPr>
              <w:t>（如普外科、泌尿外科、妇科等）除蒸汽灭菌外还会</w:t>
            </w:r>
            <w:r>
              <w:rPr>
                <w:rFonts w:hint="eastAsia"/>
                <w:color w:val="auto"/>
                <w:sz w:val="24"/>
                <w:szCs w:val="24"/>
                <w:highlight w:val="none"/>
                <w:lang w:val="en-US" w:eastAsia="zh-CN"/>
              </w:rPr>
              <w:t>利用低温等离子灭菌器灭菌</w:t>
            </w:r>
            <w:r>
              <w:rPr>
                <w:rFonts w:hint="default"/>
                <w:color w:val="auto"/>
                <w:sz w:val="24"/>
                <w:szCs w:val="24"/>
                <w:highlight w:val="none"/>
              </w:rPr>
              <w:t>。</w:t>
            </w:r>
          </w:p>
          <w:p w14:paraId="525712C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cs="Times New Roman"/>
                <w:color w:val="auto"/>
                <w:kern w:val="0"/>
                <w:sz w:val="24"/>
                <w:szCs w:val="24"/>
                <w:lang w:val="en-US" w:eastAsia="zh-CN"/>
              </w:rPr>
            </w:pPr>
            <w:r>
              <w:rPr>
                <w:rFonts w:hint="eastAsia"/>
                <w:color w:val="auto"/>
                <w:sz w:val="24"/>
                <w:szCs w:val="24"/>
                <w:highlight w:val="none"/>
                <w:lang w:val="en-US" w:eastAsia="zh-CN"/>
              </w:rPr>
              <w:t>根据建设单位提供的信息，每日使用的医疗器械可按200件计</w:t>
            </w:r>
            <w:r>
              <w:rPr>
                <w:rFonts w:hint="eastAsia" w:cs="Times New Roman"/>
                <w:color w:val="auto"/>
                <w:kern w:val="0"/>
                <w:sz w:val="24"/>
                <w:szCs w:val="24"/>
                <w:lang w:val="en-US" w:eastAsia="zh-CN"/>
              </w:rPr>
              <w:t>。</w:t>
            </w:r>
          </w:p>
          <w:p w14:paraId="74CA16B0">
            <w:pPr>
              <w:pStyle w:val="121"/>
              <w:bidi w:val="0"/>
              <w:rPr>
                <w:rFonts w:hint="default"/>
                <w:color w:val="auto"/>
                <w:highlight w:val="none"/>
                <w:lang w:val="en-US" w:eastAsia="zh-CN"/>
              </w:rPr>
            </w:pPr>
            <w:r>
              <w:rPr>
                <w:rFonts w:hint="eastAsia"/>
                <w:b/>
                <w:bCs/>
                <w:color w:val="auto"/>
                <w:highlight w:val="none"/>
                <w:lang w:val="en-US" w:eastAsia="zh-CN"/>
              </w:rPr>
              <w:t>冲洗：</w:t>
            </w:r>
            <w:r>
              <w:rPr>
                <w:rFonts w:hint="eastAsia"/>
                <w:b w:val="0"/>
                <w:bCs w:val="0"/>
                <w:color w:val="auto"/>
                <w:highlight w:val="none"/>
                <w:lang w:val="en-US" w:eastAsia="zh-CN"/>
              </w:rPr>
              <w:t>人工使用流动自来水进行冲洗，</w:t>
            </w:r>
            <w:r>
              <w:rPr>
                <w:rFonts w:hint="eastAsia"/>
                <w:color w:val="auto"/>
                <w:highlight w:val="none"/>
                <w:lang w:val="en-US" w:eastAsia="zh-CN"/>
              </w:rPr>
              <w:t>用水约5L/</w:t>
            </w:r>
            <w:r>
              <w:rPr>
                <w:rFonts w:hint="eastAsia"/>
                <w:color w:val="auto"/>
                <w:sz w:val="24"/>
                <w:szCs w:val="24"/>
                <w:highlight w:val="none"/>
                <w:lang w:val="en-US" w:eastAsia="zh-CN"/>
              </w:rPr>
              <w:t>件</w:t>
            </w:r>
            <w:r>
              <w:rPr>
                <w:rFonts w:hint="eastAsia"/>
                <w:color w:val="auto"/>
                <w:highlight w:val="none"/>
                <w:lang w:val="en-US" w:eastAsia="zh-CN"/>
              </w:rPr>
              <w:t>器械，用水量约1t/d，365t/a，损耗可忽略不计，产生废水1t/d，365t/a。</w:t>
            </w:r>
          </w:p>
          <w:p w14:paraId="5C3C8785">
            <w:pPr>
              <w:pStyle w:val="121"/>
              <w:bidi w:val="0"/>
              <w:rPr>
                <w:rFonts w:hint="eastAsia"/>
                <w:b/>
                <w:bCs/>
                <w:color w:val="auto"/>
                <w:highlight w:val="none"/>
                <w:lang w:val="en-US" w:eastAsia="zh-CN"/>
              </w:rPr>
            </w:pPr>
            <w:r>
              <w:rPr>
                <w:rFonts w:hint="eastAsia"/>
                <w:b/>
                <w:bCs/>
                <w:color w:val="auto"/>
                <w:highlight w:val="none"/>
                <w:lang w:val="en-US" w:eastAsia="zh-CN"/>
              </w:rPr>
              <w:t>超声波清洗：</w:t>
            </w:r>
            <w:r>
              <w:rPr>
                <w:rFonts w:hint="eastAsia"/>
                <w:b w:val="0"/>
                <w:bCs w:val="0"/>
                <w:color w:val="auto"/>
                <w:highlight w:val="none"/>
                <w:lang w:val="en-US" w:eastAsia="zh-CN"/>
              </w:rPr>
              <w:t>本项目设置超声波清洗机1台，洗消器械使用纯水量按2L</w:t>
            </w:r>
            <w:r>
              <w:rPr>
                <w:rFonts w:hint="eastAsia"/>
                <w:color w:val="auto"/>
                <w:highlight w:val="none"/>
                <w:lang w:val="en-US" w:eastAsia="zh-CN"/>
              </w:rPr>
              <w:t>/</w:t>
            </w:r>
            <w:r>
              <w:rPr>
                <w:rFonts w:hint="eastAsia"/>
                <w:color w:val="auto"/>
                <w:sz w:val="24"/>
                <w:szCs w:val="24"/>
                <w:highlight w:val="none"/>
                <w:lang w:val="en-US" w:eastAsia="zh-CN"/>
              </w:rPr>
              <w:t>件</w:t>
            </w:r>
            <w:r>
              <w:rPr>
                <w:rFonts w:hint="eastAsia"/>
                <w:color w:val="auto"/>
                <w:highlight w:val="none"/>
                <w:lang w:val="en-US" w:eastAsia="zh-CN"/>
              </w:rPr>
              <w:t>器械</w:t>
            </w:r>
            <w:r>
              <w:rPr>
                <w:rFonts w:hint="eastAsia"/>
                <w:b w:val="0"/>
                <w:bCs w:val="0"/>
                <w:color w:val="auto"/>
                <w:highlight w:val="none"/>
                <w:lang w:val="en-US" w:eastAsia="zh-CN"/>
              </w:rPr>
              <w:t>计，超声波清洗机内的纯水不可重复利用，超声清洗环节使用纯水0.4</w:t>
            </w:r>
            <w:r>
              <w:rPr>
                <w:rFonts w:hint="eastAsia"/>
                <w:color w:val="auto"/>
                <w:highlight w:val="none"/>
                <w:lang w:val="en-US" w:eastAsia="zh-CN"/>
              </w:rPr>
              <w:t>t/d，146t/a。损耗可忽略不计，产生的超声清洗废水量约</w:t>
            </w:r>
            <w:r>
              <w:rPr>
                <w:rFonts w:hint="eastAsia"/>
                <w:b w:val="0"/>
                <w:bCs w:val="0"/>
                <w:color w:val="auto"/>
                <w:highlight w:val="none"/>
                <w:lang w:val="en-US" w:eastAsia="zh-CN"/>
              </w:rPr>
              <w:t>0.4</w:t>
            </w:r>
            <w:r>
              <w:rPr>
                <w:rFonts w:hint="eastAsia"/>
                <w:color w:val="auto"/>
                <w:highlight w:val="none"/>
                <w:lang w:val="en-US" w:eastAsia="zh-CN"/>
              </w:rPr>
              <w:t>t/d，146t/a。</w:t>
            </w:r>
          </w:p>
          <w:p w14:paraId="4BF72058">
            <w:pPr>
              <w:pStyle w:val="121"/>
              <w:bidi w:val="0"/>
              <w:rPr>
                <w:rFonts w:hint="default"/>
                <w:color w:val="auto"/>
                <w:highlight w:val="none"/>
                <w:lang w:val="en-US" w:eastAsia="zh-CN"/>
              </w:rPr>
            </w:pPr>
            <w:r>
              <w:rPr>
                <w:rFonts w:hint="eastAsia"/>
                <w:b/>
                <w:bCs/>
                <w:color w:val="auto"/>
                <w:highlight w:val="none"/>
                <w:lang w:val="en-US" w:eastAsia="zh-CN"/>
              </w:rPr>
              <w:t>酶洗：</w:t>
            </w:r>
            <w:r>
              <w:rPr>
                <w:rFonts w:hint="eastAsia"/>
                <w:b w:val="0"/>
                <w:bCs w:val="0"/>
                <w:color w:val="auto"/>
                <w:highlight w:val="none"/>
                <w:lang w:val="en-US" w:eastAsia="zh-CN"/>
              </w:rPr>
              <w:t>利用全自动清洗消毒器进行</w:t>
            </w:r>
            <w:r>
              <w:rPr>
                <w:rFonts w:hint="eastAsia"/>
                <w:color w:val="auto"/>
                <w:highlight w:val="none"/>
                <w:lang w:val="en-US" w:eastAsia="zh-CN"/>
              </w:rPr>
              <w:t>酶洗</w:t>
            </w:r>
            <w:r>
              <w:rPr>
                <w:rFonts w:hint="eastAsia"/>
                <w:b w:val="0"/>
                <w:bCs w:val="0"/>
                <w:color w:val="auto"/>
                <w:highlight w:val="none"/>
                <w:lang w:val="en-US" w:eastAsia="zh-CN"/>
              </w:rPr>
              <w:t>，</w:t>
            </w:r>
            <w:r>
              <w:rPr>
                <w:rFonts w:hint="eastAsia"/>
                <w:color w:val="auto"/>
                <w:highlight w:val="none"/>
                <w:lang w:val="en-US" w:eastAsia="zh-CN"/>
              </w:rPr>
              <w:t>将多酶清洗剂加入</w:t>
            </w:r>
            <w:r>
              <w:rPr>
                <w:rFonts w:hint="eastAsia"/>
                <w:b w:val="0"/>
                <w:bCs w:val="0"/>
                <w:color w:val="auto"/>
                <w:highlight w:val="none"/>
                <w:lang w:val="en-US" w:eastAsia="zh-CN"/>
              </w:rPr>
              <w:t>全自动清洗消毒器</w:t>
            </w:r>
            <w:r>
              <w:rPr>
                <w:rFonts w:hint="eastAsia"/>
                <w:color w:val="auto"/>
                <w:highlight w:val="none"/>
                <w:lang w:val="en-US" w:eastAsia="zh-CN"/>
              </w:rPr>
              <w:t>中，设备自动按量添加多酶清洗剂兑水调配，与纯水调配比例为1:100，调配好后对器械进行浸泡处理，根据建设单位提供的资料，平均每月约消耗5瓶多酶清洗剂（500ml/瓶），则年使用约30000ml多酶清洗剂，与纯水调配后，纯水使用量约3000L/a（3t/a、0.0082t/d），损耗可忽略不计，则产生的酶洗废水量约0.0083t/d，3.03t/a（含0.03t多酶清洗剂）。</w:t>
            </w:r>
          </w:p>
          <w:p w14:paraId="117AF2CD">
            <w:pPr>
              <w:pStyle w:val="121"/>
              <w:bidi w:val="0"/>
              <w:rPr>
                <w:rFonts w:hint="default"/>
                <w:color w:val="auto"/>
                <w:highlight w:val="none"/>
                <w:lang w:val="en-US" w:eastAsia="zh-CN"/>
              </w:rPr>
            </w:pPr>
            <w:r>
              <w:rPr>
                <w:rFonts w:hint="eastAsia"/>
                <w:b/>
                <w:bCs/>
                <w:color w:val="auto"/>
                <w:highlight w:val="none"/>
                <w:lang w:val="en-US" w:eastAsia="zh-CN"/>
              </w:rPr>
              <w:t>终末漂洗：</w:t>
            </w:r>
            <w:r>
              <w:rPr>
                <w:rFonts w:hint="eastAsia"/>
                <w:color w:val="auto"/>
                <w:highlight w:val="none"/>
                <w:lang w:val="en-US" w:eastAsia="zh-CN"/>
              </w:rPr>
              <w:t>酶洗后的器械同样在</w:t>
            </w:r>
            <w:r>
              <w:rPr>
                <w:rFonts w:hint="eastAsia"/>
                <w:b w:val="0"/>
                <w:bCs w:val="0"/>
                <w:color w:val="auto"/>
                <w:highlight w:val="none"/>
                <w:lang w:val="en-US" w:eastAsia="zh-CN"/>
              </w:rPr>
              <w:t>全自动清洗消毒器内</w:t>
            </w:r>
            <w:r>
              <w:rPr>
                <w:rFonts w:hint="eastAsia"/>
                <w:color w:val="auto"/>
                <w:highlight w:val="none"/>
                <w:lang w:val="en-US" w:eastAsia="zh-CN"/>
              </w:rPr>
              <w:t>使用纯水进行最后漂洗一次，确保器械表面不会残留酶洗液和其他污染物，漂洗纯水用量约5L/器械，则使用纯水1t/d，365t/a，损耗可忽略不计，产生漂洗废水1t/d，365t/a。</w:t>
            </w:r>
          </w:p>
          <w:p w14:paraId="17E76559">
            <w:pPr>
              <w:pStyle w:val="121"/>
              <w:bidi w:val="0"/>
              <w:rPr>
                <w:rFonts w:hint="default"/>
                <w:color w:val="auto"/>
                <w:highlight w:val="none"/>
                <w:lang w:val="en-US" w:eastAsia="zh-CN"/>
              </w:rPr>
            </w:pPr>
            <w:r>
              <w:rPr>
                <w:rFonts w:hint="eastAsia"/>
                <w:b/>
                <w:bCs/>
                <w:color w:val="auto"/>
                <w:highlight w:val="none"/>
                <w:lang w:val="en-US" w:eastAsia="zh-CN"/>
              </w:rPr>
              <w:t>蒸汽灭菌：</w:t>
            </w:r>
            <w:r>
              <w:rPr>
                <w:rFonts w:hint="eastAsia"/>
                <w:b w:val="0"/>
                <w:bCs w:val="0"/>
                <w:color w:val="auto"/>
                <w:highlight w:val="none"/>
                <w:lang w:val="en-US" w:eastAsia="zh-CN"/>
              </w:rPr>
              <w:t>清洗完成后进行蒸汽灭菌，本项目设置2台</w:t>
            </w:r>
            <w:r>
              <w:rPr>
                <w:rFonts w:hint="eastAsia" w:ascii="Times New Roman" w:hAnsi="Times New Roman" w:eastAsia="宋体" w:cs="Times New Roman"/>
                <w:sz w:val="24"/>
                <w:szCs w:val="24"/>
                <w:lang w:val="en-US" w:eastAsia="zh-CN"/>
              </w:rPr>
              <w:t>平移门脉动真空灭菌器</w:t>
            </w:r>
            <w:r>
              <w:rPr>
                <w:rFonts w:hint="eastAsia"/>
                <w:b w:val="0"/>
                <w:bCs w:val="0"/>
                <w:color w:val="auto"/>
                <w:sz w:val="24"/>
                <w:szCs w:val="24"/>
                <w:highlight w:val="none"/>
                <w:lang w:val="en-US" w:eastAsia="zh-CN"/>
              </w:rPr>
              <w:t>，</w:t>
            </w:r>
            <w:r>
              <w:rPr>
                <w:rFonts w:hint="eastAsia"/>
                <w:b w:val="0"/>
                <w:bCs w:val="0"/>
                <w:color w:val="auto"/>
                <w:highlight w:val="none"/>
                <w:lang w:val="en-US" w:eastAsia="zh-CN"/>
              </w:rPr>
              <w:t>并分别配套1台1.2t/h的电蒸汽发生器，蒸汽灭菌每日约工作两次，1次工作标准循环时间约1h，即本次扩建项目2台1.2t/h的电蒸汽发生器每日运行时间约2h，则每日蒸汽量为4.8t/d。电蒸汽发生器</w:t>
            </w:r>
            <w:r>
              <w:rPr>
                <w:rFonts w:hint="eastAsia" w:cs="Times New Roman"/>
                <w:color w:val="auto"/>
                <w:sz w:val="24"/>
                <w:szCs w:val="24"/>
                <w:lang w:val="en-US" w:eastAsia="zh-CN"/>
              </w:rPr>
              <w:t>蒸汽需要用到</w:t>
            </w:r>
            <w:r>
              <w:rPr>
                <w:rFonts w:hint="eastAsia" w:cs="Times New Roman"/>
                <w:b w:val="0"/>
                <w:bCs w:val="0"/>
                <w:color w:val="auto"/>
                <w:sz w:val="24"/>
                <w:lang w:eastAsia="zh-CN"/>
              </w:rPr>
              <w:t>纯水，</w:t>
            </w:r>
            <w:r>
              <w:rPr>
                <w:rFonts w:hint="eastAsia" w:cs="Times New Roman"/>
                <w:color w:val="auto"/>
                <w:sz w:val="24"/>
                <w:lang w:eastAsia="zh-CN"/>
              </w:rPr>
              <w:t>纯水进入</w:t>
            </w:r>
            <w:r>
              <w:rPr>
                <w:rFonts w:hint="eastAsia"/>
                <w:b w:val="0"/>
                <w:bCs w:val="0"/>
                <w:color w:val="auto"/>
                <w:highlight w:val="none"/>
                <w:lang w:val="en-US" w:eastAsia="zh-CN"/>
              </w:rPr>
              <w:t>电蒸汽发生器</w:t>
            </w:r>
            <w:r>
              <w:rPr>
                <w:rFonts w:hint="eastAsia" w:cs="Times New Roman"/>
                <w:color w:val="auto"/>
                <w:sz w:val="24"/>
                <w:lang w:eastAsia="zh-CN"/>
              </w:rPr>
              <w:t>蒸汽时，因蒸汽效率会有少量水未能蒸发成蒸汽积攒在</w:t>
            </w:r>
            <w:r>
              <w:rPr>
                <w:rFonts w:hint="eastAsia"/>
                <w:b w:val="0"/>
                <w:bCs w:val="0"/>
                <w:color w:val="auto"/>
                <w:highlight w:val="none"/>
                <w:lang w:val="en-US" w:eastAsia="zh-CN"/>
              </w:rPr>
              <w:t>电蒸汽发生器</w:t>
            </w:r>
            <w:r>
              <w:rPr>
                <w:rFonts w:hint="eastAsia" w:cs="Times New Roman"/>
                <w:color w:val="auto"/>
                <w:sz w:val="24"/>
                <w:lang w:eastAsia="zh-CN"/>
              </w:rPr>
              <w:t>内形成</w:t>
            </w:r>
            <w:r>
              <w:rPr>
                <w:rFonts w:hint="eastAsia" w:cs="Times New Roman"/>
                <w:color w:val="auto"/>
                <w:sz w:val="24"/>
                <w:lang w:val="en-US" w:eastAsia="zh-CN"/>
              </w:rPr>
              <w:t>浓水</w:t>
            </w:r>
            <w:r>
              <w:rPr>
                <w:rFonts w:hint="eastAsia" w:cs="Times New Roman"/>
                <w:color w:val="auto"/>
                <w:sz w:val="24"/>
                <w:lang w:eastAsia="zh-CN"/>
              </w:rPr>
              <w:t>，蒸汽与进入</w:t>
            </w:r>
            <w:r>
              <w:rPr>
                <w:rFonts w:hint="eastAsia"/>
                <w:b w:val="0"/>
                <w:bCs w:val="0"/>
                <w:color w:val="auto"/>
                <w:highlight w:val="none"/>
                <w:lang w:val="en-US" w:eastAsia="zh-CN"/>
              </w:rPr>
              <w:t>电蒸汽发生器</w:t>
            </w:r>
            <w:r>
              <w:rPr>
                <w:rFonts w:hint="eastAsia" w:cs="Times New Roman"/>
                <w:color w:val="auto"/>
                <w:sz w:val="24"/>
                <w:lang w:eastAsia="zh-CN"/>
              </w:rPr>
              <w:t>的纯水比例为</w:t>
            </w:r>
            <w:r>
              <w:rPr>
                <w:rFonts w:hint="eastAsia" w:cs="Times New Roman"/>
                <w:color w:val="auto"/>
                <w:sz w:val="24"/>
                <w:lang w:val="en-US" w:eastAsia="zh-CN"/>
              </w:rPr>
              <w:t>1:1.03</w:t>
            </w:r>
            <w:r>
              <w:rPr>
                <w:rFonts w:hint="eastAsia" w:cs="Times New Roman"/>
                <w:color w:val="auto"/>
                <w:sz w:val="24"/>
                <w:lang w:eastAsia="zh-CN"/>
              </w:rPr>
              <w:t>，则</w:t>
            </w:r>
            <w:r>
              <w:rPr>
                <w:rFonts w:hint="eastAsia" w:cs="Times New Roman"/>
                <w:color w:val="auto"/>
                <w:sz w:val="24"/>
                <w:lang w:val="en-US" w:eastAsia="zh-CN"/>
              </w:rPr>
              <w:t>本项目</w:t>
            </w:r>
            <w:r>
              <w:rPr>
                <w:rFonts w:hint="eastAsia"/>
                <w:b w:val="0"/>
                <w:bCs w:val="0"/>
                <w:color w:val="auto"/>
                <w:highlight w:val="none"/>
                <w:lang w:val="en-US" w:eastAsia="zh-CN"/>
              </w:rPr>
              <w:t>电蒸汽发生器</w:t>
            </w:r>
            <w:r>
              <w:rPr>
                <w:rFonts w:hint="eastAsia" w:cs="Times New Roman"/>
                <w:color w:val="auto"/>
                <w:sz w:val="24"/>
                <w:lang w:val="en-US" w:eastAsia="zh-CN"/>
              </w:rPr>
              <w:t>运转所需纯水量约为4.944t/d（1804.56t/a），</w:t>
            </w:r>
            <w:r>
              <w:rPr>
                <w:rFonts w:hint="eastAsia"/>
                <w:b w:val="0"/>
                <w:bCs w:val="0"/>
                <w:color w:val="auto"/>
                <w:highlight w:val="none"/>
                <w:lang w:val="en-US" w:eastAsia="zh-CN"/>
              </w:rPr>
              <w:t>电蒸汽发生器</w:t>
            </w:r>
            <w:r>
              <w:rPr>
                <w:rFonts w:hint="eastAsia" w:cs="Times New Roman"/>
                <w:color w:val="auto"/>
                <w:sz w:val="24"/>
                <w:lang w:eastAsia="zh-CN"/>
              </w:rPr>
              <w:t>积攒的浓水</w:t>
            </w:r>
            <w:r>
              <w:rPr>
                <w:rFonts w:hint="eastAsia" w:cs="Times New Roman"/>
                <w:color w:val="auto"/>
                <w:sz w:val="24"/>
                <w:lang w:val="en-US" w:eastAsia="zh-CN"/>
              </w:rPr>
              <w:t>产生量约为0.144t/d（52.56t/a）。蒸汽在使用过程损耗量按10%计，剩余蒸汽冷凝产生</w:t>
            </w:r>
            <w:r>
              <w:rPr>
                <w:rFonts w:hint="eastAsia"/>
                <w:color w:val="auto"/>
                <w:highlight w:val="none"/>
                <w:lang w:val="en-US" w:eastAsia="zh-CN"/>
              </w:rPr>
              <w:t>蒸汽灭菌废水，废水量</w:t>
            </w:r>
            <w:r>
              <w:rPr>
                <w:rFonts w:hint="eastAsia" w:cs="Times New Roman"/>
                <w:color w:val="auto"/>
                <w:sz w:val="24"/>
                <w:lang w:val="en-US" w:eastAsia="zh-CN"/>
              </w:rPr>
              <w:t>约为4.32t/d（1576.8t/a）</w:t>
            </w:r>
            <w:r>
              <w:rPr>
                <w:rFonts w:hint="eastAsia"/>
                <w:color w:val="auto"/>
                <w:highlight w:val="none"/>
                <w:lang w:val="en-US" w:eastAsia="zh-CN"/>
              </w:rPr>
              <w:t>。</w:t>
            </w:r>
          </w:p>
          <w:p w14:paraId="6E038110">
            <w:pPr>
              <w:adjustRightInd w:val="0"/>
              <w:snapToGrid w:val="0"/>
              <w:spacing w:line="360" w:lineRule="auto"/>
              <w:ind w:firstLine="482" w:firstLineChars="200"/>
              <w:rPr>
                <w:sz w:val="24"/>
              </w:rPr>
            </w:pPr>
            <w:r>
              <w:rPr>
                <w:rFonts w:hint="eastAsia"/>
                <w:b/>
                <w:bCs/>
                <w:sz w:val="24"/>
                <w:lang w:eastAsia="zh-CN"/>
              </w:rPr>
              <w:t>纯水制备：</w:t>
            </w:r>
            <w:r>
              <w:rPr>
                <w:rFonts w:hint="eastAsia"/>
                <w:sz w:val="24"/>
                <w:lang w:eastAsia="zh-CN"/>
              </w:rPr>
              <w:t>本项目</w:t>
            </w:r>
            <w:r>
              <w:rPr>
                <w:rFonts w:hint="eastAsia" w:cs="Times New Roman"/>
                <w:bCs/>
                <w:color w:val="auto"/>
                <w:sz w:val="24"/>
                <w:szCs w:val="24"/>
                <w:lang w:eastAsia="zh-CN"/>
              </w:rPr>
              <w:t>医疗器械洗消过程多个环节采用纯水，</w:t>
            </w:r>
            <w:r>
              <w:rPr>
                <w:rFonts w:hint="eastAsia" w:cs="Times New Roman"/>
                <w:bCs/>
                <w:color w:val="auto"/>
                <w:sz w:val="24"/>
                <w:szCs w:val="24"/>
                <w:lang w:val="en-US" w:eastAsia="zh-CN"/>
              </w:rPr>
              <w:t>依托医院现有纯水制备器制备纯水，</w:t>
            </w:r>
            <w:r>
              <w:rPr>
                <w:rFonts w:hint="eastAsia" w:cs="Times New Roman"/>
                <w:bCs/>
                <w:color w:val="auto"/>
                <w:sz w:val="24"/>
                <w:szCs w:val="24"/>
                <w:lang w:eastAsia="zh-CN"/>
              </w:rPr>
              <w:t>根据上述内容可知本项目纯水用量总计约为</w:t>
            </w:r>
            <w:r>
              <w:rPr>
                <w:rFonts w:hint="eastAsia" w:cs="Times New Roman"/>
                <w:bCs/>
                <w:color w:val="auto"/>
                <w:sz w:val="24"/>
                <w:szCs w:val="24"/>
                <w:lang w:val="en-US" w:eastAsia="zh-CN"/>
              </w:rPr>
              <w:t>6.3522t/d，纯水制备器制备</w:t>
            </w:r>
            <w:r>
              <w:rPr>
                <w:rFonts w:hint="eastAsia" w:cs="Times New Roman"/>
                <w:color w:val="auto"/>
                <w:kern w:val="1"/>
                <w:sz w:val="24"/>
                <w:lang w:val="en-US" w:eastAsia="zh-CN"/>
              </w:rPr>
              <w:t>纯水效率按80%计，则</w:t>
            </w:r>
            <w:r>
              <w:rPr>
                <w:rFonts w:hint="eastAsia" w:cs="Times New Roman"/>
                <w:color w:val="auto"/>
                <w:sz w:val="24"/>
                <w:szCs w:val="24"/>
                <w:lang w:eastAsia="zh-CN"/>
              </w:rPr>
              <w:t>所需</w:t>
            </w:r>
            <w:r>
              <w:rPr>
                <w:rFonts w:hint="default" w:ascii="Times New Roman" w:hAnsi="Times New Roman" w:cs="Times New Roman"/>
                <w:color w:val="auto"/>
                <w:sz w:val="24"/>
                <w:szCs w:val="24"/>
                <w:lang w:eastAsia="zh-CN"/>
              </w:rPr>
              <w:t>用水量</w:t>
            </w:r>
            <w:r>
              <w:rPr>
                <w:rFonts w:hint="eastAsia" w:ascii="Times New Roman" w:hAnsi="Times New Roman" w:cs="Times New Roman"/>
                <w:color w:val="auto"/>
                <w:sz w:val="24"/>
                <w:szCs w:val="24"/>
                <w:lang w:eastAsia="zh-CN"/>
              </w:rPr>
              <w:t>约</w:t>
            </w:r>
            <w:r>
              <w:rPr>
                <w:rFonts w:hint="default" w:ascii="Times New Roman" w:hAnsi="Times New Roman" w:cs="Times New Roman"/>
                <w:color w:val="auto"/>
                <w:sz w:val="24"/>
                <w:szCs w:val="24"/>
                <w:lang w:eastAsia="zh-CN"/>
              </w:rPr>
              <w:t>为</w:t>
            </w:r>
            <w:r>
              <w:rPr>
                <w:rFonts w:hint="eastAsia" w:ascii="Times New Roman" w:hAnsi="Times New Roman" w:cs="Times New Roman"/>
                <w:color w:val="auto"/>
                <w:sz w:val="24"/>
                <w:szCs w:val="24"/>
                <w:lang w:val="en-US" w:eastAsia="zh-CN"/>
              </w:rPr>
              <w:t>7.9403</w:t>
            </w:r>
            <w:r>
              <w:rPr>
                <w:rFonts w:hint="default" w:ascii="Times New Roman" w:hAnsi="Times New Roman" w:cs="Times New Roman"/>
                <w:color w:val="auto"/>
                <w:sz w:val="24"/>
                <w:szCs w:val="24"/>
                <w:lang w:eastAsia="zh-CN"/>
              </w:rPr>
              <w:t>t/</w:t>
            </w:r>
            <w:r>
              <w:rPr>
                <w:rFonts w:hint="eastAsia" w:ascii="Times New Roman" w:hAnsi="Times New Roman" w:cs="Times New Roman"/>
                <w:color w:val="auto"/>
                <w:sz w:val="24"/>
                <w:szCs w:val="24"/>
                <w:lang w:val="en-US" w:eastAsia="zh-CN"/>
              </w:rPr>
              <w:t>d</w:t>
            </w:r>
            <w:r>
              <w:rPr>
                <w:rFonts w:hint="eastAsia" w:cs="Times New Roman"/>
                <w:color w:val="auto"/>
                <w:sz w:val="24"/>
                <w:szCs w:val="24"/>
                <w:lang w:eastAsia="zh-CN"/>
              </w:rPr>
              <w:t>（</w:t>
            </w:r>
            <w:r>
              <w:rPr>
                <w:rFonts w:hint="eastAsia" w:cs="Times New Roman"/>
                <w:color w:val="auto"/>
                <w:sz w:val="24"/>
                <w:szCs w:val="24"/>
                <w:lang w:val="en-US" w:eastAsia="zh-CN"/>
              </w:rPr>
              <w:t>2898.2</w:t>
            </w:r>
            <w:r>
              <w:rPr>
                <w:rFonts w:hint="default" w:ascii="Times New Roman" w:hAnsi="Times New Roman" w:cs="Times New Roman"/>
                <w:color w:val="auto"/>
                <w:sz w:val="24"/>
                <w:szCs w:val="24"/>
                <w:lang w:eastAsia="zh-CN"/>
              </w:rPr>
              <w:t>t/a</w:t>
            </w:r>
            <w:r>
              <w:rPr>
                <w:rFonts w:hint="eastAsia" w:cs="Times New Roman"/>
                <w:color w:val="auto"/>
                <w:sz w:val="24"/>
                <w:szCs w:val="24"/>
                <w:lang w:eastAsia="zh-CN"/>
              </w:rPr>
              <w:t>），则纯水制备过程产生的浓水约为</w:t>
            </w:r>
            <w:r>
              <w:rPr>
                <w:rFonts w:hint="eastAsia" w:cs="Times New Roman"/>
                <w:color w:val="auto"/>
                <w:sz w:val="24"/>
                <w:szCs w:val="24"/>
                <w:lang w:val="en-US" w:eastAsia="zh-CN"/>
              </w:rPr>
              <w:t>1.5881t/d（579.64t/a）</w:t>
            </w:r>
            <w:r>
              <w:rPr>
                <w:rFonts w:hint="eastAsia"/>
                <w:sz w:val="24"/>
              </w:rPr>
              <w:t>。</w:t>
            </w:r>
          </w:p>
          <w:p w14:paraId="272AF247">
            <w:pPr>
              <w:spacing w:line="360" w:lineRule="auto"/>
              <w:ind w:firstLine="480" w:firstLineChars="200"/>
              <w:rPr>
                <w:rFonts w:hint="eastAsia"/>
                <w:b w:val="0"/>
                <w:bCs w:val="0"/>
                <w:sz w:val="24"/>
                <w:lang w:eastAsia="zh-CN"/>
              </w:rPr>
            </w:pPr>
            <w:r>
              <w:rPr>
                <w:rFonts w:hint="eastAsia" w:ascii="Times New Roman" w:hAnsi="Times New Roman" w:eastAsia="宋体" w:cs="Times New Roman"/>
                <w:color w:val="auto"/>
                <w:sz w:val="24"/>
                <w:szCs w:val="24"/>
                <w:lang w:val="en-US" w:eastAsia="zh-CN"/>
              </w:rPr>
              <w:t>⑥</w:t>
            </w:r>
            <w:r>
              <w:rPr>
                <w:rFonts w:hint="eastAsia"/>
                <w:b w:val="0"/>
                <w:bCs w:val="0"/>
                <w:sz w:val="24"/>
                <w:lang w:eastAsia="zh-CN"/>
              </w:rPr>
              <w:t>地面</w:t>
            </w:r>
            <w:r>
              <w:rPr>
                <w:rFonts w:hint="eastAsia" w:cs="Times New Roman"/>
                <w:bCs/>
                <w:color w:val="auto"/>
                <w:sz w:val="24"/>
                <w:szCs w:val="24"/>
                <w:lang w:eastAsia="zh-CN"/>
              </w:rPr>
              <w:t>保洁</w:t>
            </w:r>
            <w:r>
              <w:rPr>
                <w:rFonts w:hint="eastAsia"/>
                <w:b w:val="0"/>
                <w:bCs w:val="0"/>
                <w:sz w:val="24"/>
                <w:lang w:eastAsia="zh-CN"/>
              </w:rPr>
              <w:t>用水</w:t>
            </w:r>
          </w:p>
          <w:p w14:paraId="45B43BE1">
            <w:pPr>
              <w:pStyle w:val="121"/>
              <w:bidi w:val="0"/>
              <w:rPr>
                <w:rFonts w:hint="default" w:ascii="Times New Roman" w:hAnsi="Times New Roman" w:cs="Times New Roman"/>
                <w:color w:val="auto"/>
                <w:kern w:val="1"/>
                <w:sz w:val="24"/>
                <w:szCs w:val="24"/>
                <w:lang w:eastAsia="zh-CN"/>
              </w:rPr>
            </w:pPr>
            <w:r>
              <w:rPr>
                <w:rFonts w:hint="eastAsia"/>
                <w:color w:val="auto"/>
                <w:sz w:val="24"/>
                <w:szCs w:val="24"/>
                <w:highlight w:val="none"/>
              </w:rPr>
              <w:t>本</w:t>
            </w:r>
            <w:r>
              <w:rPr>
                <w:rFonts w:hint="default" w:ascii="Times New Roman" w:hAnsi="Times New Roman" w:cs="Times New Roman"/>
                <w:color w:val="auto"/>
                <w:sz w:val="24"/>
                <w:szCs w:val="24"/>
                <w:highlight w:val="none"/>
                <w:lang w:eastAsia="zh-CN"/>
              </w:rPr>
              <w:t>次扩建</w:t>
            </w:r>
            <w:r>
              <w:rPr>
                <w:rFonts w:hint="default" w:ascii="Times New Roman" w:hAnsi="Times New Roman" w:cs="Times New Roman"/>
                <w:color w:val="auto"/>
                <w:sz w:val="24"/>
                <w:szCs w:val="24"/>
                <w:highlight w:val="none"/>
              </w:rPr>
              <w:t>项目</w:t>
            </w:r>
            <w:r>
              <w:rPr>
                <w:rFonts w:hint="default" w:ascii="Times New Roman" w:hAnsi="Times New Roman" w:cs="Times New Roman"/>
                <w:sz w:val="24"/>
                <w:szCs w:val="24"/>
                <w:lang w:val="en-US" w:eastAsia="zh-CN"/>
              </w:rPr>
              <w:t>住院综合楼</w:t>
            </w:r>
            <w:r>
              <w:rPr>
                <w:rFonts w:hint="default" w:ascii="Times New Roman" w:hAnsi="Times New Roman" w:cs="Times New Roman"/>
                <w:color w:val="auto"/>
                <w:sz w:val="24"/>
                <w:szCs w:val="24"/>
                <w:highlight w:val="none"/>
                <w:lang w:val="en-US" w:eastAsia="zh-CN"/>
              </w:rPr>
              <w:t>各层</w:t>
            </w:r>
            <w:r>
              <w:rPr>
                <w:rFonts w:hint="default" w:ascii="Times New Roman" w:hAnsi="Times New Roman" w:cs="Times New Roman"/>
                <w:color w:val="auto"/>
                <w:sz w:val="24"/>
                <w:szCs w:val="24"/>
                <w:highlight w:val="none"/>
              </w:rPr>
              <w:t>地面每日需要进行湿拖，根据《建筑给水排水设计手册》（中国建筑工业出版社，作者：中国建筑设计研究院），场地清洗用水量为1.0~2.0L</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次</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，本项目不直接冲洗地面，采用拖布保洁方式，清洗拖布用水量按标准的5</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（0.05~0.1L</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次</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）计算，取0.1L</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次</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。保洁面积按</w:t>
            </w:r>
            <w:r>
              <w:rPr>
                <w:rFonts w:hint="default" w:ascii="Times New Roman" w:hAnsi="Times New Roman" w:cs="Times New Roman"/>
                <w:color w:val="auto"/>
                <w:sz w:val="24"/>
                <w:szCs w:val="24"/>
                <w:highlight w:val="none"/>
                <w:lang w:val="en-US" w:eastAsia="zh-CN"/>
              </w:rPr>
              <w:t>12698.8m</w:t>
            </w:r>
            <w:r>
              <w:rPr>
                <w:rFonts w:hint="default" w:ascii="Times New Roman" w:hAnsi="Times New Roman" w:cs="Times New Roman"/>
                <w:color w:val="auto"/>
                <w:sz w:val="24"/>
                <w:szCs w:val="24"/>
                <w:highlight w:val="none"/>
                <w:vertAlign w:val="superscript"/>
                <w:lang w:val="en-US" w:eastAsia="zh-CN"/>
              </w:rPr>
              <w:t>2</w:t>
            </w:r>
            <w:r>
              <w:rPr>
                <w:rFonts w:hint="default" w:ascii="Times New Roman" w:hAnsi="Times New Roman" w:cs="Times New Roman"/>
                <w:color w:val="auto"/>
                <w:sz w:val="24"/>
                <w:szCs w:val="24"/>
                <w:highlight w:val="none"/>
                <w:lang w:val="en-US" w:eastAsia="zh-CN"/>
              </w:rPr>
              <w:t>计</w:t>
            </w:r>
            <w:r>
              <w:rPr>
                <w:rFonts w:hint="default" w:ascii="Times New Roman" w:hAnsi="Times New Roman" w:cs="Times New Roman"/>
                <w:color w:val="auto"/>
                <w:sz w:val="24"/>
                <w:szCs w:val="24"/>
                <w:highlight w:val="none"/>
              </w:rPr>
              <w:t>，年工作</w:t>
            </w:r>
            <w:r>
              <w:rPr>
                <w:rFonts w:hint="default" w:ascii="Times New Roman" w:hAnsi="Times New Roman" w:cs="Times New Roman"/>
                <w:color w:val="auto"/>
                <w:sz w:val="24"/>
                <w:szCs w:val="24"/>
                <w:highlight w:val="none"/>
                <w:lang w:val="en-US" w:eastAsia="zh-CN"/>
              </w:rPr>
              <w:t>365</w:t>
            </w:r>
            <w:r>
              <w:rPr>
                <w:rFonts w:hint="default" w:ascii="Times New Roman" w:hAnsi="Times New Roman" w:cs="Times New Roman"/>
                <w:color w:val="auto"/>
                <w:sz w:val="24"/>
                <w:szCs w:val="24"/>
                <w:highlight w:val="none"/>
              </w:rPr>
              <w:t>次，则</w:t>
            </w:r>
            <w:r>
              <w:rPr>
                <w:rFonts w:hint="default" w:ascii="Times New Roman" w:hAnsi="Times New Roman" w:cs="Times New Roman"/>
                <w:color w:val="auto"/>
                <w:sz w:val="24"/>
                <w:szCs w:val="24"/>
                <w:highlight w:val="none"/>
                <w:lang w:val="en-US" w:eastAsia="zh-CN"/>
              </w:rPr>
              <w:t>地面</w:t>
            </w:r>
            <w:r>
              <w:rPr>
                <w:rFonts w:hint="default" w:ascii="Times New Roman" w:hAnsi="Times New Roman" w:cs="Times New Roman"/>
                <w:color w:val="auto"/>
                <w:sz w:val="24"/>
                <w:szCs w:val="24"/>
                <w:highlight w:val="none"/>
              </w:rPr>
              <w:t>湿拖用水量为</w:t>
            </w:r>
            <w:r>
              <w:rPr>
                <w:rFonts w:hint="eastAsia" w:ascii="Times New Roman" w:hAnsi="Times New Roman" w:cs="Times New Roman"/>
                <w:color w:val="auto"/>
                <w:sz w:val="24"/>
                <w:szCs w:val="24"/>
                <w:highlight w:val="none"/>
                <w:lang w:val="en-US" w:eastAsia="zh-CN"/>
              </w:rPr>
              <w:t>1.27</w:t>
            </w:r>
            <w:r>
              <w:rPr>
                <w:rFonts w:hint="default" w:ascii="Times New Roman" w:hAnsi="Times New Roman" w:cs="Times New Roman"/>
                <w:color w:val="auto"/>
                <w:sz w:val="24"/>
                <w:szCs w:val="24"/>
                <w:highlight w:val="none"/>
                <w:lang w:val="en-US" w:eastAsia="zh-CN"/>
              </w:rPr>
              <w:t>t/d，</w:t>
            </w:r>
            <w:r>
              <w:rPr>
                <w:rFonts w:hint="eastAsia" w:ascii="Times New Roman" w:hAnsi="Times New Roman" w:cs="Times New Roman"/>
                <w:color w:val="auto"/>
                <w:sz w:val="24"/>
                <w:szCs w:val="24"/>
                <w:highlight w:val="none"/>
                <w:lang w:val="en-US" w:eastAsia="zh-CN"/>
              </w:rPr>
              <w:t>463.51</w:t>
            </w:r>
            <w:r>
              <w:rPr>
                <w:rFonts w:hint="default" w:ascii="Times New Roman" w:hAnsi="Times New Roman" w:cs="Times New Roman"/>
                <w:color w:val="auto"/>
                <w:sz w:val="24"/>
                <w:szCs w:val="24"/>
                <w:highlight w:val="none"/>
                <w:lang w:val="en-US" w:eastAsia="zh-CN"/>
              </w:rPr>
              <w:t>t/a</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eastAsia="zh-CN"/>
              </w:rPr>
              <w:t>地面保洁用水全部蒸发损耗，无废水产生</w:t>
            </w:r>
            <w:r>
              <w:rPr>
                <w:rFonts w:hint="default" w:ascii="Times New Roman" w:hAnsi="Times New Roman" w:cs="Times New Roman"/>
                <w:color w:val="auto"/>
                <w:kern w:val="1"/>
                <w:sz w:val="24"/>
                <w:szCs w:val="24"/>
                <w:lang w:eastAsia="zh-CN"/>
              </w:rPr>
              <w:t>。</w:t>
            </w:r>
          </w:p>
          <w:p w14:paraId="1D4525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jc w:val="both"/>
              <w:textAlignment w:val="auto"/>
              <w:rPr>
                <w:rFonts w:hint="default" w:ascii="Times New Roman" w:hAnsi="Times New Roman" w:eastAsia="宋体" w:cs="Times New Roman"/>
                <w:b/>
                <w:bCs w:val="0"/>
                <w:color w:val="auto"/>
                <w:szCs w:val="21"/>
                <w:lang w:val="en-US" w:eastAsia="zh-CN"/>
              </w:rPr>
            </w:pPr>
          </w:p>
        </w:tc>
      </w:tr>
    </w:tbl>
    <w:p w14:paraId="5B66FFD2">
      <w:pPr>
        <w:pStyle w:val="23"/>
        <w:jc w:val="center"/>
        <w:rPr>
          <w:rFonts w:hint="default" w:ascii="Times New Roman" w:hAnsi="Times New Roman" w:eastAsia="黑体" w:cs="Times New Roman"/>
          <w:snapToGrid w:val="0"/>
          <w:color w:val="FF0000"/>
          <w:sz w:val="36"/>
          <w:szCs w:val="36"/>
        </w:rPr>
        <w:sectPr>
          <w:pgSz w:w="11906" w:h="16838"/>
          <w:pgMar w:top="1417" w:right="1417" w:bottom="1417" w:left="1417" w:header="851" w:footer="851" w:gutter="0"/>
          <w:pgNumType w:fmt="decimal"/>
          <w:cols w:space="720" w:num="1"/>
          <w:docGrid w:linePitch="312" w:charSpace="0"/>
        </w:sectPr>
      </w:pPr>
    </w:p>
    <w:tbl>
      <w:tblPr>
        <w:tblStyle w:val="27"/>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69"/>
        <w:gridCol w:w="13473"/>
      </w:tblGrid>
      <w:tr w14:paraId="78C6FC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05" w:hRule="atLeast"/>
          <w:jc w:val="center"/>
        </w:trPr>
        <w:tc>
          <w:tcPr>
            <w:tcW w:w="202" w:type="pct"/>
            <w:noWrap w:val="0"/>
            <w:vAlign w:val="center"/>
          </w:tcPr>
          <w:p w14:paraId="4C4EAF79">
            <w:pPr>
              <w:pStyle w:val="23"/>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b/>
                <w:bCs/>
                <w:color w:val="auto"/>
              </w:rPr>
              <w:t>建设内容</w:t>
            </w:r>
          </w:p>
        </w:tc>
        <w:tc>
          <w:tcPr>
            <w:tcW w:w="4797" w:type="pct"/>
            <w:noWrap w:val="0"/>
            <w:vAlign w:val="center"/>
          </w:tcPr>
          <w:p w14:paraId="0C8A16B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color w:val="auto"/>
                <w:kern w:val="0"/>
                <w:sz w:val="24"/>
                <w:szCs w:val="24"/>
                <w:lang w:eastAsia="zh-CN"/>
              </w:rPr>
            </w:pPr>
            <w:r>
              <w:rPr>
                <w:rFonts w:hint="eastAsia" w:ascii="Times New Roman" w:hAnsi="Times New Roman" w:eastAsia="宋体" w:cs="Times New Roman"/>
                <w:b/>
                <w:color w:val="auto"/>
                <w:kern w:val="0"/>
                <w:sz w:val="24"/>
                <w:szCs w:val="24"/>
                <w:lang w:eastAsia="zh-CN"/>
              </w:rPr>
              <w:drawing>
                <wp:inline distT="0" distB="0" distL="114300" distR="114300">
                  <wp:extent cx="8341995" cy="5533390"/>
                  <wp:effectExtent l="0" t="0" r="0" b="0"/>
                  <wp:docPr id="20" name="ECB019B1-382A-4266-B25C-5B523AA43C14-1"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CB019B1-382A-4266-B25C-5B523AA43C14-1" descr="wps"/>
                          <pic:cNvPicPr>
                            <a:picLocks noChangeAspect="1"/>
                          </pic:cNvPicPr>
                        </pic:nvPicPr>
                        <pic:blipFill>
                          <a:blip r:embed="rId7"/>
                          <a:stretch>
                            <a:fillRect/>
                          </a:stretch>
                        </pic:blipFill>
                        <pic:spPr>
                          <a:xfrm>
                            <a:off x="0" y="0"/>
                            <a:ext cx="8341995" cy="5533390"/>
                          </a:xfrm>
                          <a:prstGeom prst="rect">
                            <a:avLst/>
                          </a:prstGeom>
                        </pic:spPr>
                      </pic:pic>
                    </a:graphicData>
                  </a:graphic>
                </wp:inline>
              </w:drawing>
            </w:r>
          </w:p>
          <w:p w14:paraId="3C6A50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color w:val="auto"/>
                <w:kern w:val="0"/>
                <w:sz w:val="24"/>
                <w:szCs w:val="24"/>
                <w:lang w:val="en-US" w:eastAsia="zh-CN"/>
              </w:rPr>
            </w:pPr>
            <w:r>
              <w:rPr>
                <w:rFonts w:hint="default" w:ascii="Times New Roman" w:hAnsi="Times New Roman" w:cs="Times New Roman"/>
                <w:b/>
                <w:color w:val="auto"/>
                <w:kern w:val="0"/>
                <w:sz w:val="24"/>
                <w:szCs w:val="24"/>
              </w:rPr>
              <w:t>图2-1</w:t>
            </w:r>
            <w:r>
              <w:rPr>
                <w:rFonts w:hint="eastAsia" w:cs="Times New Roman"/>
                <w:b/>
                <w:color w:val="auto"/>
                <w:kern w:val="0"/>
                <w:sz w:val="24"/>
                <w:szCs w:val="24"/>
                <w:lang w:val="en-US" w:eastAsia="zh-CN"/>
              </w:rPr>
              <w:t xml:space="preserve"> </w:t>
            </w:r>
            <w:r>
              <w:rPr>
                <w:rFonts w:hint="default" w:ascii="Times New Roman" w:hAnsi="Times New Roman" w:cs="Times New Roman"/>
                <w:b/>
                <w:color w:val="auto"/>
                <w:kern w:val="0"/>
                <w:sz w:val="24"/>
                <w:szCs w:val="24"/>
              </w:rPr>
              <w:t xml:space="preserve"> 项目给排水平衡图</w:t>
            </w:r>
            <w:r>
              <w:rPr>
                <w:rFonts w:hint="eastAsia" w:ascii="Times New Roman" w:hAnsi="Times New Roman" w:eastAsia="宋体" w:cs="Times New Roman"/>
                <w:b/>
                <w:color w:val="auto"/>
                <w:kern w:val="0"/>
                <w:sz w:val="24"/>
                <w:szCs w:val="24"/>
                <w:lang w:eastAsia="zh-CN"/>
              </w:rPr>
              <w:t>（</w:t>
            </w:r>
            <w:r>
              <w:rPr>
                <w:rFonts w:hint="eastAsia" w:ascii="Times New Roman" w:hAnsi="Times New Roman" w:eastAsia="宋体" w:cs="Times New Roman"/>
                <w:b/>
                <w:color w:val="auto"/>
                <w:kern w:val="0"/>
                <w:sz w:val="24"/>
                <w:szCs w:val="24"/>
                <w:lang w:val="en-US" w:eastAsia="zh-CN"/>
              </w:rPr>
              <w:t>t/d</w:t>
            </w:r>
            <w:r>
              <w:rPr>
                <w:rFonts w:hint="eastAsia" w:ascii="Times New Roman" w:hAnsi="Times New Roman" w:eastAsia="宋体" w:cs="Times New Roman"/>
                <w:b/>
                <w:color w:val="auto"/>
                <w:kern w:val="0"/>
                <w:sz w:val="24"/>
                <w:szCs w:val="24"/>
                <w:lang w:eastAsia="zh-CN"/>
              </w:rPr>
              <w:t>）</w:t>
            </w:r>
          </w:p>
          <w:p w14:paraId="50BE564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eastAsia="宋体"/>
                <w:b/>
                <w:bCs/>
                <w:kern w:val="0"/>
                <w:sz w:val="24"/>
                <w:lang w:eastAsia="zh-CN"/>
              </w:rPr>
            </w:pPr>
            <w:r>
              <w:rPr>
                <w:rFonts w:hint="eastAsia" w:eastAsia="宋体"/>
                <w:b/>
                <w:bCs/>
                <w:kern w:val="0"/>
                <w:sz w:val="24"/>
                <w:lang w:eastAsia="zh-CN"/>
              </w:rPr>
              <w:drawing>
                <wp:inline distT="0" distB="0" distL="114300" distR="114300">
                  <wp:extent cx="6475095" cy="5516880"/>
                  <wp:effectExtent l="0" t="0" r="0" b="0"/>
                  <wp:docPr id="4" name="ECB019B1-382A-4266-B25C-5B523AA43C14-2"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CB019B1-382A-4266-B25C-5B523AA43C14-2" descr="wps"/>
                          <pic:cNvPicPr>
                            <a:picLocks noChangeAspect="1"/>
                          </pic:cNvPicPr>
                        </pic:nvPicPr>
                        <pic:blipFill>
                          <a:blip r:embed="rId8"/>
                          <a:stretch>
                            <a:fillRect/>
                          </a:stretch>
                        </pic:blipFill>
                        <pic:spPr>
                          <a:xfrm>
                            <a:off x="0" y="0"/>
                            <a:ext cx="6475095" cy="5516880"/>
                          </a:xfrm>
                          <a:prstGeom prst="rect">
                            <a:avLst/>
                          </a:prstGeom>
                        </pic:spPr>
                      </pic:pic>
                    </a:graphicData>
                  </a:graphic>
                </wp:inline>
              </w:drawing>
            </w:r>
          </w:p>
          <w:p w14:paraId="411B15C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val="0"/>
                <w:color w:val="auto"/>
                <w:szCs w:val="21"/>
                <w:lang w:val="en-US" w:eastAsia="zh-CN"/>
              </w:rPr>
            </w:pPr>
            <w:r>
              <w:rPr>
                <w:rFonts w:hint="eastAsia"/>
                <w:b/>
                <w:bCs/>
                <w:kern w:val="0"/>
                <w:sz w:val="24"/>
              </w:rPr>
              <w:t>图2-2  项目</w:t>
            </w:r>
            <w:r>
              <w:rPr>
                <w:rFonts w:hint="eastAsia"/>
                <w:b/>
                <w:bCs/>
                <w:kern w:val="0"/>
                <w:sz w:val="24"/>
                <w:lang w:eastAsia="zh-CN"/>
              </w:rPr>
              <w:t>扩建</w:t>
            </w:r>
            <w:r>
              <w:rPr>
                <w:rFonts w:hint="eastAsia"/>
                <w:b/>
                <w:bCs/>
                <w:kern w:val="0"/>
                <w:sz w:val="24"/>
              </w:rPr>
              <w:t>后</w:t>
            </w:r>
            <w:r>
              <w:rPr>
                <w:rFonts w:hint="eastAsia"/>
                <w:b/>
                <w:bCs/>
                <w:kern w:val="0"/>
                <w:sz w:val="24"/>
                <w:lang w:eastAsia="zh-CN"/>
              </w:rPr>
              <w:t>全院</w:t>
            </w:r>
            <w:r>
              <w:rPr>
                <w:rFonts w:hint="eastAsia"/>
                <w:b/>
                <w:bCs/>
                <w:kern w:val="0"/>
                <w:sz w:val="24"/>
              </w:rPr>
              <w:t>水平衡图（单位：t/d）</w:t>
            </w:r>
          </w:p>
        </w:tc>
      </w:tr>
    </w:tbl>
    <w:p w14:paraId="4B87F516">
      <w:pPr>
        <w:pStyle w:val="23"/>
        <w:jc w:val="center"/>
        <w:rPr>
          <w:rFonts w:hint="default" w:ascii="Times New Roman" w:hAnsi="Times New Roman" w:eastAsia="黑体" w:cs="Times New Roman"/>
          <w:snapToGrid w:val="0"/>
          <w:color w:val="FF0000"/>
          <w:sz w:val="36"/>
          <w:szCs w:val="36"/>
        </w:rPr>
        <w:sectPr>
          <w:pgSz w:w="16838" w:h="11906" w:orient="landscape"/>
          <w:pgMar w:top="1417" w:right="1417" w:bottom="1417" w:left="1587" w:header="851" w:footer="851" w:gutter="0"/>
          <w:pgNumType w:fmt="decimal"/>
          <w:cols w:space="720" w:num="1"/>
          <w:docGrid w:linePitch="312" w:charSpace="0"/>
        </w:sectPr>
      </w:pPr>
    </w:p>
    <w:tbl>
      <w:tblPr>
        <w:tblStyle w:val="27"/>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9"/>
        <w:gridCol w:w="8827"/>
      </w:tblGrid>
      <w:tr w14:paraId="45E1C6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27" w:type="pct"/>
            <w:noWrap w:val="0"/>
            <w:vAlign w:val="center"/>
          </w:tcPr>
          <w:p w14:paraId="2F21DA85">
            <w:pPr>
              <w:pStyle w:val="23"/>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b/>
                <w:bCs/>
                <w:color w:val="auto"/>
              </w:rPr>
              <w:t>建设内容</w:t>
            </w:r>
          </w:p>
        </w:tc>
        <w:tc>
          <w:tcPr>
            <w:tcW w:w="4672" w:type="pct"/>
            <w:noWrap w:val="0"/>
            <w:vAlign w:val="center"/>
          </w:tcPr>
          <w:p w14:paraId="7008D453">
            <w:pPr>
              <w:widowControl/>
              <w:adjustRightInd w:val="0"/>
              <w:snapToGrid w:val="0"/>
              <w:spacing w:line="360" w:lineRule="auto"/>
              <w:ind w:firstLine="480" w:firstLineChars="200"/>
              <w:jc w:val="left"/>
              <w:rPr>
                <w:rFonts w:hint="default" w:ascii="Times New Roman" w:hAnsi="Times New Roman" w:cs="Times New Roman"/>
                <w:color w:val="auto"/>
                <w:kern w:val="0"/>
                <w:sz w:val="24"/>
              </w:rPr>
            </w:pPr>
            <w:r>
              <w:rPr>
                <w:rFonts w:hint="default" w:ascii="Times New Roman" w:hAnsi="Times New Roman" w:cs="Times New Roman"/>
                <w:color w:val="auto"/>
                <w:kern w:val="0"/>
                <w:sz w:val="24"/>
              </w:rPr>
              <w:t>（</w:t>
            </w:r>
            <w:r>
              <w:rPr>
                <w:rFonts w:hint="eastAsia" w:cs="Times New Roman"/>
                <w:color w:val="auto"/>
                <w:kern w:val="0"/>
                <w:sz w:val="24"/>
                <w:lang w:val="en-US" w:eastAsia="zh-CN"/>
              </w:rPr>
              <w:t>2</w:t>
            </w:r>
            <w:r>
              <w:rPr>
                <w:rFonts w:hint="default" w:ascii="Times New Roman" w:hAnsi="Times New Roman" w:cs="Times New Roman"/>
                <w:color w:val="auto"/>
                <w:kern w:val="0"/>
                <w:sz w:val="24"/>
              </w:rPr>
              <w:t>）供电</w:t>
            </w:r>
          </w:p>
          <w:p w14:paraId="16F38BB2">
            <w:pPr>
              <w:widowControl/>
              <w:adjustRightInd w:val="0"/>
              <w:snapToGrid w:val="0"/>
              <w:spacing w:line="360" w:lineRule="auto"/>
              <w:ind w:firstLine="480" w:firstLineChars="200"/>
              <w:jc w:val="left"/>
              <w:rPr>
                <w:color w:val="auto"/>
              </w:rPr>
            </w:pPr>
            <w:r>
              <w:rPr>
                <w:rFonts w:hint="default" w:ascii="Times New Roman" w:hAnsi="Times New Roman" w:eastAsia="宋体" w:cs="Times New Roman"/>
                <w:color w:val="auto"/>
                <w:kern w:val="0"/>
                <w:sz w:val="24"/>
                <w:szCs w:val="24"/>
              </w:rPr>
              <w:t>项目年</w:t>
            </w:r>
            <w:r>
              <w:rPr>
                <w:rFonts w:hint="eastAsia" w:cs="Times New Roman"/>
                <w:color w:val="auto"/>
                <w:kern w:val="0"/>
                <w:sz w:val="24"/>
                <w:szCs w:val="24"/>
                <w:lang w:eastAsia="zh-CN"/>
              </w:rPr>
              <w:t>新增</w:t>
            </w:r>
            <w:r>
              <w:rPr>
                <w:rFonts w:hint="default" w:ascii="Times New Roman" w:hAnsi="Times New Roman" w:eastAsia="宋体" w:cs="Times New Roman"/>
                <w:color w:val="auto"/>
                <w:kern w:val="0"/>
                <w:sz w:val="24"/>
                <w:szCs w:val="24"/>
              </w:rPr>
              <w:t>用电量约</w:t>
            </w:r>
            <w:r>
              <w:rPr>
                <w:rFonts w:hint="eastAsia" w:cs="Times New Roman"/>
                <w:color w:val="auto"/>
                <w:kern w:val="0"/>
                <w:sz w:val="24"/>
                <w:szCs w:val="24"/>
                <w:lang w:val="en-US" w:eastAsia="zh-CN"/>
              </w:rPr>
              <w:t>141</w:t>
            </w:r>
            <w:r>
              <w:rPr>
                <w:rFonts w:hint="default" w:ascii="Times New Roman" w:hAnsi="Times New Roman" w:eastAsia="宋体" w:cs="Times New Roman"/>
                <w:color w:val="auto"/>
                <w:kern w:val="0"/>
                <w:sz w:val="24"/>
                <w:szCs w:val="24"/>
              </w:rPr>
              <w:t>万</w:t>
            </w:r>
            <w:r>
              <w:rPr>
                <w:rFonts w:hint="eastAsia" w:cs="Times New Roman"/>
                <w:color w:val="auto"/>
                <w:kern w:val="0"/>
                <w:sz w:val="24"/>
                <w:szCs w:val="24"/>
                <w:lang w:val="en-US" w:eastAsia="zh-CN"/>
              </w:rPr>
              <w:t>k</w:t>
            </w:r>
            <w:r>
              <w:rPr>
                <w:rFonts w:hint="default" w:ascii="Times New Roman" w:hAnsi="Times New Roman" w:eastAsia="宋体" w:cs="Times New Roman"/>
                <w:color w:val="auto"/>
                <w:kern w:val="0"/>
                <w:sz w:val="24"/>
                <w:szCs w:val="24"/>
                <w:lang w:val="en-US" w:eastAsia="zh-CN"/>
              </w:rPr>
              <w:t>W</w:t>
            </w:r>
            <w:r>
              <w:rPr>
                <w:rFonts w:hint="default" w:ascii="Times New Roman" w:hAnsi="Times New Roman" w:eastAsia="宋体" w:cs="Times New Roman"/>
                <w:color w:val="auto"/>
                <w:kern w:val="0"/>
                <w:sz w:val="24"/>
                <w:szCs w:val="24"/>
              </w:rPr>
              <w:t>·h，由市政供电，可以满足项目生产及生活需要</w:t>
            </w:r>
            <w:r>
              <w:rPr>
                <w:rFonts w:hint="default" w:ascii="Times New Roman" w:hAnsi="Times New Roman" w:cs="Times New Roman"/>
                <w:color w:val="auto"/>
                <w:kern w:val="0"/>
                <w:sz w:val="24"/>
              </w:rPr>
              <w:t>。</w:t>
            </w:r>
          </w:p>
          <w:p w14:paraId="61263E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jc w:val="both"/>
              <w:textAlignment w:val="auto"/>
              <w:rPr>
                <w:rFonts w:hint="default" w:ascii="Times New Roman" w:hAnsi="Times New Roman" w:cs="Times New Roman"/>
                <w:b/>
                <w:bCs w:val="0"/>
                <w:color w:val="auto"/>
                <w:kern w:val="2"/>
                <w:sz w:val="24"/>
                <w:szCs w:val="32"/>
                <w:lang w:val="en-US" w:eastAsia="zh-CN"/>
              </w:rPr>
            </w:pPr>
            <w:r>
              <w:rPr>
                <w:rFonts w:hint="eastAsia" w:cs="Times New Roman"/>
                <w:b/>
                <w:bCs w:val="0"/>
                <w:color w:val="auto"/>
                <w:kern w:val="2"/>
                <w:sz w:val="24"/>
                <w:szCs w:val="32"/>
                <w:lang w:val="en-US" w:eastAsia="zh-CN"/>
              </w:rPr>
              <w:t>8</w:t>
            </w:r>
            <w:r>
              <w:rPr>
                <w:rFonts w:hint="default" w:ascii="Times New Roman" w:hAnsi="Times New Roman" w:cs="Times New Roman"/>
                <w:b/>
                <w:bCs w:val="0"/>
                <w:color w:val="auto"/>
                <w:kern w:val="2"/>
                <w:sz w:val="24"/>
                <w:szCs w:val="32"/>
                <w:lang w:val="en-US" w:eastAsia="zh-CN"/>
              </w:rPr>
              <w:t>、平面布局</w:t>
            </w:r>
          </w:p>
          <w:p w14:paraId="1BC9AE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eastAsia" w:cs="Times New Roman"/>
                <w:color w:val="auto"/>
                <w:kern w:val="2"/>
                <w:sz w:val="24"/>
                <w:szCs w:val="32"/>
                <w:lang w:val="en-US" w:eastAsia="zh-CN"/>
              </w:rPr>
            </w:pPr>
            <w:r>
              <w:rPr>
                <w:rFonts w:hint="eastAsia" w:cs="Times New Roman"/>
                <w:color w:val="auto"/>
                <w:kern w:val="2"/>
                <w:sz w:val="24"/>
                <w:szCs w:val="32"/>
                <w:lang w:val="en-US" w:eastAsia="zh-CN"/>
              </w:rPr>
              <w:t>本</w:t>
            </w:r>
            <w:r>
              <w:rPr>
                <w:rFonts w:hint="default" w:ascii="Times New Roman" w:hAnsi="Times New Roman" w:cs="Times New Roman"/>
                <w:color w:val="auto"/>
                <w:kern w:val="2"/>
                <w:sz w:val="24"/>
                <w:szCs w:val="32"/>
                <w:lang w:val="en-US" w:eastAsia="zh-CN"/>
              </w:rPr>
              <w:t>项目</w:t>
            </w:r>
            <w:r>
              <w:rPr>
                <w:rFonts w:hint="eastAsia"/>
                <w:color w:val="auto"/>
                <w:sz w:val="24"/>
                <w:lang w:val="en-US" w:eastAsia="zh-CN"/>
              </w:rPr>
              <w:t>位于</w:t>
            </w:r>
            <w:r>
              <w:rPr>
                <w:rFonts w:hint="eastAsia" w:cs="Times New Roman"/>
                <w:color w:val="auto"/>
                <w:kern w:val="2"/>
                <w:sz w:val="24"/>
                <w:szCs w:val="32"/>
                <w:lang w:eastAsia="zh-CN"/>
              </w:rPr>
              <w:t>安徽省淮南市潘集区珠江路北侧、武夷山路西侧。</w:t>
            </w:r>
            <w:r>
              <w:rPr>
                <w:rFonts w:hint="eastAsia" w:cs="Times New Roman"/>
                <w:b w:val="0"/>
                <w:bCs/>
                <w:color w:val="auto"/>
                <w:sz w:val="24"/>
                <w:lang w:val="en-US" w:eastAsia="zh-CN"/>
              </w:rPr>
              <w:t>厂区新增1栋住院综合楼，其中主楼为住院部，设有住院大厅、静配中心、中心药房、各科病床等</w:t>
            </w:r>
            <w:r>
              <w:rPr>
                <w:rFonts w:hint="eastAsia" w:cs="Times New Roman"/>
                <w:color w:val="auto"/>
                <w:sz w:val="24"/>
                <w:highlight w:val="none"/>
                <w:lang w:val="en-US" w:eastAsia="zh-CN"/>
              </w:rPr>
              <w:t>，裙房位于主楼南侧，用作影像中心和消毒中心</w:t>
            </w:r>
            <w:r>
              <w:rPr>
                <w:rFonts w:hint="eastAsia" w:ascii="Times New Roman" w:hAnsi="Times New Roman" w:cs="Times New Roman"/>
                <w:color w:val="auto"/>
                <w:kern w:val="2"/>
                <w:sz w:val="24"/>
                <w:szCs w:val="32"/>
                <w:lang w:val="en-US" w:eastAsia="zh-CN"/>
              </w:rPr>
              <w:t>。</w:t>
            </w:r>
            <w:r>
              <w:rPr>
                <w:rFonts w:hint="default" w:ascii="Times New Roman" w:hAnsi="Times New Roman" w:cs="Times New Roman"/>
                <w:color w:val="auto"/>
                <w:kern w:val="2"/>
                <w:sz w:val="24"/>
                <w:szCs w:val="32"/>
                <w:lang w:val="en-US" w:eastAsia="zh-CN"/>
              </w:rPr>
              <w:t>项目总体布局功能分区明确、布局合理，具体布局见附图</w:t>
            </w:r>
            <w:r>
              <w:rPr>
                <w:rFonts w:hint="eastAsia" w:cs="Times New Roman"/>
                <w:color w:val="auto"/>
                <w:kern w:val="2"/>
                <w:sz w:val="24"/>
                <w:szCs w:val="32"/>
                <w:lang w:val="en-US" w:eastAsia="zh-CN"/>
              </w:rPr>
              <w:t>。</w:t>
            </w:r>
          </w:p>
          <w:p w14:paraId="03C5DF09">
            <w:pPr>
              <w:keepNext w:val="0"/>
              <w:keepLines w:val="0"/>
              <w:pageBreakBefore w:val="0"/>
              <w:widowControl w:val="0"/>
              <w:kinsoku/>
              <w:wordWrap/>
              <w:overflowPunct/>
              <w:topLinePunct w:val="0"/>
              <w:autoSpaceDE/>
              <w:autoSpaceDN/>
              <w:bidi w:val="0"/>
              <w:spacing w:line="360" w:lineRule="auto"/>
              <w:ind w:firstLine="482" w:firstLineChars="200"/>
              <w:rPr>
                <w:rFonts w:hint="default" w:ascii="Times New Roman" w:hAnsi="Times New Roman" w:eastAsia="宋体" w:cs="Times New Roman"/>
                <w:b/>
                <w:bCs w:val="0"/>
                <w:color w:val="auto"/>
                <w:sz w:val="24"/>
              </w:rPr>
            </w:pPr>
            <w:r>
              <w:rPr>
                <w:rFonts w:hint="eastAsia" w:cs="Times New Roman"/>
                <w:b/>
                <w:bCs w:val="0"/>
                <w:color w:val="auto"/>
                <w:sz w:val="24"/>
                <w:lang w:val="en-US" w:eastAsia="zh-CN"/>
              </w:rPr>
              <w:t>9</w:t>
            </w:r>
            <w:r>
              <w:rPr>
                <w:rFonts w:hint="default" w:ascii="Times New Roman" w:hAnsi="Times New Roman" w:eastAsia="宋体" w:cs="Times New Roman"/>
                <w:b/>
                <w:bCs w:val="0"/>
                <w:color w:val="auto"/>
                <w:sz w:val="24"/>
              </w:rPr>
              <w:t>、项目排污管理类别分析</w:t>
            </w:r>
          </w:p>
          <w:p w14:paraId="6E84D0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color w:val="auto"/>
                <w:sz w:val="24"/>
              </w:rPr>
            </w:pPr>
            <w:r>
              <w:rPr>
                <w:rFonts w:hint="default" w:ascii="Times New Roman" w:hAnsi="Times New Roman" w:cs="Times New Roman"/>
                <w:b w:val="0"/>
                <w:bCs/>
                <w:color w:val="auto"/>
                <w:sz w:val="24"/>
              </w:rPr>
              <w:t>根据《排污许可管理条例》(中华人民共和国国务院令第736号)：依照法律规定实行排污许可管理的企业事业单位和其他生产经营者(以下称排污单位)，应当依照本条例规定申请取得排污许可证；未取得排污许可证的不得排放污染物；根据污染物产生量、排放量、对环境影响程度等因素，对排污单位实行排污许可分类管理。根据《安徽省生态环境厅关于统筹做好固定污染源排污许可日常监管工作的通知》(皖环发 (2021) 7号)：属于现行《固定污染源排污许可分类管理名录》内重点管理和简化管理的行业，建设单位在组织编制建设项目环境影响报告书(表)时，可结合相应行业排污许可证申请与核发技术规范，在环评文件中一并明确建设项目环境影响评价和排污许可联动内容和《建设项目排污许可申请与填报信息表》。</w:t>
            </w:r>
          </w:p>
          <w:p w14:paraId="39294EBA">
            <w:pPr>
              <w:keepNext w:val="0"/>
              <w:keepLines w:val="0"/>
              <w:pageBreakBefore w:val="0"/>
              <w:widowControl/>
              <w:suppressLineNumbers w:val="0"/>
              <w:kinsoku/>
              <w:wordWrap/>
              <w:overflowPunct/>
              <w:topLinePunct w:val="0"/>
              <w:autoSpaceDE/>
              <w:autoSpaceDN/>
              <w:bidi w:val="0"/>
              <w:spacing w:line="360" w:lineRule="auto"/>
              <w:ind w:firstLine="480" w:firstLineChars="200"/>
              <w:jc w:val="left"/>
              <w:textAlignment w:val="auto"/>
              <w:rPr>
                <w:rFonts w:hint="eastAsia" w:ascii="宋体" w:hAnsi="宋体" w:cs="宋体"/>
                <w:color w:val="auto"/>
                <w:sz w:val="24"/>
                <w:szCs w:val="24"/>
                <w:lang w:eastAsia="zh-CN"/>
              </w:rPr>
            </w:pPr>
            <w:r>
              <w:rPr>
                <w:rFonts w:hint="default" w:ascii="Times New Roman" w:hAnsi="Times New Roman" w:cs="Times New Roman"/>
                <w:b w:val="0"/>
                <w:bCs/>
                <w:color w:val="auto"/>
                <w:sz w:val="24"/>
                <w:szCs w:val="24"/>
              </w:rPr>
              <w:t>根据《国民经济行业分类》(GB/T 4754-2017)，本项目属于</w:t>
            </w:r>
            <w:r>
              <w:rPr>
                <w:rFonts w:hint="eastAsia" w:cs="Times New Roman"/>
                <w:color w:val="auto"/>
                <w:sz w:val="24"/>
                <w:szCs w:val="24"/>
                <w:lang w:eastAsia="zh-CN"/>
              </w:rPr>
              <w:t>Q8411综合医院</w:t>
            </w:r>
            <w:r>
              <w:rPr>
                <w:rFonts w:hint="default" w:ascii="Times New Roman" w:hAnsi="Times New Roman" w:cs="Times New Roman"/>
                <w:b w:val="0"/>
                <w:bCs/>
                <w:color w:val="auto"/>
                <w:sz w:val="24"/>
                <w:szCs w:val="24"/>
              </w:rPr>
              <w:t>。对照《固定污染源排污许可分类管理名录》(2019 年版)，</w:t>
            </w:r>
            <w:r>
              <w:rPr>
                <w:rFonts w:hint="default" w:ascii="Times New Roman" w:hAnsi="Times New Roman" w:cs="Times New Roman"/>
                <w:color w:val="auto"/>
                <w:sz w:val="24"/>
                <w:szCs w:val="24"/>
              </w:rPr>
              <w:t>本项目属于固定污染源排污许可分类管理名录表中的</w:t>
            </w:r>
            <w:r>
              <w:rPr>
                <w:rFonts w:hint="eastAsia" w:ascii="宋体" w:hAnsi="宋体" w:eastAsia="宋体" w:cs="宋体"/>
                <w:color w:val="000000"/>
                <w:sz w:val="24"/>
                <w:szCs w:val="24"/>
              </w:rPr>
              <w:t>“</w:t>
            </w:r>
            <w:r>
              <w:rPr>
                <w:rFonts w:hint="eastAsia" w:ascii="宋体" w:hAnsi="宋体" w:cs="宋体"/>
                <w:color w:val="000000"/>
                <w:sz w:val="24"/>
                <w:szCs w:val="24"/>
                <w:lang w:eastAsia="zh-CN"/>
              </w:rPr>
              <w:t>四十九</w:t>
            </w:r>
            <w:r>
              <w:rPr>
                <w:rFonts w:hint="default" w:ascii="Times New Roman" w:hAnsi="Times New Roman" w:eastAsia="宋体" w:cs="Times New Roman"/>
                <w:color w:val="000000"/>
                <w:sz w:val="24"/>
                <w:szCs w:val="24"/>
              </w:rPr>
              <w:t>、</w:t>
            </w:r>
            <w:r>
              <w:rPr>
                <w:rFonts w:hint="eastAsia" w:cs="Times New Roman"/>
                <w:b w:val="0"/>
                <w:bCs/>
                <w:color w:val="auto"/>
                <w:sz w:val="24"/>
                <w:szCs w:val="24"/>
                <w:lang w:eastAsia="zh-CN"/>
              </w:rPr>
              <w:t>卫生</w:t>
            </w:r>
            <w:r>
              <w:rPr>
                <w:rFonts w:hint="eastAsia" w:cs="Times New Roman"/>
                <w:b w:val="0"/>
                <w:bCs/>
                <w:color w:val="auto"/>
                <w:sz w:val="24"/>
                <w:szCs w:val="24"/>
                <w:lang w:val="en-US" w:eastAsia="zh-CN"/>
              </w:rPr>
              <w:t>84</w:t>
            </w:r>
            <w:r>
              <w:rPr>
                <w:rFonts w:hint="eastAsia" w:ascii="Times New Roman" w:hAnsi="Times New Roman" w:eastAsia="宋体" w:cs="Times New Roman"/>
                <w:b w:val="0"/>
                <w:bCs/>
                <w:color w:val="auto"/>
                <w:sz w:val="24"/>
                <w:szCs w:val="24"/>
              </w:rPr>
              <w:t>”</w:t>
            </w:r>
            <w:r>
              <w:rPr>
                <w:rFonts w:hint="eastAsia" w:ascii="Times New Roman" w:hAnsi="Times New Roman" w:eastAsia="宋体" w:cs="Times New Roman"/>
                <w:b w:val="0"/>
                <w:bCs/>
                <w:color w:val="auto"/>
                <w:sz w:val="24"/>
                <w:szCs w:val="24"/>
                <w:lang w:eastAsia="zh-CN"/>
              </w:rPr>
              <w:t>中</w:t>
            </w:r>
            <w:r>
              <w:rPr>
                <w:rFonts w:hint="default" w:ascii="Times New Roman" w:hAnsi="Times New Roman" w:eastAsia="宋体" w:cs="Times New Roman"/>
                <w:b w:val="0"/>
                <w:bCs/>
                <w:color w:val="auto"/>
                <w:sz w:val="24"/>
                <w:szCs w:val="24"/>
              </w:rPr>
              <w:t>的</w:t>
            </w:r>
            <w:r>
              <w:rPr>
                <w:rFonts w:hint="eastAsia" w:ascii="Times New Roman" w:hAnsi="Times New Roman" w:eastAsia="宋体" w:cs="Times New Roman"/>
                <w:b w:val="0"/>
                <w:bCs/>
                <w:color w:val="auto"/>
                <w:sz w:val="24"/>
                <w:szCs w:val="24"/>
              </w:rPr>
              <w:t>“</w:t>
            </w:r>
            <w:r>
              <w:rPr>
                <w:rFonts w:hint="eastAsia" w:cs="Times New Roman"/>
                <w:b w:val="0"/>
                <w:bCs/>
                <w:color w:val="auto"/>
                <w:sz w:val="24"/>
                <w:szCs w:val="24"/>
                <w:lang w:val="en-US" w:eastAsia="zh-CN"/>
              </w:rPr>
              <w:t>107医院841</w:t>
            </w:r>
            <w:r>
              <w:rPr>
                <w:rFonts w:hint="eastAsia" w:ascii="Times New Roman" w:hAnsi="Times New Roman" w:eastAsia="宋体" w:cs="Times New Roman"/>
                <w:b w:val="0"/>
                <w:bCs/>
                <w:color w:val="auto"/>
                <w:sz w:val="24"/>
                <w:szCs w:val="24"/>
              </w:rPr>
              <w:t>”</w:t>
            </w:r>
            <w:r>
              <w:rPr>
                <w:rFonts w:hint="eastAsia" w:ascii="Times New Roman" w:hAnsi="Times New Roman" w:eastAsia="宋体" w:cs="Times New Roman"/>
                <w:b w:val="0"/>
                <w:bCs/>
                <w:color w:val="auto"/>
                <w:sz w:val="24"/>
                <w:szCs w:val="24"/>
                <w:lang w:eastAsia="zh-CN"/>
              </w:rPr>
              <w:t>中的“</w:t>
            </w:r>
            <w:r>
              <w:rPr>
                <w:rFonts w:hint="default" w:ascii="Times New Roman" w:hAnsi="Times New Roman" w:eastAsia="宋体" w:cs="Times New Roman"/>
                <w:color w:val="000000"/>
                <w:kern w:val="0"/>
                <w:sz w:val="24"/>
                <w:szCs w:val="24"/>
                <w:lang w:val="en-US" w:eastAsia="zh-CN" w:bidi="ar"/>
              </w:rPr>
              <w:t>床位100张及以上500张以下的综合医院8411</w:t>
            </w:r>
            <w:r>
              <w:rPr>
                <w:rFonts w:hint="eastAsia" w:ascii="Times New Roman" w:hAnsi="Times New Roman" w:eastAsia="宋体" w:cs="Times New Roman"/>
                <w:b w:val="0"/>
                <w:bCs/>
                <w:color w:val="auto"/>
                <w:sz w:val="24"/>
                <w:szCs w:val="24"/>
                <w:lang w:eastAsia="zh-CN"/>
              </w:rPr>
              <w:t>”</w:t>
            </w:r>
            <w:r>
              <w:rPr>
                <w:rFonts w:hint="eastAsia" w:cs="Times New Roman"/>
                <w:b w:val="0"/>
                <w:bCs/>
                <w:color w:val="auto"/>
                <w:sz w:val="24"/>
                <w:szCs w:val="24"/>
                <w:lang w:eastAsia="zh-CN"/>
              </w:rPr>
              <w:t>，</w:t>
            </w:r>
            <w:r>
              <w:rPr>
                <w:rFonts w:hint="default" w:ascii="Times New Roman" w:hAnsi="Times New Roman" w:eastAsia="宋体" w:cs="Times New Roman"/>
                <w:b w:val="0"/>
                <w:bCs/>
                <w:color w:val="auto"/>
                <w:sz w:val="24"/>
                <w:szCs w:val="24"/>
              </w:rPr>
              <w:t>故</w:t>
            </w:r>
            <w:r>
              <w:rPr>
                <w:rFonts w:hint="default" w:ascii="Times New Roman" w:hAnsi="Times New Roman" w:cs="Times New Roman"/>
                <w:color w:val="auto"/>
                <w:sz w:val="24"/>
                <w:szCs w:val="24"/>
              </w:rPr>
              <w:t>本项目的排污许可填</w:t>
            </w:r>
            <w:r>
              <w:rPr>
                <w:rFonts w:hint="eastAsia" w:ascii="宋体" w:hAnsi="宋体" w:eastAsia="宋体" w:cs="宋体"/>
                <w:color w:val="auto"/>
                <w:sz w:val="24"/>
                <w:szCs w:val="24"/>
              </w:rPr>
              <w:t>报“管理类别”应为“</w:t>
            </w:r>
            <w:r>
              <w:rPr>
                <w:rFonts w:hint="eastAsia" w:ascii="宋体" w:hAnsi="宋体" w:cs="宋体"/>
                <w:color w:val="auto"/>
                <w:sz w:val="24"/>
                <w:szCs w:val="24"/>
                <w:lang w:eastAsia="zh-CN"/>
              </w:rPr>
              <w:t>简化</w:t>
            </w:r>
            <w:r>
              <w:rPr>
                <w:rFonts w:hint="eastAsia" w:ascii="宋体" w:hAnsi="宋体" w:eastAsia="宋体" w:cs="宋体"/>
                <w:color w:val="auto"/>
                <w:sz w:val="24"/>
                <w:szCs w:val="24"/>
              </w:rPr>
              <w:t>管理”</w:t>
            </w:r>
            <w:r>
              <w:rPr>
                <w:rFonts w:hint="eastAsia" w:ascii="宋体" w:hAnsi="宋体" w:cs="宋体"/>
                <w:color w:val="auto"/>
                <w:sz w:val="24"/>
                <w:szCs w:val="24"/>
                <w:lang w:eastAsia="zh-CN"/>
              </w:rPr>
              <w:t>。</w:t>
            </w:r>
          </w:p>
          <w:p w14:paraId="00A9B3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eastAsia" w:cs="Times New Roman"/>
                <w:b w:val="0"/>
                <w:bCs/>
                <w:color w:val="auto"/>
                <w:sz w:val="24"/>
                <w:szCs w:val="24"/>
                <w:lang w:eastAsia="zh-CN"/>
              </w:rPr>
            </w:pPr>
            <w:r>
              <w:rPr>
                <w:rFonts w:hint="eastAsia" w:ascii="宋体" w:hAnsi="宋体" w:cs="宋体"/>
                <w:color w:val="auto"/>
                <w:sz w:val="24"/>
                <w:szCs w:val="24"/>
                <w:lang w:eastAsia="zh-CN"/>
              </w:rPr>
              <w:t>综上所述，建设单位的排污</w:t>
            </w:r>
            <w:r>
              <w:rPr>
                <w:rFonts w:hint="eastAsia" w:ascii="宋体" w:hAnsi="宋体" w:cs="宋体"/>
                <w:color w:val="000000"/>
                <w:sz w:val="24"/>
                <w:szCs w:val="24"/>
                <w:lang w:eastAsia="zh-CN"/>
              </w:rPr>
              <w:t>许可填报“管理类别”为“简化管理”</w:t>
            </w:r>
            <w:r>
              <w:rPr>
                <w:rFonts w:hint="eastAsia" w:ascii="宋体" w:hAnsi="宋体" w:cs="宋体"/>
                <w:color w:val="auto"/>
                <w:sz w:val="24"/>
                <w:szCs w:val="24"/>
                <w:lang w:eastAsia="zh-CN"/>
              </w:rPr>
              <w:t>，</w:t>
            </w:r>
            <w:r>
              <w:rPr>
                <w:rFonts w:hint="default" w:ascii="Times New Roman" w:hAnsi="Times New Roman" w:cs="Times New Roman"/>
                <w:b w:val="0"/>
                <w:bCs/>
                <w:color w:val="auto"/>
                <w:sz w:val="24"/>
                <w:szCs w:val="24"/>
              </w:rPr>
              <w:t>需填报《建设项目排污许可申请与填发信息表》</w:t>
            </w:r>
            <w:r>
              <w:rPr>
                <w:rFonts w:hint="eastAsia" w:cs="Times New Roman"/>
                <w:b w:val="0"/>
                <w:bCs/>
                <w:color w:val="auto"/>
                <w:sz w:val="24"/>
                <w:szCs w:val="24"/>
                <w:lang w:eastAsia="zh-CN"/>
              </w:rPr>
              <w:t>。</w:t>
            </w:r>
          </w:p>
          <w:p w14:paraId="3A3E64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jc w:val="both"/>
              <w:textAlignment w:val="auto"/>
              <w:rPr>
                <w:rFonts w:hint="eastAsia" w:cs="Times New Roman"/>
                <w:b w:val="0"/>
                <w:bCs/>
                <w:color w:val="auto"/>
                <w:sz w:val="24"/>
                <w:lang w:eastAsia="zh-CN"/>
              </w:rPr>
            </w:pPr>
          </w:p>
          <w:p w14:paraId="2AACFA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jc w:val="both"/>
              <w:textAlignment w:val="auto"/>
              <w:rPr>
                <w:rFonts w:hint="eastAsia" w:cs="Times New Roman"/>
                <w:b/>
                <w:bCs w:val="0"/>
                <w:color w:val="auto"/>
                <w:szCs w:val="21"/>
                <w:lang w:val="en-US" w:eastAsia="zh-CN"/>
              </w:rPr>
            </w:pPr>
          </w:p>
          <w:p w14:paraId="1A96D6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jc w:val="both"/>
              <w:textAlignment w:val="auto"/>
              <w:rPr>
                <w:rFonts w:hint="eastAsia" w:cs="Times New Roman"/>
                <w:b/>
                <w:bCs w:val="0"/>
                <w:color w:val="auto"/>
                <w:szCs w:val="21"/>
                <w:lang w:val="en-US" w:eastAsia="zh-CN"/>
              </w:rPr>
            </w:pPr>
          </w:p>
          <w:p w14:paraId="3FD200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jc w:val="both"/>
              <w:textAlignment w:val="auto"/>
              <w:rPr>
                <w:rFonts w:hint="eastAsia" w:cs="Times New Roman"/>
                <w:b/>
                <w:bCs w:val="0"/>
                <w:color w:val="auto"/>
                <w:szCs w:val="21"/>
                <w:lang w:val="en-US" w:eastAsia="zh-CN"/>
              </w:rPr>
            </w:pPr>
          </w:p>
          <w:p w14:paraId="59A623F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jc w:val="both"/>
              <w:textAlignment w:val="auto"/>
              <w:rPr>
                <w:rFonts w:hint="eastAsia" w:cs="Times New Roman"/>
                <w:b/>
                <w:bCs w:val="0"/>
                <w:color w:val="auto"/>
                <w:szCs w:val="21"/>
                <w:lang w:val="en-US" w:eastAsia="zh-CN"/>
              </w:rPr>
            </w:pPr>
          </w:p>
          <w:p w14:paraId="0FB86C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jc w:val="both"/>
              <w:textAlignment w:val="auto"/>
              <w:rPr>
                <w:rFonts w:hint="default" w:ascii="Times New Roman" w:hAnsi="Times New Roman" w:eastAsia="宋体" w:cs="Times New Roman"/>
                <w:b/>
                <w:bCs w:val="0"/>
                <w:color w:val="auto"/>
                <w:szCs w:val="21"/>
                <w:lang w:val="en-US" w:eastAsia="zh-CN"/>
              </w:rPr>
            </w:pPr>
          </w:p>
        </w:tc>
      </w:tr>
      <w:tr w14:paraId="0E1F8A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7" w:type="pct"/>
            <w:noWrap w:val="0"/>
            <w:vAlign w:val="center"/>
          </w:tcPr>
          <w:p w14:paraId="33F9509B">
            <w:pPr>
              <w:pStyle w:val="23"/>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b/>
                <w:bCs/>
                <w:color w:val="auto"/>
                <w:sz w:val="24"/>
                <w:szCs w:val="24"/>
              </w:rPr>
              <w:t>工艺流程和产排污环节</w:t>
            </w:r>
          </w:p>
        </w:tc>
        <w:tc>
          <w:tcPr>
            <w:tcW w:w="4672" w:type="pct"/>
            <w:noWrap w:val="0"/>
            <w:vAlign w:val="top"/>
          </w:tcPr>
          <w:p w14:paraId="39E50969">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sz w:val="24"/>
                <w:szCs w:val="32"/>
                <w:lang w:val="en-US" w:eastAsia="zh-CN"/>
              </w:rPr>
            </w:pPr>
            <w:r>
              <w:rPr>
                <w:rFonts w:hint="default" w:ascii="Times New Roman" w:hAnsi="Times New Roman" w:cs="Times New Roman"/>
                <w:b/>
                <w:bCs/>
                <w:color w:val="auto"/>
                <w:sz w:val="24"/>
                <w:szCs w:val="32"/>
                <w:lang w:val="en-US" w:eastAsia="zh-CN"/>
              </w:rPr>
              <w:t>运营期</w:t>
            </w:r>
          </w:p>
          <w:p w14:paraId="7AA4F4F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cs="Times New Roman"/>
                <w:b w:val="0"/>
                <w:bCs w:val="0"/>
                <w:color w:val="auto"/>
                <w:sz w:val="24"/>
                <w:szCs w:val="24"/>
                <w:lang w:val="en-US" w:eastAsia="zh-CN"/>
              </w:rPr>
            </w:pPr>
            <w:r>
              <w:rPr>
                <w:rFonts w:hint="eastAsia" w:cs="Times New Roman"/>
                <w:b w:val="0"/>
                <w:bCs w:val="0"/>
                <w:color w:val="auto"/>
                <w:sz w:val="24"/>
                <w:szCs w:val="24"/>
                <w:lang w:val="en-US" w:eastAsia="zh-CN"/>
              </w:rPr>
              <w:t>医院具体运行流程如下：</w:t>
            </w:r>
          </w:p>
          <w:p w14:paraId="56824095">
            <w:pPr>
              <w:pStyle w:val="13"/>
              <w:keepNext w:val="0"/>
              <w:keepLines w:val="0"/>
              <w:pageBreakBefore w:val="0"/>
              <w:widowControl w:val="0"/>
              <w:numPr>
                <w:ilvl w:val="0"/>
                <w:numId w:val="0"/>
              </w:numPr>
              <w:kinsoku/>
              <w:wordWrap/>
              <w:overflowPunct/>
              <w:topLinePunct w:val="0"/>
              <w:autoSpaceDE/>
              <w:autoSpaceDN/>
              <w:bidi w:val="0"/>
              <w:spacing w:after="0" w:line="360" w:lineRule="auto"/>
              <w:jc w:val="center"/>
              <w:textAlignment w:val="auto"/>
              <w:rPr>
                <w:rFonts w:hint="default" w:ascii="Times New Roman" w:hAnsi="Times New Roman" w:eastAsia="宋体" w:cs="Times New Roman"/>
                <w:b/>
                <w:bCs/>
                <w:color w:val="auto"/>
                <w:sz w:val="24"/>
                <w:szCs w:val="24"/>
                <w:lang w:val="en-US" w:eastAsia="zh-CN"/>
              </w:rPr>
            </w:pPr>
            <w:r>
              <w:drawing>
                <wp:inline distT="0" distB="0" distL="114300" distR="114300">
                  <wp:extent cx="5368290" cy="5554980"/>
                  <wp:effectExtent l="0" t="0" r="3810" b="7620"/>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9"/>
                          <a:stretch>
                            <a:fillRect/>
                          </a:stretch>
                        </pic:blipFill>
                        <pic:spPr>
                          <a:xfrm>
                            <a:off x="0" y="0"/>
                            <a:ext cx="5368290" cy="5554980"/>
                          </a:xfrm>
                          <a:prstGeom prst="rect">
                            <a:avLst/>
                          </a:prstGeom>
                          <a:noFill/>
                          <a:ln>
                            <a:noFill/>
                          </a:ln>
                        </pic:spPr>
                      </pic:pic>
                    </a:graphicData>
                  </a:graphic>
                </wp:inline>
              </w:drawing>
            </w:r>
          </w:p>
          <w:p w14:paraId="6C1733B1">
            <w:pPr>
              <w:pStyle w:val="2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图2-</w:t>
            </w:r>
            <w:r>
              <w:rPr>
                <w:rFonts w:hint="eastAsia" w:cs="Times New Roman"/>
                <w:b/>
                <w:bCs/>
                <w:color w:val="auto"/>
                <w:sz w:val="24"/>
                <w:szCs w:val="24"/>
                <w:lang w:val="en-US" w:eastAsia="zh-CN"/>
              </w:rPr>
              <w:t>3</w:t>
            </w:r>
            <w:r>
              <w:rPr>
                <w:rFonts w:hint="default" w:ascii="Times New Roman" w:hAnsi="Times New Roman" w:eastAsia="宋体" w:cs="Times New Roman"/>
                <w:b/>
                <w:bCs/>
                <w:color w:val="auto"/>
                <w:sz w:val="24"/>
                <w:szCs w:val="24"/>
                <w:lang w:val="en-US" w:eastAsia="zh-CN"/>
              </w:rPr>
              <w:t xml:space="preserve">  </w:t>
            </w:r>
            <w:r>
              <w:rPr>
                <w:rFonts w:hint="eastAsia" w:cs="Times New Roman"/>
                <w:b/>
                <w:bCs/>
                <w:color w:val="auto"/>
                <w:sz w:val="24"/>
                <w:szCs w:val="24"/>
                <w:lang w:val="en-US" w:eastAsia="zh-CN"/>
              </w:rPr>
              <w:t>医院运行</w:t>
            </w:r>
            <w:r>
              <w:rPr>
                <w:rFonts w:hint="default" w:ascii="Times New Roman" w:hAnsi="Times New Roman" w:eastAsia="宋体" w:cs="Times New Roman"/>
                <w:b/>
                <w:bCs/>
                <w:color w:val="auto"/>
                <w:sz w:val="24"/>
                <w:szCs w:val="24"/>
                <w:lang w:val="en-US" w:eastAsia="zh-CN"/>
              </w:rPr>
              <w:t>流程图</w:t>
            </w:r>
          </w:p>
          <w:p w14:paraId="5D09DB44">
            <w:pPr>
              <w:pStyle w:val="20"/>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default" w:ascii="Times New Roman" w:hAnsi="Times New Roman" w:eastAsia="宋体" w:cs="Times New Roman"/>
                <w:b w:val="0"/>
                <w:bCs/>
                <w:color w:val="auto"/>
                <w:kern w:val="0"/>
                <w:sz w:val="24"/>
                <w:szCs w:val="24"/>
                <w:lang w:val="en-US" w:eastAsia="zh-CN" w:bidi="ar-SA"/>
              </w:rPr>
            </w:pPr>
            <w:r>
              <w:rPr>
                <w:rFonts w:hint="default" w:ascii="Times New Roman" w:hAnsi="Times New Roman" w:cs="Times New Roman"/>
                <w:b/>
                <w:bCs w:val="0"/>
                <w:color w:val="auto"/>
                <w:kern w:val="0"/>
                <w:sz w:val="24"/>
                <w:szCs w:val="24"/>
                <w:lang w:val="en-US" w:eastAsia="zh-CN" w:bidi="ar-SA"/>
              </w:rPr>
              <w:t>工艺流程说明：</w:t>
            </w:r>
          </w:p>
          <w:p w14:paraId="67FABA16">
            <w:pPr>
              <w:keepNext w:val="0"/>
              <w:keepLines w:val="0"/>
              <w:suppressLineNumbers w:val="0"/>
              <w:spacing w:before="0" w:beforeAutospacing="0" w:after="0" w:afterAutospacing="0" w:line="360" w:lineRule="auto"/>
              <w:ind w:left="0" w:right="0" w:firstLine="480" w:firstLineChars="200"/>
              <w:rPr>
                <w:rFonts w:hint="default" w:cs="Times New Roman"/>
                <w:b w:val="0"/>
                <w:bCs/>
                <w:color w:val="auto"/>
                <w:kern w:val="2"/>
                <w:sz w:val="24"/>
                <w:szCs w:val="32"/>
                <w:lang w:val="en-US" w:eastAsia="zh-CN"/>
              </w:rPr>
            </w:pPr>
            <w:r>
              <w:rPr>
                <w:rFonts w:hint="eastAsia" w:cs="Times New Roman"/>
                <w:b w:val="0"/>
                <w:bCs/>
                <w:color w:val="auto"/>
                <w:kern w:val="2"/>
                <w:sz w:val="24"/>
                <w:szCs w:val="32"/>
                <w:lang w:val="en-US" w:eastAsia="zh-CN"/>
              </w:rPr>
              <w:t>患者到医院就医流程为：在医院挂号处挂号，根据挂号所得信息到各科门诊科室就诊，根据医生的诊断结果和医生建议可选择以下治疗方法：直接缴费取药或进行简单治疗后离开；缴费住院治疗；缴费后进行进一步化验检查，由医生根据化验结果向患者提出治疗意见</w:t>
            </w:r>
            <w:r>
              <w:rPr>
                <w:rFonts w:hint="default" w:cs="Times New Roman"/>
                <w:b w:val="0"/>
                <w:bCs/>
                <w:color w:val="auto"/>
                <w:kern w:val="2"/>
                <w:sz w:val="24"/>
                <w:szCs w:val="32"/>
                <w:lang w:val="en-US" w:eastAsia="zh-CN"/>
              </w:rPr>
              <w:t>。</w:t>
            </w:r>
          </w:p>
          <w:p w14:paraId="3CB210CF">
            <w:pPr>
              <w:pStyle w:val="7"/>
              <w:keepNext/>
              <w:keepLines/>
              <w:pageBreakBefore w:val="0"/>
              <w:widowControl w:val="0"/>
              <w:kinsoku/>
              <w:wordWrap/>
              <w:overflowPunct/>
              <w:topLinePunct w:val="0"/>
              <w:autoSpaceDE/>
              <w:autoSpaceDN/>
              <w:bidi w:val="0"/>
              <w:adjustRightInd w:val="0"/>
              <w:snapToGrid w:val="0"/>
              <w:spacing w:before="0" w:after="0" w:line="24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表2-</w:t>
            </w:r>
            <w:r>
              <w:rPr>
                <w:rFonts w:hint="eastAsia" w:cs="Times New Roman"/>
                <w:color w:val="auto"/>
                <w:sz w:val="24"/>
                <w:szCs w:val="24"/>
                <w:lang w:val="en-US" w:eastAsia="zh-CN"/>
              </w:rPr>
              <w:t>5</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 xml:space="preserve"> 项目产污环节汇总表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1339"/>
              <w:gridCol w:w="2001"/>
              <w:gridCol w:w="2086"/>
              <w:gridCol w:w="2528"/>
            </w:tblGrid>
            <w:tr w14:paraId="4C6DB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376" w:type="pct"/>
                  <w:noWrap w:val="0"/>
                  <w:vAlign w:val="center"/>
                </w:tcPr>
                <w:p w14:paraId="67F0C4CE">
                  <w:pPr>
                    <w:jc w:val="center"/>
                    <w:rPr>
                      <w:rFonts w:hint="default" w:ascii="Times New Roman" w:hAnsi="Times New Roman" w:cs="Times New Roman"/>
                      <w:color w:val="auto"/>
                      <w:szCs w:val="21"/>
                    </w:rPr>
                  </w:pPr>
                  <w:r>
                    <w:rPr>
                      <w:rFonts w:hint="default" w:ascii="Times New Roman" w:hAnsi="Times New Roman" w:cs="Times New Roman"/>
                      <w:color w:val="auto"/>
                      <w:szCs w:val="21"/>
                    </w:rPr>
                    <w:t>编号</w:t>
                  </w:r>
                </w:p>
              </w:tc>
              <w:tc>
                <w:tcPr>
                  <w:tcW w:w="778" w:type="pct"/>
                  <w:noWrap w:val="0"/>
                  <w:vAlign w:val="center"/>
                </w:tcPr>
                <w:p w14:paraId="6D0916D0">
                  <w:pPr>
                    <w:jc w:val="center"/>
                    <w:rPr>
                      <w:rFonts w:hint="default" w:ascii="Times New Roman" w:hAnsi="Times New Roman" w:cs="Times New Roman"/>
                      <w:color w:val="auto"/>
                      <w:szCs w:val="21"/>
                    </w:rPr>
                  </w:pPr>
                  <w:r>
                    <w:rPr>
                      <w:rFonts w:hint="default" w:ascii="Times New Roman" w:hAnsi="Times New Roman" w:cs="Times New Roman"/>
                      <w:color w:val="auto"/>
                      <w:szCs w:val="21"/>
                    </w:rPr>
                    <w:t>污染物类型</w:t>
                  </w:r>
                </w:p>
              </w:tc>
              <w:tc>
                <w:tcPr>
                  <w:tcW w:w="1163" w:type="pct"/>
                  <w:noWrap w:val="0"/>
                  <w:vAlign w:val="center"/>
                </w:tcPr>
                <w:p w14:paraId="314FF200">
                  <w:pPr>
                    <w:jc w:val="center"/>
                    <w:rPr>
                      <w:rFonts w:hint="default" w:ascii="Times New Roman" w:hAnsi="Times New Roman" w:cs="Times New Roman"/>
                      <w:color w:val="auto"/>
                      <w:szCs w:val="21"/>
                    </w:rPr>
                  </w:pPr>
                  <w:r>
                    <w:rPr>
                      <w:rFonts w:hint="default" w:ascii="Times New Roman" w:hAnsi="Times New Roman" w:cs="Times New Roman"/>
                      <w:color w:val="auto"/>
                      <w:szCs w:val="21"/>
                    </w:rPr>
                    <w:t>产污环节</w:t>
                  </w:r>
                </w:p>
              </w:tc>
              <w:tc>
                <w:tcPr>
                  <w:tcW w:w="1212" w:type="pct"/>
                  <w:noWrap w:val="0"/>
                  <w:vAlign w:val="center"/>
                </w:tcPr>
                <w:p w14:paraId="755242F2">
                  <w:pPr>
                    <w:jc w:val="center"/>
                    <w:rPr>
                      <w:rFonts w:hint="default" w:ascii="Times New Roman" w:hAnsi="Times New Roman" w:cs="Times New Roman"/>
                      <w:color w:val="auto"/>
                      <w:szCs w:val="21"/>
                    </w:rPr>
                  </w:pPr>
                  <w:r>
                    <w:rPr>
                      <w:rFonts w:hint="default" w:ascii="Times New Roman" w:hAnsi="Times New Roman" w:cs="Times New Roman"/>
                      <w:color w:val="auto"/>
                      <w:szCs w:val="21"/>
                    </w:rPr>
                    <w:t>污染物名称</w:t>
                  </w:r>
                </w:p>
              </w:tc>
              <w:tc>
                <w:tcPr>
                  <w:tcW w:w="1469" w:type="pct"/>
                  <w:noWrap w:val="0"/>
                  <w:vAlign w:val="center"/>
                </w:tcPr>
                <w:p w14:paraId="6069D63F">
                  <w:pPr>
                    <w:jc w:val="center"/>
                    <w:rPr>
                      <w:rFonts w:hint="default" w:ascii="Times New Roman" w:hAnsi="Times New Roman" w:cs="Times New Roman"/>
                      <w:color w:val="auto"/>
                      <w:szCs w:val="21"/>
                    </w:rPr>
                  </w:pPr>
                  <w:r>
                    <w:rPr>
                      <w:rFonts w:hint="default" w:ascii="Times New Roman" w:hAnsi="Times New Roman" w:cs="Times New Roman"/>
                      <w:color w:val="auto"/>
                      <w:szCs w:val="21"/>
                    </w:rPr>
                    <w:t>污染因子</w:t>
                  </w:r>
                </w:p>
              </w:tc>
            </w:tr>
            <w:tr w14:paraId="5599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376" w:type="pct"/>
                  <w:vMerge w:val="restart"/>
                  <w:noWrap w:val="0"/>
                  <w:vAlign w:val="center"/>
                </w:tcPr>
                <w:p w14:paraId="629D96DA">
                  <w:pPr>
                    <w:pStyle w:val="87"/>
                    <w:numPr>
                      <w:ilvl w:val="0"/>
                      <w:numId w:val="0"/>
                    </w:numPr>
                    <w:spacing w:line="240" w:lineRule="auto"/>
                    <w:ind w:lef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c>
                <w:tcPr>
                  <w:tcW w:w="778" w:type="pct"/>
                  <w:vMerge w:val="restart"/>
                  <w:noWrap w:val="0"/>
                  <w:vAlign w:val="center"/>
                </w:tcPr>
                <w:p w14:paraId="40A3E5BF">
                  <w:pPr>
                    <w:jc w:val="center"/>
                    <w:rPr>
                      <w:rFonts w:hint="default" w:ascii="Times New Roman" w:hAnsi="Times New Roman" w:cs="Times New Roman"/>
                      <w:color w:val="auto"/>
                      <w:szCs w:val="21"/>
                    </w:rPr>
                  </w:pPr>
                  <w:r>
                    <w:rPr>
                      <w:rFonts w:hint="default" w:ascii="Times New Roman" w:hAnsi="Times New Roman" w:cs="Times New Roman"/>
                      <w:color w:val="auto"/>
                      <w:szCs w:val="21"/>
                    </w:rPr>
                    <w:t>废气</w:t>
                  </w:r>
                </w:p>
              </w:tc>
              <w:tc>
                <w:tcPr>
                  <w:tcW w:w="1163" w:type="pct"/>
                  <w:noWrap w:val="0"/>
                  <w:vAlign w:val="center"/>
                </w:tcPr>
                <w:p w14:paraId="2E6FFD1A">
                  <w:pPr>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污水处理站</w:t>
                  </w:r>
                </w:p>
              </w:tc>
              <w:tc>
                <w:tcPr>
                  <w:tcW w:w="1212" w:type="pct"/>
                  <w:noWrap w:val="0"/>
                  <w:vAlign w:val="center"/>
                </w:tcPr>
                <w:p w14:paraId="4E2CE2F6">
                  <w:pPr>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恶臭废气</w:t>
                  </w:r>
                </w:p>
              </w:tc>
              <w:tc>
                <w:tcPr>
                  <w:tcW w:w="1469" w:type="pct"/>
                  <w:noWrap w:val="0"/>
                  <w:vAlign w:val="center"/>
                </w:tcPr>
                <w:p w14:paraId="73E11957">
                  <w:pPr>
                    <w:jc w:val="center"/>
                    <w:rPr>
                      <w:rFonts w:hint="eastAsia" w:ascii="Times New Roman" w:hAnsi="Times New Roman" w:eastAsia="宋体" w:cs="Times New Roman"/>
                      <w:color w:val="auto"/>
                      <w:szCs w:val="21"/>
                      <w:lang w:eastAsia="zh-CN"/>
                    </w:rPr>
                  </w:pPr>
                  <w:r>
                    <w:rPr>
                      <w:rFonts w:hint="eastAsia" w:cs="Times New Roman"/>
                      <w:color w:val="auto"/>
                      <w:szCs w:val="21"/>
                      <w:lang w:eastAsia="zh-CN"/>
                    </w:rPr>
                    <w:t>氨、硫化氢、臭气浓度</w:t>
                  </w:r>
                </w:p>
              </w:tc>
            </w:tr>
            <w:tr w14:paraId="1584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376" w:type="pct"/>
                  <w:vMerge w:val="continue"/>
                  <w:noWrap w:val="0"/>
                  <w:vAlign w:val="center"/>
                </w:tcPr>
                <w:p w14:paraId="73F462C2">
                  <w:pPr>
                    <w:pStyle w:val="87"/>
                    <w:numPr>
                      <w:ilvl w:val="0"/>
                      <w:numId w:val="0"/>
                    </w:numPr>
                    <w:spacing w:line="240" w:lineRule="auto"/>
                    <w:ind w:leftChars="0"/>
                    <w:jc w:val="center"/>
                    <w:rPr>
                      <w:rFonts w:hint="eastAsia" w:cs="Times New Roman"/>
                      <w:color w:val="auto"/>
                      <w:sz w:val="21"/>
                      <w:szCs w:val="21"/>
                      <w:lang w:val="en-US" w:eastAsia="zh-CN"/>
                    </w:rPr>
                  </w:pPr>
                </w:p>
              </w:tc>
              <w:tc>
                <w:tcPr>
                  <w:tcW w:w="778" w:type="pct"/>
                  <w:vMerge w:val="continue"/>
                  <w:noWrap w:val="0"/>
                  <w:vAlign w:val="center"/>
                </w:tcPr>
                <w:p w14:paraId="222993EE">
                  <w:pPr>
                    <w:jc w:val="center"/>
                    <w:rPr>
                      <w:rFonts w:hint="default" w:ascii="Times New Roman" w:hAnsi="Times New Roman" w:cs="Times New Roman"/>
                      <w:color w:val="auto"/>
                      <w:szCs w:val="21"/>
                    </w:rPr>
                  </w:pPr>
                </w:p>
              </w:tc>
              <w:tc>
                <w:tcPr>
                  <w:tcW w:w="1163" w:type="pct"/>
                  <w:noWrap w:val="0"/>
                  <w:vAlign w:val="center"/>
                </w:tcPr>
                <w:p w14:paraId="3563B9B5">
                  <w:pPr>
                    <w:jc w:val="center"/>
                    <w:rPr>
                      <w:rFonts w:hint="eastAsia" w:cs="Times New Roman"/>
                      <w:color w:val="auto"/>
                      <w:szCs w:val="21"/>
                      <w:lang w:val="en-US" w:eastAsia="zh-CN"/>
                    </w:rPr>
                  </w:pPr>
                  <w:r>
                    <w:rPr>
                      <w:rFonts w:hint="eastAsia" w:cs="Times New Roman"/>
                      <w:color w:val="auto"/>
                      <w:szCs w:val="21"/>
                      <w:lang w:val="en-US" w:eastAsia="zh-CN"/>
                    </w:rPr>
                    <w:t>食堂</w:t>
                  </w:r>
                </w:p>
              </w:tc>
              <w:tc>
                <w:tcPr>
                  <w:tcW w:w="1212" w:type="pct"/>
                  <w:noWrap w:val="0"/>
                  <w:vAlign w:val="center"/>
                </w:tcPr>
                <w:p w14:paraId="5FAE3EB3">
                  <w:pPr>
                    <w:jc w:val="center"/>
                    <w:rPr>
                      <w:rFonts w:hint="eastAsia" w:cs="Times New Roman"/>
                      <w:color w:val="auto"/>
                      <w:szCs w:val="21"/>
                      <w:lang w:val="en-US" w:eastAsia="zh-CN"/>
                    </w:rPr>
                  </w:pPr>
                  <w:r>
                    <w:rPr>
                      <w:rFonts w:hint="eastAsia" w:cs="Times New Roman"/>
                      <w:color w:val="auto"/>
                      <w:szCs w:val="21"/>
                      <w:lang w:val="en-US" w:eastAsia="zh-CN"/>
                    </w:rPr>
                    <w:t>食堂油烟</w:t>
                  </w:r>
                </w:p>
              </w:tc>
              <w:tc>
                <w:tcPr>
                  <w:tcW w:w="1469" w:type="pct"/>
                  <w:noWrap w:val="0"/>
                  <w:vAlign w:val="center"/>
                </w:tcPr>
                <w:p w14:paraId="74889DEF">
                  <w:pPr>
                    <w:jc w:val="center"/>
                    <w:rPr>
                      <w:rFonts w:hint="eastAsia" w:cs="Times New Roman"/>
                      <w:color w:val="auto"/>
                      <w:szCs w:val="21"/>
                      <w:lang w:eastAsia="zh-CN"/>
                    </w:rPr>
                  </w:pPr>
                  <w:r>
                    <w:rPr>
                      <w:rFonts w:hint="eastAsia" w:cs="Times New Roman"/>
                      <w:color w:val="auto"/>
                      <w:szCs w:val="21"/>
                      <w:lang w:eastAsia="zh-CN"/>
                    </w:rPr>
                    <w:t>油烟</w:t>
                  </w:r>
                </w:p>
              </w:tc>
            </w:tr>
            <w:tr w14:paraId="0D2C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376" w:type="pct"/>
                  <w:vMerge w:val="restart"/>
                  <w:noWrap w:val="0"/>
                  <w:vAlign w:val="center"/>
                </w:tcPr>
                <w:p w14:paraId="7DEE035C">
                  <w:pPr>
                    <w:pStyle w:val="87"/>
                    <w:numPr>
                      <w:ilvl w:val="0"/>
                      <w:numId w:val="0"/>
                    </w:numPr>
                    <w:spacing w:line="240" w:lineRule="auto"/>
                    <w:ind w:left="0" w:leftChars="0" w:firstLine="0" w:firstLineChars="0"/>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sz w:val="21"/>
                      <w:szCs w:val="21"/>
                      <w:lang w:val="en-US" w:eastAsia="zh-CN"/>
                    </w:rPr>
                    <w:t>2</w:t>
                  </w:r>
                </w:p>
              </w:tc>
              <w:tc>
                <w:tcPr>
                  <w:tcW w:w="778" w:type="pct"/>
                  <w:vMerge w:val="restart"/>
                  <w:noWrap w:val="0"/>
                  <w:vAlign w:val="center"/>
                </w:tcPr>
                <w:p w14:paraId="14BC5714">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废水</w:t>
                  </w:r>
                </w:p>
              </w:tc>
              <w:tc>
                <w:tcPr>
                  <w:tcW w:w="1163" w:type="pct"/>
                  <w:noWrap w:val="0"/>
                  <w:vAlign w:val="center"/>
                </w:tcPr>
                <w:p w14:paraId="1DD1C00A">
                  <w:pPr>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医护人员生活用水</w:t>
                  </w:r>
                </w:p>
              </w:tc>
              <w:tc>
                <w:tcPr>
                  <w:tcW w:w="1212" w:type="pct"/>
                  <w:noWrap w:val="0"/>
                  <w:vAlign w:val="center"/>
                </w:tcPr>
                <w:p w14:paraId="326C32C4">
                  <w:pPr>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医护人员生活废水</w:t>
                  </w:r>
                </w:p>
              </w:tc>
              <w:tc>
                <w:tcPr>
                  <w:tcW w:w="1469" w:type="pct"/>
                  <w:vMerge w:val="restart"/>
                  <w:noWrap w:val="0"/>
                  <w:vAlign w:val="center"/>
                </w:tcPr>
                <w:p w14:paraId="134641FF">
                  <w:pPr>
                    <w:jc w:val="center"/>
                    <w:rPr>
                      <w:rFonts w:hint="default" w:ascii="Times New Roman" w:hAnsi="Times New Roman" w:cs="Times New Roman"/>
                      <w:color w:val="auto"/>
                      <w:szCs w:val="21"/>
                      <w:lang w:val="en-US" w:eastAsia="zh-CN"/>
                    </w:rPr>
                  </w:pPr>
                  <w:r>
                    <w:rPr>
                      <w:rFonts w:hint="default" w:ascii="Times New Roman" w:hAnsi="Times New Roman" w:eastAsia="宋体" w:cs="Times New Roman"/>
                      <w:color w:val="auto"/>
                      <w:sz w:val="21"/>
                      <w:szCs w:val="21"/>
                      <w:highlight w:val="none"/>
                      <w:vertAlign w:val="baseline"/>
                      <w:lang w:val="en-US" w:eastAsia="zh-CN"/>
                    </w:rPr>
                    <w:t>pH、COD、BOD</w:t>
                  </w:r>
                  <w:r>
                    <w:rPr>
                      <w:rFonts w:hint="default" w:ascii="Times New Roman" w:hAnsi="Times New Roman" w:eastAsia="宋体" w:cs="Times New Roman"/>
                      <w:color w:val="auto"/>
                      <w:sz w:val="21"/>
                      <w:szCs w:val="21"/>
                      <w:highlight w:val="none"/>
                      <w:vertAlign w:val="subscript"/>
                      <w:lang w:val="en-US" w:eastAsia="zh-CN"/>
                    </w:rPr>
                    <w:t>5</w:t>
                  </w:r>
                  <w:r>
                    <w:rPr>
                      <w:rFonts w:hint="default" w:ascii="Times New Roman" w:hAnsi="Times New Roman" w:eastAsia="宋体" w:cs="Times New Roman"/>
                      <w:color w:val="auto"/>
                      <w:sz w:val="21"/>
                      <w:szCs w:val="21"/>
                      <w:highlight w:val="none"/>
                      <w:vertAlign w:val="baseline"/>
                      <w:lang w:val="en-US" w:eastAsia="zh-CN"/>
                    </w:rPr>
                    <w:t>、SS、NH</w:t>
                  </w:r>
                  <w:r>
                    <w:rPr>
                      <w:rFonts w:hint="default" w:ascii="Times New Roman" w:hAnsi="Times New Roman" w:eastAsia="宋体" w:cs="Times New Roman"/>
                      <w:color w:val="auto"/>
                      <w:sz w:val="21"/>
                      <w:szCs w:val="21"/>
                      <w:highlight w:val="none"/>
                      <w:vertAlign w:val="subscript"/>
                      <w:lang w:val="en-US" w:eastAsia="zh-CN"/>
                    </w:rPr>
                    <w:t>3</w:t>
                  </w:r>
                  <w:r>
                    <w:rPr>
                      <w:rFonts w:hint="default" w:ascii="Times New Roman" w:hAnsi="Times New Roman" w:eastAsia="宋体" w:cs="Times New Roman"/>
                      <w:color w:val="auto"/>
                      <w:sz w:val="21"/>
                      <w:szCs w:val="21"/>
                      <w:highlight w:val="none"/>
                      <w:vertAlign w:val="baseline"/>
                      <w:lang w:val="en-US" w:eastAsia="zh-CN"/>
                    </w:rPr>
                    <w:t>-N</w:t>
                  </w:r>
                  <w:r>
                    <w:rPr>
                      <w:rFonts w:hint="eastAsia" w:ascii="Times New Roman" w:cs="Times New Roman"/>
                      <w:color w:val="auto"/>
                      <w:sz w:val="21"/>
                      <w:szCs w:val="21"/>
                      <w:highlight w:val="none"/>
                      <w:vertAlign w:val="baseline"/>
                      <w:lang w:val="en-US" w:eastAsia="zh-CN"/>
                    </w:rPr>
                    <w:t>、LAS、动植物油、粪大肠菌群等</w:t>
                  </w:r>
                </w:p>
              </w:tc>
            </w:tr>
            <w:tr w14:paraId="2084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376" w:type="pct"/>
                  <w:vMerge w:val="continue"/>
                  <w:noWrap w:val="0"/>
                  <w:vAlign w:val="center"/>
                </w:tcPr>
                <w:p w14:paraId="7E04E775">
                  <w:pPr>
                    <w:pStyle w:val="87"/>
                    <w:numPr>
                      <w:ilvl w:val="0"/>
                      <w:numId w:val="0"/>
                    </w:numPr>
                    <w:spacing w:line="240" w:lineRule="auto"/>
                    <w:ind w:left="0" w:leftChars="0" w:firstLine="0" w:firstLineChars="0"/>
                    <w:jc w:val="center"/>
                    <w:rPr>
                      <w:rFonts w:hint="eastAsia" w:cs="Times New Roman"/>
                      <w:color w:val="auto"/>
                      <w:sz w:val="21"/>
                      <w:szCs w:val="21"/>
                      <w:lang w:val="en-US" w:eastAsia="zh-CN"/>
                    </w:rPr>
                  </w:pPr>
                </w:p>
              </w:tc>
              <w:tc>
                <w:tcPr>
                  <w:tcW w:w="778" w:type="pct"/>
                  <w:vMerge w:val="continue"/>
                  <w:noWrap w:val="0"/>
                  <w:vAlign w:val="center"/>
                </w:tcPr>
                <w:p w14:paraId="218860F5">
                  <w:pPr>
                    <w:jc w:val="center"/>
                    <w:rPr>
                      <w:rFonts w:hint="default" w:ascii="Times New Roman" w:hAnsi="Times New Roman" w:cs="Times New Roman"/>
                      <w:color w:val="auto"/>
                      <w:szCs w:val="21"/>
                      <w:lang w:val="en-US" w:eastAsia="zh-CN"/>
                    </w:rPr>
                  </w:pPr>
                </w:p>
              </w:tc>
              <w:tc>
                <w:tcPr>
                  <w:tcW w:w="1163" w:type="pct"/>
                  <w:noWrap w:val="0"/>
                  <w:vAlign w:val="center"/>
                </w:tcPr>
                <w:p w14:paraId="48B7B8B9">
                  <w:pPr>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后勤人员生活用水</w:t>
                  </w:r>
                </w:p>
              </w:tc>
              <w:tc>
                <w:tcPr>
                  <w:tcW w:w="1212" w:type="pct"/>
                  <w:noWrap w:val="0"/>
                  <w:vAlign w:val="center"/>
                </w:tcPr>
                <w:p w14:paraId="3B042359">
                  <w:pPr>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后勤人员生活废水</w:t>
                  </w:r>
                </w:p>
              </w:tc>
              <w:tc>
                <w:tcPr>
                  <w:tcW w:w="1469" w:type="pct"/>
                  <w:vMerge w:val="continue"/>
                  <w:noWrap w:val="0"/>
                  <w:vAlign w:val="center"/>
                </w:tcPr>
                <w:p w14:paraId="2BE080F0">
                  <w:pPr>
                    <w:jc w:val="center"/>
                    <w:rPr>
                      <w:rFonts w:hint="default" w:ascii="Times New Roman" w:hAnsi="Times New Roman" w:cs="Times New Roman"/>
                      <w:color w:val="auto"/>
                      <w:szCs w:val="21"/>
                      <w:lang w:val="en-US" w:eastAsia="zh-CN"/>
                    </w:rPr>
                  </w:pPr>
                </w:p>
              </w:tc>
            </w:tr>
            <w:tr w14:paraId="48897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376" w:type="pct"/>
                  <w:vMerge w:val="continue"/>
                  <w:noWrap w:val="0"/>
                  <w:vAlign w:val="center"/>
                </w:tcPr>
                <w:p w14:paraId="23E0F199">
                  <w:pPr>
                    <w:pStyle w:val="87"/>
                    <w:numPr>
                      <w:ilvl w:val="0"/>
                      <w:numId w:val="0"/>
                    </w:numPr>
                    <w:spacing w:line="240" w:lineRule="auto"/>
                    <w:ind w:left="0" w:leftChars="0" w:firstLine="0" w:firstLineChars="0"/>
                    <w:jc w:val="center"/>
                    <w:rPr>
                      <w:rFonts w:hint="eastAsia" w:cs="Times New Roman"/>
                      <w:color w:val="auto"/>
                      <w:sz w:val="21"/>
                      <w:szCs w:val="21"/>
                      <w:lang w:val="en-US" w:eastAsia="zh-CN"/>
                    </w:rPr>
                  </w:pPr>
                </w:p>
              </w:tc>
              <w:tc>
                <w:tcPr>
                  <w:tcW w:w="778" w:type="pct"/>
                  <w:vMerge w:val="continue"/>
                  <w:noWrap w:val="0"/>
                  <w:vAlign w:val="center"/>
                </w:tcPr>
                <w:p w14:paraId="0B09A18C">
                  <w:pPr>
                    <w:jc w:val="center"/>
                    <w:rPr>
                      <w:rFonts w:hint="default" w:ascii="Times New Roman" w:hAnsi="Times New Roman" w:cs="Times New Roman"/>
                      <w:color w:val="auto"/>
                      <w:szCs w:val="21"/>
                      <w:lang w:val="en-US" w:eastAsia="zh-CN"/>
                    </w:rPr>
                  </w:pPr>
                </w:p>
              </w:tc>
              <w:tc>
                <w:tcPr>
                  <w:tcW w:w="1163" w:type="pct"/>
                  <w:noWrap w:val="0"/>
                  <w:vAlign w:val="center"/>
                </w:tcPr>
                <w:p w14:paraId="497BCABC">
                  <w:pPr>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食堂用水</w:t>
                  </w:r>
                </w:p>
              </w:tc>
              <w:tc>
                <w:tcPr>
                  <w:tcW w:w="1212" w:type="pct"/>
                  <w:noWrap w:val="0"/>
                  <w:vAlign w:val="center"/>
                </w:tcPr>
                <w:p w14:paraId="3DEA1316">
                  <w:pPr>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食堂废水</w:t>
                  </w:r>
                </w:p>
              </w:tc>
              <w:tc>
                <w:tcPr>
                  <w:tcW w:w="1469" w:type="pct"/>
                  <w:vMerge w:val="continue"/>
                  <w:noWrap w:val="0"/>
                  <w:vAlign w:val="center"/>
                </w:tcPr>
                <w:p w14:paraId="2FC14E3A">
                  <w:pPr>
                    <w:jc w:val="center"/>
                    <w:rPr>
                      <w:rFonts w:hint="default" w:ascii="Times New Roman" w:hAnsi="Times New Roman" w:cs="Times New Roman"/>
                      <w:color w:val="auto"/>
                      <w:szCs w:val="21"/>
                      <w:lang w:val="en-US" w:eastAsia="zh-CN"/>
                    </w:rPr>
                  </w:pPr>
                </w:p>
              </w:tc>
            </w:tr>
            <w:tr w14:paraId="1C92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376" w:type="pct"/>
                  <w:vMerge w:val="continue"/>
                  <w:noWrap w:val="0"/>
                  <w:vAlign w:val="center"/>
                </w:tcPr>
                <w:p w14:paraId="7ACFFA51">
                  <w:pPr>
                    <w:pStyle w:val="87"/>
                    <w:numPr>
                      <w:ilvl w:val="0"/>
                      <w:numId w:val="0"/>
                    </w:numPr>
                    <w:spacing w:line="240" w:lineRule="auto"/>
                    <w:ind w:left="0" w:leftChars="0" w:firstLine="0" w:firstLineChars="0"/>
                    <w:jc w:val="center"/>
                    <w:rPr>
                      <w:rFonts w:hint="eastAsia" w:cs="Times New Roman"/>
                      <w:color w:val="auto"/>
                      <w:sz w:val="21"/>
                      <w:szCs w:val="21"/>
                      <w:lang w:val="en-US" w:eastAsia="zh-CN"/>
                    </w:rPr>
                  </w:pPr>
                </w:p>
              </w:tc>
              <w:tc>
                <w:tcPr>
                  <w:tcW w:w="778" w:type="pct"/>
                  <w:vMerge w:val="continue"/>
                  <w:noWrap w:val="0"/>
                  <w:vAlign w:val="center"/>
                </w:tcPr>
                <w:p w14:paraId="24309D70">
                  <w:pPr>
                    <w:jc w:val="center"/>
                    <w:rPr>
                      <w:rFonts w:hint="default" w:ascii="Times New Roman" w:hAnsi="Times New Roman" w:cs="Times New Roman"/>
                      <w:color w:val="auto"/>
                      <w:szCs w:val="21"/>
                      <w:lang w:val="en-US" w:eastAsia="zh-CN"/>
                    </w:rPr>
                  </w:pPr>
                </w:p>
              </w:tc>
              <w:tc>
                <w:tcPr>
                  <w:tcW w:w="1163" w:type="pct"/>
                  <w:noWrap w:val="0"/>
                  <w:vAlign w:val="center"/>
                </w:tcPr>
                <w:p w14:paraId="07B00425">
                  <w:pPr>
                    <w:jc w:val="center"/>
                    <w:rPr>
                      <w:rFonts w:hint="eastAsia" w:cs="Times New Roman"/>
                      <w:color w:val="auto"/>
                      <w:szCs w:val="21"/>
                      <w:lang w:val="en-US" w:eastAsia="zh-CN"/>
                    </w:rPr>
                  </w:pPr>
                  <w:r>
                    <w:rPr>
                      <w:rFonts w:hint="eastAsia" w:cs="Times New Roman"/>
                      <w:color w:val="auto"/>
                      <w:szCs w:val="21"/>
                      <w:lang w:val="en-US" w:eastAsia="zh-CN"/>
                    </w:rPr>
                    <w:t>住院病床用水</w:t>
                  </w:r>
                </w:p>
              </w:tc>
              <w:tc>
                <w:tcPr>
                  <w:tcW w:w="1212" w:type="pct"/>
                  <w:noWrap w:val="0"/>
                  <w:vAlign w:val="center"/>
                </w:tcPr>
                <w:p w14:paraId="459C1E2A">
                  <w:pPr>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住院病床废水</w:t>
                  </w:r>
                </w:p>
              </w:tc>
              <w:tc>
                <w:tcPr>
                  <w:tcW w:w="1469" w:type="pct"/>
                  <w:vMerge w:val="continue"/>
                  <w:noWrap w:val="0"/>
                  <w:vAlign w:val="center"/>
                </w:tcPr>
                <w:p w14:paraId="182A2057">
                  <w:pPr>
                    <w:jc w:val="center"/>
                    <w:rPr>
                      <w:rFonts w:hint="default" w:ascii="Times New Roman" w:hAnsi="Times New Roman" w:cs="Times New Roman"/>
                      <w:color w:val="auto"/>
                      <w:szCs w:val="21"/>
                      <w:lang w:val="en-US" w:eastAsia="zh-CN"/>
                    </w:rPr>
                  </w:pPr>
                </w:p>
              </w:tc>
            </w:tr>
            <w:tr w14:paraId="5315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376" w:type="pct"/>
                  <w:vMerge w:val="continue"/>
                  <w:noWrap w:val="0"/>
                  <w:vAlign w:val="center"/>
                </w:tcPr>
                <w:p w14:paraId="154A3DF0">
                  <w:pPr>
                    <w:pStyle w:val="87"/>
                    <w:numPr>
                      <w:ilvl w:val="0"/>
                      <w:numId w:val="0"/>
                    </w:numPr>
                    <w:spacing w:line="240" w:lineRule="auto"/>
                    <w:ind w:left="0" w:leftChars="0" w:firstLine="0" w:firstLineChars="0"/>
                    <w:jc w:val="center"/>
                    <w:rPr>
                      <w:rFonts w:hint="eastAsia" w:cs="Times New Roman"/>
                      <w:color w:val="auto"/>
                      <w:sz w:val="21"/>
                      <w:szCs w:val="21"/>
                      <w:lang w:val="en-US" w:eastAsia="zh-CN"/>
                    </w:rPr>
                  </w:pPr>
                </w:p>
              </w:tc>
              <w:tc>
                <w:tcPr>
                  <w:tcW w:w="778" w:type="pct"/>
                  <w:vMerge w:val="continue"/>
                  <w:noWrap w:val="0"/>
                  <w:vAlign w:val="center"/>
                </w:tcPr>
                <w:p w14:paraId="03E9FCC9">
                  <w:pPr>
                    <w:jc w:val="center"/>
                    <w:rPr>
                      <w:rFonts w:hint="default" w:ascii="Times New Roman" w:hAnsi="Times New Roman" w:cs="Times New Roman"/>
                      <w:color w:val="auto"/>
                      <w:szCs w:val="21"/>
                      <w:lang w:val="en-US" w:eastAsia="zh-CN"/>
                    </w:rPr>
                  </w:pPr>
                </w:p>
              </w:tc>
              <w:tc>
                <w:tcPr>
                  <w:tcW w:w="1163" w:type="pct"/>
                  <w:noWrap w:val="0"/>
                  <w:vAlign w:val="center"/>
                </w:tcPr>
                <w:p w14:paraId="1205BE45">
                  <w:pPr>
                    <w:jc w:val="center"/>
                    <w:rPr>
                      <w:rFonts w:hint="eastAsia" w:cs="Times New Roman"/>
                      <w:color w:val="auto"/>
                      <w:szCs w:val="21"/>
                      <w:lang w:val="en-US" w:eastAsia="zh-CN"/>
                    </w:rPr>
                  </w:pPr>
                  <w:r>
                    <w:rPr>
                      <w:rFonts w:hint="eastAsia" w:cs="Times New Roman"/>
                      <w:color w:val="auto"/>
                      <w:szCs w:val="21"/>
                      <w:lang w:val="en-US" w:eastAsia="zh-CN"/>
                    </w:rPr>
                    <w:t>医疗器械洗消用水</w:t>
                  </w:r>
                </w:p>
              </w:tc>
              <w:tc>
                <w:tcPr>
                  <w:tcW w:w="1212" w:type="pct"/>
                  <w:noWrap w:val="0"/>
                  <w:vAlign w:val="center"/>
                </w:tcPr>
                <w:p w14:paraId="0BC9367E">
                  <w:pPr>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医疗器械洗消废水</w:t>
                  </w:r>
                </w:p>
              </w:tc>
              <w:tc>
                <w:tcPr>
                  <w:tcW w:w="1469" w:type="pct"/>
                  <w:vMerge w:val="continue"/>
                  <w:noWrap w:val="0"/>
                  <w:vAlign w:val="center"/>
                </w:tcPr>
                <w:p w14:paraId="5F923B5E">
                  <w:pPr>
                    <w:jc w:val="center"/>
                    <w:rPr>
                      <w:rFonts w:hint="default" w:ascii="Times New Roman" w:hAnsi="Times New Roman" w:cs="Times New Roman"/>
                      <w:color w:val="auto"/>
                      <w:szCs w:val="21"/>
                      <w:lang w:val="en-US" w:eastAsia="zh-CN"/>
                    </w:rPr>
                  </w:pPr>
                </w:p>
              </w:tc>
            </w:tr>
            <w:tr w14:paraId="1EFE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376" w:type="pct"/>
                  <w:vMerge w:val="continue"/>
                  <w:noWrap w:val="0"/>
                  <w:vAlign w:val="center"/>
                </w:tcPr>
                <w:p w14:paraId="3A301EEB">
                  <w:pPr>
                    <w:pStyle w:val="87"/>
                    <w:numPr>
                      <w:ilvl w:val="0"/>
                      <w:numId w:val="0"/>
                    </w:numPr>
                    <w:spacing w:line="240" w:lineRule="auto"/>
                    <w:ind w:left="0" w:leftChars="0" w:firstLine="0" w:firstLineChars="0"/>
                    <w:jc w:val="center"/>
                    <w:rPr>
                      <w:rFonts w:hint="eastAsia" w:cs="Times New Roman"/>
                      <w:color w:val="auto"/>
                      <w:sz w:val="21"/>
                      <w:szCs w:val="21"/>
                      <w:lang w:val="en-US" w:eastAsia="zh-CN"/>
                    </w:rPr>
                  </w:pPr>
                </w:p>
              </w:tc>
              <w:tc>
                <w:tcPr>
                  <w:tcW w:w="778" w:type="pct"/>
                  <w:vMerge w:val="continue"/>
                  <w:noWrap w:val="0"/>
                  <w:vAlign w:val="center"/>
                </w:tcPr>
                <w:p w14:paraId="7D28E74B">
                  <w:pPr>
                    <w:jc w:val="center"/>
                    <w:rPr>
                      <w:rFonts w:hint="default" w:ascii="Times New Roman" w:hAnsi="Times New Roman" w:cs="Times New Roman"/>
                      <w:color w:val="auto"/>
                      <w:szCs w:val="21"/>
                      <w:lang w:val="en-US" w:eastAsia="zh-CN"/>
                    </w:rPr>
                  </w:pPr>
                </w:p>
              </w:tc>
              <w:tc>
                <w:tcPr>
                  <w:tcW w:w="1163" w:type="pct"/>
                  <w:noWrap w:val="0"/>
                  <w:vAlign w:val="center"/>
                </w:tcPr>
                <w:p w14:paraId="509EA5B4">
                  <w:pPr>
                    <w:jc w:val="center"/>
                    <w:rPr>
                      <w:rFonts w:hint="eastAsia" w:cs="Times New Roman"/>
                      <w:color w:val="auto"/>
                      <w:szCs w:val="21"/>
                      <w:lang w:val="en-US" w:eastAsia="zh-CN"/>
                    </w:rPr>
                  </w:pPr>
                  <w:r>
                    <w:rPr>
                      <w:rFonts w:hint="eastAsia" w:cs="Times New Roman"/>
                      <w:color w:val="auto"/>
                      <w:szCs w:val="21"/>
                      <w:lang w:val="en-US" w:eastAsia="zh-CN"/>
                    </w:rPr>
                    <w:t>蒸汽灭菌</w:t>
                  </w:r>
                </w:p>
              </w:tc>
              <w:tc>
                <w:tcPr>
                  <w:tcW w:w="1212" w:type="pct"/>
                  <w:noWrap w:val="0"/>
                  <w:vAlign w:val="center"/>
                </w:tcPr>
                <w:p w14:paraId="39AE4051">
                  <w:pPr>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蒸汽发生器浓水</w:t>
                  </w:r>
                </w:p>
              </w:tc>
              <w:tc>
                <w:tcPr>
                  <w:tcW w:w="1469" w:type="pct"/>
                  <w:vMerge w:val="restart"/>
                  <w:noWrap w:val="0"/>
                  <w:vAlign w:val="center"/>
                </w:tcPr>
                <w:p w14:paraId="1BFCCA1F">
                  <w:pPr>
                    <w:jc w:val="center"/>
                    <w:rPr>
                      <w:rFonts w:hint="default" w:ascii="Times New Roman" w:hAnsi="Times New Roman" w:cs="Times New Roman"/>
                      <w:color w:val="auto"/>
                      <w:szCs w:val="21"/>
                      <w:lang w:val="en-US" w:eastAsia="zh-CN"/>
                    </w:rPr>
                  </w:pPr>
                  <w:r>
                    <w:rPr>
                      <w:rFonts w:hint="default" w:ascii="Times New Roman" w:hAnsi="Times New Roman" w:eastAsia="宋体" w:cs="Times New Roman"/>
                      <w:color w:val="auto"/>
                      <w:sz w:val="21"/>
                      <w:szCs w:val="21"/>
                      <w:highlight w:val="none"/>
                      <w:vertAlign w:val="baseline"/>
                      <w:lang w:val="en-US" w:eastAsia="zh-CN"/>
                    </w:rPr>
                    <w:t>COD、SS</w:t>
                  </w:r>
                  <w:r>
                    <w:rPr>
                      <w:rFonts w:hint="eastAsia" w:ascii="Times New Roman" w:hAnsi="Times New Roman" w:eastAsia="宋体" w:cs="Times New Roman"/>
                      <w:color w:val="auto"/>
                      <w:sz w:val="21"/>
                      <w:szCs w:val="21"/>
                      <w:highlight w:val="none"/>
                      <w:vertAlign w:val="baseline"/>
                      <w:lang w:val="en-US" w:eastAsia="zh-CN"/>
                    </w:rPr>
                    <w:t>等</w:t>
                  </w:r>
                </w:p>
              </w:tc>
            </w:tr>
            <w:tr w14:paraId="5438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376" w:type="pct"/>
                  <w:vMerge w:val="continue"/>
                  <w:noWrap w:val="0"/>
                  <w:vAlign w:val="center"/>
                </w:tcPr>
                <w:p w14:paraId="4EB48927">
                  <w:pPr>
                    <w:pStyle w:val="87"/>
                    <w:numPr>
                      <w:ilvl w:val="0"/>
                      <w:numId w:val="0"/>
                    </w:numPr>
                    <w:spacing w:line="240" w:lineRule="auto"/>
                    <w:ind w:left="0" w:leftChars="0" w:firstLine="0" w:firstLineChars="0"/>
                    <w:jc w:val="center"/>
                    <w:rPr>
                      <w:rFonts w:hint="eastAsia" w:cs="Times New Roman"/>
                      <w:color w:val="auto"/>
                      <w:sz w:val="21"/>
                      <w:szCs w:val="21"/>
                      <w:lang w:val="en-US" w:eastAsia="zh-CN"/>
                    </w:rPr>
                  </w:pPr>
                </w:p>
              </w:tc>
              <w:tc>
                <w:tcPr>
                  <w:tcW w:w="778" w:type="pct"/>
                  <w:vMerge w:val="continue"/>
                  <w:noWrap w:val="0"/>
                  <w:vAlign w:val="center"/>
                </w:tcPr>
                <w:p w14:paraId="7E6330DA">
                  <w:pPr>
                    <w:jc w:val="center"/>
                    <w:rPr>
                      <w:rFonts w:hint="default" w:ascii="Times New Roman" w:hAnsi="Times New Roman" w:cs="Times New Roman"/>
                      <w:color w:val="auto"/>
                      <w:szCs w:val="21"/>
                      <w:lang w:val="en-US" w:eastAsia="zh-CN"/>
                    </w:rPr>
                  </w:pPr>
                </w:p>
              </w:tc>
              <w:tc>
                <w:tcPr>
                  <w:tcW w:w="1163" w:type="pct"/>
                  <w:noWrap w:val="0"/>
                  <w:vAlign w:val="center"/>
                </w:tcPr>
                <w:p w14:paraId="31AD09E9">
                  <w:pPr>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纯水制备</w:t>
                  </w:r>
                </w:p>
              </w:tc>
              <w:tc>
                <w:tcPr>
                  <w:tcW w:w="1212" w:type="pct"/>
                  <w:noWrap w:val="0"/>
                  <w:vAlign w:val="center"/>
                </w:tcPr>
                <w:p w14:paraId="359F6E9A">
                  <w:pPr>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纯水制备浓水</w:t>
                  </w:r>
                </w:p>
              </w:tc>
              <w:tc>
                <w:tcPr>
                  <w:tcW w:w="1469" w:type="pct"/>
                  <w:vMerge w:val="continue"/>
                  <w:noWrap w:val="0"/>
                  <w:vAlign w:val="center"/>
                </w:tcPr>
                <w:p w14:paraId="4FE5DAC8">
                  <w:pPr>
                    <w:jc w:val="center"/>
                    <w:rPr>
                      <w:rFonts w:hint="default" w:ascii="Times New Roman" w:hAnsi="Times New Roman" w:cs="Times New Roman"/>
                      <w:color w:val="auto"/>
                      <w:szCs w:val="21"/>
                      <w:lang w:val="en-US" w:eastAsia="zh-CN"/>
                    </w:rPr>
                  </w:pPr>
                </w:p>
              </w:tc>
            </w:tr>
            <w:tr w14:paraId="524E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376" w:type="pct"/>
                  <w:noWrap w:val="0"/>
                  <w:vAlign w:val="center"/>
                </w:tcPr>
                <w:p w14:paraId="26CF9139">
                  <w:pPr>
                    <w:pStyle w:val="87"/>
                    <w:numPr>
                      <w:ilvl w:val="0"/>
                      <w:numId w:val="0"/>
                    </w:numPr>
                    <w:spacing w:line="240" w:lineRule="auto"/>
                    <w:ind w:left="0" w:leftChars="0" w:firstLine="0" w:firstLineChars="0"/>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sz w:val="21"/>
                      <w:szCs w:val="21"/>
                      <w:lang w:val="en-US" w:eastAsia="zh-CN"/>
                    </w:rPr>
                    <w:t>3</w:t>
                  </w:r>
                </w:p>
              </w:tc>
              <w:tc>
                <w:tcPr>
                  <w:tcW w:w="778" w:type="pct"/>
                  <w:noWrap w:val="0"/>
                  <w:vAlign w:val="center"/>
                </w:tcPr>
                <w:p w14:paraId="12BF2619">
                  <w:pPr>
                    <w:jc w:val="center"/>
                    <w:rPr>
                      <w:rFonts w:hint="default" w:ascii="Times New Roman" w:hAnsi="Times New Roman" w:cs="Times New Roman"/>
                      <w:color w:val="auto"/>
                      <w:szCs w:val="21"/>
                    </w:rPr>
                  </w:pPr>
                  <w:r>
                    <w:rPr>
                      <w:rFonts w:hint="default" w:ascii="Times New Roman" w:hAnsi="Times New Roman" w:cs="Times New Roman"/>
                      <w:color w:val="auto"/>
                      <w:szCs w:val="21"/>
                    </w:rPr>
                    <w:t>噪声</w:t>
                  </w:r>
                </w:p>
              </w:tc>
              <w:tc>
                <w:tcPr>
                  <w:tcW w:w="1163" w:type="pct"/>
                  <w:noWrap w:val="0"/>
                  <w:vAlign w:val="center"/>
                </w:tcPr>
                <w:p w14:paraId="45AAA9FE">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设备运转</w:t>
                  </w:r>
                </w:p>
              </w:tc>
              <w:tc>
                <w:tcPr>
                  <w:tcW w:w="1212" w:type="pct"/>
                  <w:noWrap w:val="0"/>
                  <w:vAlign w:val="center"/>
                </w:tcPr>
                <w:p w14:paraId="3DB8AAA2">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机械噪声</w:t>
                  </w:r>
                </w:p>
              </w:tc>
              <w:tc>
                <w:tcPr>
                  <w:tcW w:w="1469" w:type="pct"/>
                  <w:noWrap w:val="0"/>
                  <w:vAlign w:val="center"/>
                </w:tcPr>
                <w:p w14:paraId="78E7F1F3">
                  <w:pPr>
                    <w:jc w:val="center"/>
                    <w:rPr>
                      <w:rFonts w:hint="eastAsia" w:ascii="Times New Roman" w:hAnsi="Times New Roman" w:eastAsia="宋体" w:cs="Times New Roman"/>
                      <w:color w:val="auto"/>
                      <w:szCs w:val="21"/>
                      <w:lang w:eastAsia="zh-CN"/>
                    </w:rPr>
                  </w:pPr>
                  <w:r>
                    <w:rPr>
                      <w:rFonts w:hint="eastAsia" w:cs="Times New Roman"/>
                      <w:color w:val="auto"/>
                      <w:szCs w:val="21"/>
                      <w:lang w:val="en-US" w:eastAsia="zh-CN"/>
                    </w:rPr>
                    <w:t>/</w:t>
                  </w:r>
                </w:p>
              </w:tc>
            </w:tr>
            <w:tr w14:paraId="067C4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376" w:type="pct"/>
                  <w:vMerge w:val="restart"/>
                  <w:noWrap w:val="0"/>
                  <w:vAlign w:val="center"/>
                </w:tcPr>
                <w:p w14:paraId="32691212">
                  <w:pPr>
                    <w:pStyle w:val="87"/>
                    <w:numPr>
                      <w:ilvl w:val="0"/>
                      <w:numId w:val="0"/>
                    </w:numPr>
                    <w:spacing w:line="240" w:lineRule="auto"/>
                    <w:ind w:left="0" w:leftChars="0" w:firstLine="0" w:firstLineChars="0"/>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sz w:val="21"/>
                      <w:szCs w:val="21"/>
                      <w:lang w:val="en-US" w:eastAsia="zh-CN"/>
                    </w:rPr>
                    <w:t>4</w:t>
                  </w:r>
                </w:p>
              </w:tc>
              <w:tc>
                <w:tcPr>
                  <w:tcW w:w="778" w:type="pct"/>
                  <w:vMerge w:val="restart"/>
                  <w:noWrap w:val="0"/>
                  <w:vAlign w:val="center"/>
                </w:tcPr>
                <w:p w14:paraId="13AEFD8B">
                  <w:pPr>
                    <w:jc w:val="center"/>
                    <w:rPr>
                      <w:rFonts w:hint="default" w:ascii="Times New Roman" w:hAnsi="Times New Roman" w:cs="Times New Roman"/>
                      <w:color w:val="auto"/>
                      <w:szCs w:val="21"/>
                    </w:rPr>
                  </w:pPr>
                  <w:r>
                    <w:rPr>
                      <w:rFonts w:hint="default" w:ascii="Times New Roman" w:hAnsi="Times New Roman" w:cs="Times New Roman"/>
                      <w:color w:val="auto"/>
                      <w:szCs w:val="21"/>
                    </w:rPr>
                    <w:t>一般固废</w:t>
                  </w:r>
                </w:p>
              </w:tc>
              <w:tc>
                <w:tcPr>
                  <w:tcW w:w="1163" w:type="pct"/>
                  <w:noWrap w:val="0"/>
                  <w:vAlign w:val="center"/>
                </w:tcPr>
                <w:p w14:paraId="71774878">
                  <w:pPr>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办公生活</w:t>
                  </w:r>
                </w:p>
              </w:tc>
              <w:tc>
                <w:tcPr>
                  <w:tcW w:w="1212" w:type="pct"/>
                  <w:noWrap w:val="0"/>
                  <w:vAlign w:val="center"/>
                </w:tcPr>
                <w:p w14:paraId="139B78CD">
                  <w:pPr>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生活垃圾</w:t>
                  </w:r>
                </w:p>
              </w:tc>
              <w:tc>
                <w:tcPr>
                  <w:tcW w:w="1469" w:type="pct"/>
                  <w:noWrap w:val="0"/>
                  <w:vAlign w:val="center"/>
                </w:tcPr>
                <w:p w14:paraId="2A2609A6">
                  <w:pPr>
                    <w:jc w:val="center"/>
                    <w:rPr>
                      <w:rFonts w:hint="default" w:ascii="Times New Roman" w:hAnsi="Times New Roman" w:cs="Times New Roman"/>
                      <w:color w:val="auto"/>
                      <w:szCs w:val="21"/>
                    </w:rPr>
                  </w:pPr>
                  <w:r>
                    <w:rPr>
                      <w:rFonts w:hint="eastAsia" w:cs="Times New Roman"/>
                      <w:color w:val="auto"/>
                      <w:szCs w:val="21"/>
                      <w:lang w:val="en-US" w:eastAsia="zh-CN"/>
                    </w:rPr>
                    <w:t>/</w:t>
                  </w:r>
                </w:p>
              </w:tc>
            </w:tr>
            <w:tr w14:paraId="55A9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 w:type="pct"/>
                  <w:vMerge w:val="continue"/>
                  <w:noWrap w:val="0"/>
                  <w:vAlign w:val="center"/>
                </w:tcPr>
                <w:p w14:paraId="059BF147">
                  <w:pPr>
                    <w:pStyle w:val="87"/>
                    <w:numPr>
                      <w:ilvl w:val="0"/>
                      <w:numId w:val="0"/>
                    </w:numPr>
                    <w:spacing w:line="240" w:lineRule="auto"/>
                    <w:ind w:left="0" w:leftChars="0" w:firstLine="0" w:firstLineChars="0"/>
                    <w:jc w:val="center"/>
                    <w:rPr>
                      <w:rFonts w:hint="eastAsia" w:cs="Times New Roman"/>
                      <w:color w:val="auto"/>
                      <w:sz w:val="21"/>
                      <w:szCs w:val="21"/>
                      <w:lang w:val="en-US" w:eastAsia="zh-CN"/>
                    </w:rPr>
                  </w:pPr>
                </w:p>
              </w:tc>
              <w:tc>
                <w:tcPr>
                  <w:tcW w:w="778" w:type="pct"/>
                  <w:vMerge w:val="continue"/>
                  <w:noWrap w:val="0"/>
                  <w:vAlign w:val="center"/>
                </w:tcPr>
                <w:p w14:paraId="50052F67">
                  <w:pPr>
                    <w:jc w:val="center"/>
                    <w:rPr>
                      <w:rFonts w:hint="default" w:ascii="Times New Roman" w:hAnsi="Times New Roman" w:cs="Times New Roman"/>
                      <w:color w:val="auto"/>
                      <w:szCs w:val="21"/>
                    </w:rPr>
                  </w:pPr>
                </w:p>
              </w:tc>
              <w:tc>
                <w:tcPr>
                  <w:tcW w:w="1163" w:type="pct"/>
                  <w:noWrap w:val="0"/>
                  <w:vAlign w:val="center"/>
                </w:tcPr>
                <w:p w14:paraId="07E0B698">
                  <w:pPr>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原料包装</w:t>
                  </w:r>
                </w:p>
              </w:tc>
              <w:tc>
                <w:tcPr>
                  <w:tcW w:w="1212" w:type="pct"/>
                  <w:noWrap w:val="0"/>
                  <w:vAlign w:val="center"/>
                </w:tcPr>
                <w:p w14:paraId="04A021D8">
                  <w:pPr>
                    <w:jc w:val="center"/>
                    <w:rPr>
                      <w:rFonts w:hint="eastAsia" w:cs="Times New Roman"/>
                      <w:color w:val="auto"/>
                      <w:szCs w:val="21"/>
                      <w:lang w:val="en-US" w:eastAsia="zh-CN"/>
                    </w:rPr>
                  </w:pPr>
                  <w:r>
                    <w:rPr>
                      <w:rFonts w:hint="eastAsia" w:cs="Times New Roman"/>
                      <w:color w:val="auto"/>
                      <w:szCs w:val="21"/>
                      <w:lang w:val="en-US" w:eastAsia="zh-CN"/>
                    </w:rPr>
                    <w:t>普通废包装材料</w:t>
                  </w:r>
                </w:p>
              </w:tc>
              <w:tc>
                <w:tcPr>
                  <w:tcW w:w="1469" w:type="pct"/>
                  <w:noWrap w:val="0"/>
                  <w:vAlign w:val="center"/>
                </w:tcPr>
                <w:p w14:paraId="19137201">
                  <w:pPr>
                    <w:jc w:val="center"/>
                    <w:rPr>
                      <w:rFonts w:hint="default" w:cs="Times New Roman"/>
                      <w:color w:val="auto"/>
                      <w:szCs w:val="21"/>
                      <w:lang w:val="en-US" w:eastAsia="zh-CN"/>
                    </w:rPr>
                  </w:pPr>
                  <w:r>
                    <w:rPr>
                      <w:rFonts w:hint="eastAsia" w:cs="Times New Roman"/>
                      <w:color w:val="auto"/>
                      <w:szCs w:val="21"/>
                      <w:lang w:val="en-US" w:eastAsia="zh-CN"/>
                    </w:rPr>
                    <w:t>/</w:t>
                  </w:r>
                </w:p>
              </w:tc>
            </w:tr>
            <w:tr w14:paraId="33535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376" w:type="pct"/>
                  <w:vMerge w:val="restart"/>
                  <w:noWrap w:val="0"/>
                  <w:vAlign w:val="center"/>
                </w:tcPr>
                <w:p w14:paraId="1BF4079C">
                  <w:pPr>
                    <w:pStyle w:val="87"/>
                    <w:numPr>
                      <w:ilvl w:val="0"/>
                      <w:numId w:val="0"/>
                    </w:numPr>
                    <w:spacing w:line="240" w:lineRule="auto"/>
                    <w:ind w:lef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w:t>
                  </w:r>
                </w:p>
              </w:tc>
              <w:tc>
                <w:tcPr>
                  <w:tcW w:w="778" w:type="pct"/>
                  <w:vMerge w:val="restart"/>
                  <w:noWrap w:val="0"/>
                  <w:vAlign w:val="center"/>
                </w:tcPr>
                <w:p w14:paraId="49370880">
                  <w:pPr>
                    <w:jc w:val="center"/>
                    <w:rPr>
                      <w:rFonts w:hint="default" w:ascii="Times New Roman" w:hAnsi="Times New Roman" w:cs="Times New Roman"/>
                      <w:color w:val="auto"/>
                      <w:szCs w:val="21"/>
                    </w:rPr>
                  </w:pPr>
                  <w:r>
                    <w:rPr>
                      <w:rFonts w:hint="default" w:ascii="Times New Roman" w:hAnsi="Times New Roman" w:cs="Times New Roman"/>
                      <w:color w:val="auto"/>
                      <w:szCs w:val="21"/>
                    </w:rPr>
                    <w:t>危险固废</w:t>
                  </w:r>
                </w:p>
              </w:tc>
              <w:tc>
                <w:tcPr>
                  <w:tcW w:w="1163" w:type="pct"/>
                  <w:noWrap w:val="0"/>
                  <w:vAlign w:val="center"/>
                </w:tcPr>
                <w:p w14:paraId="5D2E2587">
                  <w:pPr>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医院运营</w:t>
                  </w:r>
                </w:p>
              </w:tc>
              <w:tc>
                <w:tcPr>
                  <w:tcW w:w="1212" w:type="pct"/>
                  <w:noWrap w:val="0"/>
                  <w:vAlign w:val="center"/>
                </w:tcPr>
                <w:p w14:paraId="6EB7F7A7">
                  <w:pPr>
                    <w:pStyle w:val="88"/>
                    <w:keepNext w:val="0"/>
                    <w:keepLines w:val="0"/>
                    <w:pageBreakBefore w:val="0"/>
                    <w:widowControl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eastAsia" w:ascii="Times New Roman" w:hAnsi="Times New Roman" w:eastAsia="宋体" w:cs="Times New Roman"/>
                      <w:color w:val="auto"/>
                      <w:szCs w:val="21"/>
                      <w:lang w:eastAsia="zh-CN"/>
                    </w:rPr>
                  </w:pPr>
                  <w:r>
                    <w:rPr>
                      <w:rFonts w:hint="eastAsia" w:cs="Times New Roman"/>
                      <w:color w:val="auto"/>
                      <w:szCs w:val="21"/>
                      <w:lang w:eastAsia="zh-CN"/>
                    </w:rPr>
                    <w:t>医疗废物</w:t>
                  </w:r>
                </w:p>
              </w:tc>
              <w:tc>
                <w:tcPr>
                  <w:tcW w:w="1469" w:type="pct"/>
                  <w:noWrap w:val="0"/>
                  <w:vAlign w:val="center"/>
                </w:tcPr>
                <w:p w14:paraId="65B5A430">
                  <w:pPr>
                    <w:jc w:val="center"/>
                    <w:rPr>
                      <w:rFonts w:hint="default" w:ascii="Times New Roman" w:hAnsi="Times New Roman" w:cs="Times New Roman"/>
                      <w:color w:val="auto"/>
                      <w:szCs w:val="21"/>
                    </w:rPr>
                  </w:pPr>
                  <w:r>
                    <w:rPr>
                      <w:rFonts w:hint="eastAsia" w:cs="Times New Roman"/>
                      <w:color w:val="auto"/>
                      <w:szCs w:val="21"/>
                      <w:lang w:val="en-US" w:eastAsia="zh-CN"/>
                    </w:rPr>
                    <w:t>/</w:t>
                  </w:r>
                </w:p>
              </w:tc>
            </w:tr>
            <w:tr w14:paraId="622D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376" w:type="pct"/>
                  <w:vMerge w:val="continue"/>
                  <w:noWrap w:val="0"/>
                  <w:vAlign w:val="center"/>
                </w:tcPr>
                <w:p w14:paraId="57CFF573">
                  <w:pPr>
                    <w:pStyle w:val="87"/>
                    <w:numPr>
                      <w:ilvl w:val="0"/>
                      <w:numId w:val="0"/>
                    </w:numPr>
                    <w:spacing w:line="240" w:lineRule="auto"/>
                    <w:ind w:leftChars="0"/>
                    <w:jc w:val="center"/>
                    <w:rPr>
                      <w:rFonts w:hint="eastAsia" w:cs="Times New Roman"/>
                      <w:color w:val="auto"/>
                      <w:sz w:val="21"/>
                      <w:szCs w:val="21"/>
                      <w:lang w:val="en-US" w:eastAsia="zh-CN"/>
                    </w:rPr>
                  </w:pPr>
                </w:p>
              </w:tc>
              <w:tc>
                <w:tcPr>
                  <w:tcW w:w="778" w:type="pct"/>
                  <w:vMerge w:val="continue"/>
                  <w:noWrap w:val="0"/>
                  <w:vAlign w:val="center"/>
                </w:tcPr>
                <w:p w14:paraId="1BACD8E0">
                  <w:pPr>
                    <w:jc w:val="center"/>
                    <w:rPr>
                      <w:rFonts w:hint="default" w:ascii="Times New Roman" w:hAnsi="Times New Roman" w:cs="Times New Roman"/>
                      <w:color w:val="auto"/>
                      <w:szCs w:val="21"/>
                    </w:rPr>
                  </w:pPr>
                </w:p>
              </w:tc>
              <w:tc>
                <w:tcPr>
                  <w:tcW w:w="1163" w:type="pct"/>
                  <w:noWrap w:val="0"/>
                  <w:vAlign w:val="center"/>
                </w:tcPr>
                <w:p w14:paraId="4243E547">
                  <w:pPr>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原料包装</w:t>
                  </w:r>
                </w:p>
              </w:tc>
              <w:tc>
                <w:tcPr>
                  <w:tcW w:w="1212" w:type="pct"/>
                  <w:noWrap w:val="0"/>
                  <w:vAlign w:val="center"/>
                </w:tcPr>
                <w:p w14:paraId="6721C350">
                  <w:pPr>
                    <w:pStyle w:val="88"/>
                    <w:keepNext w:val="0"/>
                    <w:keepLines w:val="0"/>
                    <w:pageBreakBefore w:val="0"/>
                    <w:widowControl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eastAsia" w:ascii="Times New Roman" w:hAnsi="Times New Roman" w:eastAsia="宋体" w:cs="Times New Roman"/>
                      <w:color w:val="auto"/>
                      <w:szCs w:val="21"/>
                      <w:lang w:eastAsia="zh-CN"/>
                    </w:rPr>
                  </w:pPr>
                  <w:r>
                    <w:rPr>
                      <w:rFonts w:hint="eastAsia" w:cs="Times New Roman"/>
                      <w:color w:val="auto"/>
                      <w:szCs w:val="21"/>
                      <w:lang w:eastAsia="zh-CN"/>
                    </w:rPr>
                    <w:t>危险废包装物</w:t>
                  </w:r>
                </w:p>
              </w:tc>
              <w:tc>
                <w:tcPr>
                  <w:tcW w:w="1469" w:type="pct"/>
                  <w:noWrap w:val="0"/>
                  <w:vAlign w:val="center"/>
                </w:tcPr>
                <w:p w14:paraId="00794855">
                  <w:pPr>
                    <w:jc w:val="center"/>
                    <w:rPr>
                      <w:rFonts w:hint="default" w:cs="Times New Roman"/>
                      <w:color w:val="auto"/>
                      <w:szCs w:val="21"/>
                      <w:lang w:val="en-US" w:eastAsia="zh-CN"/>
                    </w:rPr>
                  </w:pPr>
                  <w:r>
                    <w:rPr>
                      <w:rFonts w:hint="eastAsia" w:cs="Times New Roman"/>
                      <w:color w:val="auto"/>
                      <w:szCs w:val="21"/>
                      <w:lang w:val="en-US" w:eastAsia="zh-CN"/>
                    </w:rPr>
                    <w:t>/</w:t>
                  </w:r>
                </w:p>
              </w:tc>
            </w:tr>
            <w:tr w14:paraId="303B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376" w:type="pct"/>
                  <w:vMerge w:val="continue"/>
                  <w:noWrap w:val="0"/>
                  <w:vAlign w:val="center"/>
                </w:tcPr>
                <w:p w14:paraId="392D2595">
                  <w:pPr>
                    <w:pStyle w:val="87"/>
                    <w:numPr>
                      <w:ilvl w:val="0"/>
                      <w:numId w:val="0"/>
                    </w:numPr>
                    <w:spacing w:line="240" w:lineRule="auto"/>
                    <w:ind w:leftChars="0"/>
                    <w:jc w:val="center"/>
                    <w:rPr>
                      <w:rFonts w:hint="eastAsia" w:cs="Times New Roman"/>
                      <w:color w:val="auto"/>
                      <w:sz w:val="21"/>
                      <w:szCs w:val="21"/>
                      <w:lang w:val="en-US" w:eastAsia="zh-CN"/>
                    </w:rPr>
                  </w:pPr>
                </w:p>
              </w:tc>
              <w:tc>
                <w:tcPr>
                  <w:tcW w:w="778" w:type="pct"/>
                  <w:vMerge w:val="continue"/>
                  <w:noWrap w:val="0"/>
                  <w:vAlign w:val="center"/>
                </w:tcPr>
                <w:p w14:paraId="1A18DAB5">
                  <w:pPr>
                    <w:jc w:val="center"/>
                    <w:rPr>
                      <w:rFonts w:hint="default" w:ascii="Times New Roman" w:hAnsi="Times New Roman" w:cs="Times New Roman"/>
                      <w:color w:val="auto"/>
                      <w:szCs w:val="21"/>
                    </w:rPr>
                  </w:pPr>
                </w:p>
              </w:tc>
              <w:tc>
                <w:tcPr>
                  <w:tcW w:w="1163" w:type="pct"/>
                  <w:noWrap w:val="0"/>
                  <w:vAlign w:val="center"/>
                </w:tcPr>
                <w:p w14:paraId="7CA72FC1">
                  <w:pPr>
                    <w:jc w:val="center"/>
                    <w:rPr>
                      <w:rFonts w:hint="default" w:cs="Times New Roman"/>
                      <w:color w:val="auto"/>
                      <w:szCs w:val="21"/>
                      <w:lang w:val="en-US" w:eastAsia="zh-CN"/>
                    </w:rPr>
                  </w:pPr>
                  <w:r>
                    <w:rPr>
                      <w:rFonts w:hint="eastAsia" w:cs="Times New Roman"/>
                      <w:color w:val="auto"/>
                      <w:szCs w:val="21"/>
                      <w:lang w:val="en-US" w:eastAsia="zh-CN"/>
                    </w:rPr>
                    <w:t>废气处理</w:t>
                  </w:r>
                </w:p>
              </w:tc>
              <w:tc>
                <w:tcPr>
                  <w:tcW w:w="1212" w:type="pct"/>
                  <w:noWrap w:val="0"/>
                  <w:vAlign w:val="center"/>
                </w:tcPr>
                <w:p w14:paraId="23F2992E">
                  <w:pPr>
                    <w:pStyle w:val="88"/>
                    <w:keepNext w:val="0"/>
                    <w:keepLines w:val="0"/>
                    <w:pageBreakBefore w:val="0"/>
                    <w:widowControl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cs="Times New Roman"/>
                      <w:color w:val="auto"/>
                      <w:szCs w:val="21"/>
                      <w:lang w:val="en-US" w:eastAsia="zh-CN"/>
                    </w:rPr>
                  </w:pPr>
                  <w:r>
                    <w:rPr>
                      <w:rFonts w:hint="eastAsia" w:cs="Times New Roman"/>
                      <w:color w:val="auto"/>
                      <w:szCs w:val="21"/>
                      <w:lang w:val="en-US" w:eastAsia="zh-CN"/>
                    </w:rPr>
                    <w:t>废UV灯管</w:t>
                  </w:r>
                </w:p>
              </w:tc>
              <w:tc>
                <w:tcPr>
                  <w:tcW w:w="1469" w:type="pct"/>
                  <w:noWrap w:val="0"/>
                  <w:vAlign w:val="center"/>
                </w:tcPr>
                <w:p w14:paraId="5EB87971">
                  <w:pPr>
                    <w:jc w:val="center"/>
                    <w:rPr>
                      <w:rFonts w:hint="default" w:cs="Times New Roman"/>
                      <w:color w:val="auto"/>
                      <w:szCs w:val="21"/>
                      <w:lang w:val="en-US" w:eastAsia="zh-CN"/>
                    </w:rPr>
                  </w:pPr>
                  <w:r>
                    <w:rPr>
                      <w:rFonts w:hint="eastAsia" w:cs="Times New Roman"/>
                      <w:color w:val="auto"/>
                      <w:szCs w:val="21"/>
                      <w:lang w:val="en-US" w:eastAsia="zh-CN"/>
                    </w:rPr>
                    <w:t>/</w:t>
                  </w:r>
                </w:p>
              </w:tc>
            </w:tr>
            <w:tr w14:paraId="3F8F6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376" w:type="pct"/>
                  <w:vMerge w:val="continue"/>
                  <w:noWrap w:val="0"/>
                  <w:vAlign w:val="center"/>
                </w:tcPr>
                <w:p w14:paraId="2D8F1718">
                  <w:pPr>
                    <w:pStyle w:val="87"/>
                    <w:numPr>
                      <w:ilvl w:val="0"/>
                      <w:numId w:val="0"/>
                    </w:numPr>
                    <w:spacing w:line="240" w:lineRule="auto"/>
                    <w:ind w:leftChars="0"/>
                    <w:jc w:val="center"/>
                    <w:rPr>
                      <w:rFonts w:hint="eastAsia" w:cs="Times New Roman"/>
                      <w:color w:val="auto"/>
                      <w:sz w:val="21"/>
                      <w:szCs w:val="21"/>
                      <w:lang w:val="en-US" w:eastAsia="zh-CN"/>
                    </w:rPr>
                  </w:pPr>
                </w:p>
              </w:tc>
              <w:tc>
                <w:tcPr>
                  <w:tcW w:w="778" w:type="pct"/>
                  <w:vMerge w:val="continue"/>
                  <w:noWrap w:val="0"/>
                  <w:vAlign w:val="center"/>
                </w:tcPr>
                <w:p w14:paraId="06B14E3C">
                  <w:pPr>
                    <w:jc w:val="center"/>
                    <w:rPr>
                      <w:rFonts w:hint="default" w:ascii="Times New Roman" w:hAnsi="Times New Roman" w:cs="Times New Roman"/>
                      <w:color w:val="auto"/>
                      <w:szCs w:val="21"/>
                    </w:rPr>
                  </w:pPr>
                </w:p>
              </w:tc>
              <w:tc>
                <w:tcPr>
                  <w:tcW w:w="1163" w:type="pct"/>
                  <w:noWrap w:val="0"/>
                  <w:vAlign w:val="center"/>
                </w:tcPr>
                <w:p w14:paraId="296884F7">
                  <w:pPr>
                    <w:jc w:val="center"/>
                    <w:rPr>
                      <w:rFonts w:hint="eastAsia" w:cs="Times New Roman"/>
                      <w:color w:val="auto"/>
                      <w:szCs w:val="21"/>
                      <w:lang w:val="en-US" w:eastAsia="zh-CN"/>
                    </w:rPr>
                  </w:pPr>
                  <w:r>
                    <w:rPr>
                      <w:rFonts w:hint="eastAsia" w:cs="Times New Roman"/>
                      <w:color w:val="auto"/>
                      <w:szCs w:val="21"/>
                      <w:lang w:val="en-US" w:eastAsia="zh-CN"/>
                    </w:rPr>
                    <w:t>消毒</w:t>
                  </w:r>
                </w:p>
              </w:tc>
              <w:tc>
                <w:tcPr>
                  <w:tcW w:w="1212" w:type="pct"/>
                  <w:noWrap w:val="0"/>
                  <w:vAlign w:val="center"/>
                </w:tcPr>
                <w:p w14:paraId="1EDBD0B4">
                  <w:pPr>
                    <w:pStyle w:val="88"/>
                    <w:keepNext w:val="0"/>
                    <w:keepLines w:val="0"/>
                    <w:pageBreakBefore w:val="0"/>
                    <w:widowControl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eastAsia" w:cs="Times New Roman"/>
                      <w:color w:val="auto"/>
                      <w:szCs w:val="21"/>
                      <w:lang w:eastAsia="zh-CN"/>
                    </w:rPr>
                  </w:pPr>
                  <w:r>
                    <w:rPr>
                      <w:rFonts w:hint="eastAsia" w:cs="Times New Roman"/>
                      <w:color w:val="auto"/>
                      <w:szCs w:val="21"/>
                      <w:lang w:eastAsia="zh-CN"/>
                    </w:rPr>
                    <w:t>废紫外灯</w:t>
                  </w:r>
                </w:p>
              </w:tc>
              <w:tc>
                <w:tcPr>
                  <w:tcW w:w="1469" w:type="pct"/>
                  <w:noWrap w:val="0"/>
                  <w:vAlign w:val="center"/>
                </w:tcPr>
                <w:p w14:paraId="382BC03B">
                  <w:pPr>
                    <w:jc w:val="center"/>
                    <w:rPr>
                      <w:rFonts w:hint="default" w:cs="Times New Roman"/>
                      <w:color w:val="auto"/>
                      <w:szCs w:val="21"/>
                      <w:lang w:val="en-US" w:eastAsia="zh-CN"/>
                    </w:rPr>
                  </w:pPr>
                  <w:r>
                    <w:rPr>
                      <w:rFonts w:hint="eastAsia" w:cs="Times New Roman"/>
                      <w:color w:val="auto"/>
                      <w:szCs w:val="21"/>
                      <w:lang w:val="en-US" w:eastAsia="zh-CN"/>
                    </w:rPr>
                    <w:t>/</w:t>
                  </w:r>
                </w:p>
              </w:tc>
            </w:tr>
            <w:tr w14:paraId="4C75E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376" w:type="pct"/>
                  <w:vMerge w:val="continue"/>
                  <w:noWrap w:val="0"/>
                  <w:vAlign w:val="center"/>
                </w:tcPr>
                <w:p w14:paraId="4CEC7423">
                  <w:pPr>
                    <w:pStyle w:val="87"/>
                    <w:numPr>
                      <w:ilvl w:val="0"/>
                      <w:numId w:val="0"/>
                    </w:numPr>
                    <w:spacing w:line="240" w:lineRule="auto"/>
                    <w:ind w:left="0" w:leftChars="0" w:firstLine="0" w:firstLineChars="0"/>
                    <w:jc w:val="center"/>
                    <w:rPr>
                      <w:rFonts w:hint="default" w:ascii="Times New Roman" w:hAnsi="Times New Roman" w:eastAsia="宋体" w:cs="Times New Roman"/>
                      <w:color w:val="auto"/>
                      <w:kern w:val="0"/>
                      <w:sz w:val="21"/>
                      <w:szCs w:val="21"/>
                      <w:lang w:val="en-US" w:eastAsia="zh-CN" w:bidi="ar-SA"/>
                    </w:rPr>
                  </w:pPr>
                </w:p>
              </w:tc>
              <w:tc>
                <w:tcPr>
                  <w:tcW w:w="778" w:type="pct"/>
                  <w:vMerge w:val="continue"/>
                  <w:noWrap w:val="0"/>
                  <w:vAlign w:val="center"/>
                </w:tcPr>
                <w:p w14:paraId="5460FBAF">
                  <w:pPr>
                    <w:jc w:val="center"/>
                    <w:rPr>
                      <w:rFonts w:hint="default" w:ascii="Times New Roman" w:hAnsi="Times New Roman" w:cs="Times New Roman"/>
                      <w:color w:val="auto"/>
                      <w:szCs w:val="21"/>
                    </w:rPr>
                  </w:pPr>
                </w:p>
              </w:tc>
              <w:tc>
                <w:tcPr>
                  <w:tcW w:w="1163" w:type="pct"/>
                  <w:noWrap w:val="0"/>
                  <w:vAlign w:val="center"/>
                </w:tcPr>
                <w:p w14:paraId="2067F3AA">
                  <w:pPr>
                    <w:jc w:val="center"/>
                    <w:rPr>
                      <w:rFonts w:hint="eastAsia"/>
                      <w:color w:val="auto"/>
                      <w:lang w:val="en-US" w:eastAsia="zh-CN"/>
                    </w:rPr>
                  </w:pPr>
                  <w:r>
                    <w:rPr>
                      <w:rFonts w:hint="eastAsia"/>
                      <w:color w:val="auto"/>
                      <w:lang w:val="en-US" w:eastAsia="zh-CN"/>
                    </w:rPr>
                    <w:t>废水处理</w:t>
                  </w:r>
                </w:p>
              </w:tc>
              <w:tc>
                <w:tcPr>
                  <w:tcW w:w="1212" w:type="pct"/>
                  <w:noWrap w:val="0"/>
                  <w:vAlign w:val="center"/>
                </w:tcPr>
                <w:p w14:paraId="7EED6159">
                  <w:pPr>
                    <w:pStyle w:val="88"/>
                    <w:keepNext w:val="0"/>
                    <w:keepLines w:val="0"/>
                    <w:pageBreakBefore w:val="0"/>
                    <w:widowControl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污水处理站污泥</w:t>
                  </w:r>
                </w:p>
              </w:tc>
              <w:tc>
                <w:tcPr>
                  <w:tcW w:w="1469" w:type="pct"/>
                  <w:noWrap w:val="0"/>
                  <w:vAlign w:val="center"/>
                </w:tcPr>
                <w:p w14:paraId="0B9EF313">
                  <w:pPr>
                    <w:jc w:val="center"/>
                    <w:rPr>
                      <w:rFonts w:hint="eastAsia" w:cs="Times New Roman"/>
                      <w:color w:val="auto"/>
                      <w:szCs w:val="21"/>
                      <w:lang w:val="en-US" w:eastAsia="zh-CN"/>
                    </w:rPr>
                  </w:pPr>
                  <w:r>
                    <w:rPr>
                      <w:rFonts w:hint="eastAsia" w:cs="Times New Roman"/>
                      <w:color w:val="auto"/>
                      <w:szCs w:val="21"/>
                      <w:lang w:val="en-US" w:eastAsia="zh-CN"/>
                    </w:rPr>
                    <w:t>/</w:t>
                  </w:r>
                </w:p>
              </w:tc>
            </w:tr>
          </w:tbl>
          <w:p w14:paraId="154FD4A8">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right="0"/>
              <w:textAlignment w:val="auto"/>
              <w:rPr>
                <w:rFonts w:hint="default" w:ascii="Times New Roman" w:hAnsi="Times New Roman" w:cs="Times New Roman"/>
                <w:color w:val="auto"/>
                <w:lang w:val="en-US" w:eastAsia="zh-CN"/>
              </w:rPr>
            </w:pPr>
          </w:p>
        </w:tc>
      </w:tr>
      <w:tr w14:paraId="1025CF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327" w:type="pct"/>
            <w:noWrap w:val="0"/>
            <w:vAlign w:val="center"/>
          </w:tcPr>
          <w:p w14:paraId="2EF11A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auto"/>
                <w:sz w:val="24"/>
                <w:szCs w:val="32"/>
              </w:rPr>
            </w:pPr>
            <w:r>
              <w:rPr>
                <w:rFonts w:hint="default" w:ascii="Times New Roman" w:hAnsi="Times New Roman" w:cs="Times New Roman"/>
                <w:b/>
                <w:bCs/>
                <w:color w:val="auto"/>
                <w:sz w:val="24"/>
                <w:szCs w:val="32"/>
              </w:rPr>
              <w:t>与项目有关的原有环境污染问题</w:t>
            </w:r>
          </w:p>
        </w:tc>
        <w:tc>
          <w:tcPr>
            <w:tcW w:w="4672" w:type="pct"/>
            <w:noWrap w:val="0"/>
            <w:vAlign w:val="center"/>
          </w:tcPr>
          <w:p w14:paraId="0BCD85CF">
            <w:pPr>
              <w:spacing w:line="360" w:lineRule="auto"/>
              <w:ind w:firstLine="482" w:firstLineChars="200"/>
              <w:rPr>
                <w:b/>
                <w:bCs/>
                <w:sz w:val="24"/>
              </w:rPr>
            </w:pPr>
            <w:r>
              <w:rPr>
                <w:rFonts w:hint="eastAsia"/>
                <w:b/>
                <w:bCs/>
                <w:sz w:val="24"/>
              </w:rPr>
              <w:t>1、现有项目环保手续履行情况</w:t>
            </w:r>
          </w:p>
          <w:p w14:paraId="35EB6CB4">
            <w:pPr>
              <w:spacing w:line="360" w:lineRule="auto"/>
              <w:ind w:firstLine="480" w:firstLineChars="200"/>
              <w:rPr>
                <w:sz w:val="24"/>
                <w:szCs w:val="24"/>
              </w:rPr>
            </w:pPr>
            <w:r>
              <w:rPr>
                <w:rFonts w:hint="eastAsia" w:cs="Times New Roman"/>
                <w:color w:val="auto"/>
                <w:kern w:val="2"/>
                <w:sz w:val="24"/>
                <w:szCs w:val="32"/>
                <w:lang w:val="en-US" w:eastAsia="zh-CN"/>
              </w:rPr>
              <w:t>淮南市第五人民医院</w:t>
            </w:r>
            <w:r>
              <w:rPr>
                <w:rFonts w:hint="eastAsia"/>
                <w:sz w:val="24"/>
              </w:rPr>
              <w:t>位于</w:t>
            </w:r>
            <w:r>
              <w:rPr>
                <w:rFonts w:hint="eastAsia" w:cs="Times New Roman"/>
                <w:i w:val="0"/>
                <w:iCs w:val="0"/>
                <w:color w:val="auto"/>
                <w:sz w:val="24"/>
                <w:szCs w:val="24"/>
                <w:u w:val="none"/>
                <w:lang w:val="en-US" w:eastAsia="zh-CN"/>
              </w:rPr>
              <w:t>安徽省淮南市潘集区珠江路北侧、武夷山路西侧，前身为潘集区人民医院，</w:t>
            </w:r>
            <w:r>
              <w:rPr>
                <w:rFonts w:hint="eastAsia"/>
                <w:sz w:val="24"/>
                <w:lang w:eastAsia="zh-CN"/>
              </w:rPr>
              <w:t>始建</w:t>
            </w:r>
            <w:r>
              <w:rPr>
                <w:sz w:val="24"/>
              </w:rPr>
              <w:t>于</w:t>
            </w:r>
            <w:r>
              <w:rPr>
                <w:rFonts w:hint="eastAsia"/>
                <w:sz w:val="24"/>
                <w:lang w:val="en-US" w:eastAsia="zh-CN"/>
              </w:rPr>
              <w:t>1982</w:t>
            </w:r>
            <w:r>
              <w:rPr>
                <w:sz w:val="24"/>
              </w:rPr>
              <w:t>年</w:t>
            </w:r>
            <w:r>
              <w:rPr>
                <w:rFonts w:hint="eastAsia"/>
                <w:sz w:val="24"/>
                <w:lang w:eastAsia="zh-CN"/>
              </w:rPr>
              <w:t>，</w:t>
            </w:r>
            <w:r>
              <w:rPr>
                <w:rFonts w:hint="eastAsia"/>
                <w:sz w:val="24"/>
                <w:lang w:val="en-US" w:eastAsia="zh-CN"/>
              </w:rPr>
              <w:t>1986年10月1日开诊，于1993年经市政府批准升格为淮南市第五人民医院</w:t>
            </w:r>
            <w:r>
              <w:rPr>
                <w:rFonts w:hint="eastAsia"/>
                <w:sz w:val="24"/>
              </w:rPr>
              <w:t>。</w:t>
            </w:r>
            <w:r>
              <w:rPr>
                <w:rFonts w:hint="eastAsia"/>
                <w:sz w:val="24"/>
                <w:lang w:val="en-US" w:eastAsia="zh-CN"/>
              </w:rPr>
              <w:t>2009年11月，</w:t>
            </w:r>
            <w:r>
              <w:rPr>
                <w:rFonts w:hint="eastAsia" w:cs="Times New Roman"/>
                <w:color w:val="auto"/>
                <w:kern w:val="2"/>
                <w:sz w:val="24"/>
                <w:szCs w:val="32"/>
                <w:lang w:val="en-US" w:eastAsia="zh-CN"/>
              </w:rPr>
              <w:t>淮南市第五人民医院委托淮南市环境保护科学研究院编制了《</w:t>
            </w:r>
            <w:r>
              <w:rPr>
                <w:rFonts w:hint="eastAsia"/>
                <w:sz w:val="24"/>
                <w:lang w:val="en-US" w:eastAsia="zh-CN"/>
              </w:rPr>
              <w:t>淮南市潘集区人民医院重新选址建设项目环境影响报告书</w:t>
            </w:r>
            <w:r>
              <w:rPr>
                <w:rFonts w:hint="eastAsia" w:cs="Times New Roman"/>
                <w:color w:val="auto"/>
                <w:kern w:val="2"/>
                <w:sz w:val="24"/>
                <w:szCs w:val="32"/>
                <w:lang w:val="en-US" w:eastAsia="zh-CN"/>
              </w:rPr>
              <w:t>》，并</w:t>
            </w:r>
            <w:r>
              <w:rPr>
                <w:rFonts w:hint="eastAsia"/>
                <w:sz w:val="24"/>
              </w:rPr>
              <w:t>于201</w:t>
            </w:r>
            <w:r>
              <w:rPr>
                <w:rFonts w:hint="eastAsia"/>
                <w:sz w:val="24"/>
                <w:lang w:val="en-US" w:eastAsia="zh-CN"/>
              </w:rPr>
              <w:t>0</w:t>
            </w:r>
            <w:r>
              <w:rPr>
                <w:rFonts w:hint="eastAsia"/>
                <w:sz w:val="24"/>
              </w:rPr>
              <w:t>年</w:t>
            </w:r>
            <w:r>
              <w:rPr>
                <w:rFonts w:hint="eastAsia"/>
                <w:sz w:val="24"/>
                <w:lang w:val="en-US" w:eastAsia="zh-CN"/>
              </w:rPr>
              <w:t>1</w:t>
            </w:r>
            <w:r>
              <w:rPr>
                <w:rFonts w:hint="eastAsia"/>
                <w:sz w:val="24"/>
              </w:rPr>
              <w:t>月</w:t>
            </w:r>
            <w:r>
              <w:rPr>
                <w:rFonts w:hint="eastAsia"/>
                <w:sz w:val="24"/>
                <w:lang w:val="en-US" w:eastAsia="zh-CN"/>
              </w:rPr>
              <w:t>11</w:t>
            </w:r>
            <w:r>
              <w:rPr>
                <w:rFonts w:hint="eastAsia"/>
                <w:sz w:val="24"/>
              </w:rPr>
              <w:t>日取得了淮南市生态环境局</w:t>
            </w:r>
            <w:r>
              <w:rPr>
                <w:rFonts w:hint="eastAsia"/>
                <w:sz w:val="24"/>
                <w:lang w:eastAsia="zh-CN"/>
              </w:rPr>
              <w:t>（</w:t>
            </w:r>
            <w:r>
              <w:rPr>
                <w:rFonts w:hint="eastAsia"/>
                <w:sz w:val="24"/>
                <w:lang w:val="en-US" w:eastAsia="zh-CN"/>
              </w:rPr>
              <w:t>原淮南市环境保护局</w:t>
            </w:r>
            <w:r>
              <w:rPr>
                <w:rFonts w:hint="eastAsia"/>
                <w:sz w:val="24"/>
                <w:lang w:eastAsia="zh-CN"/>
              </w:rPr>
              <w:t>）</w:t>
            </w:r>
            <w:r>
              <w:rPr>
                <w:rFonts w:hint="eastAsia"/>
                <w:sz w:val="24"/>
              </w:rPr>
              <w:t>的批复（淮环</w:t>
            </w:r>
            <w:r>
              <w:rPr>
                <w:rFonts w:hint="eastAsia"/>
                <w:sz w:val="24"/>
                <w:lang w:val="en-US" w:eastAsia="zh-CN"/>
              </w:rPr>
              <w:t>复</w:t>
            </w:r>
            <w:r>
              <w:rPr>
                <w:rFonts w:hint="eastAsia"/>
                <w:sz w:val="24"/>
              </w:rPr>
              <w:t>[201</w:t>
            </w:r>
            <w:r>
              <w:rPr>
                <w:rFonts w:hint="eastAsia"/>
                <w:sz w:val="24"/>
                <w:lang w:val="en-US" w:eastAsia="zh-CN"/>
              </w:rPr>
              <w:t>0</w:t>
            </w:r>
            <w:r>
              <w:rPr>
                <w:rFonts w:hint="eastAsia"/>
                <w:sz w:val="24"/>
              </w:rPr>
              <w:t>]</w:t>
            </w:r>
            <w:r>
              <w:rPr>
                <w:rFonts w:hint="eastAsia"/>
                <w:sz w:val="24"/>
                <w:lang w:val="en-US" w:eastAsia="zh-CN"/>
              </w:rPr>
              <w:t>2</w:t>
            </w:r>
            <w:r>
              <w:rPr>
                <w:rFonts w:hint="eastAsia"/>
                <w:sz w:val="24"/>
              </w:rPr>
              <w:t>号），该项目已于20</w:t>
            </w:r>
            <w:r>
              <w:rPr>
                <w:rFonts w:hint="eastAsia"/>
                <w:sz w:val="24"/>
                <w:lang w:val="en-US" w:eastAsia="zh-CN"/>
              </w:rPr>
              <w:t>19</w:t>
            </w:r>
            <w:r>
              <w:rPr>
                <w:rFonts w:hint="eastAsia"/>
                <w:sz w:val="24"/>
              </w:rPr>
              <w:t>年</w:t>
            </w:r>
            <w:r>
              <w:rPr>
                <w:rFonts w:hint="eastAsia"/>
                <w:sz w:val="24"/>
                <w:lang w:val="en-US" w:eastAsia="zh-CN"/>
              </w:rPr>
              <w:t>1</w:t>
            </w:r>
            <w:r>
              <w:rPr>
                <w:rFonts w:hint="eastAsia"/>
                <w:sz w:val="24"/>
              </w:rPr>
              <w:t>月</w:t>
            </w:r>
            <w:r>
              <w:rPr>
                <w:rFonts w:hint="eastAsia"/>
                <w:sz w:val="24"/>
                <w:lang w:val="en-US" w:eastAsia="zh-CN"/>
              </w:rPr>
              <w:t>26日</w:t>
            </w:r>
            <w:r>
              <w:rPr>
                <w:rFonts w:hint="eastAsia"/>
                <w:sz w:val="24"/>
              </w:rPr>
              <w:t>通过</w:t>
            </w:r>
            <w:r>
              <w:rPr>
                <w:rFonts w:hint="eastAsia"/>
                <w:sz w:val="24"/>
                <w:lang w:eastAsia="zh-CN"/>
              </w:rPr>
              <w:t>了</w:t>
            </w:r>
            <w:r>
              <w:rPr>
                <w:kern w:val="0"/>
                <w:sz w:val="24"/>
              </w:rPr>
              <w:t>环</w:t>
            </w:r>
            <w:r>
              <w:rPr>
                <w:rFonts w:hint="eastAsia" w:ascii="宋体" w:hAnsi="宋体" w:cs="宋体"/>
                <w:kern w:val="0"/>
                <w:sz w:val="24"/>
              </w:rPr>
              <w:t>保“三同时”</w:t>
            </w:r>
            <w:r>
              <w:rPr>
                <w:kern w:val="0"/>
                <w:sz w:val="24"/>
              </w:rPr>
              <w:t>竣工验收</w:t>
            </w:r>
            <w:r>
              <w:rPr>
                <w:rFonts w:hint="eastAsia"/>
                <w:kern w:val="0"/>
                <w:sz w:val="24"/>
                <w:lang w:eastAsia="zh-CN"/>
              </w:rPr>
              <w:t>；</w:t>
            </w:r>
            <w:r>
              <w:rPr>
                <w:rFonts w:hint="eastAsia"/>
                <w:kern w:val="0"/>
                <w:sz w:val="24"/>
                <w:lang w:val="en-US" w:eastAsia="zh-CN"/>
              </w:rPr>
              <w:t>2016年，</w:t>
            </w:r>
            <w:r>
              <w:rPr>
                <w:rFonts w:hint="eastAsia" w:cs="Times New Roman"/>
                <w:color w:val="auto"/>
                <w:kern w:val="2"/>
                <w:sz w:val="24"/>
                <w:szCs w:val="32"/>
                <w:lang w:val="en-US" w:eastAsia="zh-CN"/>
              </w:rPr>
              <w:t>淮南市第五人民医院委托南京赛特环境工程有限公司编制了《淮南市第五人民医院门诊楼工程环境影响评价报告表》</w:t>
            </w:r>
            <w:r>
              <w:rPr>
                <w:rFonts w:hint="eastAsia"/>
                <w:sz w:val="24"/>
                <w:lang w:eastAsia="zh-CN"/>
              </w:rPr>
              <w:t>，并</w:t>
            </w:r>
            <w:r>
              <w:rPr>
                <w:rFonts w:hint="eastAsia"/>
                <w:sz w:val="24"/>
              </w:rPr>
              <w:t>于201</w:t>
            </w:r>
            <w:r>
              <w:rPr>
                <w:rFonts w:hint="eastAsia"/>
                <w:sz w:val="24"/>
                <w:lang w:val="en-US" w:eastAsia="zh-CN"/>
              </w:rPr>
              <w:t>6</w:t>
            </w:r>
            <w:r>
              <w:rPr>
                <w:rFonts w:hint="eastAsia"/>
                <w:sz w:val="24"/>
              </w:rPr>
              <w:t>年</w:t>
            </w:r>
            <w:r>
              <w:rPr>
                <w:rFonts w:hint="eastAsia"/>
                <w:sz w:val="24"/>
                <w:lang w:val="en-US" w:eastAsia="zh-CN"/>
              </w:rPr>
              <w:t>11</w:t>
            </w:r>
            <w:r>
              <w:rPr>
                <w:rFonts w:hint="eastAsia"/>
                <w:sz w:val="24"/>
              </w:rPr>
              <w:t>月</w:t>
            </w:r>
            <w:r>
              <w:rPr>
                <w:rFonts w:hint="eastAsia"/>
                <w:sz w:val="24"/>
                <w:lang w:val="en-US" w:eastAsia="zh-CN"/>
              </w:rPr>
              <w:t>23</w:t>
            </w:r>
            <w:r>
              <w:rPr>
                <w:rFonts w:hint="eastAsia"/>
                <w:sz w:val="24"/>
              </w:rPr>
              <w:t>日取得了淮南市生态环境局</w:t>
            </w:r>
            <w:r>
              <w:rPr>
                <w:rFonts w:hint="eastAsia"/>
                <w:sz w:val="24"/>
                <w:lang w:eastAsia="zh-CN"/>
              </w:rPr>
              <w:t>（</w:t>
            </w:r>
            <w:r>
              <w:rPr>
                <w:rFonts w:hint="eastAsia"/>
                <w:sz w:val="24"/>
                <w:lang w:val="en-US" w:eastAsia="zh-CN"/>
              </w:rPr>
              <w:t>原淮南市环境保护局</w:t>
            </w:r>
            <w:r>
              <w:rPr>
                <w:rFonts w:hint="eastAsia"/>
                <w:sz w:val="24"/>
                <w:lang w:eastAsia="zh-CN"/>
              </w:rPr>
              <w:t>）</w:t>
            </w:r>
            <w:r>
              <w:rPr>
                <w:rFonts w:hint="eastAsia"/>
                <w:sz w:val="24"/>
              </w:rPr>
              <w:t>的批复（淮环</w:t>
            </w:r>
            <w:r>
              <w:rPr>
                <w:rFonts w:hint="eastAsia"/>
                <w:sz w:val="24"/>
                <w:lang w:eastAsia="zh-CN"/>
              </w:rPr>
              <w:t>表批</w:t>
            </w:r>
            <w:r>
              <w:rPr>
                <w:rFonts w:hint="eastAsia"/>
                <w:sz w:val="24"/>
              </w:rPr>
              <w:t>[201</w:t>
            </w:r>
            <w:r>
              <w:rPr>
                <w:rFonts w:hint="eastAsia"/>
                <w:sz w:val="24"/>
                <w:lang w:val="en-US" w:eastAsia="zh-CN"/>
              </w:rPr>
              <w:t>6</w:t>
            </w:r>
            <w:r>
              <w:rPr>
                <w:rFonts w:hint="eastAsia"/>
                <w:sz w:val="24"/>
              </w:rPr>
              <w:t>]</w:t>
            </w:r>
            <w:r>
              <w:rPr>
                <w:rFonts w:hint="eastAsia"/>
                <w:sz w:val="24"/>
                <w:lang w:val="en-US" w:eastAsia="zh-CN"/>
              </w:rPr>
              <w:t>145</w:t>
            </w:r>
            <w:r>
              <w:rPr>
                <w:rFonts w:hint="eastAsia"/>
                <w:sz w:val="24"/>
              </w:rPr>
              <w:t>号），该项目</w:t>
            </w:r>
            <w:r>
              <w:rPr>
                <w:rFonts w:hint="eastAsia"/>
                <w:sz w:val="24"/>
                <w:lang w:eastAsia="zh-CN"/>
              </w:rPr>
              <w:t>已于</w:t>
            </w:r>
            <w:r>
              <w:rPr>
                <w:rFonts w:hint="eastAsia"/>
                <w:sz w:val="24"/>
                <w:lang w:val="en-US" w:eastAsia="zh-CN"/>
              </w:rPr>
              <w:t>2022年12月7日</w:t>
            </w:r>
            <w:r>
              <w:rPr>
                <w:rFonts w:hint="eastAsia"/>
                <w:sz w:val="24"/>
              </w:rPr>
              <w:t>通过</w:t>
            </w:r>
            <w:r>
              <w:rPr>
                <w:rFonts w:hint="eastAsia"/>
                <w:sz w:val="24"/>
                <w:lang w:eastAsia="zh-CN"/>
              </w:rPr>
              <w:t>了</w:t>
            </w:r>
            <w:r>
              <w:rPr>
                <w:kern w:val="0"/>
                <w:sz w:val="24"/>
              </w:rPr>
              <w:t>环</w:t>
            </w:r>
            <w:r>
              <w:rPr>
                <w:rFonts w:hint="eastAsia" w:ascii="宋体" w:hAnsi="宋体" w:cs="宋体"/>
                <w:kern w:val="0"/>
                <w:sz w:val="24"/>
              </w:rPr>
              <w:t>保“三同时”</w:t>
            </w:r>
            <w:r>
              <w:rPr>
                <w:kern w:val="0"/>
                <w:sz w:val="24"/>
              </w:rPr>
              <w:t>竣工验收</w:t>
            </w:r>
            <w:r>
              <w:rPr>
                <w:rFonts w:hint="eastAsia"/>
                <w:sz w:val="24"/>
                <w:lang w:eastAsia="zh-CN"/>
              </w:rPr>
              <w:t>。</w:t>
            </w:r>
            <w:r>
              <w:rPr>
                <w:rFonts w:hint="eastAsia"/>
                <w:sz w:val="24"/>
                <w:lang w:val="en-US" w:eastAsia="zh-CN"/>
              </w:rPr>
              <w:t>建设单位</w:t>
            </w:r>
            <w:r>
              <w:rPr>
                <w:rFonts w:hint="eastAsia"/>
                <w:sz w:val="24"/>
              </w:rPr>
              <w:t>排污许可证编号为</w:t>
            </w:r>
            <w:r>
              <w:rPr>
                <w:rFonts w:hint="eastAsia"/>
                <w:sz w:val="24"/>
                <w:lang w:eastAsia="zh-CN"/>
              </w:rPr>
              <w:t>12340406485385091U001U</w:t>
            </w:r>
            <w:r>
              <w:rPr>
                <w:rFonts w:hint="eastAsia"/>
                <w:kern w:val="0"/>
                <w:sz w:val="24"/>
                <w:szCs w:val="24"/>
              </w:rPr>
              <w:t>。</w:t>
            </w:r>
          </w:p>
          <w:p w14:paraId="7DCCB0F6">
            <w:pPr>
              <w:spacing w:line="360" w:lineRule="auto"/>
              <w:ind w:firstLine="482" w:firstLineChars="200"/>
              <w:rPr>
                <w:b/>
                <w:bCs/>
                <w:sz w:val="24"/>
              </w:rPr>
            </w:pPr>
            <w:r>
              <w:rPr>
                <w:rFonts w:hint="eastAsia"/>
                <w:b/>
                <w:bCs/>
                <w:sz w:val="24"/>
              </w:rPr>
              <w:t>2、现有项目废水污染源</w:t>
            </w:r>
            <w:r>
              <w:rPr>
                <w:b/>
                <w:bCs/>
                <w:sz w:val="24"/>
              </w:rPr>
              <w:t>分析</w:t>
            </w:r>
          </w:p>
          <w:p w14:paraId="590D16D8">
            <w:pPr>
              <w:spacing w:line="360" w:lineRule="auto"/>
              <w:ind w:firstLine="448" w:firstLineChars="187"/>
            </w:pPr>
            <w:r>
              <w:rPr>
                <w:rFonts w:hint="eastAsia"/>
                <w:sz w:val="24"/>
              </w:rPr>
              <w:t>原</w:t>
            </w:r>
            <w:r>
              <w:rPr>
                <w:sz w:val="24"/>
              </w:rPr>
              <w:t>项目采用雨、污分流的排水体制。</w:t>
            </w:r>
            <w:r>
              <w:rPr>
                <w:rFonts w:hint="eastAsia"/>
                <w:sz w:val="24"/>
                <w:lang w:eastAsia="zh-CN"/>
              </w:rPr>
              <w:t>生活污水（食堂废水先经隔油池预处理）先进入化粪池预处理后再引入医院污水处理站处理后排入潘集污水处理厂；医疗废水经医院污水处理站处理后排入潘集污水处理厂</w:t>
            </w:r>
            <w:r>
              <w:rPr>
                <w:rFonts w:hint="eastAsia"/>
                <w:sz w:val="24"/>
              </w:rPr>
              <w:t>。</w:t>
            </w:r>
          </w:p>
          <w:p w14:paraId="55A6D929">
            <w:pPr>
              <w:pStyle w:val="81"/>
              <w:keepNext w:val="0"/>
              <w:keepLines w:val="0"/>
              <w:suppressLineNumbers w:val="0"/>
              <w:spacing w:before="0" w:beforeAutospacing="0" w:after="0" w:afterAutospacing="0"/>
              <w:ind w:left="0" w:leftChars="0" w:right="0" w:firstLine="480" w:firstLineChars="200"/>
              <w:rPr>
                <w:rFonts w:hint="eastAsia" w:cs="Times New Roman"/>
                <w:color w:val="auto"/>
                <w:sz w:val="24"/>
                <w:szCs w:val="24"/>
                <w:lang w:val="en-US" w:eastAsia="zh-CN"/>
              </w:rPr>
            </w:pPr>
            <w:r>
              <w:rPr>
                <w:rFonts w:hint="eastAsia" w:cs="Times New Roman"/>
                <w:color w:val="auto"/>
                <w:sz w:val="24"/>
                <w:szCs w:val="24"/>
                <w:lang w:val="en-US" w:eastAsia="zh-CN"/>
              </w:rPr>
              <w:t>项目废水参照《</w:t>
            </w:r>
            <w:r>
              <w:rPr>
                <w:rFonts w:hint="eastAsia" w:cs="Times New Roman"/>
                <w:color w:val="auto"/>
                <w:kern w:val="2"/>
                <w:sz w:val="24"/>
                <w:szCs w:val="32"/>
                <w:lang w:val="en-US" w:eastAsia="zh-CN"/>
              </w:rPr>
              <w:t>淮南市第五人民医院门诊楼工程竣工</w:t>
            </w:r>
            <w:r>
              <w:rPr>
                <w:rFonts w:hint="eastAsia" w:ascii="宋体" w:hAnsi="宋体" w:cs="宋体"/>
                <w:kern w:val="0"/>
                <w:sz w:val="24"/>
                <w:shd w:val="clear" w:color="auto" w:fill="FFFFFF"/>
              </w:rPr>
              <w:t>环境保护验收监测报告表</w:t>
            </w:r>
            <w:r>
              <w:rPr>
                <w:rFonts w:hint="eastAsia" w:cs="Times New Roman"/>
                <w:color w:val="auto"/>
                <w:sz w:val="24"/>
                <w:szCs w:val="24"/>
                <w:lang w:val="en-US" w:eastAsia="zh-CN"/>
              </w:rPr>
              <w:t>》中的监测数据，废水监测结果如下：</w:t>
            </w:r>
          </w:p>
          <w:p w14:paraId="183F9FBC">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cs="Times New Roman"/>
                <w:b/>
                <w:bCs/>
                <w:color w:val="auto"/>
                <w:sz w:val="24"/>
                <w:szCs w:val="24"/>
                <w:vertAlign w:val="baseline"/>
                <w:lang w:val="en-US" w:eastAsia="zh-CN"/>
              </w:rPr>
            </w:pPr>
            <w:r>
              <w:rPr>
                <w:rFonts w:hint="eastAsia" w:cs="Times New Roman"/>
                <w:b/>
                <w:bCs/>
                <w:color w:val="auto"/>
                <w:sz w:val="24"/>
                <w:szCs w:val="24"/>
                <w:lang w:val="en-US" w:eastAsia="zh-CN"/>
              </w:rPr>
              <w:t>表2-6  废水监测结果统计表</w:t>
            </w:r>
          </w:p>
          <w:tbl>
            <w:tblPr>
              <w:tblStyle w:val="2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7"/>
              <w:gridCol w:w="855"/>
              <w:gridCol w:w="851"/>
              <w:gridCol w:w="908"/>
              <w:gridCol w:w="888"/>
              <w:gridCol w:w="886"/>
              <w:gridCol w:w="865"/>
              <w:gridCol w:w="719"/>
              <w:gridCol w:w="645"/>
              <w:gridCol w:w="634"/>
            </w:tblGrid>
            <w:tr w14:paraId="45FC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3" w:type="pct"/>
                  <w:vAlign w:val="center"/>
                </w:tcPr>
                <w:p w14:paraId="68149C97">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监测点位</w:t>
                  </w:r>
                </w:p>
              </w:tc>
              <w:tc>
                <w:tcPr>
                  <w:tcW w:w="3054" w:type="pct"/>
                  <w:gridSpan w:val="6"/>
                  <w:vAlign w:val="center"/>
                </w:tcPr>
                <w:p w14:paraId="69D3C8E2">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污水处理站出口</w:t>
                  </w:r>
                </w:p>
              </w:tc>
              <w:tc>
                <w:tcPr>
                  <w:tcW w:w="418" w:type="pct"/>
                  <w:vMerge w:val="restart"/>
                  <w:vAlign w:val="center"/>
                </w:tcPr>
                <w:p w14:paraId="3C4A0186">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均值</w:t>
                  </w:r>
                </w:p>
              </w:tc>
              <w:tc>
                <w:tcPr>
                  <w:tcW w:w="375" w:type="pct"/>
                  <w:vMerge w:val="restart"/>
                  <w:vAlign w:val="center"/>
                </w:tcPr>
                <w:p w14:paraId="3DE54843">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标准限值</w:t>
                  </w:r>
                </w:p>
              </w:tc>
              <w:tc>
                <w:tcPr>
                  <w:tcW w:w="368" w:type="pct"/>
                  <w:vMerge w:val="restart"/>
                  <w:vAlign w:val="center"/>
                </w:tcPr>
                <w:p w14:paraId="76FA1383">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达标情况</w:t>
                  </w:r>
                </w:p>
              </w:tc>
            </w:tr>
            <w:tr w14:paraId="63045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3" w:type="pct"/>
                  <w:vAlign w:val="center"/>
                </w:tcPr>
                <w:p w14:paraId="2AE2B54E">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采样日期</w:t>
                  </w:r>
                </w:p>
              </w:tc>
              <w:tc>
                <w:tcPr>
                  <w:tcW w:w="1520" w:type="pct"/>
                  <w:gridSpan w:val="3"/>
                  <w:vAlign w:val="center"/>
                </w:tcPr>
                <w:p w14:paraId="0D6F2EDF">
                  <w:pPr>
                    <w:pStyle w:val="117"/>
                    <w:keepNext w:val="0"/>
                    <w:keepLines w:val="0"/>
                    <w:pageBreakBefore w:val="0"/>
                    <w:widowControl/>
                    <w:kinsoku/>
                    <w:wordWrap/>
                    <w:overflowPunct/>
                    <w:topLinePunct w:val="0"/>
                    <w:autoSpaceDE/>
                    <w:autoSpaceDN/>
                    <w:bidi w:val="0"/>
                    <w:adjustRightInd w:val="0"/>
                    <w:snapToGrid w:val="0"/>
                    <w:textAlignment w:val="auto"/>
                    <w:rPr>
                      <w:rFonts w:hint="default" w:cs="Times New Roman"/>
                      <w:b w:val="0"/>
                      <w:bCs w:val="0"/>
                      <w:color w:val="auto"/>
                      <w:sz w:val="21"/>
                      <w:szCs w:val="21"/>
                      <w:vertAlign w:val="baseline"/>
                      <w:lang w:val="en-US" w:eastAsia="zh-CN"/>
                    </w:rPr>
                  </w:pPr>
                  <w:r>
                    <w:rPr>
                      <w:rFonts w:hint="eastAsia"/>
                      <w:b w:val="0"/>
                      <w:bCs w:val="0"/>
                      <w:color w:val="000000" w:themeColor="text1"/>
                      <w:sz w:val="21"/>
                      <w:szCs w:val="21"/>
                      <w:vertAlign w:val="baseline"/>
                      <w:lang w:val="en-US" w:eastAsia="zh-CN"/>
                      <w14:textFill>
                        <w14:solidFill>
                          <w14:schemeClr w14:val="tx1"/>
                        </w14:solidFill>
                      </w14:textFill>
                    </w:rPr>
                    <w:t>2022年11月12日</w:t>
                  </w:r>
                </w:p>
              </w:tc>
              <w:tc>
                <w:tcPr>
                  <w:tcW w:w="1534" w:type="pct"/>
                  <w:gridSpan w:val="3"/>
                  <w:vAlign w:val="center"/>
                </w:tcPr>
                <w:p w14:paraId="79E9F8A8">
                  <w:pPr>
                    <w:pStyle w:val="117"/>
                    <w:keepNext w:val="0"/>
                    <w:keepLines w:val="0"/>
                    <w:pageBreakBefore w:val="0"/>
                    <w:widowControl/>
                    <w:kinsoku/>
                    <w:wordWrap/>
                    <w:overflowPunct/>
                    <w:topLinePunct w:val="0"/>
                    <w:autoSpaceDE/>
                    <w:autoSpaceDN/>
                    <w:bidi w:val="0"/>
                    <w:adjustRightInd w:val="0"/>
                    <w:snapToGrid w:val="0"/>
                    <w:textAlignment w:val="auto"/>
                    <w:rPr>
                      <w:rFonts w:hint="eastAsia" w:cs="Times New Roman"/>
                      <w:b w:val="0"/>
                      <w:bCs w:val="0"/>
                      <w:color w:val="auto"/>
                      <w:sz w:val="21"/>
                      <w:szCs w:val="21"/>
                      <w:vertAlign w:val="baseline"/>
                      <w:lang w:val="en-US" w:eastAsia="zh-CN"/>
                    </w:rPr>
                  </w:pPr>
                  <w:r>
                    <w:rPr>
                      <w:rFonts w:hint="eastAsia"/>
                      <w:b w:val="0"/>
                      <w:bCs w:val="0"/>
                      <w:color w:val="000000" w:themeColor="text1"/>
                      <w:sz w:val="21"/>
                      <w:szCs w:val="21"/>
                      <w:vertAlign w:val="baseline"/>
                      <w:lang w:val="en-US" w:eastAsia="zh-CN"/>
                      <w14:textFill>
                        <w14:solidFill>
                          <w14:schemeClr w14:val="tx1"/>
                        </w14:solidFill>
                      </w14:textFill>
                    </w:rPr>
                    <w:t>2022年11月13日</w:t>
                  </w:r>
                </w:p>
              </w:tc>
              <w:tc>
                <w:tcPr>
                  <w:tcW w:w="418" w:type="pct"/>
                  <w:vMerge w:val="continue"/>
                  <w:vAlign w:val="center"/>
                </w:tcPr>
                <w:p w14:paraId="2ED76250">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eastAsia" w:cs="Times New Roman"/>
                      <w:b w:val="0"/>
                      <w:bCs w:val="0"/>
                      <w:color w:val="auto"/>
                      <w:sz w:val="21"/>
                      <w:szCs w:val="21"/>
                      <w:vertAlign w:val="baseline"/>
                      <w:lang w:val="en-US" w:eastAsia="zh-CN"/>
                    </w:rPr>
                  </w:pPr>
                </w:p>
              </w:tc>
              <w:tc>
                <w:tcPr>
                  <w:tcW w:w="375" w:type="pct"/>
                  <w:vMerge w:val="continue"/>
                  <w:vAlign w:val="center"/>
                </w:tcPr>
                <w:p w14:paraId="570BA3E8">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eastAsia" w:cs="Times New Roman"/>
                      <w:b w:val="0"/>
                      <w:bCs w:val="0"/>
                      <w:color w:val="auto"/>
                      <w:sz w:val="21"/>
                      <w:szCs w:val="21"/>
                      <w:vertAlign w:val="baseline"/>
                      <w:lang w:val="en-US" w:eastAsia="zh-CN"/>
                    </w:rPr>
                  </w:pPr>
                </w:p>
              </w:tc>
              <w:tc>
                <w:tcPr>
                  <w:tcW w:w="368" w:type="pct"/>
                  <w:vMerge w:val="continue"/>
                  <w:vAlign w:val="center"/>
                </w:tcPr>
                <w:p w14:paraId="0A706F3C">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eastAsia" w:cs="Times New Roman"/>
                      <w:b w:val="0"/>
                      <w:bCs w:val="0"/>
                      <w:color w:val="auto"/>
                      <w:sz w:val="21"/>
                      <w:szCs w:val="21"/>
                      <w:vertAlign w:val="baseline"/>
                      <w:lang w:val="en-US" w:eastAsia="zh-CN"/>
                    </w:rPr>
                  </w:pPr>
                </w:p>
              </w:tc>
            </w:tr>
            <w:tr w14:paraId="698D9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3" w:type="pct"/>
                  <w:vAlign w:val="center"/>
                </w:tcPr>
                <w:p w14:paraId="3D0083CF">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监测频次</w:t>
                  </w:r>
                </w:p>
              </w:tc>
              <w:tc>
                <w:tcPr>
                  <w:tcW w:w="497" w:type="pct"/>
                  <w:vAlign w:val="center"/>
                </w:tcPr>
                <w:p w14:paraId="14A380D9">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第一次</w:t>
                  </w:r>
                </w:p>
              </w:tc>
              <w:tc>
                <w:tcPr>
                  <w:tcW w:w="495" w:type="pct"/>
                  <w:vAlign w:val="center"/>
                </w:tcPr>
                <w:p w14:paraId="5F2167BA">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第二次</w:t>
                  </w:r>
                </w:p>
              </w:tc>
              <w:tc>
                <w:tcPr>
                  <w:tcW w:w="527" w:type="pct"/>
                  <w:vAlign w:val="center"/>
                </w:tcPr>
                <w:p w14:paraId="2B421F62">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第三次</w:t>
                  </w:r>
                </w:p>
              </w:tc>
              <w:tc>
                <w:tcPr>
                  <w:tcW w:w="516" w:type="pct"/>
                  <w:vAlign w:val="center"/>
                </w:tcPr>
                <w:p w14:paraId="42EB264A">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第一次</w:t>
                  </w:r>
                </w:p>
              </w:tc>
              <w:tc>
                <w:tcPr>
                  <w:tcW w:w="515" w:type="pct"/>
                  <w:vAlign w:val="center"/>
                </w:tcPr>
                <w:p w14:paraId="1D03C8B3">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第二次</w:t>
                  </w:r>
                </w:p>
              </w:tc>
              <w:tc>
                <w:tcPr>
                  <w:tcW w:w="503" w:type="pct"/>
                  <w:vAlign w:val="center"/>
                </w:tcPr>
                <w:p w14:paraId="4C7CB854">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第三次</w:t>
                  </w:r>
                </w:p>
              </w:tc>
              <w:tc>
                <w:tcPr>
                  <w:tcW w:w="418" w:type="pct"/>
                  <w:vMerge w:val="continue"/>
                  <w:vAlign w:val="center"/>
                </w:tcPr>
                <w:p w14:paraId="1B063F35">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eastAsia" w:cs="Times New Roman"/>
                      <w:b w:val="0"/>
                      <w:bCs w:val="0"/>
                      <w:color w:val="auto"/>
                      <w:sz w:val="21"/>
                      <w:szCs w:val="21"/>
                      <w:vertAlign w:val="baseline"/>
                      <w:lang w:val="en-US" w:eastAsia="zh-CN"/>
                    </w:rPr>
                  </w:pPr>
                </w:p>
              </w:tc>
              <w:tc>
                <w:tcPr>
                  <w:tcW w:w="375" w:type="pct"/>
                  <w:vMerge w:val="continue"/>
                  <w:vAlign w:val="center"/>
                </w:tcPr>
                <w:p w14:paraId="2F403E38">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eastAsia" w:cs="Times New Roman"/>
                      <w:b w:val="0"/>
                      <w:bCs w:val="0"/>
                      <w:color w:val="auto"/>
                      <w:sz w:val="21"/>
                      <w:szCs w:val="21"/>
                      <w:vertAlign w:val="baseline"/>
                      <w:lang w:val="en-US" w:eastAsia="zh-CN"/>
                    </w:rPr>
                  </w:pPr>
                </w:p>
              </w:tc>
              <w:tc>
                <w:tcPr>
                  <w:tcW w:w="368" w:type="pct"/>
                  <w:vMerge w:val="continue"/>
                  <w:vAlign w:val="center"/>
                </w:tcPr>
                <w:p w14:paraId="36AD03C7">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eastAsia" w:cs="Times New Roman"/>
                      <w:b w:val="0"/>
                      <w:bCs w:val="0"/>
                      <w:color w:val="auto"/>
                      <w:sz w:val="21"/>
                      <w:szCs w:val="21"/>
                      <w:vertAlign w:val="baseline"/>
                      <w:lang w:val="en-US" w:eastAsia="zh-CN"/>
                    </w:rPr>
                  </w:pPr>
                </w:p>
              </w:tc>
            </w:tr>
            <w:tr w14:paraId="1FA06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3" w:type="pct"/>
                  <w:vAlign w:val="center"/>
                </w:tcPr>
                <w:p w14:paraId="3DD0A0C4">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pH（无量纲）</w:t>
                  </w:r>
                </w:p>
              </w:tc>
              <w:tc>
                <w:tcPr>
                  <w:tcW w:w="497" w:type="pct"/>
                  <w:vAlign w:val="center"/>
                </w:tcPr>
                <w:p w14:paraId="364C0A8A">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7.5</w:t>
                  </w:r>
                </w:p>
              </w:tc>
              <w:tc>
                <w:tcPr>
                  <w:tcW w:w="495" w:type="pct"/>
                  <w:vAlign w:val="center"/>
                </w:tcPr>
                <w:p w14:paraId="5091EEFC">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7.5</w:t>
                  </w:r>
                </w:p>
              </w:tc>
              <w:tc>
                <w:tcPr>
                  <w:tcW w:w="527" w:type="pct"/>
                  <w:vAlign w:val="center"/>
                </w:tcPr>
                <w:p w14:paraId="7CB033FF">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7.4</w:t>
                  </w:r>
                </w:p>
              </w:tc>
              <w:tc>
                <w:tcPr>
                  <w:tcW w:w="516" w:type="pct"/>
                  <w:vAlign w:val="center"/>
                </w:tcPr>
                <w:p w14:paraId="24CFFF00">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7.4</w:t>
                  </w:r>
                </w:p>
              </w:tc>
              <w:tc>
                <w:tcPr>
                  <w:tcW w:w="515" w:type="pct"/>
                  <w:vAlign w:val="center"/>
                </w:tcPr>
                <w:p w14:paraId="70B19BD9">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7.5</w:t>
                  </w:r>
                </w:p>
              </w:tc>
              <w:tc>
                <w:tcPr>
                  <w:tcW w:w="503" w:type="pct"/>
                  <w:vAlign w:val="center"/>
                </w:tcPr>
                <w:p w14:paraId="66AEDC0B">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7.5</w:t>
                  </w:r>
                </w:p>
              </w:tc>
              <w:tc>
                <w:tcPr>
                  <w:tcW w:w="418" w:type="pct"/>
                  <w:vAlign w:val="center"/>
                </w:tcPr>
                <w:p w14:paraId="178306EA">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7.5</w:t>
                  </w:r>
                </w:p>
              </w:tc>
              <w:tc>
                <w:tcPr>
                  <w:tcW w:w="375" w:type="pct"/>
                  <w:vAlign w:val="center"/>
                </w:tcPr>
                <w:p w14:paraId="0E22EB39">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6-9</w:t>
                  </w:r>
                </w:p>
              </w:tc>
              <w:tc>
                <w:tcPr>
                  <w:tcW w:w="368" w:type="pct"/>
                  <w:vAlign w:val="center"/>
                </w:tcPr>
                <w:p w14:paraId="6810A263">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达标</w:t>
                  </w:r>
                </w:p>
              </w:tc>
            </w:tr>
            <w:tr w14:paraId="6A4CB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3" w:type="pct"/>
                  <w:vAlign w:val="center"/>
                </w:tcPr>
                <w:p w14:paraId="79071552">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悬浮物（mg/L）</w:t>
                  </w:r>
                </w:p>
              </w:tc>
              <w:tc>
                <w:tcPr>
                  <w:tcW w:w="497" w:type="pct"/>
                  <w:vAlign w:val="center"/>
                </w:tcPr>
                <w:p w14:paraId="26EA2CF4">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12</w:t>
                  </w:r>
                </w:p>
              </w:tc>
              <w:tc>
                <w:tcPr>
                  <w:tcW w:w="495" w:type="pct"/>
                  <w:vAlign w:val="center"/>
                </w:tcPr>
                <w:p w14:paraId="7D705092">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11</w:t>
                  </w:r>
                </w:p>
              </w:tc>
              <w:tc>
                <w:tcPr>
                  <w:tcW w:w="527" w:type="pct"/>
                  <w:vAlign w:val="center"/>
                </w:tcPr>
                <w:p w14:paraId="20408B8D">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14</w:t>
                  </w:r>
                </w:p>
              </w:tc>
              <w:tc>
                <w:tcPr>
                  <w:tcW w:w="516" w:type="pct"/>
                  <w:vAlign w:val="center"/>
                </w:tcPr>
                <w:p w14:paraId="59F875B6">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14</w:t>
                  </w:r>
                </w:p>
              </w:tc>
              <w:tc>
                <w:tcPr>
                  <w:tcW w:w="515" w:type="pct"/>
                  <w:vAlign w:val="center"/>
                </w:tcPr>
                <w:p w14:paraId="6C201600">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15</w:t>
                  </w:r>
                </w:p>
              </w:tc>
              <w:tc>
                <w:tcPr>
                  <w:tcW w:w="503" w:type="pct"/>
                  <w:vAlign w:val="center"/>
                </w:tcPr>
                <w:p w14:paraId="342FD920">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14</w:t>
                  </w:r>
                </w:p>
              </w:tc>
              <w:tc>
                <w:tcPr>
                  <w:tcW w:w="418" w:type="pct"/>
                  <w:vAlign w:val="center"/>
                </w:tcPr>
                <w:p w14:paraId="0FBC768D">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13</w:t>
                  </w:r>
                </w:p>
              </w:tc>
              <w:tc>
                <w:tcPr>
                  <w:tcW w:w="375" w:type="pct"/>
                  <w:vAlign w:val="center"/>
                </w:tcPr>
                <w:p w14:paraId="0184A3B8">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60</w:t>
                  </w:r>
                </w:p>
              </w:tc>
              <w:tc>
                <w:tcPr>
                  <w:tcW w:w="368" w:type="pct"/>
                  <w:vAlign w:val="center"/>
                </w:tcPr>
                <w:p w14:paraId="67748033">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达标</w:t>
                  </w:r>
                </w:p>
              </w:tc>
            </w:tr>
            <w:tr w14:paraId="6289F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3" w:type="pct"/>
                  <w:vAlign w:val="center"/>
                </w:tcPr>
                <w:p w14:paraId="0D71A23D">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化学需氧量（mg/L）</w:t>
                  </w:r>
                </w:p>
              </w:tc>
              <w:tc>
                <w:tcPr>
                  <w:tcW w:w="497" w:type="pct"/>
                  <w:vAlign w:val="center"/>
                </w:tcPr>
                <w:p w14:paraId="1A09AA98">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23</w:t>
                  </w:r>
                </w:p>
              </w:tc>
              <w:tc>
                <w:tcPr>
                  <w:tcW w:w="495" w:type="pct"/>
                  <w:vAlign w:val="center"/>
                </w:tcPr>
                <w:p w14:paraId="0CB2D9DC">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26</w:t>
                  </w:r>
                </w:p>
              </w:tc>
              <w:tc>
                <w:tcPr>
                  <w:tcW w:w="527" w:type="pct"/>
                  <w:vAlign w:val="center"/>
                </w:tcPr>
                <w:p w14:paraId="6054387C">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30</w:t>
                  </w:r>
                </w:p>
              </w:tc>
              <w:tc>
                <w:tcPr>
                  <w:tcW w:w="516" w:type="pct"/>
                  <w:vAlign w:val="center"/>
                </w:tcPr>
                <w:p w14:paraId="567C9B56">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33</w:t>
                  </w:r>
                </w:p>
              </w:tc>
              <w:tc>
                <w:tcPr>
                  <w:tcW w:w="515" w:type="pct"/>
                  <w:vAlign w:val="center"/>
                </w:tcPr>
                <w:p w14:paraId="6975C07A">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35</w:t>
                  </w:r>
                </w:p>
              </w:tc>
              <w:tc>
                <w:tcPr>
                  <w:tcW w:w="503" w:type="pct"/>
                  <w:vAlign w:val="center"/>
                </w:tcPr>
                <w:p w14:paraId="771A3880">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39</w:t>
                  </w:r>
                </w:p>
              </w:tc>
              <w:tc>
                <w:tcPr>
                  <w:tcW w:w="418" w:type="pct"/>
                  <w:vAlign w:val="center"/>
                </w:tcPr>
                <w:p w14:paraId="1AC08442">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31</w:t>
                  </w:r>
                </w:p>
              </w:tc>
              <w:tc>
                <w:tcPr>
                  <w:tcW w:w="375" w:type="pct"/>
                  <w:vAlign w:val="center"/>
                </w:tcPr>
                <w:p w14:paraId="7E7A2928">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250</w:t>
                  </w:r>
                </w:p>
              </w:tc>
              <w:tc>
                <w:tcPr>
                  <w:tcW w:w="368" w:type="pct"/>
                  <w:vAlign w:val="center"/>
                </w:tcPr>
                <w:p w14:paraId="0DE022D6">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达标</w:t>
                  </w:r>
                </w:p>
              </w:tc>
            </w:tr>
            <w:tr w14:paraId="74FC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3" w:type="pct"/>
                  <w:vAlign w:val="center"/>
                </w:tcPr>
                <w:p w14:paraId="552F542E">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五日生化需氧量（mg/L）</w:t>
                  </w:r>
                </w:p>
              </w:tc>
              <w:tc>
                <w:tcPr>
                  <w:tcW w:w="497" w:type="pct"/>
                  <w:vAlign w:val="center"/>
                </w:tcPr>
                <w:p w14:paraId="6406F00B">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16.4</w:t>
                  </w:r>
                </w:p>
              </w:tc>
              <w:tc>
                <w:tcPr>
                  <w:tcW w:w="495" w:type="pct"/>
                  <w:vAlign w:val="center"/>
                </w:tcPr>
                <w:p w14:paraId="3167F165">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16.8</w:t>
                  </w:r>
                </w:p>
              </w:tc>
              <w:tc>
                <w:tcPr>
                  <w:tcW w:w="527" w:type="pct"/>
                  <w:vAlign w:val="center"/>
                </w:tcPr>
                <w:p w14:paraId="6D3098E2">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17.3</w:t>
                  </w:r>
                </w:p>
              </w:tc>
              <w:tc>
                <w:tcPr>
                  <w:tcW w:w="516" w:type="pct"/>
                  <w:vAlign w:val="center"/>
                </w:tcPr>
                <w:p w14:paraId="7D7BAFE4">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22.8</w:t>
                  </w:r>
                </w:p>
              </w:tc>
              <w:tc>
                <w:tcPr>
                  <w:tcW w:w="515" w:type="pct"/>
                  <w:vAlign w:val="center"/>
                </w:tcPr>
                <w:p w14:paraId="72A0DB81">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21.6</w:t>
                  </w:r>
                </w:p>
              </w:tc>
              <w:tc>
                <w:tcPr>
                  <w:tcW w:w="503" w:type="pct"/>
                  <w:vAlign w:val="center"/>
                </w:tcPr>
                <w:p w14:paraId="7DB93D56">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21.8</w:t>
                  </w:r>
                </w:p>
              </w:tc>
              <w:tc>
                <w:tcPr>
                  <w:tcW w:w="418" w:type="pct"/>
                  <w:vAlign w:val="center"/>
                </w:tcPr>
                <w:p w14:paraId="46C1AEF7">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19.5</w:t>
                  </w:r>
                </w:p>
              </w:tc>
              <w:tc>
                <w:tcPr>
                  <w:tcW w:w="375" w:type="pct"/>
                  <w:vAlign w:val="center"/>
                </w:tcPr>
                <w:p w14:paraId="43D0D669">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100</w:t>
                  </w:r>
                </w:p>
              </w:tc>
              <w:tc>
                <w:tcPr>
                  <w:tcW w:w="368" w:type="pct"/>
                  <w:vAlign w:val="center"/>
                </w:tcPr>
                <w:p w14:paraId="70110B07">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达标</w:t>
                  </w:r>
                </w:p>
              </w:tc>
            </w:tr>
            <w:tr w14:paraId="3FEB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3" w:type="pct"/>
                  <w:vAlign w:val="center"/>
                </w:tcPr>
                <w:p w14:paraId="41A4B454">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氨氮（mg/L）</w:t>
                  </w:r>
                </w:p>
              </w:tc>
              <w:tc>
                <w:tcPr>
                  <w:tcW w:w="497" w:type="pct"/>
                  <w:vAlign w:val="center"/>
                </w:tcPr>
                <w:p w14:paraId="38358880">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11.9</w:t>
                  </w:r>
                </w:p>
              </w:tc>
              <w:tc>
                <w:tcPr>
                  <w:tcW w:w="495" w:type="pct"/>
                  <w:vAlign w:val="center"/>
                </w:tcPr>
                <w:p w14:paraId="3E159BD3">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11.7</w:t>
                  </w:r>
                </w:p>
              </w:tc>
              <w:tc>
                <w:tcPr>
                  <w:tcW w:w="527" w:type="pct"/>
                  <w:vAlign w:val="center"/>
                </w:tcPr>
                <w:p w14:paraId="5457F209">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10.9</w:t>
                  </w:r>
                </w:p>
              </w:tc>
              <w:tc>
                <w:tcPr>
                  <w:tcW w:w="516" w:type="pct"/>
                  <w:vAlign w:val="center"/>
                </w:tcPr>
                <w:p w14:paraId="1BFFDE12">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11.6</w:t>
                  </w:r>
                </w:p>
              </w:tc>
              <w:tc>
                <w:tcPr>
                  <w:tcW w:w="515" w:type="pct"/>
                  <w:vAlign w:val="center"/>
                </w:tcPr>
                <w:p w14:paraId="447A259F">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11.2</w:t>
                  </w:r>
                </w:p>
              </w:tc>
              <w:tc>
                <w:tcPr>
                  <w:tcW w:w="503" w:type="pct"/>
                  <w:vAlign w:val="center"/>
                </w:tcPr>
                <w:p w14:paraId="6E06FE08">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11.0</w:t>
                  </w:r>
                </w:p>
              </w:tc>
              <w:tc>
                <w:tcPr>
                  <w:tcW w:w="418" w:type="pct"/>
                  <w:vAlign w:val="center"/>
                </w:tcPr>
                <w:p w14:paraId="44A890EB">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11.4</w:t>
                  </w:r>
                </w:p>
              </w:tc>
              <w:tc>
                <w:tcPr>
                  <w:tcW w:w="375" w:type="pct"/>
                  <w:vAlign w:val="center"/>
                </w:tcPr>
                <w:p w14:paraId="69EE19ED">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45</w:t>
                  </w:r>
                </w:p>
              </w:tc>
              <w:tc>
                <w:tcPr>
                  <w:tcW w:w="368" w:type="pct"/>
                  <w:vAlign w:val="center"/>
                </w:tcPr>
                <w:p w14:paraId="2BB3ED01">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达标</w:t>
                  </w:r>
                </w:p>
              </w:tc>
            </w:tr>
            <w:tr w14:paraId="6E0D3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3" w:type="pct"/>
                  <w:vAlign w:val="center"/>
                </w:tcPr>
                <w:p w14:paraId="66E8C68E">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总余氯（mg/L）</w:t>
                  </w:r>
                </w:p>
              </w:tc>
              <w:tc>
                <w:tcPr>
                  <w:tcW w:w="497" w:type="pct"/>
                  <w:vAlign w:val="center"/>
                </w:tcPr>
                <w:p w14:paraId="7847A878">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0.10</w:t>
                  </w:r>
                </w:p>
              </w:tc>
              <w:tc>
                <w:tcPr>
                  <w:tcW w:w="495" w:type="pct"/>
                  <w:vAlign w:val="center"/>
                </w:tcPr>
                <w:p w14:paraId="13DDF01D">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0.09</w:t>
                  </w:r>
                </w:p>
              </w:tc>
              <w:tc>
                <w:tcPr>
                  <w:tcW w:w="527" w:type="pct"/>
                  <w:vAlign w:val="center"/>
                </w:tcPr>
                <w:p w14:paraId="00B719BD">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0.10</w:t>
                  </w:r>
                </w:p>
              </w:tc>
              <w:tc>
                <w:tcPr>
                  <w:tcW w:w="516" w:type="pct"/>
                  <w:vAlign w:val="center"/>
                </w:tcPr>
                <w:p w14:paraId="2235AC8F">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0.10</w:t>
                  </w:r>
                </w:p>
              </w:tc>
              <w:tc>
                <w:tcPr>
                  <w:tcW w:w="515" w:type="pct"/>
                  <w:vAlign w:val="center"/>
                </w:tcPr>
                <w:p w14:paraId="0C33515C">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0.09</w:t>
                  </w:r>
                </w:p>
              </w:tc>
              <w:tc>
                <w:tcPr>
                  <w:tcW w:w="503" w:type="pct"/>
                  <w:vAlign w:val="center"/>
                </w:tcPr>
                <w:p w14:paraId="72D4925B">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0.10</w:t>
                  </w:r>
                </w:p>
              </w:tc>
              <w:tc>
                <w:tcPr>
                  <w:tcW w:w="418" w:type="pct"/>
                  <w:vAlign w:val="center"/>
                </w:tcPr>
                <w:p w14:paraId="31EC6B01">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0.10</w:t>
                  </w:r>
                </w:p>
              </w:tc>
              <w:tc>
                <w:tcPr>
                  <w:tcW w:w="375" w:type="pct"/>
                  <w:vAlign w:val="center"/>
                </w:tcPr>
                <w:p w14:paraId="78663377">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2-8</w:t>
                  </w:r>
                </w:p>
              </w:tc>
              <w:tc>
                <w:tcPr>
                  <w:tcW w:w="368" w:type="pct"/>
                  <w:vAlign w:val="center"/>
                </w:tcPr>
                <w:p w14:paraId="192D8096">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达标</w:t>
                  </w:r>
                </w:p>
              </w:tc>
            </w:tr>
            <w:tr w14:paraId="0A59B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3" w:type="pct"/>
                  <w:vAlign w:val="center"/>
                </w:tcPr>
                <w:p w14:paraId="2B4C8723">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动植物油（mg/L）</w:t>
                  </w:r>
                </w:p>
              </w:tc>
              <w:tc>
                <w:tcPr>
                  <w:tcW w:w="497" w:type="pct"/>
                  <w:vAlign w:val="center"/>
                </w:tcPr>
                <w:p w14:paraId="7A7B3191">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1.24</w:t>
                  </w:r>
                </w:p>
              </w:tc>
              <w:tc>
                <w:tcPr>
                  <w:tcW w:w="495" w:type="pct"/>
                  <w:vAlign w:val="center"/>
                </w:tcPr>
                <w:p w14:paraId="55282E57">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2.14</w:t>
                  </w:r>
                </w:p>
              </w:tc>
              <w:tc>
                <w:tcPr>
                  <w:tcW w:w="527" w:type="pct"/>
                  <w:vAlign w:val="center"/>
                </w:tcPr>
                <w:p w14:paraId="6D058778">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1.83</w:t>
                  </w:r>
                </w:p>
              </w:tc>
              <w:tc>
                <w:tcPr>
                  <w:tcW w:w="516" w:type="pct"/>
                  <w:vAlign w:val="center"/>
                </w:tcPr>
                <w:p w14:paraId="24ABAE6A">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1.65</w:t>
                  </w:r>
                </w:p>
              </w:tc>
              <w:tc>
                <w:tcPr>
                  <w:tcW w:w="515" w:type="pct"/>
                  <w:vAlign w:val="center"/>
                </w:tcPr>
                <w:p w14:paraId="7A3BF354">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1.76</w:t>
                  </w:r>
                </w:p>
              </w:tc>
              <w:tc>
                <w:tcPr>
                  <w:tcW w:w="503" w:type="pct"/>
                  <w:vAlign w:val="center"/>
                </w:tcPr>
                <w:p w14:paraId="7B1E537A">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1.39</w:t>
                  </w:r>
                </w:p>
              </w:tc>
              <w:tc>
                <w:tcPr>
                  <w:tcW w:w="418" w:type="pct"/>
                  <w:vAlign w:val="center"/>
                </w:tcPr>
                <w:p w14:paraId="4151DA05">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1.67</w:t>
                  </w:r>
                </w:p>
              </w:tc>
              <w:tc>
                <w:tcPr>
                  <w:tcW w:w="375" w:type="pct"/>
                  <w:vAlign w:val="center"/>
                </w:tcPr>
                <w:p w14:paraId="7B7987B6">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20</w:t>
                  </w:r>
                </w:p>
              </w:tc>
              <w:tc>
                <w:tcPr>
                  <w:tcW w:w="368" w:type="pct"/>
                  <w:vAlign w:val="center"/>
                </w:tcPr>
                <w:p w14:paraId="466C8971">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达标</w:t>
                  </w:r>
                </w:p>
              </w:tc>
            </w:tr>
            <w:tr w14:paraId="4C2A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3" w:type="pct"/>
                  <w:vAlign w:val="center"/>
                </w:tcPr>
                <w:p w14:paraId="0F1504EA">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粪大肠菌群（MPN/L）</w:t>
                  </w:r>
                </w:p>
              </w:tc>
              <w:tc>
                <w:tcPr>
                  <w:tcW w:w="497" w:type="pct"/>
                  <w:vAlign w:val="center"/>
                </w:tcPr>
                <w:p w14:paraId="64EBD362">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3400</w:t>
                  </w:r>
                </w:p>
              </w:tc>
              <w:tc>
                <w:tcPr>
                  <w:tcW w:w="495" w:type="pct"/>
                  <w:vAlign w:val="center"/>
                </w:tcPr>
                <w:p w14:paraId="32CA8C36">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2700</w:t>
                  </w:r>
                </w:p>
              </w:tc>
              <w:tc>
                <w:tcPr>
                  <w:tcW w:w="527" w:type="pct"/>
                  <w:vAlign w:val="center"/>
                </w:tcPr>
                <w:p w14:paraId="17FA32BA">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3900</w:t>
                  </w:r>
                </w:p>
              </w:tc>
              <w:tc>
                <w:tcPr>
                  <w:tcW w:w="516" w:type="pct"/>
                  <w:vAlign w:val="center"/>
                </w:tcPr>
                <w:p w14:paraId="04754638">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3300</w:t>
                  </w:r>
                </w:p>
              </w:tc>
              <w:tc>
                <w:tcPr>
                  <w:tcW w:w="515" w:type="pct"/>
                  <w:vAlign w:val="center"/>
                </w:tcPr>
                <w:p w14:paraId="0437D57B">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3900</w:t>
                  </w:r>
                </w:p>
              </w:tc>
              <w:tc>
                <w:tcPr>
                  <w:tcW w:w="503" w:type="pct"/>
                  <w:vAlign w:val="center"/>
                </w:tcPr>
                <w:p w14:paraId="7154AF9F">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3300</w:t>
                  </w:r>
                </w:p>
              </w:tc>
              <w:tc>
                <w:tcPr>
                  <w:tcW w:w="418" w:type="pct"/>
                  <w:vAlign w:val="center"/>
                </w:tcPr>
                <w:p w14:paraId="06B36CE3">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3416</w:t>
                  </w:r>
                </w:p>
              </w:tc>
              <w:tc>
                <w:tcPr>
                  <w:tcW w:w="375" w:type="pct"/>
                  <w:vAlign w:val="center"/>
                </w:tcPr>
                <w:p w14:paraId="2E9FEA50">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5000</w:t>
                  </w:r>
                </w:p>
              </w:tc>
              <w:tc>
                <w:tcPr>
                  <w:tcW w:w="368" w:type="pct"/>
                  <w:vAlign w:val="center"/>
                </w:tcPr>
                <w:p w14:paraId="2A82B4DF">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达标</w:t>
                  </w:r>
                </w:p>
              </w:tc>
            </w:tr>
          </w:tbl>
          <w:p w14:paraId="6DC204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lang w:eastAsia="zh-CN"/>
              </w:rPr>
            </w:pPr>
            <w:r>
              <w:rPr>
                <w:rFonts w:hint="eastAsia" w:cs="Times New Roman"/>
                <w:color w:val="auto"/>
                <w:sz w:val="24"/>
                <w:szCs w:val="24"/>
                <w:lang w:val="en-US" w:eastAsia="zh-CN"/>
              </w:rPr>
              <w:t>根据上表可知</w:t>
            </w:r>
            <w:r>
              <w:rPr>
                <w:rFonts w:hint="default" w:ascii="Times New Roman" w:hAnsi="Times New Roman" w:cs="Times New Roman"/>
                <w:color w:val="auto"/>
                <w:sz w:val="24"/>
                <w:szCs w:val="24"/>
                <w:lang w:val="en-US" w:eastAsia="zh-CN"/>
              </w:rPr>
              <w:t>，本项目废水排放满足</w:t>
            </w:r>
            <w:r>
              <w:rPr>
                <w:rFonts w:hint="default" w:ascii="Times New Roman" w:hAnsi="Times New Roman" w:cs="Times New Roman"/>
                <w:color w:val="auto"/>
                <w:sz w:val="24"/>
                <w:szCs w:val="24"/>
                <w:highlight w:val="none"/>
              </w:rPr>
              <w:t>《医疗机构水污染物排放标准》（GB18466</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2005）表</w:t>
            </w:r>
            <w:r>
              <w:rPr>
                <w:rFonts w:hint="eastAsia"/>
                <w:color w:val="auto"/>
                <w:sz w:val="24"/>
                <w:szCs w:val="24"/>
                <w:highlight w:val="none"/>
              </w:rPr>
              <w:t>2中预处理标准</w:t>
            </w:r>
            <w:r>
              <w:rPr>
                <w:rFonts w:hint="eastAsia" w:ascii="Times New Roman" w:hAnsi="Times New Roman" w:eastAsia="宋体" w:cs="Times New Roman"/>
                <w:color w:val="auto"/>
                <w:sz w:val="24"/>
                <w:szCs w:val="24"/>
                <w:lang w:eastAsia="zh-CN"/>
              </w:rPr>
              <w:t>。</w:t>
            </w:r>
          </w:p>
          <w:p w14:paraId="00D7B4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sz w:val="24"/>
                <w:lang w:eastAsia="zh-CN"/>
              </w:rPr>
            </w:pPr>
            <w:r>
              <w:rPr>
                <w:rFonts w:hint="eastAsia" w:cs="Times New Roman"/>
                <w:color w:val="auto"/>
                <w:sz w:val="24"/>
                <w:szCs w:val="24"/>
                <w:lang w:val="en-US" w:eastAsia="zh-CN"/>
              </w:rPr>
              <w:t>现有项目水平衡如下：</w:t>
            </w:r>
          </w:p>
          <w:p w14:paraId="134DF5F3">
            <w:pPr>
              <w:pStyle w:val="20"/>
              <w:widowControl w:val="0"/>
              <w:spacing w:line="360" w:lineRule="auto"/>
              <w:ind w:left="0"/>
              <w:jc w:val="center"/>
              <w:rPr>
                <w:rFonts w:hint="eastAsia" w:eastAsia="宋体"/>
                <w:bCs/>
                <w:szCs w:val="21"/>
                <w:lang w:eastAsia="zh-CN"/>
              </w:rPr>
            </w:pPr>
            <w:r>
              <w:rPr>
                <w:rFonts w:hint="eastAsia" w:eastAsia="宋体"/>
                <w:bCs/>
                <w:szCs w:val="21"/>
                <w:lang w:eastAsia="zh-CN"/>
              </w:rPr>
              <w:drawing>
                <wp:inline distT="0" distB="0" distL="114300" distR="114300">
                  <wp:extent cx="5349875" cy="3657600"/>
                  <wp:effectExtent l="0" t="0" r="3175" b="0"/>
                  <wp:docPr id="2" name="图片 2" descr="微信图片_20260710162248_82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60710162248_82_29"/>
                          <pic:cNvPicPr>
                            <a:picLocks noChangeAspect="1"/>
                          </pic:cNvPicPr>
                        </pic:nvPicPr>
                        <pic:blipFill>
                          <a:blip r:embed="rId10"/>
                          <a:stretch>
                            <a:fillRect/>
                          </a:stretch>
                        </pic:blipFill>
                        <pic:spPr>
                          <a:xfrm>
                            <a:off x="0" y="0"/>
                            <a:ext cx="5349875" cy="3657600"/>
                          </a:xfrm>
                          <a:prstGeom prst="rect">
                            <a:avLst/>
                          </a:prstGeom>
                        </pic:spPr>
                      </pic:pic>
                    </a:graphicData>
                  </a:graphic>
                </wp:inline>
              </w:drawing>
            </w:r>
          </w:p>
          <w:p w14:paraId="16A5FDA6">
            <w:pPr>
              <w:pStyle w:val="20"/>
              <w:widowControl w:val="0"/>
              <w:spacing w:line="360" w:lineRule="auto"/>
              <w:ind w:left="0"/>
              <w:jc w:val="center"/>
              <w:rPr>
                <w:b/>
                <w:bCs/>
                <w:sz w:val="24"/>
              </w:rPr>
            </w:pPr>
            <w:r>
              <w:rPr>
                <w:rFonts w:hint="eastAsia"/>
                <w:b/>
                <w:bCs/>
                <w:kern w:val="0"/>
                <w:sz w:val="24"/>
                <w:szCs w:val="24"/>
              </w:rPr>
              <w:t>图2-</w:t>
            </w:r>
            <w:r>
              <w:rPr>
                <w:rFonts w:hint="eastAsia"/>
                <w:b/>
                <w:bCs/>
                <w:kern w:val="0"/>
                <w:sz w:val="24"/>
                <w:szCs w:val="24"/>
                <w:lang w:val="en-US" w:eastAsia="zh-CN"/>
              </w:rPr>
              <w:t>5</w:t>
            </w:r>
            <w:r>
              <w:rPr>
                <w:rFonts w:hint="eastAsia"/>
                <w:b/>
                <w:bCs/>
                <w:kern w:val="0"/>
                <w:sz w:val="24"/>
                <w:szCs w:val="24"/>
              </w:rPr>
              <w:t xml:space="preserve">  现有项目水平衡图（单位：t/</w:t>
            </w:r>
            <w:r>
              <w:rPr>
                <w:rFonts w:hint="eastAsia"/>
                <w:b/>
                <w:bCs/>
                <w:kern w:val="0"/>
                <w:sz w:val="24"/>
                <w:szCs w:val="24"/>
                <w:lang w:val="en-US" w:eastAsia="zh-CN"/>
              </w:rPr>
              <w:t>d</w:t>
            </w:r>
            <w:r>
              <w:rPr>
                <w:rFonts w:hint="eastAsia"/>
                <w:b/>
                <w:bCs/>
                <w:kern w:val="0"/>
                <w:sz w:val="24"/>
                <w:szCs w:val="24"/>
              </w:rPr>
              <w:t>）</w:t>
            </w:r>
          </w:p>
          <w:p w14:paraId="47839FD9">
            <w:pPr>
              <w:spacing w:line="360" w:lineRule="auto"/>
              <w:ind w:firstLine="482" w:firstLineChars="200"/>
              <w:rPr>
                <w:b/>
                <w:bCs/>
                <w:sz w:val="24"/>
              </w:rPr>
            </w:pPr>
            <w:r>
              <w:rPr>
                <w:b/>
                <w:bCs/>
                <w:sz w:val="24"/>
              </w:rPr>
              <w:t>3、</w:t>
            </w:r>
            <w:r>
              <w:rPr>
                <w:rFonts w:hint="eastAsia"/>
                <w:b/>
                <w:bCs/>
                <w:sz w:val="24"/>
              </w:rPr>
              <w:t>现有项目废气污染源</w:t>
            </w:r>
            <w:r>
              <w:rPr>
                <w:b/>
                <w:bCs/>
                <w:sz w:val="24"/>
              </w:rPr>
              <w:t>分析</w:t>
            </w:r>
          </w:p>
          <w:p w14:paraId="02283D1C">
            <w:pPr>
              <w:pStyle w:val="20"/>
              <w:widowControl w:val="0"/>
              <w:spacing w:line="360" w:lineRule="auto"/>
              <w:ind w:left="0" w:firstLine="480" w:firstLineChars="200"/>
              <w:rPr>
                <w:rFonts w:hint="eastAsia" w:ascii="Times New Roman" w:hAnsi="Times New Roman" w:eastAsia="宋体" w:cs="Times New Roman"/>
                <w:color w:val="auto"/>
                <w:kern w:val="2"/>
                <w:sz w:val="24"/>
                <w:szCs w:val="32"/>
                <w:lang w:val="en-US" w:eastAsia="zh-CN" w:bidi="ar-SA"/>
              </w:rPr>
            </w:pPr>
            <w:r>
              <w:rPr>
                <w:rFonts w:hint="eastAsia" w:ascii="Times New Roman" w:hAnsi="Times New Roman" w:eastAsia="宋体" w:cs="Times New Roman"/>
                <w:color w:val="auto"/>
                <w:kern w:val="2"/>
                <w:sz w:val="24"/>
                <w:szCs w:val="32"/>
                <w:lang w:val="en-US" w:eastAsia="zh-CN" w:bidi="ar-SA"/>
              </w:rPr>
              <w:t>食堂油烟废气配套油烟净化处理后由排气管道排放；污水处理站产生的恶臭气体经收集后通过一套UV光氧装置处理后由一根排气筒排放；通过地埋式污水处理站密闭掩盖、加强绿化。</w:t>
            </w:r>
          </w:p>
          <w:p w14:paraId="21EB5746">
            <w:pPr>
              <w:spacing w:line="360" w:lineRule="auto"/>
              <w:ind w:firstLine="482"/>
              <w:rPr>
                <w:sz w:val="24"/>
              </w:rPr>
            </w:pPr>
            <w:r>
              <w:rPr>
                <w:sz w:val="24"/>
              </w:rPr>
              <w:t>本环评根据《</w:t>
            </w:r>
            <w:r>
              <w:rPr>
                <w:rFonts w:hint="eastAsia" w:cs="Times New Roman"/>
                <w:color w:val="auto"/>
                <w:kern w:val="2"/>
                <w:sz w:val="24"/>
                <w:szCs w:val="32"/>
                <w:lang w:val="en-US" w:eastAsia="zh-CN"/>
              </w:rPr>
              <w:t>淮南市第五人民医院门诊楼工程竣工</w:t>
            </w:r>
            <w:r>
              <w:rPr>
                <w:rFonts w:hint="eastAsia" w:ascii="宋体" w:hAnsi="宋体" w:cs="宋体"/>
                <w:kern w:val="0"/>
                <w:sz w:val="24"/>
                <w:shd w:val="clear" w:color="auto" w:fill="FFFFFF"/>
              </w:rPr>
              <w:t>环境保护验收监测报告表</w:t>
            </w:r>
            <w:r>
              <w:rPr>
                <w:sz w:val="24"/>
              </w:rPr>
              <w:t>》</w:t>
            </w:r>
            <w:r>
              <w:rPr>
                <w:rFonts w:hint="eastAsia"/>
                <w:sz w:val="24"/>
              </w:rPr>
              <w:t>的监测数据，建设单位废气</w:t>
            </w:r>
            <w:r>
              <w:rPr>
                <w:sz w:val="24"/>
              </w:rPr>
              <w:t>监测结果</w:t>
            </w:r>
            <w:r>
              <w:rPr>
                <w:rFonts w:hint="eastAsia"/>
                <w:sz w:val="24"/>
              </w:rPr>
              <w:t>如下：</w:t>
            </w:r>
          </w:p>
          <w:p w14:paraId="7F8C0FC5">
            <w:pPr>
              <w:pStyle w:val="117"/>
              <w:widowControl/>
              <w:rPr>
                <w:color w:val="000000" w:themeColor="text1"/>
                <w:sz w:val="24"/>
                <w:szCs w:val="24"/>
                <w:vertAlign w:val="baseline"/>
                <w14:textFill>
                  <w14:solidFill>
                    <w14:schemeClr w14:val="tx1"/>
                  </w14:solidFill>
                </w14:textFill>
              </w:rPr>
            </w:pPr>
            <w:r>
              <w:rPr>
                <w:color w:val="000000" w:themeColor="text1"/>
                <w:sz w:val="24"/>
                <w:szCs w:val="24"/>
                <w14:textFill>
                  <w14:solidFill>
                    <w14:schemeClr w14:val="tx1"/>
                  </w14:solidFill>
                </w14:textFill>
              </w:rPr>
              <w:t>表</w:t>
            </w:r>
            <w:r>
              <w:rPr>
                <w:rFonts w:hint="eastAsia"/>
                <w:color w:val="000000" w:themeColor="text1"/>
                <w:sz w:val="24"/>
                <w:szCs w:val="24"/>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7</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 xml:space="preserve"> </w:t>
            </w:r>
            <w:r>
              <w:rPr>
                <w:color w:val="000000" w:themeColor="text1"/>
                <w:sz w:val="24"/>
                <w:szCs w:val="24"/>
                <w14:textFill>
                  <w14:solidFill>
                    <w14:schemeClr w14:val="tx1"/>
                  </w14:solidFill>
                </w14:textFill>
              </w:rPr>
              <w:t>无组织废气检测结果</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4"/>
              <w:gridCol w:w="1143"/>
              <w:gridCol w:w="1357"/>
              <w:gridCol w:w="1738"/>
              <w:gridCol w:w="1479"/>
              <w:gridCol w:w="1740"/>
            </w:tblGrid>
            <w:tr w14:paraId="4FDA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6" w:type="dxa"/>
                  <w:vAlign w:val="center"/>
                </w:tcPr>
                <w:p w14:paraId="5C3E83A5">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采样日期</w:t>
                  </w:r>
                </w:p>
              </w:tc>
              <w:tc>
                <w:tcPr>
                  <w:tcW w:w="4170" w:type="dxa"/>
                  <w:gridSpan w:val="3"/>
                  <w:vAlign w:val="center"/>
                </w:tcPr>
                <w:p w14:paraId="0DE8A3C2">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2022年11月12日</w:t>
                  </w:r>
                </w:p>
              </w:tc>
              <w:tc>
                <w:tcPr>
                  <w:tcW w:w="3167" w:type="dxa"/>
                  <w:gridSpan w:val="2"/>
                  <w:vAlign w:val="center"/>
                </w:tcPr>
                <w:p w14:paraId="6564FE1D">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2022年11月13日</w:t>
                  </w:r>
                </w:p>
              </w:tc>
            </w:tr>
            <w:tr w14:paraId="1DAD6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6" w:type="dxa"/>
                  <w:vMerge w:val="restart"/>
                  <w:vAlign w:val="center"/>
                </w:tcPr>
                <w:p w14:paraId="42429437">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检测点位</w:t>
                  </w:r>
                </w:p>
              </w:tc>
              <w:tc>
                <w:tcPr>
                  <w:tcW w:w="1125" w:type="dxa"/>
                  <w:vMerge w:val="restart"/>
                  <w:vAlign w:val="center"/>
                </w:tcPr>
                <w:p w14:paraId="6C3EB984">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检测频次</w:t>
                  </w:r>
                </w:p>
              </w:tc>
              <w:tc>
                <w:tcPr>
                  <w:tcW w:w="3045" w:type="dxa"/>
                  <w:gridSpan w:val="2"/>
                  <w:vAlign w:val="center"/>
                </w:tcPr>
                <w:p w14:paraId="3BD9120D">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检测项目</w:t>
                  </w:r>
                </w:p>
              </w:tc>
              <w:tc>
                <w:tcPr>
                  <w:tcW w:w="3167" w:type="dxa"/>
                  <w:gridSpan w:val="2"/>
                  <w:vAlign w:val="center"/>
                </w:tcPr>
                <w:p w14:paraId="50256FDB">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检测项目</w:t>
                  </w:r>
                </w:p>
              </w:tc>
            </w:tr>
            <w:tr w14:paraId="1E254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6" w:type="dxa"/>
                  <w:vMerge w:val="continue"/>
                  <w:vAlign w:val="center"/>
                </w:tcPr>
                <w:p w14:paraId="3CC8914C">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p>
              </w:tc>
              <w:tc>
                <w:tcPr>
                  <w:tcW w:w="1125" w:type="dxa"/>
                  <w:vMerge w:val="continue"/>
                  <w:vAlign w:val="center"/>
                </w:tcPr>
                <w:p w14:paraId="2FBD0F99">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p>
              </w:tc>
              <w:tc>
                <w:tcPr>
                  <w:tcW w:w="1335" w:type="dxa"/>
                  <w:vAlign w:val="center"/>
                </w:tcPr>
                <w:p w14:paraId="21462F37">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氨（</w:t>
                  </w:r>
                  <w:r>
                    <w:rPr>
                      <w:rFonts w:hint="eastAsia"/>
                      <w:b w:val="0"/>
                      <w:bCs w:val="0"/>
                      <w:color w:val="000000" w:themeColor="text1"/>
                      <w:sz w:val="21"/>
                      <w:szCs w:val="21"/>
                      <w:vertAlign w:val="baseline"/>
                      <w:lang w:val="en-US" w:eastAsia="zh-CN"/>
                      <w14:textFill>
                        <w14:solidFill>
                          <w14:schemeClr w14:val="tx1"/>
                        </w14:solidFill>
                      </w14:textFill>
                    </w:rPr>
                    <w:t>mg/m</w:t>
                  </w:r>
                  <w:r>
                    <w:rPr>
                      <w:rFonts w:hint="eastAsia"/>
                      <w:b w:val="0"/>
                      <w:bCs w:val="0"/>
                      <w:color w:val="000000" w:themeColor="text1"/>
                      <w:sz w:val="21"/>
                      <w:szCs w:val="21"/>
                      <w:vertAlign w:val="superscript"/>
                      <w:lang w:val="en-US" w:eastAsia="zh-CN"/>
                      <w14:textFill>
                        <w14:solidFill>
                          <w14:schemeClr w14:val="tx1"/>
                        </w14:solidFill>
                      </w14:textFill>
                    </w:rPr>
                    <w:t>3</w:t>
                  </w:r>
                  <w:r>
                    <w:rPr>
                      <w:rFonts w:hint="eastAsia"/>
                      <w:b w:val="0"/>
                      <w:bCs w:val="0"/>
                      <w:color w:val="000000" w:themeColor="text1"/>
                      <w:sz w:val="21"/>
                      <w:szCs w:val="21"/>
                      <w:vertAlign w:val="baseline"/>
                      <w:lang w:eastAsia="zh-CN"/>
                      <w14:textFill>
                        <w14:solidFill>
                          <w14:schemeClr w14:val="tx1"/>
                        </w14:solidFill>
                      </w14:textFill>
                    </w:rPr>
                    <w:t>）</w:t>
                  </w:r>
                </w:p>
              </w:tc>
              <w:tc>
                <w:tcPr>
                  <w:tcW w:w="1710" w:type="dxa"/>
                  <w:vAlign w:val="center"/>
                </w:tcPr>
                <w:p w14:paraId="04A00C25">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硫化氢（</w:t>
                  </w:r>
                  <w:r>
                    <w:rPr>
                      <w:rFonts w:hint="eastAsia"/>
                      <w:b w:val="0"/>
                      <w:bCs w:val="0"/>
                      <w:color w:val="000000" w:themeColor="text1"/>
                      <w:sz w:val="21"/>
                      <w:szCs w:val="21"/>
                      <w:vertAlign w:val="baseline"/>
                      <w:lang w:val="en-US" w:eastAsia="zh-CN"/>
                      <w14:textFill>
                        <w14:solidFill>
                          <w14:schemeClr w14:val="tx1"/>
                        </w14:solidFill>
                      </w14:textFill>
                    </w:rPr>
                    <w:t>mg/m</w:t>
                  </w:r>
                  <w:r>
                    <w:rPr>
                      <w:rFonts w:hint="eastAsia"/>
                      <w:b w:val="0"/>
                      <w:bCs w:val="0"/>
                      <w:color w:val="000000" w:themeColor="text1"/>
                      <w:sz w:val="21"/>
                      <w:szCs w:val="21"/>
                      <w:vertAlign w:val="superscript"/>
                      <w:lang w:val="en-US" w:eastAsia="zh-CN"/>
                      <w14:textFill>
                        <w14:solidFill>
                          <w14:schemeClr w14:val="tx1"/>
                        </w14:solidFill>
                      </w14:textFill>
                    </w:rPr>
                    <w:t>3</w:t>
                  </w:r>
                  <w:r>
                    <w:rPr>
                      <w:rFonts w:hint="eastAsia"/>
                      <w:b w:val="0"/>
                      <w:bCs w:val="0"/>
                      <w:color w:val="000000" w:themeColor="text1"/>
                      <w:sz w:val="21"/>
                      <w:szCs w:val="21"/>
                      <w:vertAlign w:val="baseline"/>
                      <w:lang w:eastAsia="zh-CN"/>
                      <w14:textFill>
                        <w14:solidFill>
                          <w14:schemeClr w14:val="tx1"/>
                        </w14:solidFill>
                      </w14:textFill>
                    </w:rPr>
                    <w:t>）</w:t>
                  </w:r>
                </w:p>
              </w:tc>
              <w:tc>
                <w:tcPr>
                  <w:tcW w:w="1455" w:type="dxa"/>
                  <w:vAlign w:val="center"/>
                </w:tcPr>
                <w:p w14:paraId="222D2817">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氨（</w:t>
                  </w:r>
                  <w:r>
                    <w:rPr>
                      <w:rFonts w:hint="eastAsia"/>
                      <w:b w:val="0"/>
                      <w:bCs w:val="0"/>
                      <w:color w:val="000000" w:themeColor="text1"/>
                      <w:sz w:val="21"/>
                      <w:szCs w:val="21"/>
                      <w:vertAlign w:val="baseline"/>
                      <w:lang w:val="en-US" w:eastAsia="zh-CN"/>
                      <w14:textFill>
                        <w14:solidFill>
                          <w14:schemeClr w14:val="tx1"/>
                        </w14:solidFill>
                      </w14:textFill>
                    </w:rPr>
                    <w:t>mg/m</w:t>
                  </w:r>
                  <w:r>
                    <w:rPr>
                      <w:rFonts w:hint="eastAsia"/>
                      <w:b w:val="0"/>
                      <w:bCs w:val="0"/>
                      <w:color w:val="000000" w:themeColor="text1"/>
                      <w:sz w:val="21"/>
                      <w:szCs w:val="21"/>
                      <w:vertAlign w:val="superscript"/>
                      <w:lang w:val="en-US" w:eastAsia="zh-CN"/>
                      <w14:textFill>
                        <w14:solidFill>
                          <w14:schemeClr w14:val="tx1"/>
                        </w14:solidFill>
                      </w14:textFill>
                    </w:rPr>
                    <w:t>3</w:t>
                  </w:r>
                  <w:r>
                    <w:rPr>
                      <w:rFonts w:hint="eastAsia"/>
                      <w:b w:val="0"/>
                      <w:bCs w:val="0"/>
                      <w:color w:val="000000" w:themeColor="text1"/>
                      <w:sz w:val="21"/>
                      <w:szCs w:val="21"/>
                      <w:vertAlign w:val="baseline"/>
                      <w:lang w:eastAsia="zh-CN"/>
                      <w14:textFill>
                        <w14:solidFill>
                          <w14:schemeClr w14:val="tx1"/>
                        </w14:solidFill>
                      </w14:textFill>
                    </w:rPr>
                    <w:t>）</w:t>
                  </w:r>
                </w:p>
              </w:tc>
              <w:tc>
                <w:tcPr>
                  <w:tcW w:w="1712" w:type="dxa"/>
                  <w:vAlign w:val="center"/>
                </w:tcPr>
                <w:p w14:paraId="0089BCDB">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硫化氢（</w:t>
                  </w:r>
                  <w:r>
                    <w:rPr>
                      <w:rFonts w:hint="eastAsia"/>
                      <w:b w:val="0"/>
                      <w:bCs w:val="0"/>
                      <w:color w:val="000000" w:themeColor="text1"/>
                      <w:sz w:val="21"/>
                      <w:szCs w:val="21"/>
                      <w:vertAlign w:val="baseline"/>
                      <w:lang w:val="en-US" w:eastAsia="zh-CN"/>
                      <w14:textFill>
                        <w14:solidFill>
                          <w14:schemeClr w14:val="tx1"/>
                        </w14:solidFill>
                      </w14:textFill>
                    </w:rPr>
                    <w:t>mg/m</w:t>
                  </w:r>
                  <w:r>
                    <w:rPr>
                      <w:rFonts w:hint="eastAsia"/>
                      <w:b w:val="0"/>
                      <w:bCs w:val="0"/>
                      <w:color w:val="000000" w:themeColor="text1"/>
                      <w:sz w:val="21"/>
                      <w:szCs w:val="21"/>
                      <w:vertAlign w:val="superscript"/>
                      <w:lang w:val="en-US" w:eastAsia="zh-CN"/>
                      <w14:textFill>
                        <w14:solidFill>
                          <w14:schemeClr w14:val="tx1"/>
                        </w14:solidFill>
                      </w14:textFill>
                    </w:rPr>
                    <w:t>3</w:t>
                  </w:r>
                  <w:r>
                    <w:rPr>
                      <w:rFonts w:hint="eastAsia"/>
                      <w:b w:val="0"/>
                      <w:bCs w:val="0"/>
                      <w:color w:val="000000" w:themeColor="text1"/>
                      <w:sz w:val="21"/>
                      <w:szCs w:val="21"/>
                      <w:vertAlign w:val="baseline"/>
                      <w:lang w:eastAsia="zh-CN"/>
                      <w14:textFill>
                        <w14:solidFill>
                          <w14:schemeClr w14:val="tx1"/>
                        </w14:solidFill>
                      </w14:textFill>
                    </w:rPr>
                    <w:t>）</w:t>
                  </w:r>
                </w:p>
              </w:tc>
            </w:tr>
            <w:tr w14:paraId="6DF1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6" w:type="dxa"/>
                  <w:vMerge w:val="restart"/>
                  <w:vAlign w:val="center"/>
                </w:tcPr>
                <w:p w14:paraId="3CF8905A">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上风向</w:t>
                  </w:r>
                  <w:r>
                    <w:rPr>
                      <w:rFonts w:hint="eastAsia"/>
                      <w:b w:val="0"/>
                      <w:bCs w:val="0"/>
                      <w:color w:val="000000" w:themeColor="text1"/>
                      <w:sz w:val="21"/>
                      <w:szCs w:val="21"/>
                      <w:vertAlign w:val="baseline"/>
                      <w:lang w:val="en-US" w:eastAsia="zh-CN"/>
                      <w14:textFill>
                        <w14:solidFill>
                          <w14:schemeClr w14:val="tx1"/>
                        </w14:solidFill>
                      </w14:textFill>
                    </w:rPr>
                    <w:t>1#</w:t>
                  </w:r>
                </w:p>
              </w:tc>
              <w:tc>
                <w:tcPr>
                  <w:tcW w:w="1125" w:type="dxa"/>
                  <w:vAlign w:val="center"/>
                </w:tcPr>
                <w:p w14:paraId="270E9E1B">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第一次</w:t>
                  </w:r>
                </w:p>
              </w:tc>
              <w:tc>
                <w:tcPr>
                  <w:tcW w:w="1335" w:type="dxa"/>
                  <w:vAlign w:val="center"/>
                </w:tcPr>
                <w:p w14:paraId="4A319950">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0.04</w:t>
                  </w:r>
                </w:p>
              </w:tc>
              <w:tc>
                <w:tcPr>
                  <w:tcW w:w="1710" w:type="dxa"/>
                  <w:vAlign w:val="center"/>
                </w:tcPr>
                <w:p w14:paraId="70EF091F">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0.003</w:t>
                  </w:r>
                </w:p>
              </w:tc>
              <w:tc>
                <w:tcPr>
                  <w:tcW w:w="1455" w:type="dxa"/>
                  <w:vAlign w:val="center"/>
                </w:tcPr>
                <w:p w14:paraId="74E0CD56">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0.03</w:t>
                  </w:r>
                </w:p>
              </w:tc>
              <w:tc>
                <w:tcPr>
                  <w:tcW w:w="1712" w:type="dxa"/>
                  <w:vAlign w:val="center"/>
                </w:tcPr>
                <w:p w14:paraId="58A209BC">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0.003</w:t>
                  </w:r>
                </w:p>
              </w:tc>
            </w:tr>
            <w:tr w14:paraId="1D018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6" w:type="dxa"/>
                  <w:vMerge w:val="continue"/>
                  <w:vAlign w:val="center"/>
                </w:tcPr>
                <w:p w14:paraId="0686CE2E">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p>
              </w:tc>
              <w:tc>
                <w:tcPr>
                  <w:tcW w:w="1125" w:type="dxa"/>
                  <w:vAlign w:val="center"/>
                </w:tcPr>
                <w:p w14:paraId="69DD1532">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第二次</w:t>
                  </w:r>
                </w:p>
              </w:tc>
              <w:tc>
                <w:tcPr>
                  <w:tcW w:w="1335" w:type="dxa"/>
                  <w:vAlign w:val="center"/>
                </w:tcPr>
                <w:p w14:paraId="5A76BB88">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0.04</w:t>
                  </w:r>
                </w:p>
              </w:tc>
              <w:tc>
                <w:tcPr>
                  <w:tcW w:w="1710" w:type="dxa"/>
                  <w:vAlign w:val="center"/>
                </w:tcPr>
                <w:p w14:paraId="25D1F62F">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0.003</w:t>
                  </w:r>
                </w:p>
              </w:tc>
              <w:tc>
                <w:tcPr>
                  <w:tcW w:w="1455" w:type="dxa"/>
                  <w:vAlign w:val="center"/>
                </w:tcPr>
                <w:p w14:paraId="7840C470">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0.04</w:t>
                  </w:r>
                </w:p>
              </w:tc>
              <w:tc>
                <w:tcPr>
                  <w:tcW w:w="1712" w:type="dxa"/>
                  <w:vAlign w:val="center"/>
                </w:tcPr>
                <w:p w14:paraId="0123CCAB">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0.003</w:t>
                  </w:r>
                </w:p>
              </w:tc>
            </w:tr>
            <w:tr w14:paraId="490A7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6" w:type="dxa"/>
                  <w:vMerge w:val="continue"/>
                  <w:vAlign w:val="center"/>
                </w:tcPr>
                <w:p w14:paraId="1F36E9CC">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p>
              </w:tc>
              <w:tc>
                <w:tcPr>
                  <w:tcW w:w="1125" w:type="dxa"/>
                  <w:vAlign w:val="center"/>
                </w:tcPr>
                <w:p w14:paraId="0686EA72">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第三次</w:t>
                  </w:r>
                </w:p>
              </w:tc>
              <w:tc>
                <w:tcPr>
                  <w:tcW w:w="1335" w:type="dxa"/>
                  <w:vAlign w:val="center"/>
                </w:tcPr>
                <w:p w14:paraId="7C9D6B7E">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0.03</w:t>
                  </w:r>
                </w:p>
              </w:tc>
              <w:tc>
                <w:tcPr>
                  <w:tcW w:w="1710" w:type="dxa"/>
                  <w:vAlign w:val="center"/>
                </w:tcPr>
                <w:p w14:paraId="6A60ED26">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0.003</w:t>
                  </w:r>
                </w:p>
              </w:tc>
              <w:tc>
                <w:tcPr>
                  <w:tcW w:w="1455" w:type="dxa"/>
                  <w:vAlign w:val="center"/>
                </w:tcPr>
                <w:p w14:paraId="772BB1AE">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0.03</w:t>
                  </w:r>
                </w:p>
              </w:tc>
              <w:tc>
                <w:tcPr>
                  <w:tcW w:w="1712" w:type="dxa"/>
                  <w:vAlign w:val="center"/>
                </w:tcPr>
                <w:p w14:paraId="5DA69797">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0.003</w:t>
                  </w:r>
                </w:p>
              </w:tc>
            </w:tr>
            <w:tr w14:paraId="25ACD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6" w:type="dxa"/>
                  <w:vMerge w:val="restart"/>
                  <w:vAlign w:val="center"/>
                </w:tcPr>
                <w:p w14:paraId="20EA6B5B">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下风向</w:t>
                  </w:r>
                  <w:r>
                    <w:rPr>
                      <w:rFonts w:hint="eastAsia"/>
                      <w:b w:val="0"/>
                      <w:bCs w:val="0"/>
                      <w:color w:val="000000" w:themeColor="text1"/>
                      <w:sz w:val="21"/>
                      <w:szCs w:val="21"/>
                      <w:vertAlign w:val="baseline"/>
                      <w:lang w:val="en-US" w:eastAsia="zh-CN"/>
                      <w14:textFill>
                        <w14:solidFill>
                          <w14:schemeClr w14:val="tx1"/>
                        </w14:solidFill>
                      </w14:textFill>
                    </w:rPr>
                    <w:t>2#</w:t>
                  </w:r>
                </w:p>
              </w:tc>
              <w:tc>
                <w:tcPr>
                  <w:tcW w:w="1125" w:type="dxa"/>
                  <w:vAlign w:val="center"/>
                </w:tcPr>
                <w:p w14:paraId="494D7CC6">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第一次</w:t>
                  </w:r>
                </w:p>
              </w:tc>
              <w:tc>
                <w:tcPr>
                  <w:tcW w:w="1335" w:type="dxa"/>
                  <w:vAlign w:val="center"/>
                </w:tcPr>
                <w:p w14:paraId="4EC291B2">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0.05</w:t>
                  </w:r>
                </w:p>
              </w:tc>
              <w:tc>
                <w:tcPr>
                  <w:tcW w:w="1710" w:type="dxa"/>
                  <w:vAlign w:val="center"/>
                </w:tcPr>
                <w:p w14:paraId="418BB353">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0.003</w:t>
                  </w:r>
                </w:p>
              </w:tc>
              <w:tc>
                <w:tcPr>
                  <w:tcW w:w="1455" w:type="dxa"/>
                  <w:vAlign w:val="center"/>
                </w:tcPr>
                <w:p w14:paraId="217FEFAD">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0.05</w:t>
                  </w:r>
                </w:p>
              </w:tc>
              <w:tc>
                <w:tcPr>
                  <w:tcW w:w="1712" w:type="dxa"/>
                  <w:vAlign w:val="center"/>
                </w:tcPr>
                <w:p w14:paraId="3F84F61B">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0.003</w:t>
                  </w:r>
                </w:p>
              </w:tc>
            </w:tr>
            <w:tr w14:paraId="11BF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6" w:type="dxa"/>
                  <w:vMerge w:val="continue"/>
                  <w:vAlign w:val="center"/>
                </w:tcPr>
                <w:p w14:paraId="145B6E4C">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p>
              </w:tc>
              <w:tc>
                <w:tcPr>
                  <w:tcW w:w="1125" w:type="dxa"/>
                  <w:vAlign w:val="center"/>
                </w:tcPr>
                <w:p w14:paraId="0704E0D6">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第二次</w:t>
                  </w:r>
                </w:p>
              </w:tc>
              <w:tc>
                <w:tcPr>
                  <w:tcW w:w="1335" w:type="dxa"/>
                  <w:vAlign w:val="center"/>
                </w:tcPr>
                <w:p w14:paraId="0FDAECB7">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0.06</w:t>
                  </w:r>
                </w:p>
              </w:tc>
              <w:tc>
                <w:tcPr>
                  <w:tcW w:w="1710" w:type="dxa"/>
                  <w:vAlign w:val="center"/>
                </w:tcPr>
                <w:p w14:paraId="30C76118">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0.003</w:t>
                  </w:r>
                </w:p>
              </w:tc>
              <w:tc>
                <w:tcPr>
                  <w:tcW w:w="1455" w:type="dxa"/>
                  <w:vAlign w:val="center"/>
                </w:tcPr>
                <w:p w14:paraId="3D3E3609">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0.06</w:t>
                  </w:r>
                </w:p>
              </w:tc>
              <w:tc>
                <w:tcPr>
                  <w:tcW w:w="1712" w:type="dxa"/>
                  <w:vAlign w:val="center"/>
                </w:tcPr>
                <w:p w14:paraId="5ECACED9">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0.003</w:t>
                  </w:r>
                </w:p>
              </w:tc>
            </w:tr>
            <w:tr w14:paraId="4B30A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6" w:type="dxa"/>
                  <w:vMerge w:val="continue"/>
                  <w:vAlign w:val="center"/>
                </w:tcPr>
                <w:p w14:paraId="2FB1E6CB">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p>
              </w:tc>
              <w:tc>
                <w:tcPr>
                  <w:tcW w:w="1125" w:type="dxa"/>
                  <w:vAlign w:val="center"/>
                </w:tcPr>
                <w:p w14:paraId="32F089DA">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第三次</w:t>
                  </w:r>
                </w:p>
              </w:tc>
              <w:tc>
                <w:tcPr>
                  <w:tcW w:w="1335" w:type="dxa"/>
                  <w:vAlign w:val="center"/>
                </w:tcPr>
                <w:p w14:paraId="655C8B2E">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0.07</w:t>
                  </w:r>
                </w:p>
              </w:tc>
              <w:tc>
                <w:tcPr>
                  <w:tcW w:w="1710" w:type="dxa"/>
                  <w:vAlign w:val="center"/>
                </w:tcPr>
                <w:p w14:paraId="155DAB55">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0.004</w:t>
                  </w:r>
                </w:p>
              </w:tc>
              <w:tc>
                <w:tcPr>
                  <w:tcW w:w="1455" w:type="dxa"/>
                  <w:vAlign w:val="center"/>
                </w:tcPr>
                <w:p w14:paraId="0A9A0BF2">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0.05</w:t>
                  </w:r>
                </w:p>
              </w:tc>
              <w:tc>
                <w:tcPr>
                  <w:tcW w:w="1712" w:type="dxa"/>
                  <w:vAlign w:val="center"/>
                </w:tcPr>
                <w:p w14:paraId="3A6EC993">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0.004</w:t>
                  </w:r>
                </w:p>
              </w:tc>
            </w:tr>
            <w:tr w14:paraId="50210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6" w:type="dxa"/>
                  <w:vMerge w:val="restart"/>
                  <w:vAlign w:val="center"/>
                </w:tcPr>
                <w:p w14:paraId="51781596">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下风向</w:t>
                  </w:r>
                  <w:r>
                    <w:rPr>
                      <w:rFonts w:hint="eastAsia"/>
                      <w:b w:val="0"/>
                      <w:bCs w:val="0"/>
                      <w:color w:val="000000" w:themeColor="text1"/>
                      <w:sz w:val="21"/>
                      <w:szCs w:val="21"/>
                      <w:vertAlign w:val="baseline"/>
                      <w:lang w:val="en-US" w:eastAsia="zh-CN"/>
                      <w14:textFill>
                        <w14:solidFill>
                          <w14:schemeClr w14:val="tx1"/>
                        </w14:solidFill>
                      </w14:textFill>
                    </w:rPr>
                    <w:t>3#</w:t>
                  </w:r>
                </w:p>
              </w:tc>
              <w:tc>
                <w:tcPr>
                  <w:tcW w:w="1125" w:type="dxa"/>
                  <w:vAlign w:val="center"/>
                </w:tcPr>
                <w:p w14:paraId="60C8D462">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第一次</w:t>
                  </w:r>
                </w:p>
              </w:tc>
              <w:tc>
                <w:tcPr>
                  <w:tcW w:w="1335" w:type="dxa"/>
                  <w:vAlign w:val="center"/>
                </w:tcPr>
                <w:p w14:paraId="1B4A305F">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0.06</w:t>
                  </w:r>
                </w:p>
              </w:tc>
              <w:tc>
                <w:tcPr>
                  <w:tcW w:w="1710" w:type="dxa"/>
                  <w:vAlign w:val="center"/>
                </w:tcPr>
                <w:p w14:paraId="6B9751A7">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0.004</w:t>
                  </w:r>
                </w:p>
              </w:tc>
              <w:tc>
                <w:tcPr>
                  <w:tcW w:w="1455" w:type="dxa"/>
                  <w:vAlign w:val="center"/>
                </w:tcPr>
                <w:p w14:paraId="5856BF8D">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0.07</w:t>
                  </w:r>
                </w:p>
              </w:tc>
              <w:tc>
                <w:tcPr>
                  <w:tcW w:w="1712" w:type="dxa"/>
                  <w:vAlign w:val="center"/>
                </w:tcPr>
                <w:p w14:paraId="16FE660A">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0.004</w:t>
                  </w:r>
                </w:p>
              </w:tc>
            </w:tr>
            <w:tr w14:paraId="3320B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6" w:type="dxa"/>
                  <w:vMerge w:val="continue"/>
                  <w:vAlign w:val="center"/>
                </w:tcPr>
                <w:p w14:paraId="1F0BE470">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p>
              </w:tc>
              <w:tc>
                <w:tcPr>
                  <w:tcW w:w="1125" w:type="dxa"/>
                  <w:vAlign w:val="center"/>
                </w:tcPr>
                <w:p w14:paraId="56CC4D97">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第二次</w:t>
                  </w:r>
                </w:p>
              </w:tc>
              <w:tc>
                <w:tcPr>
                  <w:tcW w:w="1335" w:type="dxa"/>
                  <w:vAlign w:val="center"/>
                </w:tcPr>
                <w:p w14:paraId="2F316FAC">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0.07</w:t>
                  </w:r>
                </w:p>
              </w:tc>
              <w:tc>
                <w:tcPr>
                  <w:tcW w:w="1710" w:type="dxa"/>
                  <w:vAlign w:val="center"/>
                </w:tcPr>
                <w:p w14:paraId="714CF333">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0.004</w:t>
                  </w:r>
                </w:p>
              </w:tc>
              <w:tc>
                <w:tcPr>
                  <w:tcW w:w="1455" w:type="dxa"/>
                  <w:vAlign w:val="center"/>
                </w:tcPr>
                <w:p w14:paraId="7261E044">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0.06</w:t>
                  </w:r>
                </w:p>
              </w:tc>
              <w:tc>
                <w:tcPr>
                  <w:tcW w:w="1712" w:type="dxa"/>
                  <w:vAlign w:val="center"/>
                </w:tcPr>
                <w:p w14:paraId="3197C486">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0.004</w:t>
                  </w:r>
                </w:p>
              </w:tc>
            </w:tr>
            <w:tr w14:paraId="51CC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6" w:type="dxa"/>
                  <w:vMerge w:val="continue"/>
                  <w:vAlign w:val="center"/>
                </w:tcPr>
                <w:p w14:paraId="7E9ABFDF">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p>
              </w:tc>
              <w:tc>
                <w:tcPr>
                  <w:tcW w:w="1125" w:type="dxa"/>
                  <w:vAlign w:val="center"/>
                </w:tcPr>
                <w:p w14:paraId="1D8764B5">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第三次</w:t>
                  </w:r>
                </w:p>
              </w:tc>
              <w:tc>
                <w:tcPr>
                  <w:tcW w:w="1335" w:type="dxa"/>
                  <w:vAlign w:val="center"/>
                </w:tcPr>
                <w:p w14:paraId="06BE8C97">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0.09</w:t>
                  </w:r>
                </w:p>
              </w:tc>
              <w:tc>
                <w:tcPr>
                  <w:tcW w:w="1710" w:type="dxa"/>
                  <w:vAlign w:val="center"/>
                </w:tcPr>
                <w:p w14:paraId="3B3391E1">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0.004</w:t>
                  </w:r>
                </w:p>
              </w:tc>
              <w:tc>
                <w:tcPr>
                  <w:tcW w:w="1455" w:type="dxa"/>
                  <w:vAlign w:val="center"/>
                </w:tcPr>
                <w:p w14:paraId="45A078F9">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0.08</w:t>
                  </w:r>
                </w:p>
              </w:tc>
              <w:tc>
                <w:tcPr>
                  <w:tcW w:w="1712" w:type="dxa"/>
                  <w:vAlign w:val="center"/>
                </w:tcPr>
                <w:p w14:paraId="60726AB2">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0.004</w:t>
                  </w:r>
                </w:p>
              </w:tc>
            </w:tr>
            <w:tr w14:paraId="0299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6" w:type="dxa"/>
                  <w:vMerge w:val="restart"/>
                  <w:vAlign w:val="center"/>
                </w:tcPr>
                <w:p w14:paraId="08E58311">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下风向</w:t>
                  </w:r>
                  <w:r>
                    <w:rPr>
                      <w:rFonts w:hint="eastAsia"/>
                      <w:b w:val="0"/>
                      <w:bCs w:val="0"/>
                      <w:color w:val="000000" w:themeColor="text1"/>
                      <w:sz w:val="21"/>
                      <w:szCs w:val="21"/>
                      <w:vertAlign w:val="baseline"/>
                      <w:lang w:val="en-US" w:eastAsia="zh-CN"/>
                      <w14:textFill>
                        <w14:solidFill>
                          <w14:schemeClr w14:val="tx1"/>
                        </w14:solidFill>
                      </w14:textFill>
                    </w:rPr>
                    <w:t>4#</w:t>
                  </w:r>
                </w:p>
              </w:tc>
              <w:tc>
                <w:tcPr>
                  <w:tcW w:w="1125" w:type="dxa"/>
                  <w:vAlign w:val="center"/>
                </w:tcPr>
                <w:p w14:paraId="3297C1A1">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第一次</w:t>
                  </w:r>
                </w:p>
              </w:tc>
              <w:tc>
                <w:tcPr>
                  <w:tcW w:w="1335" w:type="dxa"/>
                  <w:vAlign w:val="center"/>
                </w:tcPr>
                <w:p w14:paraId="2AFD2957">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0.09</w:t>
                  </w:r>
                </w:p>
              </w:tc>
              <w:tc>
                <w:tcPr>
                  <w:tcW w:w="1710" w:type="dxa"/>
                  <w:vAlign w:val="center"/>
                </w:tcPr>
                <w:p w14:paraId="7EE1F496">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0.004</w:t>
                  </w:r>
                </w:p>
              </w:tc>
              <w:tc>
                <w:tcPr>
                  <w:tcW w:w="1455" w:type="dxa"/>
                  <w:vAlign w:val="center"/>
                </w:tcPr>
                <w:p w14:paraId="70B4ACCB">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0.11</w:t>
                  </w:r>
                </w:p>
              </w:tc>
              <w:tc>
                <w:tcPr>
                  <w:tcW w:w="1712" w:type="dxa"/>
                  <w:vAlign w:val="center"/>
                </w:tcPr>
                <w:p w14:paraId="425A155B">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0.004</w:t>
                  </w:r>
                </w:p>
              </w:tc>
            </w:tr>
            <w:tr w14:paraId="710A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6" w:type="dxa"/>
                  <w:vMerge w:val="continue"/>
                  <w:vAlign w:val="center"/>
                </w:tcPr>
                <w:p w14:paraId="6DD74819">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p>
              </w:tc>
              <w:tc>
                <w:tcPr>
                  <w:tcW w:w="1125" w:type="dxa"/>
                  <w:vAlign w:val="center"/>
                </w:tcPr>
                <w:p w14:paraId="35D4BBEC">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第二次</w:t>
                  </w:r>
                </w:p>
              </w:tc>
              <w:tc>
                <w:tcPr>
                  <w:tcW w:w="1335" w:type="dxa"/>
                  <w:vAlign w:val="center"/>
                </w:tcPr>
                <w:p w14:paraId="37D7AD4E">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0.10</w:t>
                  </w:r>
                </w:p>
              </w:tc>
              <w:tc>
                <w:tcPr>
                  <w:tcW w:w="1710" w:type="dxa"/>
                  <w:vAlign w:val="center"/>
                </w:tcPr>
                <w:p w14:paraId="59AF7CE8">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0.004</w:t>
                  </w:r>
                </w:p>
              </w:tc>
              <w:tc>
                <w:tcPr>
                  <w:tcW w:w="1455" w:type="dxa"/>
                  <w:vAlign w:val="center"/>
                </w:tcPr>
                <w:p w14:paraId="151C2CC0">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0.09</w:t>
                  </w:r>
                </w:p>
              </w:tc>
              <w:tc>
                <w:tcPr>
                  <w:tcW w:w="1712" w:type="dxa"/>
                  <w:vAlign w:val="center"/>
                </w:tcPr>
                <w:p w14:paraId="3EB3CCCB">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0.004</w:t>
                  </w:r>
                </w:p>
              </w:tc>
            </w:tr>
            <w:tr w14:paraId="66A7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6" w:type="dxa"/>
                  <w:vMerge w:val="continue"/>
                  <w:vAlign w:val="center"/>
                </w:tcPr>
                <w:p w14:paraId="188AF2C6">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p>
              </w:tc>
              <w:tc>
                <w:tcPr>
                  <w:tcW w:w="1125" w:type="dxa"/>
                  <w:vAlign w:val="center"/>
                </w:tcPr>
                <w:p w14:paraId="1ADDFA03">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第三次</w:t>
                  </w:r>
                </w:p>
              </w:tc>
              <w:tc>
                <w:tcPr>
                  <w:tcW w:w="1335" w:type="dxa"/>
                  <w:vAlign w:val="center"/>
                </w:tcPr>
                <w:p w14:paraId="08F5DF82">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0.11</w:t>
                  </w:r>
                </w:p>
              </w:tc>
              <w:tc>
                <w:tcPr>
                  <w:tcW w:w="1710" w:type="dxa"/>
                  <w:vAlign w:val="center"/>
                </w:tcPr>
                <w:p w14:paraId="4DF3B778">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0.004</w:t>
                  </w:r>
                </w:p>
              </w:tc>
              <w:tc>
                <w:tcPr>
                  <w:tcW w:w="1455" w:type="dxa"/>
                  <w:vAlign w:val="center"/>
                </w:tcPr>
                <w:p w14:paraId="3967522E">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0.10</w:t>
                  </w:r>
                </w:p>
              </w:tc>
              <w:tc>
                <w:tcPr>
                  <w:tcW w:w="1712" w:type="dxa"/>
                  <w:vAlign w:val="center"/>
                </w:tcPr>
                <w:p w14:paraId="6318C69B">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0.004</w:t>
                  </w:r>
                </w:p>
              </w:tc>
            </w:tr>
            <w:tr w14:paraId="6BCFE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1" w:type="dxa"/>
                  <w:gridSpan w:val="2"/>
                  <w:vAlign w:val="center"/>
                </w:tcPr>
                <w:p w14:paraId="6B94BF41">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最大排放浓度</w:t>
                  </w:r>
                </w:p>
              </w:tc>
              <w:tc>
                <w:tcPr>
                  <w:tcW w:w="1335" w:type="dxa"/>
                  <w:vAlign w:val="center"/>
                </w:tcPr>
                <w:p w14:paraId="69B9C2B7">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0.11</w:t>
                  </w:r>
                </w:p>
              </w:tc>
              <w:tc>
                <w:tcPr>
                  <w:tcW w:w="1710" w:type="dxa"/>
                  <w:vAlign w:val="center"/>
                </w:tcPr>
                <w:p w14:paraId="5210BF6F">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0.004</w:t>
                  </w:r>
                </w:p>
              </w:tc>
              <w:tc>
                <w:tcPr>
                  <w:tcW w:w="1455" w:type="dxa"/>
                  <w:vAlign w:val="center"/>
                </w:tcPr>
                <w:p w14:paraId="5626DA3F">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0.11</w:t>
                  </w:r>
                </w:p>
              </w:tc>
              <w:tc>
                <w:tcPr>
                  <w:tcW w:w="1712" w:type="dxa"/>
                  <w:vAlign w:val="center"/>
                </w:tcPr>
                <w:p w14:paraId="6DB1B4B8">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0.004</w:t>
                  </w:r>
                </w:p>
              </w:tc>
            </w:tr>
            <w:tr w14:paraId="50AB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2251" w:type="dxa"/>
                  <w:gridSpan w:val="2"/>
                  <w:vAlign w:val="center"/>
                </w:tcPr>
                <w:p w14:paraId="7B24DFB7">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标准限值</w:t>
                  </w:r>
                </w:p>
              </w:tc>
              <w:tc>
                <w:tcPr>
                  <w:tcW w:w="1335" w:type="dxa"/>
                  <w:vAlign w:val="center"/>
                </w:tcPr>
                <w:p w14:paraId="2B629540">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1.0mg/m</w:t>
                  </w:r>
                  <w:r>
                    <w:rPr>
                      <w:rFonts w:hint="eastAsia"/>
                      <w:b w:val="0"/>
                      <w:bCs w:val="0"/>
                      <w:color w:val="000000" w:themeColor="text1"/>
                      <w:sz w:val="21"/>
                      <w:szCs w:val="21"/>
                      <w:vertAlign w:val="superscript"/>
                      <w:lang w:val="en-US" w:eastAsia="zh-CN"/>
                      <w14:textFill>
                        <w14:solidFill>
                          <w14:schemeClr w14:val="tx1"/>
                        </w14:solidFill>
                      </w14:textFill>
                    </w:rPr>
                    <w:t>3</w:t>
                  </w:r>
                </w:p>
              </w:tc>
              <w:tc>
                <w:tcPr>
                  <w:tcW w:w="1710" w:type="dxa"/>
                  <w:vAlign w:val="center"/>
                </w:tcPr>
                <w:p w14:paraId="6F0AE171">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0.03mg/m</w:t>
                  </w:r>
                  <w:r>
                    <w:rPr>
                      <w:rFonts w:hint="eastAsia"/>
                      <w:b w:val="0"/>
                      <w:bCs w:val="0"/>
                      <w:color w:val="000000" w:themeColor="text1"/>
                      <w:sz w:val="21"/>
                      <w:szCs w:val="21"/>
                      <w:vertAlign w:val="superscript"/>
                      <w:lang w:val="en-US" w:eastAsia="zh-CN"/>
                      <w14:textFill>
                        <w14:solidFill>
                          <w14:schemeClr w14:val="tx1"/>
                        </w14:solidFill>
                      </w14:textFill>
                    </w:rPr>
                    <w:t>3</w:t>
                  </w:r>
                </w:p>
              </w:tc>
              <w:tc>
                <w:tcPr>
                  <w:tcW w:w="1455" w:type="dxa"/>
                  <w:vAlign w:val="center"/>
                </w:tcPr>
                <w:p w14:paraId="24C1399A">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1.0mg/m</w:t>
                  </w:r>
                  <w:r>
                    <w:rPr>
                      <w:rFonts w:hint="eastAsia"/>
                      <w:b w:val="0"/>
                      <w:bCs w:val="0"/>
                      <w:color w:val="000000" w:themeColor="text1"/>
                      <w:sz w:val="21"/>
                      <w:szCs w:val="21"/>
                      <w:vertAlign w:val="superscript"/>
                      <w:lang w:val="en-US" w:eastAsia="zh-CN"/>
                      <w14:textFill>
                        <w14:solidFill>
                          <w14:schemeClr w14:val="tx1"/>
                        </w14:solidFill>
                      </w14:textFill>
                    </w:rPr>
                    <w:t>3</w:t>
                  </w:r>
                </w:p>
              </w:tc>
              <w:tc>
                <w:tcPr>
                  <w:tcW w:w="1712" w:type="dxa"/>
                  <w:vAlign w:val="center"/>
                </w:tcPr>
                <w:p w14:paraId="0EC551E9">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0.03mg/m</w:t>
                  </w:r>
                  <w:r>
                    <w:rPr>
                      <w:rFonts w:hint="eastAsia"/>
                      <w:b w:val="0"/>
                      <w:bCs w:val="0"/>
                      <w:color w:val="000000" w:themeColor="text1"/>
                      <w:sz w:val="21"/>
                      <w:szCs w:val="21"/>
                      <w:vertAlign w:val="superscript"/>
                      <w:lang w:val="en-US" w:eastAsia="zh-CN"/>
                      <w14:textFill>
                        <w14:solidFill>
                          <w14:schemeClr w14:val="tx1"/>
                        </w14:solidFill>
                      </w14:textFill>
                    </w:rPr>
                    <w:t>3</w:t>
                  </w:r>
                </w:p>
              </w:tc>
            </w:tr>
            <w:tr w14:paraId="6B5D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1" w:type="dxa"/>
                  <w:gridSpan w:val="2"/>
                  <w:vAlign w:val="center"/>
                </w:tcPr>
                <w:p w14:paraId="77F1B2FD">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达标情况</w:t>
                  </w:r>
                </w:p>
              </w:tc>
              <w:tc>
                <w:tcPr>
                  <w:tcW w:w="1335" w:type="dxa"/>
                  <w:vAlign w:val="center"/>
                </w:tcPr>
                <w:p w14:paraId="4B459200">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达标</w:t>
                  </w:r>
                </w:p>
              </w:tc>
              <w:tc>
                <w:tcPr>
                  <w:tcW w:w="1710" w:type="dxa"/>
                  <w:vAlign w:val="center"/>
                </w:tcPr>
                <w:p w14:paraId="152D789C">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达标</w:t>
                  </w:r>
                </w:p>
              </w:tc>
              <w:tc>
                <w:tcPr>
                  <w:tcW w:w="1455" w:type="dxa"/>
                  <w:vAlign w:val="center"/>
                </w:tcPr>
                <w:p w14:paraId="092AF8BB">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达标</w:t>
                  </w:r>
                </w:p>
              </w:tc>
              <w:tc>
                <w:tcPr>
                  <w:tcW w:w="1712" w:type="dxa"/>
                  <w:vAlign w:val="center"/>
                </w:tcPr>
                <w:p w14:paraId="67AA1AD3">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达标</w:t>
                  </w:r>
                </w:p>
              </w:tc>
            </w:tr>
          </w:tbl>
          <w:p w14:paraId="23D8D631">
            <w:pPr>
              <w:pStyle w:val="117"/>
              <w:widowControl/>
              <w:rPr>
                <w:color w:val="000000" w:themeColor="text1"/>
                <w:sz w:val="24"/>
                <w:szCs w:val="24"/>
                <w:vertAlign w:val="baseline"/>
                <w14:textFill>
                  <w14:solidFill>
                    <w14:schemeClr w14:val="tx1"/>
                  </w14:solidFill>
                </w14:textFill>
              </w:rPr>
            </w:pPr>
            <w:r>
              <w:rPr>
                <w:color w:val="000000" w:themeColor="text1"/>
                <w:sz w:val="24"/>
                <w:szCs w:val="24"/>
                <w14:textFill>
                  <w14:solidFill>
                    <w14:schemeClr w14:val="tx1"/>
                  </w14:solidFill>
                </w14:textFill>
              </w:rPr>
              <w:t>表</w:t>
            </w:r>
            <w:r>
              <w:rPr>
                <w:rFonts w:hint="eastAsia"/>
                <w:color w:val="000000" w:themeColor="text1"/>
                <w:sz w:val="24"/>
                <w:szCs w:val="24"/>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8</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 xml:space="preserve"> </w:t>
            </w:r>
            <w:r>
              <w:rPr>
                <w:rFonts w:hint="eastAsia"/>
                <w:color w:val="000000" w:themeColor="text1"/>
                <w:sz w:val="24"/>
                <w:szCs w:val="24"/>
                <w:lang w:eastAsia="zh-CN"/>
                <w14:textFill>
                  <w14:solidFill>
                    <w14:schemeClr w14:val="tx1"/>
                  </w14:solidFill>
                </w14:textFill>
              </w:rPr>
              <w:t>有</w:t>
            </w:r>
            <w:r>
              <w:rPr>
                <w:color w:val="000000" w:themeColor="text1"/>
                <w:sz w:val="24"/>
                <w:szCs w:val="24"/>
                <w14:textFill>
                  <w14:solidFill>
                    <w14:schemeClr w14:val="tx1"/>
                  </w14:solidFill>
                </w14:textFill>
              </w:rPr>
              <w:t>组织废气检测结果</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4"/>
              <w:gridCol w:w="1142"/>
              <w:gridCol w:w="1355"/>
              <w:gridCol w:w="1739"/>
              <w:gridCol w:w="1477"/>
              <w:gridCol w:w="1741"/>
            </w:tblGrid>
            <w:tr w14:paraId="6A90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pct"/>
                  <w:vAlign w:val="center"/>
                </w:tcPr>
                <w:p w14:paraId="5A70F6D8">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采样日期</w:t>
                  </w:r>
                </w:p>
              </w:tc>
              <w:tc>
                <w:tcPr>
                  <w:tcW w:w="2463" w:type="pct"/>
                  <w:gridSpan w:val="3"/>
                  <w:vAlign w:val="center"/>
                </w:tcPr>
                <w:p w14:paraId="4449B012">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2022年11月12日</w:t>
                  </w:r>
                </w:p>
              </w:tc>
              <w:tc>
                <w:tcPr>
                  <w:tcW w:w="1871" w:type="pct"/>
                  <w:gridSpan w:val="2"/>
                  <w:vAlign w:val="center"/>
                </w:tcPr>
                <w:p w14:paraId="299EDCD2">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2022年11月13日</w:t>
                  </w:r>
                </w:p>
              </w:tc>
            </w:tr>
            <w:tr w14:paraId="286D8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pct"/>
                  <w:vMerge w:val="restart"/>
                  <w:vAlign w:val="center"/>
                </w:tcPr>
                <w:p w14:paraId="593B7164">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检测点位</w:t>
                  </w:r>
                </w:p>
              </w:tc>
              <w:tc>
                <w:tcPr>
                  <w:tcW w:w="664" w:type="pct"/>
                  <w:vMerge w:val="restart"/>
                  <w:vAlign w:val="center"/>
                </w:tcPr>
                <w:p w14:paraId="48843961">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检测频次</w:t>
                  </w:r>
                </w:p>
              </w:tc>
              <w:tc>
                <w:tcPr>
                  <w:tcW w:w="1799" w:type="pct"/>
                  <w:gridSpan w:val="2"/>
                  <w:vAlign w:val="center"/>
                </w:tcPr>
                <w:p w14:paraId="4DCF4138">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检测项目</w:t>
                  </w:r>
                </w:p>
              </w:tc>
              <w:tc>
                <w:tcPr>
                  <w:tcW w:w="1871" w:type="pct"/>
                  <w:gridSpan w:val="2"/>
                  <w:vAlign w:val="center"/>
                </w:tcPr>
                <w:p w14:paraId="7566E4F7">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检测项目</w:t>
                  </w:r>
                </w:p>
              </w:tc>
            </w:tr>
            <w:tr w14:paraId="41A4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pct"/>
                  <w:vMerge w:val="continue"/>
                  <w:vAlign w:val="center"/>
                </w:tcPr>
                <w:p w14:paraId="5ACC9CF4">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p>
              </w:tc>
              <w:tc>
                <w:tcPr>
                  <w:tcW w:w="664" w:type="pct"/>
                  <w:vMerge w:val="continue"/>
                  <w:vAlign w:val="center"/>
                </w:tcPr>
                <w:p w14:paraId="623C6E13">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p>
              </w:tc>
              <w:tc>
                <w:tcPr>
                  <w:tcW w:w="788" w:type="pct"/>
                  <w:vAlign w:val="center"/>
                </w:tcPr>
                <w:p w14:paraId="7B1BE7B9">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氨（</w:t>
                  </w:r>
                  <w:r>
                    <w:rPr>
                      <w:rFonts w:hint="eastAsia"/>
                      <w:b w:val="0"/>
                      <w:bCs w:val="0"/>
                      <w:color w:val="000000" w:themeColor="text1"/>
                      <w:sz w:val="21"/>
                      <w:szCs w:val="21"/>
                      <w:vertAlign w:val="baseline"/>
                      <w:lang w:val="en-US" w:eastAsia="zh-CN"/>
                      <w14:textFill>
                        <w14:solidFill>
                          <w14:schemeClr w14:val="tx1"/>
                        </w14:solidFill>
                      </w14:textFill>
                    </w:rPr>
                    <w:t>kg/h</w:t>
                  </w:r>
                  <w:r>
                    <w:rPr>
                      <w:rFonts w:hint="eastAsia"/>
                      <w:b w:val="0"/>
                      <w:bCs w:val="0"/>
                      <w:color w:val="000000" w:themeColor="text1"/>
                      <w:sz w:val="21"/>
                      <w:szCs w:val="21"/>
                      <w:vertAlign w:val="baseline"/>
                      <w:lang w:eastAsia="zh-CN"/>
                      <w14:textFill>
                        <w14:solidFill>
                          <w14:schemeClr w14:val="tx1"/>
                        </w14:solidFill>
                      </w14:textFill>
                    </w:rPr>
                    <w:t>）</w:t>
                  </w:r>
                </w:p>
              </w:tc>
              <w:tc>
                <w:tcPr>
                  <w:tcW w:w="1010" w:type="pct"/>
                  <w:vAlign w:val="center"/>
                </w:tcPr>
                <w:p w14:paraId="14A09F5E">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硫化氢（</w:t>
                  </w:r>
                  <w:r>
                    <w:rPr>
                      <w:rFonts w:hint="eastAsia"/>
                      <w:b w:val="0"/>
                      <w:bCs w:val="0"/>
                      <w:color w:val="000000" w:themeColor="text1"/>
                      <w:sz w:val="21"/>
                      <w:szCs w:val="21"/>
                      <w:vertAlign w:val="baseline"/>
                      <w:lang w:val="en-US" w:eastAsia="zh-CN"/>
                      <w14:textFill>
                        <w14:solidFill>
                          <w14:schemeClr w14:val="tx1"/>
                        </w14:solidFill>
                      </w14:textFill>
                    </w:rPr>
                    <w:t>kg/h</w:t>
                  </w:r>
                  <w:r>
                    <w:rPr>
                      <w:rFonts w:hint="eastAsia"/>
                      <w:b w:val="0"/>
                      <w:bCs w:val="0"/>
                      <w:color w:val="000000" w:themeColor="text1"/>
                      <w:sz w:val="21"/>
                      <w:szCs w:val="21"/>
                      <w:vertAlign w:val="baseline"/>
                      <w:lang w:eastAsia="zh-CN"/>
                      <w14:textFill>
                        <w14:solidFill>
                          <w14:schemeClr w14:val="tx1"/>
                        </w14:solidFill>
                      </w14:textFill>
                    </w:rPr>
                    <w:t>）</w:t>
                  </w:r>
                </w:p>
              </w:tc>
              <w:tc>
                <w:tcPr>
                  <w:tcW w:w="859" w:type="pct"/>
                  <w:vAlign w:val="center"/>
                </w:tcPr>
                <w:p w14:paraId="54A0C689">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氨（</w:t>
                  </w:r>
                  <w:r>
                    <w:rPr>
                      <w:rFonts w:hint="eastAsia"/>
                      <w:b w:val="0"/>
                      <w:bCs w:val="0"/>
                      <w:color w:val="000000" w:themeColor="text1"/>
                      <w:sz w:val="21"/>
                      <w:szCs w:val="21"/>
                      <w:vertAlign w:val="baseline"/>
                      <w:lang w:val="en-US" w:eastAsia="zh-CN"/>
                      <w14:textFill>
                        <w14:solidFill>
                          <w14:schemeClr w14:val="tx1"/>
                        </w14:solidFill>
                      </w14:textFill>
                    </w:rPr>
                    <w:t>kg/h</w:t>
                  </w:r>
                  <w:r>
                    <w:rPr>
                      <w:rFonts w:hint="eastAsia"/>
                      <w:b w:val="0"/>
                      <w:bCs w:val="0"/>
                      <w:color w:val="000000" w:themeColor="text1"/>
                      <w:sz w:val="21"/>
                      <w:szCs w:val="21"/>
                      <w:vertAlign w:val="baseline"/>
                      <w:lang w:eastAsia="zh-CN"/>
                      <w14:textFill>
                        <w14:solidFill>
                          <w14:schemeClr w14:val="tx1"/>
                        </w14:solidFill>
                      </w14:textFill>
                    </w:rPr>
                    <w:t>）</w:t>
                  </w:r>
                </w:p>
              </w:tc>
              <w:tc>
                <w:tcPr>
                  <w:tcW w:w="1011" w:type="pct"/>
                  <w:vAlign w:val="center"/>
                </w:tcPr>
                <w:p w14:paraId="573440A1">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硫化氢（</w:t>
                  </w:r>
                  <w:r>
                    <w:rPr>
                      <w:rFonts w:hint="eastAsia"/>
                      <w:b w:val="0"/>
                      <w:bCs w:val="0"/>
                      <w:color w:val="000000" w:themeColor="text1"/>
                      <w:sz w:val="21"/>
                      <w:szCs w:val="21"/>
                      <w:vertAlign w:val="baseline"/>
                      <w:lang w:val="en-US" w:eastAsia="zh-CN"/>
                      <w14:textFill>
                        <w14:solidFill>
                          <w14:schemeClr w14:val="tx1"/>
                        </w14:solidFill>
                      </w14:textFill>
                    </w:rPr>
                    <w:t>kg/h</w:t>
                  </w:r>
                  <w:r>
                    <w:rPr>
                      <w:rFonts w:hint="eastAsia"/>
                      <w:b w:val="0"/>
                      <w:bCs w:val="0"/>
                      <w:color w:val="000000" w:themeColor="text1"/>
                      <w:sz w:val="21"/>
                      <w:szCs w:val="21"/>
                      <w:vertAlign w:val="baseline"/>
                      <w:lang w:eastAsia="zh-CN"/>
                      <w14:textFill>
                        <w14:solidFill>
                          <w14:schemeClr w14:val="tx1"/>
                        </w14:solidFill>
                      </w14:textFill>
                    </w:rPr>
                    <w:t>）</w:t>
                  </w:r>
                </w:p>
              </w:tc>
            </w:tr>
            <w:tr w14:paraId="78D8E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pct"/>
                  <w:vMerge w:val="restart"/>
                  <w:vAlign w:val="center"/>
                </w:tcPr>
                <w:p w14:paraId="0F68E596">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污水处理站排气筒</w:t>
                  </w:r>
                </w:p>
              </w:tc>
              <w:tc>
                <w:tcPr>
                  <w:tcW w:w="664" w:type="pct"/>
                  <w:vAlign w:val="center"/>
                </w:tcPr>
                <w:p w14:paraId="44D2B090">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第一次</w:t>
                  </w:r>
                </w:p>
              </w:tc>
              <w:tc>
                <w:tcPr>
                  <w:tcW w:w="788" w:type="pct"/>
                  <w:vAlign w:val="center"/>
                </w:tcPr>
                <w:p w14:paraId="5F0C466D">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2</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.74×10</w:t>
                  </w:r>
                  <w:r>
                    <w:rPr>
                      <w:rFonts w:hint="default" w:ascii="Times New Roman" w:hAnsi="Times New Roman" w:cs="Times New Roman"/>
                      <w:b w:val="0"/>
                      <w:bCs w:val="0"/>
                      <w:color w:val="000000" w:themeColor="text1"/>
                      <w:sz w:val="21"/>
                      <w:szCs w:val="21"/>
                      <w:vertAlign w:val="superscript"/>
                      <w:lang w:val="en-US" w:eastAsia="zh-CN"/>
                      <w14:textFill>
                        <w14:solidFill>
                          <w14:schemeClr w14:val="tx1"/>
                        </w14:solidFill>
                      </w14:textFill>
                    </w:rPr>
                    <w:t>-3</w:t>
                  </w:r>
                </w:p>
              </w:tc>
              <w:tc>
                <w:tcPr>
                  <w:tcW w:w="1010" w:type="pct"/>
                  <w:vAlign w:val="center"/>
                </w:tcPr>
                <w:p w14:paraId="6D9CC1A1">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7.83</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×10</w:t>
                  </w:r>
                  <w:r>
                    <w:rPr>
                      <w:rFonts w:hint="default" w:ascii="Times New Roman" w:hAnsi="Times New Roman" w:cs="Times New Roman"/>
                      <w:b w:val="0"/>
                      <w:bCs w:val="0"/>
                      <w:color w:val="000000" w:themeColor="text1"/>
                      <w:sz w:val="21"/>
                      <w:szCs w:val="21"/>
                      <w:vertAlign w:val="superscript"/>
                      <w:lang w:val="en-US" w:eastAsia="zh-CN"/>
                      <w14:textFill>
                        <w14:solidFill>
                          <w14:schemeClr w14:val="tx1"/>
                        </w14:solidFill>
                      </w14:textFill>
                    </w:rPr>
                    <w:t>-</w:t>
                  </w:r>
                  <w:r>
                    <w:rPr>
                      <w:rFonts w:hint="eastAsia" w:cs="Times New Roman"/>
                      <w:b w:val="0"/>
                      <w:bCs w:val="0"/>
                      <w:color w:val="000000" w:themeColor="text1"/>
                      <w:sz w:val="21"/>
                      <w:szCs w:val="21"/>
                      <w:vertAlign w:val="superscript"/>
                      <w:lang w:val="en-US" w:eastAsia="zh-CN"/>
                      <w14:textFill>
                        <w14:solidFill>
                          <w14:schemeClr w14:val="tx1"/>
                        </w14:solidFill>
                      </w14:textFill>
                    </w:rPr>
                    <w:t>5</w:t>
                  </w:r>
                </w:p>
              </w:tc>
              <w:tc>
                <w:tcPr>
                  <w:tcW w:w="859" w:type="pct"/>
                  <w:vAlign w:val="center"/>
                </w:tcPr>
                <w:p w14:paraId="666F0EF5">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2.39</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×10</w:t>
                  </w:r>
                  <w:r>
                    <w:rPr>
                      <w:rFonts w:hint="default" w:ascii="Times New Roman" w:hAnsi="Times New Roman" w:cs="Times New Roman"/>
                      <w:b w:val="0"/>
                      <w:bCs w:val="0"/>
                      <w:color w:val="000000" w:themeColor="text1"/>
                      <w:sz w:val="21"/>
                      <w:szCs w:val="21"/>
                      <w:vertAlign w:val="superscript"/>
                      <w:lang w:val="en-US" w:eastAsia="zh-CN"/>
                      <w14:textFill>
                        <w14:solidFill>
                          <w14:schemeClr w14:val="tx1"/>
                        </w14:solidFill>
                      </w14:textFill>
                    </w:rPr>
                    <w:t>-3</w:t>
                  </w:r>
                </w:p>
              </w:tc>
              <w:tc>
                <w:tcPr>
                  <w:tcW w:w="1011" w:type="pct"/>
                  <w:vAlign w:val="center"/>
                </w:tcPr>
                <w:p w14:paraId="06813983">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8.27</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×10</w:t>
                  </w:r>
                  <w:r>
                    <w:rPr>
                      <w:rFonts w:hint="default" w:ascii="Times New Roman" w:hAnsi="Times New Roman" w:cs="Times New Roman"/>
                      <w:b w:val="0"/>
                      <w:bCs w:val="0"/>
                      <w:color w:val="000000" w:themeColor="text1"/>
                      <w:sz w:val="21"/>
                      <w:szCs w:val="21"/>
                      <w:vertAlign w:val="superscript"/>
                      <w:lang w:val="en-US" w:eastAsia="zh-CN"/>
                      <w14:textFill>
                        <w14:solidFill>
                          <w14:schemeClr w14:val="tx1"/>
                        </w14:solidFill>
                      </w14:textFill>
                    </w:rPr>
                    <w:t>-</w:t>
                  </w:r>
                  <w:r>
                    <w:rPr>
                      <w:rFonts w:hint="eastAsia" w:cs="Times New Roman"/>
                      <w:b w:val="0"/>
                      <w:bCs w:val="0"/>
                      <w:color w:val="000000" w:themeColor="text1"/>
                      <w:sz w:val="21"/>
                      <w:szCs w:val="21"/>
                      <w:vertAlign w:val="superscript"/>
                      <w:lang w:val="en-US" w:eastAsia="zh-CN"/>
                      <w14:textFill>
                        <w14:solidFill>
                          <w14:schemeClr w14:val="tx1"/>
                        </w14:solidFill>
                      </w14:textFill>
                    </w:rPr>
                    <w:t>5</w:t>
                  </w:r>
                </w:p>
              </w:tc>
            </w:tr>
            <w:tr w14:paraId="4816C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pct"/>
                  <w:vMerge w:val="continue"/>
                  <w:vAlign w:val="center"/>
                </w:tcPr>
                <w:p w14:paraId="000E2DA3">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p>
              </w:tc>
              <w:tc>
                <w:tcPr>
                  <w:tcW w:w="664" w:type="pct"/>
                  <w:vAlign w:val="center"/>
                </w:tcPr>
                <w:p w14:paraId="6E2E420B">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第二次</w:t>
                  </w:r>
                </w:p>
              </w:tc>
              <w:tc>
                <w:tcPr>
                  <w:tcW w:w="788" w:type="pct"/>
                  <w:vAlign w:val="center"/>
                </w:tcPr>
                <w:p w14:paraId="6864FEA7">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3.22</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×10</w:t>
                  </w:r>
                  <w:r>
                    <w:rPr>
                      <w:rFonts w:hint="default" w:ascii="Times New Roman" w:hAnsi="Times New Roman" w:cs="Times New Roman"/>
                      <w:b w:val="0"/>
                      <w:bCs w:val="0"/>
                      <w:color w:val="000000" w:themeColor="text1"/>
                      <w:sz w:val="21"/>
                      <w:szCs w:val="21"/>
                      <w:vertAlign w:val="superscript"/>
                      <w:lang w:val="en-US" w:eastAsia="zh-CN"/>
                      <w14:textFill>
                        <w14:solidFill>
                          <w14:schemeClr w14:val="tx1"/>
                        </w14:solidFill>
                      </w14:textFill>
                    </w:rPr>
                    <w:t>-3</w:t>
                  </w:r>
                </w:p>
              </w:tc>
              <w:tc>
                <w:tcPr>
                  <w:tcW w:w="1010" w:type="pct"/>
                  <w:vAlign w:val="center"/>
                </w:tcPr>
                <w:p w14:paraId="0D42232C">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9.08</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×10</w:t>
                  </w:r>
                  <w:r>
                    <w:rPr>
                      <w:rFonts w:hint="default" w:ascii="Times New Roman" w:hAnsi="Times New Roman" w:cs="Times New Roman"/>
                      <w:b w:val="0"/>
                      <w:bCs w:val="0"/>
                      <w:color w:val="000000" w:themeColor="text1"/>
                      <w:sz w:val="21"/>
                      <w:szCs w:val="21"/>
                      <w:vertAlign w:val="superscript"/>
                      <w:lang w:val="en-US" w:eastAsia="zh-CN"/>
                      <w14:textFill>
                        <w14:solidFill>
                          <w14:schemeClr w14:val="tx1"/>
                        </w14:solidFill>
                      </w14:textFill>
                    </w:rPr>
                    <w:t>-</w:t>
                  </w:r>
                  <w:r>
                    <w:rPr>
                      <w:rFonts w:hint="eastAsia" w:cs="Times New Roman"/>
                      <w:b w:val="0"/>
                      <w:bCs w:val="0"/>
                      <w:color w:val="000000" w:themeColor="text1"/>
                      <w:sz w:val="21"/>
                      <w:szCs w:val="21"/>
                      <w:vertAlign w:val="superscript"/>
                      <w:lang w:val="en-US" w:eastAsia="zh-CN"/>
                      <w14:textFill>
                        <w14:solidFill>
                          <w14:schemeClr w14:val="tx1"/>
                        </w14:solidFill>
                      </w14:textFill>
                    </w:rPr>
                    <w:t>5</w:t>
                  </w:r>
                </w:p>
              </w:tc>
              <w:tc>
                <w:tcPr>
                  <w:tcW w:w="859" w:type="pct"/>
                  <w:vAlign w:val="center"/>
                </w:tcPr>
                <w:p w14:paraId="3FEA801E">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3.05</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×10</w:t>
                  </w:r>
                  <w:r>
                    <w:rPr>
                      <w:rFonts w:hint="default" w:ascii="Times New Roman" w:hAnsi="Times New Roman" w:cs="Times New Roman"/>
                      <w:b w:val="0"/>
                      <w:bCs w:val="0"/>
                      <w:color w:val="000000" w:themeColor="text1"/>
                      <w:sz w:val="21"/>
                      <w:szCs w:val="21"/>
                      <w:vertAlign w:val="superscript"/>
                      <w:lang w:val="en-US" w:eastAsia="zh-CN"/>
                      <w14:textFill>
                        <w14:solidFill>
                          <w14:schemeClr w14:val="tx1"/>
                        </w14:solidFill>
                      </w14:textFill>
                    </w:rPr>
                    <w:t>-3</w:t>
                  </w:r>
                </w:p>
              </w:tc>
              <w:tc>
                <w:tcPr>
                  <w:tcW w:w="1011" w:type="pct"/>
                  <w:vAlign w:val="center"/>
                </w:tcPr>
                <w:p w14:paraId="32B3E5F7">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8.08</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×10</w:t>
                  </w:r>
                  <w:r>
                    <w:rPr>
                      <w:rFonts w:hint="default" w:ascii="Times New Roman" w:hAnsi="Times New Roman" w:cs="Times New Roman"/>
                      <w:b w:val="0"/>
                      <w:bCs w:val="0"/>
                      <w:color w:val="000000" w:themeColor="text1"/>
                      <w:sz w:val="21"/>
                      <w:szCs w:val="21"/>
                      <w:vertAlign w:val="superscript"/>
                      <w:lang w:val="en-US" w:eastAsia="zh-CN"/>
                      <w14:textFill>
                        <w14:solidFill>
                          <w14:schemeClr w14:val="tx1"/>
                        </w14:solidFill>
                      </w14:textFill>
                    </w:rPr>
                    <w:t>-</w:t>
                  </w:r>
                  <w:r>
                    <w:rPr>
                      <w:rFonts w:hint="eastAsia" w:cs="Times New Roman"/>
                      <w:b w:val="0"/>
                      <w:bCs w:val="0"/>
                      <w:color w:val="000000" w:themeColor="text1"/>
                      <w:sz w:val="21"/>
                      <w:szCs w:val="21"/>
                      <w:vertAlign w:val="superscript"/>
                      <w:lang w:val="en-US" w:eastAsia="zh-CN"/>
                      <w14:textFill>
                        <w14:solidFill>
                          <w14:schemeClr w14:val="tx1"/>
                        </w14:solidFill>
                      </w14:textFill>
                    </w:rPr>
                    <w:t>5</w:t>
                  </w:r>
                </w:p>
              </w:tc>
            </w:tr>
            <w:tr w14:paraId="7908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pct"/>
                  <w:vMerge w:val="continue"/>
                  <w:vAlign w:val="center"/>
                </w:tcPr>
                <w:p w14:paraId="2C280DEE">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p>
              </w:tc>
              <w:tc>
                <w:tcPr>
                  <w:tcW w:w="664" w:type="pct"/>
                  <w:vAlign w:val="center"/>
                </w:tcPr>
                <w:p w14:paraId="5D15EDBE">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第三次</w:t>
                  </w:r>
                </w:p>
              </w:tc>
              <w:tc>
                <w:tcPr>
                  <w:tcW w:w="788" w:type="pct"/>
                  <w:vAlign w:val="center"/>
                </w:tcPr>
                <w:p w14:paraId="22F351D3">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2.66</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×10</w:t>
                  </w:r>
                  <w:r>
                    <w:rPr>
                      <w:rFonts w:hint="default" w:ascii="Times New Roman" w:hAnsi="Times New Roman" w:cs="Times New Roman"/>
                      <w:b w:val="0"/>
                      <w:bCs w:val="0"/>
                      <w:color w:val="000000" w:themeColor="text1"/>
                      <w:sz w:val="21"/>
                      <w:szCs w:val="21"/>
                      <w:vertAlign w:val="superscript"/>
                      <w:lang w:val="en-US" w:eastAsia="zh-CN"/>
                      <w14:textFill>
                        <w14:solidFill>
                          <w14:schemeClr w14:val="tx1"/>
                        </w14:solidFill>
                      </w14:textFill>
                    </w:rPr>
                    <w:t>-3</w:t>
                  </w:r>
                </w:p>
              </w:tc>
              <w:tc>
                <w:tcPr>
                  <w:tcW w:w="1010" w:type="pct"/>
                  <w:vAlign w:val="center"/>
                </w:tcPr>
                <w:p w14:paraId="4ED95E13">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8.41</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×10</w:t>
                  </w:r>
                  <w:r>
                    <w:rPr>
                      <w:rFonts w:hint="default" w:ascii="Times New Roman" w:hAnsi="Times New Roman" w:cs="Times New Roman"/>
                      <w:b w:val="0"/>
                      <w:bCs w:val="0"/>
                      <w:color w:val="000000" w:themeColor="text1"/>
                      <w:sz w:val="21"/>
                      <w:szCs w:val="21"/>
                      <w:vertAlign w:val="superscript"/>
                      <w:lang w:val="en-US" w:eastAsia="zh-CN"/>
                      <w14:textFill>
                        <w14:solidFill>
                          <w14:schemeClr w14:val="tx1"/>
                        </w14:solidFill>
                      </w14:textFill>
                    </w:rPr>
                    <w:t>-</w:t>
                  </w:r>
                  <w:r>
                    <w:rPr>
                      <w:rFonts w:hint="eastAsia" w:cs="Times New Roman"/>
                      <w:b w:val="0"/>
                      <w:bCs w:val="0"/>
                      <w:color w:val="000000" w:themeColor="text1"/>
                      <w:sz w:val="21"/>
                      <w:szCs w:val="21"/>
                      <w:vertAlign w:val="superscript"/>
                      <w:lang w:val="en-US" w:eastAsia="zh-CN"/>
                      <w14:textFill>
                        <w14:solidFill>
                          <w14:schemeClr w14:val="tx1"/>
                        </w14:solidFill>
                      </w14:textFill>
                    </w:rPr>
                    <w:t>5</w:t>
                  </w:r>
                </w:p>
              </w:tc>
              <w:tc>
                <w:tcPr>
                  <w:tcW w:w="859" w:type="pct"/>
                  <w:vAlign w:val="center"/>
                </w:tcPr>
                <w:p w14:paraId="4A9D8E27">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3.13</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×10</w:t>
                  </w:r>
                  <w:r>
                    <w:rPr>
                      <w:rFonts w:hint="default" w:ascii="Times New Roman" w:hAnsi="Times New Roman" w:cs="Times New Roman"/>
                      <w:b w:val="0"/>
                      <w:bCs w:val="0"/>
                      <w:color w:val="000000" w:themeColor="text1"/>
                      <w:sz w:val="21"/>
                      <w:szCs w:val="21"/>
                      <w:vertAlign w:val="superscript"/>
                      <w:lang w:val="en-US" w:eastAsia="zh-CN"/>
                      <w14:textFill>
                        <w14:solidFill>
                          <w14:schemeClr w14:val="tx1"/>
                        </w14:solidFill>
                      </w14:textFill>
                    </w:rPr>
                    <w:t>-3</w:t>
                  </w:r>
                </w:p>
              </w:tc>
              <w:tc>
                <w:tcPr>
                  <w:tcW w:w="1011" w:type="pct"/>
                  <w:vAlign w:val="center"/>
                </w:tcPr>
                <w:p w14:paraId="7A429343">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7.94</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×10</w:t>
                  </w:r>
                  <w:r>
                    <w:rPr>
                      <w:rFonts w:hint="default" w:ascii="Times New Roman" w:hAnsi="Times New Roman" w:cs="Times New Roman"/>
                      <w:b w:val="0"/>
                      <w:bCs w:val="0"/>
                      <w:color w:val="000000" w:themeColor="text1"/>
                      <w:sz w:val="21"/>
                      <w:szCs w:val="21"/>
                      <w:vertAlign w:val="superscript"/>
                      <w:lang w:val="en-US" w:eastAsia="zh-CN"/>
                      <w14:textFill>
                        <w14:solidFill>
                          <w14:schemeClr w14:val="tx1"/>
                        </w14:solidFill>
                      </w14:textFill>
                    </w:rPr>
                    <w:t>-</w:t>
                  </w:r>
                  <w:r>
                    <w:rPr>
                      <w:rFonts w:hint="eastAsia" w:cs="Times New Roman"/>
                      <w:b w:val="0"/>
                      <w:bCs w:val="0"/>
                      <w:color w:val="000000" w:themeColor="text1"/>
                      <w:sz w:val="21"/>
                      <w:szCs w:val="21"/>
                      <w:vertAlign w:val="superscript"/>
                      <w:lang w:val="en-US" w:eastAsia="zh-CN"/>
                      <w14:textFill>
                        <w14:solidFill>
                          <w14:schemeClr w14:val="tx1"/>
                        </w14:solidFill>
                      </w14:textFill>
                    </w:rPr>
                    <w:t>5</w:t>
                  </w:r>
                </w:p>
              </w:tc>
            </w:tr>
            <w:tr w14:paraId="55E15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9" w:type="pct"/>
                  <w:gridSpan w:val="2"/>
                  <w:vAlign w:val="center"/>
                </w:tcPr>
                <w:p w14:paraId="2A72B4B8">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最大排放速率</w:t>
                  </w:r>
                </w:p>
              </w:tc>
              <w:tc>
                <w:tcPr>
                  <w:tcW w:w="788" w:type="pct"/>
                  <w:vAlign w:val="center"/>
                </w:tcPr>
                <w:p w14:paraId="16BAF994">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3.22</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×10</w:t>
                  </w:r>
                  <w:r>
                    <w:rPr>
                      <w:rFonts w:hint="default" w:ascii="Times New Roman" w:hAnsi="Times New Roman" w:cs="Times New Roman"/>
                      <w:b w:val="0"/>
                      <w:bCs w:val="0"/>
                      <w:color w:val="000000" w:themeColor="text1"/>
                      <w:sz w:val="21"/>
                      <w:szCs w:val="21"/>
                      <w:vertAlign w:val="superscript"/>
                      <w:lang w:val="en-US" w:eastAsia="zh-CN"/>
                      <w14:textFill>
                        <w14:solidFill>
                          <w14:schemeClr w14:val="tx1"/>
                        </w14:solidFill>
                      </w14:textFill>
                    </w:rPr>
                    <w:t>-3</w:t>
                  </w:r>
                </w:p>
              </w:tc>
              <w:tc>
                <w:tcPr>
                  <w:tcW w:w="1010" w:type="pct"/>
                  <w:vAlign w:val="center"/>
                </w:tcPr>
                <w:p w14:paraId="2E14800B">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9.08</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×10</w:t>
                  </w:r>
                  <w:r>
                    <w:rPr>
                      <w:rFonts w:hint="default" w:ascii="Times New Roman" w:hAnsi="Times New Roman" w:cs="Times New Roman"/>
                      <w:b w:val="0"/>
                      <w:bCs w:val="0"/>
                      <w:color w:val="000000" w:themeColor="text1"/>
                      <w:sz w:val="21"/>
                      <w:szCs w:val="21"/>
                      <w:vertAlign w:val="superscript"/>
                      <w:lang w:val="en-US" w:eastAsia="zh-CN"/>
                      <w14:textFill>
                        <w14:solidFill>
                          <w14:schemeClr w14:val="tx1"/>
                        </w14:solidFill>
                      </w14:textFill>
                    </w:rPr>
                    <w:t>-</w:t>
                  </w:r>
                  <w:r>
                    <w:rPr>
                      <w:rFonts w:hint="eastAsia" w:cs="Times New Roman"/>
                      <w:b w:val="0"/>
                      <w:bCs w:val="0"/>
                      <w:color w:val="000000" w:themeColor="text1"/>
                      <w:sz w:val="21"/>
                      <w:szCs w:val="21"/>
                      <w:vertAlign w:val="superscript"/>
                      <w:lang w:val="en-US" w:eastAsia="zh-CN"/>
                      <w14:textFill>
                        <w14:solidFill>
                          <w14:schemeClr w14:val="tx1"/>
                        </w14:solidFill>
                      </w14:textFill>
                    </w:rPr>
                    <w:t>5</w:t>
                  </w:r>
                </w:p>
              </w:tc>
              <w:tc>
                <w:tcPr>
                  <w:tcW w:w="859" w:type="pct"/>
                  <w:vAlign w:val="center"/>
                </w:tcPr>
                <w:p w14:paraId="3CD8B846">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3.13</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×10</w:t>
                  </w:r>
                  <w:r>
                    <w:rPr>
                      <w:rFonts w:hint="default" w:ascii="Times New Roman" w:hAnsi="Times New Roman" w:cs="Times New Roman"/>
                      <w:b w:val="0"/>
                      <w:bCs w:val="0"/>
                      <w:color w:val="000000" w:themeColor="text1"/>
                      <w:sz w:val="21"/>
                      <w:szCs w:val="21"/>
                      <w:vertAlign w:val="superscript"/>
                      <w:lang w:val="en-US" w:eastAsia="zh-CN"/>
                      <w14:textFill>
                        <w14:solidFill>
                          <w14:schemeClr w14:val="tx1"/>
                        </w14:solidFill>
                      </w14:textFill>
                    </w:rPr>
                    <w:t>-3</w:t>
                  </w:r>
                </w:p>
              </w:tc>
              <w:tc>
                <w:tcPr>
                  <w:tcW w:w="1011" w:type="pct"/>
                  <w:vAlign w:val="center"/>
                </w:tcPr>
                <w:p w14:paraId="0BC6CC7D">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8.27</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×10</w:t>
                  </w:r>
                  <w:r>
                    <w:rPr>
                      <w:rFonts w:hint="default" w:ascii="Times New Roman" w:hAnsi="Times New Roman" w:cs="Times New Roman"/>
                      <w:b w:val="0"/>
                      <w:bCs w:val="0"/>
                      <w:color w:val="000000" w:themeColor="text1"/>
                      <w:sz w:val="21"/>
                      <w:szCs w:val="21"/>
                      <w:vertAlign w:val="superscript"/>
                      <w:lang w:val="en-US" w:eastAsia="zh-CN"/>
                      <w14:textFill>
                        <w14:solidFill>
                          <w14:schemeClr w14:val="tx1"/>
                        </w14:solidFill>
                      </w14:textFill>
                    </w:rPr>
                    <w:t>-</w:t>
                  </w:r>
                  <w:r>
                    <w:rPr>
                      <w:rFonts w:hint="eastAsia" w:cs="Times New Roman"/>
                      <w:b w:val="0"/>
                      <w:bCs w:val="0"/>
                      <w:color w:val="000000" w:themeColor="text1"/>
                      <w:sz w:val="21"/>
                      <w:szCs w:val="21"/>
                      <w:vertAlign w:val="superscript"/>
                      <w:lang w:val="en-US" w:eastAsia="zh-CN"/>
                      <w14:textFill>
                        <w14:solidFill>
                          <w14:schemeClr w14:val="tx1"/>
                        </w14:solidFill>
                      </w14:textFill>
                    </w:rPr>
                    <w:t>5</w:t>
                  </w:r>
                </w:p>
              </w:tc>
            </w:tr>
            <w:tr w14:paraId="3193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1329" w:type="pct"/>
                  <w:gridSpan w:val="2"/>
                  <w:vAlign w:val="center"/>
                </w:tcPr>
                <w:p w14:paraId="28D23442">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标准限值</w:t>
                  </w:r>
                </w:p>
              </w:tc>
              <w:tc>
                <w:tcPr>
                  <w:tcW w:w="788" w:type="pct"/>
                  <w:vAlign w:val="center"/>
                </w:tcPr>
                <w:p w14:paraId="4540BABE">
                  <w:pPr>
                    <w:pStyle w:val="117"/>
                    <w:keepNext w:val="0"/>
                    <w:keepLines w:val="0"/>
                    <w:pageBreakBefore w:val="0"/>
                    <w:widowControl/>
                    <w:kinsoku/>
                    <w:wordWrap/>
                    <w:overflowPunct/>
                    <w:topLinePunct w:val="0"/>
                    <w:autoSpaceDE/>
                    <w:autoSpaceDN/>
                    <w:bidi w:val="0"/>
                    <w:adjustRightInd w:val="0"/>
                    <w:snapToGrid w:val="0"/>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4.9kg/h</w:t>
                  </w:r>
                </w:p>
              </w:tc>
              <w:tc>
                <w:tcPr>
                  <w:tcW w:w="1010" w:type="pct"/>
                  <w:vAlign w:val="center"/>
                </w:tcPr>
                <w:p w14:paraId="6D5B1C1B">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0.33kg/h</w:t>
                  </w:r>
                </w:p>
              </w:tc>
              <w:tc>
                <w:tcPr>
                  <w:tcW w:w="859" w:type="pct"/>
                  <w:vAlign w:val="center"/>
                </w:tcPr>
                <w:p w14:paraId="3FBCB4F0">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4.9kg/h</w:t>
                  </w:r>
                </w:p>
              </w:tc>
              <w:tc>
                <w:tcPr>
                  <w:tcW w:w="1011" w:type="pct"/>
                  <w:vAlign w:val="center"/>
                </w:tcPr>
                <w:p w14:paraId="5D950872">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0.33kg/h</w:t>
                  </w:r>
                </w:p>
              </w:tc>
            </w:tr>
            <w:tr w14:paraId="4179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9" w:type="pct"/>
                  <w:gridSpan w:val="2"/>
                  <w:vAlign w:val="center"/>
                </w:tcPr>
                <w:p w14:paraId="17009C48">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达标情况</w:t>
                  </w:r>
                </w:p>
              </w:tc>
              <w:tc>
                <w:tcPr>
                  <w:tcW w:w="788" w:type="pct"/>
                  <w:vAlign w:val="center"/>
                </w:tcPr>
                <w:p w14:paraId="37D471C1">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达标</w:t>
                  </w:r>
                </w:p>
              </w:tc>
              <w:tc>
                <w:tcPr>
                  <w:tcW w:w="1010" w:type="pct"/>
                  <w:vAlign w:val="center"/>
                </w:tcPr>
                <w:p w14:paraId="1D087B79">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达标</w:t>
                  </w:r>
                </w:p>
              </w:tc>
              <w:tc>
                <w:tcPr>
                  <w:tcW w:w="859" w:type="pct"/>
                  <w:vAlign w:val="center"/>
                </w:tcPr>
                <w:p w14:paraId="64ABD679">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达标</w:t>
                  </w:r>
                </w:p>
              </w:tc>
              <w:tc>
                <w:tcPr>
                  <w:tcW w:w="1011" w:type="pct"/>
                  <w:vAlign w:val="center"/>
                </w:tcPr>
                <w:p w14:paraId="226029CF">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达标</w:t>
                  </w:r>
                </w:p>
              </w:tc>
            </w:tr>
          </w:tbl>
          <w:p w14:paraId="450FA2A8">
            <w:pPr>
              <w:pStyle w:val="117"/>
              <w:widowControl/>
              <w:rPr>
                <w:color w:val="000000" w:themeColor="text1"/>
                <w:sz w:val="24"/>
                <w:szCs w:val="24"/>
                <w:vertAlign w:val="baseline"/>
                <w14:textFill>
                  <w14:solidFill>
                    <w14:schemeClr w14:val="tx1"/>
                  </w14:solidFill>
                </w14:textFill>
              </w:rPr>
            </w:pPr>
            <w:r>
              <w:rPr>
                <w:color w:val="000000" w:themeColor="text1"/>
                <w:sz w:val="24"/>
                <w:szCs w:val="24"/>
                <w14:textFill>
                  <w14:solidFill>
                    <w14:schemeClr w14:val="tx1"/>
                  </w14:solidFill>
                </w14:textFill>
              </w:rPr>
              <w:t>表</w:t>
            </w:r>
            <w:r>
              <w:rPr>
                <w:rFonts w:hint="eastAsia"/>
                <w:color w:val="000000" w:themeColor="text1"/>
                <w:sz w:val="24"/>
                <w:szCs w:val="24"/>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9</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 xml:space="preserve"> </w:t>
            </w:r>
            <w:r>
              <w:rPr>
                <w:color w:val="000000" w:themeColor="text1"/>
                <w:sz w:val="24"/>
                <w:szCs w:val="24"/>
                <w14:textFill>
                  <w14:solidFill>
                    <w14:schemeClr w14:val="tx1"/>
                  </w14:solidFill>
                </w14:textFill>
              </w:rPr>
              <w:t>废气</w:t>
            </w:r>
            <w:r>
              <w:rPr>
                <w:rFonts w:hint="eastAsia"/>
                <w:color w:val="000000" w:themeColor="text1"/>
                <w:sz w:val="24"/>
                <w:szCs w:val="24"/>
                <w:lang w:eastAsia="zh-CN"/>
                <w14:textFill>
                  <w14:solidFill>
                    <w14:schemeClr w14:val="tx1"/>
                  </w14:solidFill>
                </w14:textFill>
              </w:rPr>
              <w:t>臭气浓度</w:t>
            </w:r>
            <w:r>
              <w:rPr>
                <w:color w:val="000000" w:themeColor="text1"/>
                <w:sz w:val="24"/>
                <w:szCs w:val="24"/>
                <w14:textFill>
                  <w14:solidFill>
                    <w14:schemeClr w14:val="tx1"/>
                  </w14:solidFill>
                </w14:textFill>
              </w:rPr>
              <w:t>检测结果</w:t>
            </w:r>
          </w:p>
          <w:tbl>
            <w:tblPr>
              <w:tblStyle w:val="2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8"/>
              <w:gridCol w:w="1233"/>
              <w:gridCol w:w="1538"/>
              <w:gridCol w:w="489"/>
              <w:gridCol w:w="1080"/>
              <w:gridCol w:w="1022"/>
              <w:gridCol w:w="563"/>
              <w:gridCol w:w="1546"/>
            </w:tblGrid>
            <w:tr w14:paraId="4D42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pct"/>
                  <w:vAlign w:val="center"/>
                </w:tcPr>
                <w:p w14:paraId="4C610564">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检测日期</w:t>
                  </w:r>
                </w:p>
              </w:tc>
              <w:tc>
                <w:tcPr>
                  <w:tcW w:w="4343" w:type="pct"/>
                  <w:gridSpan w:val="7"/>
                  <w:vAlign w:val="center"/>
                </w:tcPr>
                <w:p w14:paraId="5DA04AE6">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2022年7月11日</w:t>
                  </w:r>
                </w:p>
              </w:tc>
            </w:tr>
            <w:tr w14:paraId="7178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pct"/>
                  <w:vMerge w:val="restart"/>
                  <w:vAlign w:val="center"/>
                </w:tcPr>
                <w:p w14:paraId="6F530858">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无组织废气</w:t>
                  </w:r>
                </w:p>
              </w:tc>
              <w:tc>
                <w:tcPr>
                  <w:tcW w:w="717" w:type="pct"/>
                  <w:vAlign w:val="center"/>
                </w:tcPr>
                <w:p w14:paraId="06DF7815">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检测点位</w:t>
                  </w:r>
                </w:p>
              </w:tc>
              <w:tc>
                <w:tcPr>
                  <w:tcW w:w="894" w:type="pct"/>
                  <w:vAlign w:val="center"/>
                </w:tcPr>
                <w:p w14:paraId="3CBB0539">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污水处理站上风向</w:t>
                  </w:r>
                  <w:r>
                    <w:rPr>
                      <w:rFonts w:hint="eastAsia"/>
                      <w:b w:val="0"/>
                      <w:bCs w:val="0"/>
                      <w:color w:val="000000" w:themeColor="text1"/>
                      <w:sz w:val="21"/>
                      <w:szCs w:val="21"/>
                      <w:vertAlign w:val="baseline"/>
                      <w:lang w:val="en-US" w:eastAsia="zh-CN"/>
                      <w14:textFill>
                        <w14:solidFill>
                          <w14:schemeClr w14:val="tx1"/>
                        </w14:solidFill>
                      </w14:textFill>
                    </w:rPr>
                    <w:t>1#</w:t>
                  </w:r>
                </w:p>
              </w:tc>
              <w:tc>
                <w:tcPr>
                  <w:tcW w:w="912" w:type="pct"/>
                  <w:gridSpan w:val="2"/>
                  <w:vAlign w:val="center"/>
                </w:tcPr>
                <w:p w14:paraId="03E6D052">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污水处理站下风向</w:t>
                  </w:r>
                  <w:r>
                    <w:rPr>
                      <w:rFonts w:hint="eastAsia"/>
                      <w:b w:val="0"/>
                      <w:bCs w:val="0"/>
                      <w:color w:val="000000" w:themeColor="text1"/>
                      <w:sz w:val="21"/>
                      <w:szCs w:val="21"/>
                      <w:vertAlign w:val="baseline"/>
                      <w:lang w:val="en-US" w:eastAsia="zh-CN"/>
                      <w14:textFill>
                        <w14:solidFill>
                          <w14:schemeClr w14:val="tx1"/>
                        </w14:solidFill>
                      </w14:textFill>
                    </w:rPr>
                    <w:t>2#</w:t>
                  </w:r>
                </w:p>
              </w:tc>
              <w:tc>
                <w:tcPr>
                  <w:tcW w:w="921" w:type="pct"/>
                  <w:gridSpan w:val="2"/>
                  <w:vAlign w:val="center"/>
                </w:tcPr>
                <w:p w14:paraId="62D5CC25">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污水处理站下风向</w:t>
                  </w:r>
                  <w:r>
                    <w:rPr>
                      <w:rFonts w:hint="eastAsia"/>
                      <w:b w:val="0"/>
                      <w:bCs w:val="0"/>
                      <w:color w:val="000000" w:themeColor="text1"/>
                      <w:sz w:val="21"/>
                      <w:szCs w:val="21"/>
                      <w:vertAlign w:val="baseline"/>
                      <w:lang w:val="en-US" w:eastAsia="zh-CN"/>
                      <w14:textFill>
                        <w14:solidFill>
                          <w14:schemeClr w14:val="tx1"/>
                        </w14:solidFill>
                      </w14:textFill>
                    </w:rPr>
                    <w:t>3#</w:t>
                  </w:r>
                </w:p>
              </w:tc>
              <w:tc>
                <w:tcPr>
                  <w:tcW w:w="897" w:type="pct"/>
                  <w:vAlign w:val="center"/>
                </w:tcPr>
                <w:p w14:paraId="0D5462F6">
                  <w:pPr>
                    <w:pStyle w:val="117"/>
                    <w:keepNext w:val="0"/>
                    <w:keepLines w:val="0"/>
                    <w:pageBreakBefore w:val="0"/>
                    <w:widowControl/>
                    <w:kinsoku/>
                    <w:wordWrap/>
                    <w:overflowPunct/>
                    <w:topLinePunct w:val="0"/>
                    <w:autoSpaceDE/>
                    <w:autoSpaceDN/>
                    <w:bidi w:val="0"/>
                    <w:adjustRightInd w:val="0"/>
                    <w:snapToGrid w:val="0"/>
                    <w:textAlignment w:val="auto"/>
                    <w:rPr>
                      <w:rFonts w:hint="eastAsia"/>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污水处理站下风向</w:t>
                  </w:r>
                  <w:r>
                    <w:rPr>
                      <w:rFonts w:hint="eastAsia"/>
                      <w:b w:val="0"/>
                      <w:bCs w:val="0"/>
                      <w:color w:val="000000" w:themeColor="text1"/>
                      <w:sz w:val="21"/>
                      <w:szCs w:val="21"/>
                      <w:vertAlign w:val="baseline"/>
                      <w:lang w:val="en-US" w:eastAsia="zh-CN"/>
                      <w14:textFill>
                        <w14:solidFill>
                          <w14:schemeClr w14:val="tx1"/>
                        </w14:solidFill>
                      </w14:textFill>
                    </w:rPr>
                    <w:t>4#</w:t>
                  </w:r>
                </w:p>
              </w:tc>
            </w:tr>
            <w:tr w14:paraId="2BE6E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pct"/>
                  <w:vMerge w:val="continue"/>
                  <w:vAlign w:val="center"/>
                </w:tcPr>
                <w:p w14:paraId="170D7A18">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p>
              </w:tc>
              <w:tc>
                <w:tcPr>
                  <w:tcW w:w="717" w:type="pct"/>
                  <w:vAlign w:val="center"/>
                </w:tcPr>
                <w:p w14:paraId="0F894928">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臭气浓度（无量纲）</w:t>
                  </w:r>
                </w:p>
              </w:tc>
              <w:tc>
                <w:tcPr>
                  <w:tcW w:w="894" w:type="pct"/>
                  <w:vAlign w:val="center"/>
                </w:tcPr>
                <w:p w14:paraId="38276A66">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ND</w:t>
                  </w:r>
                </w:p>
              </w:tc>
              <w:tc>
                <w:tcPr>
                  <w:tcW w:w="912" w:type="pct"/>
                  <w:gridSpan w:val="2"/>
                  <w:vAlign w:val="center"/>
                </w:tcPr>
                <w:p w14:paraId="40F55F5B">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ND</w:t>
                  </w:r>
                </w:p>
              </w:tc>
              <w:tc>
                <w:tcPr>
                  <w:tcW w:w="921" w:type="pct"/>
                  <w:gridSpan w:val="2"/>
                  <w:vAlign w:val="center"/>
                </w:tcPr>
                <w:p w14:paraId="40936EBD">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ND</w:t>
                  </w:r>
                </w:p>
              </w:tc>
              <w:tc>
                <w:tcPr>
                  <w:tcW w:w="897" w:type="pct"/>
                  <w:vAlign w:val="center"/>
                </w:tcPr>
                <w:p w14:paraId="10E3D71D">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ND</w:t>
                  </w:r>
                </w:p>
              </w:tc>
            </w:tr>
            <w:tr w14:paraId="5FC5F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pct"/>
                  <w:vMerge w:val="continue"/>
                  <w:vAlign w:val="center"/>
                </w:tcPr>
                <w:p w14:paraId="1B591DEF">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p>
              </w:tc>
              <w:tc>
                <w:tcPr>
                  <w:tcW w:w="717" w:type="pct"/>
                  <w:vAlign w:val="center"/>
                </w:tcPr>
                <w:p w14:paraId="4EF18FDA">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标准限值</w:t>
                  </w:r>
                </w:p>
              </w:tc>
              <w:tc>
                <w:tcPr>
                  <w:tcW w:w="3626" w:type="pct"/>
                  <w:gridSpan w:val="6"/>
                  <w:vAlign w:val="center"/>
                </w:tcPr>
                <w:p w14:paraId="337B0D41">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10</w:t>
                  </w:r>
                </w:p>
              </w:tc>
            </w:tr>
            <w:tr w14:paraId="7FAE4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pct"/>
                  <w:vMerge w:val="continue"/>
                  <w:vAlign w:val="center"/>
                </w:tcPr>
                <w:p w14:paraId="56180A9F">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p>
              </w:tc>
              <w:tc>
                <w:tcPr>
                  <w:tcW w:w="717" w:type="pct"/>
                  <w:vAlign w:val="center"/>
                </w:tcPr>
                <w:p w14:paraId="03953768">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达标情况</w:t>
                  </w:r>
                </w:p>
              </w:tc>
              <w:tc>
                <w:tcPr>
                  <w:tcW w:w="3626" w:type="pct"/>
                  <w:gridSpan w:val="6"/>
                  <w:vAlign w:val="center"/>
                </w:tcPr>
                <w:p w14:paraId="0C3212F7">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达标</w:t>
                  </w:r>
                </w:p>
              </w:tc>
            </w:tr>
            <w:tr w14:paraId="1E487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pct"/>
                  <w:vMerge w:val="restart"/>
                  <w:vAlign w:val="center"/>
                </w:tcPr>
                <w:p w14:paraId="1DD42BF3">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有组织废气</w:t>
                  </w:r>
                </w:p>
              </w:tc>
              <w:tc>
                <w:tcPr>
                  <w:tcW w:w="717" w:type="pct"/>
                  <w:vAlign w:val="center"/>
                </w:tcPr>
                <w:p w14:paraId="01A85A4C">
                  <w:pPr>
                    <w:pStyle w:val="117"/>
                    <w:keepNext w:val="0"/>
                    <w:keepLines w:val="0"/>
                    <w:pageBreakBefore w:val="0"/>
                    <w:widowControl/>
                    <w:kinsoku/>
                    <w:wordWrap/>
                    <w:overflowPunct/>
                    <w:topLinePunct w:val="0"/>
                    <w:autoSpaceDE/>
                    <w:autoSpaceDN/>
                    <w:bidi w:val="0"/>
                    <w:adjustRightInd w:val="0"/>
                    <w:snapToGrid w:val="0"/>
                    <w:textAlignment w:val="auto"/>
                    <w:rPr>
                      <w:rFonts w:hint="eastAsia"/>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检测频次</w:t>
                  </w:r>
                </w:p>
              </w:tc>
              <w:tc>
                <w:tcPr>
                  <w:tcW w:w="1178" w:type="pct"/>
                  <w:gridSpan w:val="2"/>
                  <w:vAlign w:val="center"/>
                </w:tcPr>
                <w:p w14:paraId="3AD2E235">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第一次</w:t>
                  </w:r>
                </w:p>
              </w:tc>
              <w:tc>
                <w:tcPr>
                  <w:tcW w:w="1222" w:type="pct"/>
                  <w:gridSpan w:val="2"/>
                  <w:vAlign w:val="center"/>
                </w:tcPr>
                <w:p w14:paraId="35AD9474">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第二次</w:t>
                  </w:r>
                </w:p>
              </w:tc>
              <w:tc>
                <w:tcPr>
                  <w:tcW w:w="1225" w:type="pct"/>
                  <w:gridSpan w:val="2"/>
                  <w:vAlign w:val="center"/>
                </w:tcPr>
                <w:p w14:paraId="553C69A2">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第三次</w:t>
                  </w:r>
                </w:p>
              </w:tc>
            </w:tr>
            <w:tr w14:paraId="31B9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pct"/>
                  <w:vMerge w:val="continue"/>
                  <w:vAlign w:val="center"/>
                </w:tcPr>
                <w:p w14:paraId="7503A0F5">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p>
              </w:tc>
              <w:tc>
                <w:tcPr>
                  <w:tcW w:w="717" w:type="pct"/>
                  <w:vAlign w:val="center"/>
                </w:tcPr>
                <w:p w14:paraId="0CB0E44C">
                  <w:pPr>
                    <w:pStyle w:val="117"/>
                    <w:keepNext w:val="0"/>
                    <w:keepLines w:val="0"/>
                    <w:pageBreakBefore w:val="0"/>
                    <w:widowControl/>
                    <w:kinsoku/>
                    <w:wordWrap/>
                    <w:overflowPunct/>
                    <w:topLinePunct w:val="0"/>
                    <w:autoSpaceDE/>
                    <w:autoSpaceDN/>
                    <w:bidi w:val="0"/>
                    <w:adjustRightInd w:val="0"/>
                    <w:snapToGrid w:val="0"/>
                    <w:textAlignment w:val="auto"/>
                    <w:rPr>
                      <w:rFonts w:hint="eastAsia"/>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臭气浓度（无量纲）</w:t>
                  </w:r>
                </w:p>
              </w:tc>
              <w:tc>
                <w:tcPr>
                  <w:tcW w:w="1178" w:type="pct"/>
                  <w:gridSpan w:val="2"/>
                  <w:vAlign w:val="center"/>
                </w:tcPr>
                <w:p w14:paraId="7355A8A4">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229</w:t>
                  </w:r>
                </w:p>
              </w:tc>
              <w:tc>
                <w:tcPr>
                  <w:tcW w:w="1222" w:type="pct"/>
                  <w:gridSpan w:val="2"/>
                  <w:vAlign w:val="center"/>
                </w:tcPr>
                <w:p w14:paraId="608DF11D">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309</w:t>
                  </w:r>
                </w:p>
              </w:tc>
              <w:tc>
                <w:tcPr>
                  <w:tcW w:w="1225" w:type="pct"/>
                  <w:gridSpan w:val="2"/>
                  <w:vAlign w:val="center"/>
                </w:tcPr>
                <w:p w14:paraId="769E6A50">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309</w:t>
                  </w:r>
                </w:p>
              </w:tc>
            </w:tr>
            <w:tr w14:paraId="027E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pct"/>
                  <w:vMerge w:val="continue"/>
                  <w:vAlign w:val="center"/>
                </w:tcPr>
                <w:p w14:paraId="2B813496">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p>
              </w:tc>
              <w:tc>
                <w:tcPr>
                  <w:tcW w:w="717" w:type="pct"/>
                  <w:vAlign w:val="center"/>
                </w:tcPr>
                <w:p w14:paraId="5D0E6C88">
                  <w:pPr>
                    <w:pStyle w:val="117"/>
                    <w:keepNext w:val="0"/>
                    <w:keepLines w:val="0"/>
                    <w:pageBreakBefore w:val="0"/>
                    <w:widowControl/>
                    <w:kinsoku/>
                    <w:wordWrap/>
                    <w:overflowPunct/>
                    <w:topLinePunct w:val="0"/>
                    <w:autoSpaceDE/>
                    <w:autoSpaceDN/>
                    <w:bidi w:val="0"/>
                    <w:adjustRightInd w:val="0"/>
                    <w:snapToGrid w:val="0"/>
                    <w:textAlignment w:val="auto"/>
                    <w:rPr>
                      <w:rFonts w:hint="eastAsia"/>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标准限值</w:t>
                  </w:r>
                </w:p>
              </w:tc>
              <w:tc>
                <w:tcPr>
                  <w:tcW w:w="3626" w:type="pct"/>
                  <w:gridSpan w:val="6"/>
                  <w:vAlign w:val="center"/>
                </w:tcPr>
                <w:p w14:paraId="047ADD3B">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2000</w:t>
                  </w:r>
                </w:p>
              </w:tc>
            </w:tr>
            <w:tr w14:paraId="2946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pct"/>
                  <w:vMerge w:val="continue"/>
                  <w:vAlign w:val="center"/>
                </w:tcPr>
                <w:p w14:paraId="053290B7">
                  <w:pPr>
                    <w:pStyle w:val="117"/>
                    <w:keepNext w:val="0"/>
                    <w:keepLines w:val="0"/>
                    <w:pageBreakBefore w:val="0"/>
                    <w:widowControl/>
                    <w:kinsoku/>
                    <w:wordWrap/>
                    <w:overflowPunct/>
                    <w:topLinePunct w:val="0"/>
                    <w:autoSpaceDE/>
                    <w:autoSpaceDN/>
                    <w:bidi w:val="0"/>
                    <w:adjustRightInd w:val="0"/>
                    <w:snapToGrid w:val="0"/>
                    <w:textAlignment w:val="auto"/>
                    <w:rPr>
                      <w:b w:val="0"/>
                      <w:bCs w:val="0"/>
                      <w:color w:val="000000" w:themeColor="text1"/>
                      <w:sz w:val="21"/>
                      <w:szCs w:val="21"/>
                      <w:vertAlign w:val="baseline"/>
                      <w14:textFill>
                        <w14:solidFill>
                          <w14:schemeClr w14:val="tx1"/>
                        </w14:solidFill>
                      </w14:textFill>
                    </w:rPr>
                  </w:pPr>
                </w:p>
              </w:tc>
              <w:tc>
                <w:tcPr>
                  <w:tcW w:w="717" w:type="pct"/>
                  <w:vAlign w:val="center"/>
                </w:tcPr>
                <w:p w14:paraId="62EEBED3">
                  <w:pPr>
                    <w:pStyle w:val="117"/>
                    <w:keepNext w:val="0"/>
                    <w:keepLines w:val="0"/>
                    <w:pageBreakBefore w:val="0"/>
                    <w:widowControl/>
                    <w:kinsoku/>
                    <w:wordWrap/>
                    <w:overflowPunct/>
                    <w:topLinePunct w:val="0"/>
                    <w:autoSpaceDE/>
                    <w:autoSpaceDN/>
                    <w:bidi w:val="0"/>
                    <w:adjustRightInd w:val="0"/>
                    <w:snapToGrid w:val="0"/>
                    <w:textAlignment w:val="auto"/>
                    <w:rPr>
                      <w:rFonts w:hint="eastAsia"/>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达标情况</w:t>
                  </w:r>
                </w:p>
              </w:tc>
              <w:tc>
                <w:tcPr>
                  <w:tcW w:w="3626" w:type="pct"/>
                  <w:gridSpan w:val="6"/>
                  <w:vAlign w:val="center"/>
                </w:tcPr>
                <w:p w14:paraId="7157B452">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达标</w:t>
                  </w:r>
                </w:p>
              </w:tc>
            </w:tr>
          </w:tbl>
          <w:p w14:paraId="5B9D2164">
            <w:pPr>
              <w:pStyle w:val="117"/>
              <w:widowControl/>
              <w:rPr>
                <w:color w:val="000000" w:themeColor="text1"/>
                <w:sz w:val="24"/>
                <w:szCs w:val="24"/>
                <w:vertAlign w:val="baseline"/>
                <w14:textFill>
                  <w14:solidFill>
                    <w14:schemeClr w14:val="tx1"/>
                  </w14:solidFill>
                </w14:textFill>
              </w:rPr>
            </w:pPr>
            <w:r>
              <w:rPr>
                <w:color w:val="000000" w:themeColor="text1"/>
                <w:sz w:val="24"/>
                <w:szCs w:val="24"/>
                <w14:textFill>
                  <w14:solidFill>
                    <w14:schemeClr w14:val="tx1"/>
                  </w14:solidFill>
                </w14:textFill>
              </w:rPr>
              <w:t>表</w:t>
            </w:r>
            <w:r>
              <w:rPr>
                <w:rFonts w:hint="eastAsia"/>
                <w:color w:val="000000" w:themeColor="text1"/>
                <w:sz w:val="24"/>
                <w:szCs w:val="24"/>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10</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 xml:space="preserve"> </w:t>
            </w:r>
            <w:r>
              <w:rPr>
                <w:rFonts w:hint="eastAsia"/>
                <w:color w:val="000000" w:themeColor="text1"/>
                <w:sz w:val="24"/>
                <w:szCs w:val="24"/>
                <w:lang w:eastAsia="zh-CN"/>
                <w14:textFill>
                  <w14:solidFill>
                    <w14:schemeClr w14:val="tx1"/>
                  </w14:solidFill>
                </w14:textFill>
              </w:rPr>
              <w:t>食堂油烟</w:t>
            </w:r>
            <w:r>
              <w:rPr>
                <w:color w:val="000000" w:themeColor="text1"/>
                <w:sz w:val="24"/>
                <w:szCs w:val="24"/>
                <w14:textFill>
                  <w14:solidFill>
                    <w14:schemeClr w14:val="tx1"/>
                  </w14:solidFill>
                </w14:textFill>
              </w:rPr>
              <w:t>检测结果</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1618"/>
              <w:gridCol w:w="1319"/>
              <w:gridCol w:w="573"/>
              <w:gridCol w:w="673"/>
              <w:gridCol w:w="1259"/>
              <w:gridCol w:w="222"/>
              <w:gridCol w:w="1065"/>
              <w:gridCol w:w="1213"/>
            </w:tblGrid>
            <w:tr w14:paraId="704B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1323" w:type="pct"/>
                  <w:gridSpan w:val="2"/>
                  <w:vAlign w:val="center"/>
                </w:tcPr>
                <w:p w14:paraId="5CAFECBB">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eastAsia="宋体"/>
                      <w:b w:val="0"/>
                      <w:bCs w:val="0"/>
                      <w:color w:val="000000" w:themeColor="text1"/>
                      <w:sz w:val="21"/>
                      <w:szCs w:val="21"/>
                      <w:vertAlign w:val="baseline"/>
                      <w:lang w:eastAsia="zh-CN"/>
                      <w14:textFill>
                        <w14:solidFill>
                          <w14:schemeClr w14:val="tx1"/>
                        </w14:solidFill>
                      </w14:textFill>
                    </w:rPr>
                    <w:t>检测点位</w:t>
                  </w:r>
                </w:p>
              </w:tc>
              <w:tc>
                <w:tcPr>
                  <w:tcW w:w="1100" w:type="pct"/>
                  <w:gridSpan w:val="2"/>
                  <w:vAlign w:val="center"/>
                </w:tcPr>
                <w:p w14:paraId="550238C8">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食堂废气排放口</w:t>
                  </w:r>
                </w:p>
              </w:tc>
              <w:tc>
                <w:tcPr>
                  <w:tcW w:w="1252" w:type="pct"/>
                  <w:gridSpan w:val="3"/>
                  <w:vAlign w:val="center"/>
                </w:tcPr>
                <w:p w14:paraId="0F9090D9">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采样日期</w:t>
                  </w:r>
                </w:p>
              </w:tc>
              <w:tc>
                <w:tcPr>
                  <w:tcW w:w="1323" w:type="pct"/>
                  <w:gridSpan w:val="2"/>
                  <w:vAlign w:val="center"/>
                </w:tcPr>
                <w:p w14:paraId="4CD27A5E">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2022年11月12日</w:t>
                  </w:r>
                </w:p>
              </w:tc>
            </w:tr>
            <w:tr w14:paraId="6BC4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pct"/>
                  <w:gridSpan w:val="2"/>
                  <w:vAlign w:val="center"/>
                </w:tcPr>
                <w:p w14:paraId="4BC7B878">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检测频次</w:t>
                  </w:r>
                </w:p>
              </w:tc>
              <w:tc>
                <w:tcPr>
                  <w:tcW w:w="767" w:type="pct"/>
                  <w:vAlign w:val="center"/>
                </w:tcPr>
                <w:p w14:paraId="235CE00E">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eastAsia="宋体"/>
                      <w:b w:val="0"/>
                      <w:bCs w:val="0"/>
                      <w:color w:val="000000" w:themeColor="text1"/>
                      <w:sz w:val="21"/>
                      <w:szCs w:val="21"/>
                      <w:vertAlign w:val="baseline"/>
                      <w:lang w:eastAsia="zh-CN"/>
                      <w14:textFill>
                        <w14:solidFill>
                          <w14:schemeClr w14:val="tx1"/>
                        </w14:solidFill>
                      </w14:textFill>
                    </w:rPr>
                    <w:t>第一次</w:t>
                  </w:r>
                </w:p>
              </w:tc>
              <w:tc>
                <w:tcPr>
                  <w:tcW w:w="724" w:type="pct"/>
                  <w:gridSpan w:val="2"/>
                  <w:vAlign w:val="center"/>
                </w:tcPr>
                <w:p w14:paraId="142A42F5">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eastAsia="宋体"/>
                      <w:b w:val="0"/>
                      <w:bCs w:val="0"/>
                      <w:color w:val="000000" w:themeColor="text1"/>
                      <w:sz w:val="21"/>
                      <w:szCs w:val="21"/>
                      <w:vertAlign w:val="baseline"/>
                      <w:lang w:eastAsia="zh-CN"/>
                      <w14:textFill>
                        <w14:solidFill>
                          <w14:schemeClr w14:val="tx1"/>
                        </w14:solidFill>
                      </w14:textFill>
                    </w:rPr>
                    <w:t>第二次</w:t>
                  </w:r>
                </w:p>
              </w:tc>
              <w:tc>
                <w:tcPr>
                  <w:tcW w:w="732" w:type="pct"/>
                  <w:vAlign w:val="center"/>
                </w:tcPr>
                <w:p w14:paraId="4C63509A">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eastAsia="宋体"/>
                      <w:b w:val="0"/>
                      <w:bCs w:val="0"/>
                      <w:color w:val="000000" w:themeColor="text1"/>
                      <w:sz w:val="21"/>
                      <w:szCs w:val="21"/>
                      <w:vertAlign w:val="baseline"/>
                      <w:lang w:eastAsia="zh-CN"/>
                      <w14:textFill>
                        <w14:solidFill>
                          <w14:schemeClr w14:val="tx1"/>
                        </w14:solidFill>
                      </w14:textFill>
                    </w:rPr>
                    <w:t>第三次</w:t>
                  </w:r>
                </w:p>
              </w:tc>
              <w:tc>
                <w:tcPr>
                  <w:tcW w:w="748" w:type="pct"/>
                  <w:gridSpan w:val="2"/>
                  <w:vAlign w:val="center"/>
                </w:tcPr>
                <w:p w14:paraId="710DAAED">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eastAsia="宋体"/>
                      <w:b w:val="0"/>
                      <w:bCs w:val="0"/>
                      <w:color w:val="000000" w:themeColor="text1"/>
                      <w:sz w:val="21"/>
                      <w:szCs w:val="21"/>
                      <w:vertAlign w:val="baseline"/>
                      <w:lang w:eastAsia="zh-CN"/>
                      <w14:textFill>
                        <w14:solidFill>
                          <w14:schemeClr w14:val="tx1"/>
                        </w14:solidFill>
                      </w14:textFill>
                    </w:rPr>
                    <w:t>第四次</w:t>
                  </w:r>
                </w:p>
              </w:tc>
              <w:tc>
                <w:tcPr>
                  <w:tcW w:w="704" w:type="pct"/>
                  <w:vAlign w:val="center"/>
                </w:tcPr>
                <w:p w14:paraId="2FE37785">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eastAsia="宋体"/>
                      <w:b w:val="0"/>
                      <w:bCs w:val="0"/>
                      <w:color w:val="000000" w:themeColor="text1"/>
                      <w:sz w:val="21"/>
                      <w:szCs w:val="21"/>
                      <w:vertAlign w:val="baseline"/>
                      <w:lang w:eastAsia="zh-CN"/>
                      <w14:textFill>
                        <w14:solidFill>
                          <w14:schemeClr w14:val="tx1"/>
                        </w14:solidFill>
                      </w14:textFill>
                    </w:rPr>
                    <w:t>第五次</w:t>
                  </w:r>
                </w:p>
              </w:tc>
            </w:tr>
            <w:tr w14:paraId="6695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 w:type="pct"/>
                  <w:vMerge w:val="restart"/>
                  <w:vAlign w:val="center"/>
                </w:tcPr>
                <w:p w14:paraId="43476DF2">
                  <w:pPr>
                    <w:pStyle w:val="117"/>
                    <w:keepNext w:val="0"/>
                    <w:keepLines w:val="0"/>
                    <w:pageBreakBefore w:val="0"/>
                    <w:widowControl/>
                    <w:kinsoku/>
                    <w:wordWrap/>
                    <w:overflowPunct/>
                    <w:topLinePunct w:val="0"/>
                    <w:autoSpaceDE/>
                    <w:autoSpaceDN/>
                    <w:bidi w:val="0"/>
                    <w:adjustRightInd w:val="0"/>
                    <w:snapToGrid w:val="0"/>
                    <w:textAlignment w:val="auto"/>
                    <w:rPr>
                      <w:rFonts w:hint="eastAsia"/>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饮食业油烟</w:t>
                  </w:r>
                </w:p>
              </w:tc>
              <w:tc>
                <w:tcPr>
                  <w:tcW w:w="940" w:type="pct"/>
                  <w:vAlign w:val="center"/>
                </w:tcPr>
                <w:p w14:paraId="3D31303E">
                  <w:pPr>
                    <w:pStyle w:val="117"/>
                    <w:keepNext w:val="0"/>
                    <w:keepLines w:val="0"/>
                    <w:pageBreakBefore w:val="0"/>
                    <w:widowControl/>
                    <w:kinsoku/>
                    <w:wordWrap/>
                    <w:overflowPunct/>
                    <w:topLinePunct w:val="0"/>
                    <w:autoSpaceDE/>
                    <w:autoSpaceDN/>
                    <w:bidi w:val="0"/>
                    <w:adjustRightInd w:val="0"/>
                    <w:snapToGrid w:val="0"/>
                    <w:textAlignment w:val="auto"/>
                    <w:rPr>
                      <w:rFonts w:hint="eastAsia"/>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测定浓度（</w:t>
                  </w:r>
                  <w:r>
                    <w:rPr>
                      <w:rFonts w:hint="eastAsia"/>
                      <w:b w:val="0"/>
                      <w:bCs w:val="0"/>
                      <w:color w:val="000000" w:themeColor="text1"/>
                      <w:sz w:val="21"/>
                      <w:szCs w:val="21"/>
                      <w:vertAlign w:val="baseline"/>
                      <w:lang w:val="en-US" w:eastAsia="zh-CN"/>
                      <w14:textFill>
                        <w14:solidFill>
                          <w14:schemeClr w14:val="tx1"/>
                        </w14:solidFill>
                      </w14:textFill>
                    </w:rPr>
                    <w:t>mg/m</w:t>
                  </w:r>
                  <w:r>
                    <w:rPr>
                      <w:rFonts w:hint="eastAsia"/>
                      <w:b w:val="0"/>
                      <w:bCs w:val="0"/>
                      <w:color w:val="000000" w:themeColor="text1"/>
                      <w:sz w:val="21"/>
                      <w:szCs w:val="21"/>
                      <w:vertAlign w:val="superscript"/>
                      <w:lang w:val="en-US" w:eastAsia="zh-CN"/>
                      <w14:textFill>
                        <w14:solidFill>
                          <w14:schemeClr w14:val="tx1"/>
                        </w14:solidFill>
                      </w14:textFill>
                    </w:rPr>
                    <w:t>3</w:t>
                  </w:r>
                  <w:r>
                    <w:rPr>
                      <w:rFonts w:hint="eastAsia"/>
                      <w:b w:val="0"/>
                      <w:bCs w:val="0"/>
                      <w:color w:val="000000" w:themeColor="text1"/>
                      <w:sz w:val="21"/>
                      <w:szCs w:val="21"/>
                      <w:vertAlign w:val="baseline"/>
                      <w:lang w:eastAsia="zh-CN"/>
                      <w14:textFill>
                        <w14:solidFill>
                          <w14:schemeClr w14:val="tx1"/>
                        </w14:solidFill>
                      </w14:textFill>
                    </w:rPr>
                    <w:t>）</w:t>
                  </w:r>
                </w:p>
              </w:tc>
              <w:tc>
                <w:tcPr>
                  <w:tcW w:w="767" w:type="pct"/>
                  <w:vAlign w:val="center"/>
                </w:tcPr>
                <w:p w14:paraId="012F4E1E">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0.387</w:t>
                  </w:r>
                </w:p>
              </w:tc>
              <w:tc>
                <w:tcPr>
                  <w:tcW w:w="724" w:type="pct"/>
                  <w:gridSpan w:val="2"/>
                  <w:vAlign w:val="center"/>
                </w:tcPr>
                <w:p w14:paraId="1856F6B0">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0.479</w:t>
                  </w:r>
                </w:p>
              </w:tc>
              <w:tc>
                <w:tcPr>
                  <w:tcW w:w="732" w:type="pct"/>
                  <w:vAlign w:val="center"/>
                </w:tcPr>
                <w:p w14:paraId="47C6A35F">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0.437</w:t>
                  </w:r>
                </w:p>
              </w:tc>
              <w:tc>
                <w:tcPr>
                  <w:tcW w:w="748" w:type="pct"/>
                  <w:gridSpan w:val="2"/>
                  <w:vAlign w:val="center"/>
                </w:tcPr>
                <w:p w14:paraId="57CD3618">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0.401</w:t>
                  </w:r>
                </w:p>
              </w:tc>
              <w:tc>
                <w:tcPr>
                  <w:tcW w:w="704" w:type="pct"/>
                  <w:vAlign w:val="center"/>
                </w:tcPr>
                <w:p w14:paraId="7C024F2B">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0.374</w:t>
                  </w:r>
                </w:p>
              </w:tc>
            </w:tr>
            <w:tr w14:paraId="7A2F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 w:type="pct"/>
                  <w:vMerge w:val="continue"/>
                  <w:vAlign w:val="center"/>
                </w:tcPr>
                <w:p w14:paraId="420CC5EB">
                  <w:pPr>
                    <w:pStyle w:val="117"/>
                    <w:keepNext w:val="0"/>
                    <w:keepLines w:val="0"/>
                    <w:pageBreakBefore w:val="0"/>
                    <w:widowControl/>
                    <w:kinsoku/>
                    <w:wordWrap/>
                    <w:overflowPunct/>
                    <w:topLinePunct w:val="0"/>
                    <w:autoSpaceDE/>
                    <w:autoSpaceDN/>
                    <w:bidi w:val="0"/>
                    <w:adjustRightInd w:val="0"/>
                    <w:snapToGrid w:val="0"/>
                    <w:textAlignment w:val="auto"/>
                    <w:rPr>
                      <w:rFonts w:hint="eastAsia"/>
                      <w:b w:val="0"/>
                      <w:bCs w:val="0"/>
                      <w:color w:val="000000" w:themeColor="text1"/>
                      <w:sz w:val="21"/>
                      <w:szCs w:val="21"/>
                      <w:vertAlign w:val="baseline"/>
                      <w:lang w:eastAsia="zh-CN"/>
                      <w14:textFill>
                        <w14:solidFill>
                          <w14:schemeClr w14:val="tx1"/>
                        </w14:solidFill>
                      </w14:textFill>
                    </w:rPr>
                  </w:pPr>
                </w:p>
              </w:tc>
              <w:tc>
                <w:tcPr>
                  <w:tcW w:w="940" w:type="pct"/>
                  <w:vAlign w:val="center"/>
                </w:tcPr>
                <w:p w14:paraId="7D3E0448">
                  <w:pPr>
                    <w:pStyle w:val="117"/>
                    <w:keepNext w:val="0"/>
                    <w:keepLines w:val="0"/>
                    <w:pageBreakBefore w:val="0"/>
                    <w:widowControl/>
                    <w:kinsoku/>
                    <w:wordWrap/>
                    <w:overflowPunct/>
                    <w:topLinePunct w:val="0"/>
                    <w:autoSpaceDE/>
                    <w:autoSpaceDN/>
                    <w:bidi w:val="0"/>
                    <w:adjustRightInd w:val="0"/>
                    <w:snapToGrid w:val="0"/>
                    <w:textAlignment w:val="auto"/>
                    <w:rPr>
                      <w:rFonts w:hint="eastAsia"/>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基准排风量浓度（</w:t>
                  </w:r>
                  <w:r>
                    <w:rPr>
                      <w:rFonts w:hint="eastAsia"/>
                      <w:b w:val="0"/>
                      <w:bCs w:val="0"/>
                      <w:color w:val="000000" w:themeColor="text1"/>
                      <w:sz w:val="21"/>
                      <w:szCs w:val="21"/>
                      <w:vertAlign w:val="baseline"/>
                      <w:lang w:val="en-US" w:eastAsia="zh-CN"/>
                      <w14:textFill>
                        <w14:solidFill>
                          <w14:schemeClr w14:val="tx1"/>
                        </w14:solidFill>
                      </w14:textFill>
                    </w:rPr>
                    <w:t>mg/m</w:t>
                  </w:r>
                  <w:r>
                    <w:rPr>
                      <w:rFonts w:hint="eastAsia"/>
                      <w:b w:val="0"/>
                      <w:bCs w:val="0"/>
                      <w:color w:val="000000" w:themeColor="text1"/>
                      <w:sz w:val="21"/>
                      <w:szCs w:val="21"/>
                      <w:vertAlign w:val="superscript"/>
                      <w:lang w:val="en-US" w:eastAsia="zh-CN"/>
                      <w14:textFill>
                        <w14:solidFill>
                          <w14:schemeClr w14:val="tx1"/>
                        </w14:solidFill>
                      </w14:textFill>
                    </w:rPr>
                    <w:t>3</w:t>
                  </w:r>
                  <w:r>
                    <w:rPr>
                      <w:rFonts w:hint="eastAsia"/>
                      <w:b w:val="0"/>
                      <w:bCs w:val="0"/>
                      <w:color w:val="000000" w:themeColor="text1"/>
                      <w:sz w:val="21"/>
                      <w:szCs w:val="21"/>
                      <w:vertAlign w:val="baseline"/>
                      <w:lang w:eastAsia="zh-CN"/>
                      <w14:textFill>
                        <w14:solidFill>
                          <w14:schemeClr w14:val="tx1"/>
                        </w14:solidFill>
                      </w14:textFill>
                    </w:rPr>
                    <w:t>）</w:t>
                  </w:r>
                </w:p>
              </w:tc>
              <w:tc>
                <w:tcPr>
                  <w:tcW w:w="767" w:type="pct"/>
                  <w:vAlign w:val="center"/>
                </w:tcPr>
                <w:p w14:paraId="11F9DF27">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0.3</w:t>
                  </w:r>
                </w:p>
              </w:tc>
              <w:tc>
                <w:tcPr>
                  <w:tcW w:w="724" w:type="pct"/>
                  <w:gridSpan w:val="2"/>
                  <w:vAlign w:val="center"/>
                </w:tcPr>
                <w:p w14:paraId="39F1B9F2">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0.3</w:t>
                  </w:r>
                </w:p>
              </w:tc>
              <w:tc>
                <w:tcPr>
                  <w:tcW w:w="732" w:type="pct"/>
                  <w:vAlign w:val="center"/>
                </w:tcPr>
                <w:p w14:paraId="3BB5F1EE">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0.3</w:t>
                  </w:r>
                </w:p>
              </w:tc>
              <w:tc>
                <w:tcPr>
                  <w:tcW w:w="748" w:type="pct"/>
                  <w:gridSpan w:val="2"/>
                  <w:vAlign w:val="center"/>
                </w:tcPr>
                <w:p w14:paraId="44B9A261">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0.3</w:t>
                  </w:r>
                </w:p>
              </w:tc>
              <w:tc>
                <w:tcPr>
                  <w:tcW w:w="704" w:type="pct"/>
                  <w:vAlign w:val="center"/>
                </w:tcPr>
                <w:p w14:paraId="225107AB">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0.3</w:t>
                  </w:r>
                </w:p>
              </w:tc>
            </w:tr>
            <w:tr w14:paraId="2C8D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1323" w:type="pct"/>
                  <w:gridSpan w:val="2"/>
                  <w:vAlign w:val="center"/>
                </w:tcPr>
                <w:p w14:paraId="11AAC019">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eastAsia="宋体"/>
                      <w:b w:val="0"/>
                      <w:bCs w:val="0"/>
                      <w:color w:val="000000" w:themeColor="text1"/>
                      <w:sz w:val="21"/>
                      <w:szCs w:val="21"/>
                      <w:vertAlign w:val="baseline"/>
                      <w:lang w:eastAsia="zh-CN"/>
                      <w14:textFill>
                        <w14:solidFill>
                          <w14:schemeClr w14:val="tx1"/>
                        </w14:solidFill>
                      </w14:textFill>
                    </w:rPr>
                    <w:t>检测点位</w:t>
                  </w:r>
                </w:p>
              </w:tc>
              <w:tc>
                <w:tcPr>
                  <w:tcW w:w="1100" w:type="pct"/>
                  <w:gridSpan w:val="2"/>
                  <w:vAlign w:val="center"/>
                </w:tcPr>
                <w:p w14:paraId="0F955F0A">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食堂废气排放口</w:t>
                  </w:r>
                </w:p>
              </w:tc>
              <w:tc>
                <w:tcPr>
                  <w:tcW w:w="1252" w:type="pct"/>
                  <w:gridSpan w:val="3"/>
                  <w:vAlign w:val="center"/>
                </w:tcPr>
                <w:p w14:paraId="1E568263">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采样日期</w:t>
                  </w:r>
                </w:p>
              </w:tc>
              <w:tc>
                <w:tcPr>
                  <w:tcW w:w="1323" w:type="pct"/>
                  <w:gridSpan w:val="2"/>
                  <w:vAlign w:val="center"/>
                </w:tcPr>
                <w:p w14:paraId="6EAD4A45">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2022年11月13日</w:t>
                  </w:r>
                </w:p>
              </w:tc>
            </w:tr>
            <w:tr w14:paraId="01A2C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pct"/>
                  <w:gridSpan w:val="2"/>
                  <w:vAlign w:val="center"/>
                </w:tcPr>
                <w:p w14:paraId="1432DAEE">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检测频次</w:t>
                  </w:r>
                </w:p>
              </w:tc>
              <w:tc>
                <w:tcPr>
                  <w:tcW w:w="1319" w:type="dxa"/>
                  <w:vAlign w:val="center"/>
                </w:tcPr>
                <w:p w14:paraId="5083D9C2">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eastAsia="宋体"/>
                      <w:b w:val="0"/>
                      <w:bCs w:val="0"/>
                      <w:color w:val="000000" w:themeColor="text1"/>
                      <w:sz w:val="21"/>
                      <w:szCs w:val="21"/>
                      <w:vertAlign w:val="baseline"/>
                      <w:lang w:eastAsia="zh-CN"/>
                      <w14:textFill>
                        <w14:solidFill>
                          <w14:schemeClr w14:val="tx1"/>
                        </w14:solidFill>
                      </w14:textFill>
                    </w:rPr>
                    <w:t>第一次</w:t>
                  </w:r>
                </w:p>
              </w:tc>
              <w:tc>
                <w:tcPr>
                  <w:tcW w:w="1246" w:type="dxa"/>
                  <w:gridSpan w:val="2"/>
                  <w:vAlign w:val="center"/>
                </w:tcPr>
                <w:p w14:paraId="0120FDA8">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eastAsia="宋体"/>
                      <w:b w:val="0"/>
                      <w:bCs w:val="0"/>
                      <w:color w:val="000000" w:themeColor="text1"/>
                      <w:sz w:val="21"/>
                      <w:szCs w:val="21"/>
                      <w:vertAlign w:val="baseline"/>
                      <w:lang w:eastAsia="zh-CN"/>
                      <w14:textFill>
                        <w14:solidFill>
                          <w14:schemeClr w14:val="tx1"/>
                        </w14:solidFill>
                      </w14:textFill>
                    </w:rPr>
                    <w:t>第二次</w:t>
                  </w:r>
                </w:p>
              </w:tc>
              <w:tc>
                <w:tcPr>
                  <w:tcW w:w="1259" w:type="dxa"/>
                  <w:vAlign w:val="center"/>
                </w:tcPr>
                <w:p w14:paraId="2A434D2E">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eastAsia="宋体"/>
                      <w:b w:val="0"/>
                      <w:bCs w:val="0"/>
                      <w:color w:val="000000" w:themeColor="text1"/>
                      <w:sz w:val="21"/>
                      <w:szCs w:val="21"/>
                      <w:vertAlign w:val="baseline"/>
                      <w:lang w:eastAsia="zh-CN"/>
                      <w14:textFill>
                        <w14:solidFill>
                          <w14:schemeClr w14:val="tx1"/>
                        </w14:solidFill>
                      </w14:textFill>
                    </w:rPr>
                    <w:t>第三次</w:t>
                  </w:r>
                </w:p>
              </w:tc>
              <w:tc>
                <w:tcPr>
                  <w:tcW w:w="1287" w:type="dxa"/>
                  <w:gridSpan w:val="2"/>
                  <w:vAlign w:val="center"/>
                </w:tcPr>
                <w:p w14:paraId="6BE1C9BA">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eastAsia="宋体"/>
                      <w:b w:val="0"/>
                      <w:bCs w:val="0"/>
                      <w:color w:val="000000" w:themeColor="text1"/>
                      <w:sz w:val="21"/>
                      <w:szCs w:val="21"/>
                      <w:vertAlign w:val="baseline"/>
                      <w:lang w:eastAsia="zh-CN"/>
                      <w14:textFill>
                        <w14:solidFill>
                          <w14:schemeClr w14:val="tx1"/>
                        </w14:solidFill>
                      </w14:textFill>
                    </w:rPr>
                    <w:t>第四次</w:t>
                  </w:r>
                </w:p>
              </w:tc>
              <w:tc>
                <w:tcPr>
                  <w:tcW w:w="1213" w:type="dxa"/>
                  <w:vAlign w:val="center"/>
                </w:tcPr>
                <w:p w14:paraId="4B94FC93">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eastAsia="宋体"/>
                      <w:b w:val="0"/>
                      <w:bCs w:val="0"/>
                      <w:color w:val="000000" w:themeColor="text1"/>
                      <w:sz w:val="21"/>
                      <w:szCs w:val="21"/>
                      <w:vertAlign w:val="baseline"/>
                      <w:lang w:eastAsia="zh-CN"/>
                      <w14:textFill>
                        <w14:solidFill>
                          <w14:schemeClr w14:val="tx1"/>
                        </w14:solidFill>
                      </w14:textFill>
                    </w:rPr>
                    <w:t>第五次</w:t>
                  </w:r>
                </w:p>
              </w:tc>
            </w:tr>
            <w:tr w14:paraId="2094E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 w:type="pct"/>
                  <w:vMerge w:val="restart"/>
                  <w:vAlign w:val="center"/>
                </w:tcPr>
                <w:p w14:paraId="29F80327">
                  <w:pPr>
                    <w:pStyle w:val="117"/>
                    <w:keepNext w:val="0"/>
                    <w:keepLines w:val="0"/>
                    <w:pageBreakBefore w:val="0"/>
                    <w:widowControl/>
                    <w:kinsoku/>
                    <w:wordWrap/>
                    <w:overflowPunct/>
                    <w:topLinePunct w:val="0"/>
                    <w:autoSpaceDE/>
                    <w:autoSpaceDN/>
                    <w:bidi w:val="0"/>
                    <w:adjustRightInd w:val="0"/>
                    <w:snapToGrid w:val="0"/>
                    <w:textAlignment w:val="auto"/>
                    <w:rPr>
                      <w:rFonts w:hint="eastAsia"/>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饮食业油烟</w:t>
                  </w:r>
                </w:p>
              </w:tc>
              <w:tc>
                <w:tcPr>
                  <w:tcW w:w="940" w:type="pct"/>
                  <w:vAlign w:val="center"/>
                </w:tcPr>
                <w:p w14:paraId="50169101">
                  <w:pPr>
                    <w:pStyle w:val="117"/>
                    <w:keepNext w:val="0"/>
                    <w:keepLines w:val="0"/>
                    <w:pageBreakBefore w:val="0"/>
                    <w:widowControl/>
                    <w:kinsoku/>
                    <w:wordWrap/>
                    <w:overflowPunct/>
                    <w:topLinePunct w:val="0"/>
                    <w:autoSpaceDE/>
                    <w:autoSpaceDN/>
                    <w:bidi w:val="0"/>
                    <w:adjustRightInd w:val="0"/>
                    <w:snapToGrid w:val="0"/>
                    <w:textAlignment w:val="auto"/>
                    <w:rPr>
                      <w:rFonts w:hint="eastAsia"/>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测定浓度（</w:t>
                  </w:r>
                  <w:r>
                    <w:rPr>
                      <w:rFonts w:hint="eastAsia"/>
                      <w:b w:val="0"/>
                      <w:bCs w:val="0"/>
                      <w:color w:val="000000" w:themeColor="text1"/>
                      <w:sz w:val="21"/>
                      <w:szCs w:val="21"/>
                      <w:vertAlign w:val="baseline"/>
                      <w:lang w:val="en-US" w:eastAsia="zh-CN"/>
                      <w14:textFill>
                        <w14:solidFill>
                          <w14:schemeClr w14:val="tx1"/>
                        </w14:solidFill>
                      </w14:textFill>
                    </w:rPr>
                    <w:t>mg/m</w:t>
                  </w:r>
                  <w:r>
                    <w:rPr>
                      <w:rFonts w:hint="eastAsia"/>
                      <w:b w:val="0"/>
                      <w:bCs w:val="0"/>
                      <w:color w:val="000000" w:themeColor="text1"/>
                      <w:sz w:val="21"/>
                      <w:szCs w:val="21"/>
                      <w:vertAlign w:val="superscript"/>
                      <w:lang w:val="en-US" w:eastAsia="zh-CN"/>
                      <w14:textFill>
                        <w14:solidFill>
                          <w14:schemeClr w14:val="tx1"/>
                        </w14:solidFill>
                      </w14:textFill>
                    </w:rPr>
                    <w:t>3</w:t>
                  </w:r>
                  <w:r>
                    <w:rPr>
                      <w:rFonts w:hint="eastAsia"/>
                      <w:b w:val="0"/>
                      <w:bCs w:val="0"/>
                      <w:color w:val="000000" w:themeColor="text1"/>
                      <w:sz w:val="21"/>
                      <w:szCs w:val="21"/>
                      <w:vertAlign w:val="baseline"/>
                      <w:lang w:eastAsia="zh-CN"/>
                      <w14:textFill>
                        <w14:solidFill>
                          <w14:schemeClr w14:val="tx1"/>
                        </w14:solidFill>
                      </w14:textFill>
                    </w:rPr>
                    <w:t>）</w:t>
                  </w:r>
                </w:p>
              </w:tc>
              <w:tc>
                <w:tcPr>
                  <w:tcW w:w="767" w:type="pct"/>
                  <w:vAlign w:val="center"/>
                </w:tcPr>
                <w:p w14:paraId="4EC6D74E">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0.407</w:t>
                  </w:r>
                </w:p>
              </w:tc>
              <w:tc>
                <w:tcPr>
                  <w:tcW w:w="724" w:type="pct"/>
                  <w:gridSpan w:val="2"/>
                  <w:vAlign w:val="center"/>
                </w:tcPr>
                <w:p w14:paraId="230B38AA">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0.419</w:t>
                  </w:r>
                </w:p>
              </w:tc>
              <w:tc>
                <w:tcPr>
                  <w:tcW w:w="732" w:type="pct"/>
                  <w:vAlign w:val="center"/>
                </w:tcPr>
                <w:p w14:paraId="3CA3B751">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0.397</w:t>
                  </w:r>
                </w:p>
              </w:tc>
              <w:tc>
                <w:tcPr>
                  <w:tcW w:w="748" w:type="pct"/>
                  <w:gridSpan w:val="2"/>
                  <w:vAlign w:val="center"/>
                </w:tcPr>
                <w:p w14:paraId="728DD1C1">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0.374</w:t>
                  </w:r>
                </w:p>
              </w:tc>
              <w:tc>
                <w:tcPr>
                  <w:tcW w:w="704" w:type="pct"/>
                  <w:vAlign w:val="center"/>
                </w:tcPr>
                <w:p w14:paraId="0FF7A39E">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0.350</w:t>
                  </w:r>
                </w:p>
              </w:tc>
            </w:tr>
            <w:tr w14:paraId="6A4DD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 w:type="pct"/>
                  <w:vMerge w:val="continue"/>
                  <w:vAlign w:val="center"/>
                </w:tcPr>
                <w:p w14:paraId="32594BE7">
                  <w:pPr>
                    <w:pStyle w:val="117"/>
                    <w:keepNext w:val="0"/>
                    <w:keepLines w:val="0"/>
                    <w:pageBreakBefore w:val="0"/>
                    <w:widowControl/>
                    <w:kinsoku/>
                    <w:wordWrap/>
                    <w:overflowPunct/>
                    <w:topLinePunct w:val="0"/>
                    <w:autoSpaceDE/>
                    <w:autoSpaceDN/>
                    <w:bidi w:val="0"/>
                    <w:adjustRightInd w:val="0"/>
                    <w:snapToGrid w:val="0"/>
                    <w:textAlignment w:val="auto"/>
                    <w:rPr>
                      <w:rFonts w:hint="eastAsia"/>
                      <w:b w:val="0"/>
                      <w:bCs w:val="0"/>
                      <w:color w:val="000000" w:themeColor="text1"/>
                      <w:sz w:val="21"/>
                      <w:szCs w:val="21"/>
                      <w:vertAlign w:val="baseline"/>
                      <w:lang w:eastAsia="zh-CN"/>
                      <w14:textFill>
                        <w14:solidFill>
                          <w14:schemeClr w14:val="tx1"/>
                        </w14:solidFill>
                      </w14:textFill>
                    </w:rPr>
                  </w:pPr>
                </w:p>
              </w:tc>
              <w:tc>
                <w:tcPr>
                  <w:tcW w:w="940" w:type="pct"/>
                  <w:vAlign w:val="center"/>
                </w:tcPr>
                <w:p w14:paraId="6C0610C4">
                  <w:pPr>
                    <w:pStyle w:val="117"/>
                    <w:keepNext w:val="0"/>
                    <w:keepLines w:val="0"/>
                    <w:pageBreakBefore w:val="0"/>
                    <w:widowControl/>
                    <w:kinsoku/>
                    <w:wordWrap/>
                    <w:overflowPunct/>
                    <w:topLinePunct w:val="0"/>
                    <w:autoSpaceDE/>
                    <w:autoSpaceDN/>
                    <w:bidi w:val="0"/>
                    <w:adjustRightInd w:val="0"/>
                    <w:snapToGrid w:val="0"/>
                    <w:textAlignment w:val="auto"/>
                    <w:rPr>
                      <w:rFonts w:hint="eastAsia"/>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基准排风量浓度（</w:t>
                  </w:r>
                  <w:r>
                    <w:rPr>
                      <w:rFonts w:hint="eastAsia"/>
                      <w:b w:val="0"/>
                      <w:bCs w:val="0"/>
                      <w:color w:val="000000" w:themeColor="text1"/>
                      <w:sz w:val="21"/>
                      <w:szCs w:val="21"/>
                      <w:vertAlign w:val="baseline"/>
                      <w:lang w:val="en-US" w:eastAsia="zh-CN"/>
                      <w14:textFill>
                        <w14:solidFill>
                          <w14:schemeClr w14:val="tx1"/>
                        </w14:solidFill>
                      </w14:textFill>
                    </w:rPr>
                    <w:t>mg/m</w:t>
                  </w:r>
                  <w:r>
                    <w:rPr>
                      <w:rFonts w:hint="eastAsia"/>
                      <w:b w:val="0"/>
                      <w:bCs w:val="0"/>
                      <w:color w:val="000000" w:themeColor="text1"/>
                      <w:sz w:val="21"/>
                      <w:szCs w:val="21"/>
                      <w:vertAlign w:val="superscript"/>
                      <w:lang w:val="en-US" w:eastAsia="zh-CN"/>
                      <w14:textFill>
                        <w14:solidFill>
                          <w14:schemeClr w14:val="tx1"/>
                        </w14:solidFill>
                      </w14:textFill>
                    </w:rPr>
                    <w:t>3</w:t>
                  </w:r>
                  <w:r>
                    <w:rPr>
                      <w:rFonts w:hint="eastAsia"/>
                      <w:b w:val="0"/>
                      <w:bCs w:val="0"/>
                      <w:color w:val="000000" w:themeColor="text1"/>
                      <w:sz w:val="21"/>
                      <w:szCs w:val="21"/>
                      <w:vertAlign w:val="baseline"/>
                      <w:lang w:eastAsia="zh-CN"/>
                      <w14:textFill>
                        <w14:solidFill>
                          <w14:schemeClr w14:val="tx1"/>
                        </w14:solidFill>
                      </w14:textFill>
                    </w:rPr>
                    <w:t>）</w:t>
                  </w:r>
                </w:p>
              </w:tc>
              <w:tc>
                <w:tcPr>
                  <w:tcW w:w="767" w:type="pct"/>
                  <w:vAlign w:val="center"/>
                </w:tcPr>
                <w:p w14:paraId="03ED85B4">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0.4</w:t>
                  </w:r>
                </w:p>
              </w:tc>
              <w:tc>
                <w:tcPr>
                  <w:tcW w:w="724" w:type="pct"/>
                  <w:gridSpan w:val="2"/>
                  <w:vAlign w:val="center"/>
                </w:tcPr>
                <w:p w14:paraId="4228745D">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0.3</w:t>
                  </w:r>
                </w:p>
              </w:tc>
              <w:tc>
                <w:tcPr>
                  <w:tcW w:w="732" w:type="pct"/>
                  <w:vAlign w:val="center"/>
                </w:tcPr>
                <w:p w14:paraId="5E7D4078">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0.3</w:t>
                  </w:r>
                </w:p>
              </w:tc>
              <w:tc>
                <w:tcPr>
                  <w:tcW w:w="748" w:type="pct"/>
                  <w:gridSpan w:val="2"/>
                  <w:vAlign w:val="center"/>
                </w:tcPr>
                <w:p w14:paraId="2C9D613F">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0.3</w:t>
                  </w:r>
                </w:p>
              </w:tc>
              <w:tc>
                <w:tcPr>
                  <w:tcW w:w="704" w:type="pct"/>
                  <w:vAlign w:val="center"/>
                </w:tcPr>
                <w:p w14:paraId="2E188CA7">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0.3</w:t>
                  </w:r>
                </w:p>
              </w:tc>
            </w:tr>
            <w:tr w14:paraId="2BFD8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pct"/>
                  <w:gridSpan w:val="2"/>
                  <w:vAlign w:val="center"/>
                </w:tcPr>
                <w:p w14:paraId="03CD1F62">
                  <w:pPr>
                    <w:pStyle w:val="117"/>
                    <w:keepNext w:val="0"/>
                    <w:keepLines w:val="0"/>
                    <w:pageBreakBefore w:val="0"/>
                    <w:widowControl/>
                    <w:kinsoku/>
                    <w:wordWrap/>
                    <w:overflowPunct/>
                    <w:topLinePunct w:val="0"/>
                    <w:autoSpaceDE/>
                    <w:autoSpaceDN/>
                    <w:bidi w:val="0"/>
                    <w:adjustRightInd w:val="0"/>
                    <w:snapToGrid w:val="0"/>
                    <w:textAlignment w:val="auto"/>
                    <w:rPr>
                      <w:rFonts w:hint="eastAsia"/>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最大排放浓度</w:t>
                  </w:r>
                </w:p>
              </w:tc>
              <w:tc>
                <w:tcPr>
                  <w:tcW w:w="3676" w:type="pct"/>
                  <w:gridSpan w:val="7"/>
                  <w:vAlign w:val="center"/>
                </w:tcPr>
                <w:p w14:paraId="78DBB8B4">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0.4</w:t>
                  </w:r>
                  <w:r>
                    <w:rPr>
                      <w:rFonts w:hint="eastAsia"/>
                      <w:b w:val="0"/>
                      <w:bCs w:val="0"/>
                      <w:color w:val="000000" w:themeColor="text1"/>
                      <w:sz w:val="21"/>
                      <w:szCs w:val="21"/>
                      <w:vertAlign w:val="baseline"/>
                      <w:lang w:val="en-US" w:eastAsia="zh-CN"/>
                      <w14:textFill>
                        <w14:solidFill>
                          <w14:schemeClr w14:val="tx1"/>
                        </w14:solidFill>
                      </w14:textFill>
                    </w:rPr>
                    <w:t>mg/m</w:t>
                  </w:r>
                  <w:r>
                    <w:rPr>
                      <w:rFonts w:hint="eastAsia"/>
                      <w:b w:val="0"/>
                      <w:bCs w:val="0"/>
                      <w:color w:val="000000" w:themeColor="text1"/>
                      <w:sz w:val="21"/>
                      <w:szCs w:val="21"/>
                      <w:vertAlign w:val="superscript"/>
                      <w:lang w:val="en-US" w:eastAsia="zh-CN"/>
                      <w14:textFill>
                        <w14:solidFill>
                          <w14:schemeClr w14:val="tx1"/>
                        </w14:solidFill>
                      </w14:textFill>
                    </w:rPr>
                    <w:t>3</w:t>
                  </w:r>
                </w:p>
              </w:tc>
            </w:tr>
            <w:tr w14:paraId="3DE6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pct"/>
                  <w:gridSpan w:val="2"/>
                  <w:vAlign w:val="center"/>
                </w:tcPr>
                <w:p w14:paraId="4F251433">
                  <w:pPr>
                    <w:pStyle w:val="117"/>
                    <w:keepNext w:val="0"/>
                    <w:keepLines w:val="0"/>
                    <w:pageBreakBefore w:val="0"/>
                    <w:widowControl/>
                    <w:kinsoku/>
                    <w:wordWrap/>
                    <w:overflowPunct/>
                    <w:topLinePunct w:val="0"/>
                    <w:autoSpaceDE/>
                    <w:autoSpaceDN/>
                    <w:bidi w:val="0"/>
                    <w:adjustRightInd w:val="0"/>
                    <w:snapToGrid w:val="0"/>
                    <w:textAlignment w:val="auto"/>
                    <w:rPr>
                      <w:rFonts w:hint="eastAsia"/>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最高允许排放浓度</w:t>
                  </w:r>
                </w:p>
              </w:tc>
              <w:tc>
                <w:tcPr>
                  <w:tcW w:w="3676" w:type="pct"/>
                  <w:gridSpan w:val="7"/>
                  <w:vAlign w:val="center"/>
                </w:tcPr>
                <w:p w14:paraId="2F8BFBE2">
                  <w:pPr>
                    <w:pStyle w:val="117"/>
                    <w:keepNext w:val="0"/>
                    <w:keepLines w:val="0"/>
                    <w:pageBreakBefore w:val="0"/>
                    <w:widowControl/>
                    <w:kinsoku/>
                    <w:wordWrap/>
                    <w:overflowPunct/>
                    <w:topLinePunct w:val="0"/>
                    <w:autoSpaceDE/>
                    <w:autoSpaceDN/>
                    <w:bidi w:val="0"/>
                    <w:adjustRightInd w:val="0"/>
                    <w:snapToGrid w:val="0"/>
                    <w:textAlignment w:val="auto"/>
                    <w:rPr>
                      <w:rFonts w:hint="default" w:eastAsia="宋体"/>
                      <w:b w:val="0"/>
                      <w:bCs w:val="0"/>
                      <w:color w:val="000000" w:themeColor="text1"/>
                      <w:sz w:val="21"/>
                      <w:szCs w:val="21"/>
                      <w:vertAlign w:val="baseline"/>
                      <w:lang w:val="en-US" w:eastAsia="zh-CN"/>
                      <w14:textFill>
                        <w14:solidFill>
                          <w14:schemeClr w14:val="tx1"/>
                        </w14:solidFill>
                      </w14:textFill>
                    </w:rPr>
                  </w:pPr>
                  <w:r>
                    <w:rPr>
                      <w:rFonts w:hint="eastAsia" w:eastAsia="宋体"/>
                      <w:b w:val="0"/>
                      <w:bCs w:val="0"/>
                      <w:color w:val="000000" w:themeColor="text1"/>
                      <w:sz w:val="21"/>
                      <w:szCs w:val="21"/>
                      <w:vertAlign w:val="baseline"/>
                      <w:lang w:val="en-US" w:eastAsia="zh-CN"/>
                      <w14:textFill>
                        <w14:solidFill>
                          <w14:schemeClr w14:val="tx1"/>
                        </w14:solidFill>
                      </w14:textFill>
                    </w:rPr>
                    <w:t>2.0</w:t>
                  </w:r>
                  <w:r>
                    <w:rPr>
                      <w:rFonts w:hint="eastAsia"/>
                      <w:b w:val="0"/>
                      <w:bCs w:val="0"/>
                      <w:color w:val="000000" w:themeColor="text1"/>
                      <w:sz w:val="21"/>
                      <w:szCs w:val="21"/>
                      <w:vertAlign w:val="baseline"/>
                      <w:lang w:val="en-US" w:eastAsia="zh-CN"/>
                      <w14:textFill>
                        <w14:solidFill>
                          <w14:schemeClr w14:val="tx1"/>
                        </w14:solidFill>
                      </w14:textFill>
                    </w:rPr>
                    <w:t>mg/m</w:t>
                  </w:r>
                  <w:r>
                    <w:rPr>
                      <w:rFonts w:hint="eastAsia"/>
                      <w:b w:val="0"/>
                      <w:bCs w:val="0"/>
                      <w:color w:val="000000" w:themeColor="text1"/>
                      <w:sz w:val="21"/>
                      <w:szCs w:val="21"/>
                      <w:vertAlign w:val="superscript"/>
                      <w:lang w:val="en-US" w:eastAsia="zh-CN"/>
                      <w14:textFill>
                        <w14:solidFill>
                          <w14:schemeClr w14:val="tx1"/>
                        </w14:solidFill>
                      </w14:textFill>
                    </w:rPr>
                    <w:t>3</w:t>
                  </w:r>
                </w:p>
              </w:tc>
            </w:tr>
            <w:tr w14:paraId="4C34E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pct"/>
                  <w:gridSpan w:val="2"/>
                  <w:vAlign w:val="center"/>
                </w:tcPr>
                <w:p w14:paraId="061DD980">
                  <w:pPr>
                    <w:pStyle w:val="117"/>
                    <w:keepNext w:val="0"/>
                    <w:keepLines w:val="0"/>
                    <w:pageBreakBefore w:val="0"/>
                    <w:widowControl/>
                    <w:kinsoku/>
                    <w:wordWrap/>
                    <w:overflowPunct/>
                    <w:topLinePunct w:val="0"/>
                    <w:autoSpaceDE/>
                    <w:autoSpaceDN/>
                    <w:bidi w:val="0"/>
                    <w:adjustRightInd w:val="0"/>
                    <w:snapToGrid w:val="0"/>
                    <w:textAlignment w:val="auto"/>
                    <w:rPr>
                      <w:rFonts w:hint="eastAsia"/>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vertAlign w:val="baseline"/>
                      <w:lang w:eastAsia="zh-CN"/>
                      <w14:textFill>
                        <w14:solidFill>
                          <w14:schemeClr w14:val="tx1"/>
                        </w14:solidFill>
                      </w14:textFill>
                    </w:rPr>
                    <w:t>达标情况</w:t>
                  </w:r>
                </w:p>
              </w:tc>
              <w:tc>
                <w:tcPr>
                  <w:tcW w:w="3676" w:type="pct"/>
                  <w:gridSpan w:val="7"/>
                  <w:vAlign w:val="center"/>
                </w:tcPr>
                <w:p w14:paraId="120C7465">
                  <w:pPr>
                    <w:pStyle w:val="117"/>
                    <w:keepNext w:val="0"/>
                    <w:keepLines w:val="0"/>
                    <w:pageBreakBefore w:val="0"/>
                    <w:widowControl/>
                    <w:kinsoku/>
                    <w:wordWrap/>
                    <w:overflowPunct/>
                    <w:topLinePunct w:val="0"/>
                    <w:autoSpaceDE/>
                    <w:autoSpaceDN/>
                    <w:bidi w:val="0"/>
                    <w:adjustRightInd w:val="0"/>
                    <w:snapToGrid w:val="0"/>
                    <w:textAlignment w:val="auto"/>
                    <w:rPr>
                      <w:rFonts w:hint="eastAsia" w:eastAsia="宋体"/>
                      <w:b w:val="0"/>
                      <w:bCs w:val="0"/>
                      <w:color w:val="000000" w:themeColor="text1"/>
                      <w:sz w:val="21"/>
                      <w:szCs w:val="21"/>
                      <w:vertAlign w:val="baseline"/>
                      <w:lang w:eastAsia="zh-CN"/>
                      <w14:textFill>
                        <w14:solidFill>
                          <w14:schemeClr w14:val="tx1"/>
                        </w14:solidFill>
                      </w14:textFill>
                    </w:rPr>
                  </w:pPr>
                  <w:r>
                    <w:rPr>
                      <w:rFonts w:hint="eastAsia" w:eastAsia="宋体"/>
                      <w:b w:val="0"/>
                      <w:bCs w:val="0"/>
                      <w:color w:val="000000" w:themeColor="text1"/>
                      <w:sz w:val="21"/>
                      <w:szCs w:val="21"/>
                      <w:vertAlign w:val="baseline"/>
                      <w:lang w:eastAsia="zh-CN"/>
                      <w14:textFill>
                        <w14:solidFill>
                          <w14:schemeClr w14:val="tx1"/>
                        </w14:solidFill>
                      </w14:textFill>
                    </w:rPr>
                    <w:t>达标</w:t>
                  </w:r>
                </w:p>
              </w:tc>
            </w:tr>
          </w:tbl>
          <w:p w14:paraId="5FA12341">
            <w:pPr>
              <w:pStyle w:val="20"/>
              <w:widowControl w:val="0"/>
              <w:spacing w:line="360" w:lineRule="auto"/>
              <w:ind w:left="0" w:firstLine="480" w:firstLineChars="200"/>
              <w:rPr>
                <w:rFonts w:hint="eastAsia" w:eastAsia="宋体"/>
                <w:sz w:val="24"/>
                <w:szCs w:val="24"/>
                <w:lang w:eastAsia="zh-CN"/>
              </w:rPr>
            </w:pPr>
            <w:r>
              <w:rPr>
                <w:rFonts w:hint="eastAsia"/>
                <w:sz w:val="24"/>
                <w:szCs w:val="24"/>
                <w:lang w:eastAsia="zh-CN"/>
              </w:rPr>
              <w:t>综上所述，</w:t>
            </w:r>
            <w:r>
              <w:rPr>
                <w:rFonts w:hint="eastAsia" w:ascii="Times New Roman" w:hAnsi="Times New Roman" w:eastAsia="宋体" w:cs="Times New Roman"/>
                <w:b w:val="0"/>
                <w:bCs w:val="0"/>
                <w:color w:val="000000"/>
                <w:kern w:val="2"/>
                <w:sz w:val="24"/>
                <w:szCs w:val="24"/>
                <w:lang w:val="en-US" w:eastAsia="zh-CN" w:bidi="ar-SA"/>
              </w:rPr>
              <w:t>厂区</w:t>
            </w:r>
            <w:r>
              <w:rPr>
                <w:rFonts w:hint="default" w:ascii="Times New Roman" w:hAnsi="Times New Roman" w:eastAsia="宋体" w:cs="Times New Roman"/>
                <w:b w:val="0"/>
                <w:bCs w:val="0"/>
                <w:color w:val="000000"/>
                <w:kern w:val="2"/>
                <w:sz w:val="24"/>
                <w:szCs w:val="24"/>
                <w:lang w:val="en-US" w:eastAsia="zh-CN" w:bidi="ar-SA"/>
              </w:rPr>
              <w:t>有组织</w:t>
            </w:r>
            <w:r>
              <w:rPr>
                <w:rFonts w:hint="eastAsia" w:ascii="Times New Roman" w:hAnsi="Times New Roman" w:eastAsia="宋体" w:cs="Times New Roman"/>
                <w:b w:val="0"/>
                <w:bCs w:val="0"/>
                <w:color w:val="000000"/>
                <w:kern w:val="2"/>
                <w:sz w:val="24"/>
                <w:szCs w:val="24"/>
                <w:lang w:val="en-US" w:eastAsia="zh-CN" w:bidi="ar-SA"/>
              </w:rPr>
              <w:t>废气</w:t>
            </w:r>
            <w:r>
              <w:rPr>
                <w:rFonts w:hint="eastAsia" w:cs="Times New Roman"/>
                <w:b w:val="0"/>
                <w:bCs w:val="0"/>
                <w:color w:val="auto"/>
                <w:sz w:val="24"/>
                <w:u w:val="none"/>
                <w:lang w:val="en-US" w:eastAsia="zh-CN"/>
              </w:rPr>
              <w:t>氨、</w:t>
            </w:r>
            <w:r>
              <w:rPr>
                <w:rFonts w:hint="eastAsia" w:ascii="宋体" w:hAnsi="宋体" w:cs="宋体"/>
                <w:b w:val="0"/>
                <w:bCs w:val="0"/>
                <w:color w:val="auto"/>
                <w:kern w:val="0"/>
                <w:sz w:val="24"/>
                <w:szCs w:val="24"/>
                <w:lang w:val="en-US" w:eastAsia="zh-CN" w:bidi="ar"/>
              </w:rPr>
              <w:t>硫化氢、臭气浓度排放</w:t>
            </w:r>
            <w:r>
              <w:rPr>
                <w:rFonts w:hint="eastAsia" w:ascii="Times New Roman" w:hAnsi="Times New Roman"/>
                <w:b w:val="0"/>
                <w:bCs w:val="0"/>
                <w:snapToGrid w:val="0"/>
                <w:sz w:val="24"/>
                <w:lang w:eastAsia="zh-CN"/>
              </w:rPr>
              <w:t>满足</w:t>
            </w:r>
            <w:r>
              <w:rPr>
                <w:rFonts w:hint="default" w:ascii="Times New Roman" w:hAnsi="Times New Roman" w:eastAsia="宋体" w:cs="Times New Roman"/>
                <w:b w:val="0"/>
                <w:bCs w:val="0"/>
                <w:color w:val="auto"/>
                <w:sz w:val="24"/>
                <w:szCs w:val="24"/>
              </w:rPr>
              <w:t>《恶臭污染物排放标准》（GB14554-93）表2中相关标准</w:t>
            </w:r>
            <w:r>
              <w:rPr>
                <w:rFonts w:hint="eastAsia" w:ascii="宋体" w:hAnsi="宋体" w:cs="宋体"/>
                <w:b w:val="0"/>
                <w:bCs w:val="0"/>
                <w:color w:val="auto"/>
                <w:kern w:val="0"/>
                <w:sz w:val="24"/>
                <w:szCs w:val="24"/>
                <w:lang w:val="en-US" w:eastAsia="zh-CN" w:bidi="ar"/>
              </w:rPr>
              <w:t>；厂界</w:t>
            </w:r>
            <w:r>
              <w:rPr>
                <w:rFonts w:hint="default" w:ascii="Times New Roman" w:hAnsi="Times New Roman" w:cs="Times New Roman"/>
                <w:b w:val="0"/>
                <w:bCs w:val="0"/>
                <w:color w:val="auto"/>
                <w:sz w:val="24"/>
                <w:szCs w:val="24"/>
                <w:lang w:eastAsia="zh-CN"/>
              </w:rPr>
              <w:t>硫化氢、臭气浓度、氨无组织</w:t>
            </w:r>
            <w:r>
              <w:rPr>
                <w:rFonts w:hint="default" w:ascii="Times New Roman" w:hAnsi="Times New Roman" w:cs="Times New Roman"/>
                <w:b w:val="0"/>
                <w:bCs w:val="0"/>
                <w:color w:val="auto"/>
                <w:sz w:val="24"/>
                <w:szCs w:val="24"/>
              </w:rPr>
              <w:t>排放</w:t>
            </w:r>
            <w:r>
              <w:rPr>
                <w:rFonts w:hint="default" w:ascii="Times New Roman" w:hAnsi="Times New Roman" w:cs="Times New Roman"/>
                <w:b w:val="0"/>
                <w:bCs w:val="0"/>
                <w:color w:val="auto"/>
                <w:sz w:val="24"/>
                <w:szCs w:val="24"/>
                <w:lang w:eastAsia="zh-CN"/>
              </w:rPr>
              <w:t>满足</w:t>
            </w:r>
            <w:r>
              <w:rPr>
                <w:rFonts w:hint="eastAsia"/>
                <w:color w:val="auto"/>
                <w:sz w:val="24"/>
                <w:szCs w:val="24"/>
                <w:highlight w:val="none"/>
                <w:lang w:val="en-US" w:eastAsia="zh-CN"/>
              </w:rPr>
              <w:t>《医疗机构水污染物排放标准》（GB18466-2005）中表3污水处理站周边大气污染物最高允许浓度；</w:t>
            </w:r>
            <w:r>
              <w:rPr>
                <w:rFonts w:hint="default" w:ascii="Times New Roman" w:hAnsi="Times New Roman" w:cs="Times New Roman"/>
                <w:color w:val="auto"/>
                <w:sz w:val="24"/>
                <w:szCs w:val="32"/>
                <w:lang w:val="en-US" w:eastAsia="zh-CN"/>
              </w:rPr>
              <w:t>食堂油烟排放</w:t>
            </w:r>
            <w:r>
              <w:rPr>
                <w:rFonts w:hint="eastAsia" w:ascii="Times New Roman" w:hAnsi="Times New Roman" w:cs="Times New Roman"/>
                <w:color w:val="auto"/>
                <w:sz w:val="24"/>
                <w:szCs w:val="32"/>
                <w:lang w:val="en-US" w:eastAsia="zh-CN"/>
              </w:rPr>
              <w:t>满足</w:t>
            </w:r>
            <w:r>
              <w:rPr>
                <w:rFonts w:hint="default" w:ascii="Times New Roman" w:hAnsi="Times New Roman" w:cs="Times New Roman"/>
                <w:color w:val="auto"/>
                <w:sz w:val="24"/>
                <w:szCs w:val="32"/>
                <w:lang w:val="en-US" w:eastAsia="zh-CN"/>
              </w:rPr>
              <w:t>《饮食业油烟排放标准》（GB18483-2001）表2</w:t>
            </w:r>
            <w:r>
              <w:rPr>
                <w:rFonts w:hint="eastAsia" w:ascii="Times New Roman" w:hAnsi="Times New Roman" w:cs="Times New Roman"/>
                <w:color w:val="auto"/>
                <w:sz w:val="24"/>
                <w:szCs w:val="32"/>
                <w:lang w:val="en-US" w:eastAsia="zh-CN"/>
              </w:rPr>
              <w:t>中</w:t>
            </w:r>
            <w:r>
              <w:rPr>
                <w:rFonts w:hint="default" w:ascii="Times New Roman" w:hAnsi="Times New Roman" w:cs="Times New Roman"/>
                <w:color w:val="auto"/>
                <w:sz w:val="24"/>
                <w:szCs w:val="32"/>
                <w:lang w:val="en-US" w:eastAsia="zh-CN"/>
              </w:rPr>
              <w:t>标准</w:t>
            </w:r>
            <w:r>
              <w:rPr>
                <w:rFonts w:hint="eastAsia" w:ascii="Times New Roman" w:hAnsi="Times New Roman" w:cs="Times New Roman"/>
                <w:color w:val="auto"/>
                <w:sz w:val="24"/>
                <w:szCs w:val="32"/>
                <w:lang w:val="en-US" w:eastAsia="zh-CN"/>
              </w:rPr>
              <w:t>要求</w:t>
            </w:r>
            <w:r>
              <w:rPr>
                <w:rFonts w:hint="eastAsia"/>
                <w:sz w:val="24"/>
                <w:szCs w:val="24"/>
                <w:lang w:eastAsia="zh-CN"/>
              </w:rPr>
              <w:t>。</w:t>
            </w:r>
          </w:p>
          <w:p w14:paraId="42B3714A">
            <w:pPr>
              <w:spacing w:line="360" w:lineRule="auto"/>
              <w:ind w:firstLine="482" w:firstLineChars="200"/>
              <w:rPr>
                <w:b/>
                <w:bCs/>
                <w:sz w:val="24"/>
              </w:rPr>
            </w:pPr>
            <w:r>
              <w:rPr>
                <w:b/>
                <w:bCs/>
                <w:sz w:val="24"/>
              </w:rPr>
              <w:t>4、</w:t>
            </w:r>
            <w:r>
              <w:rPr>
                <w:rFonts w:hint="eastAsia"/>
                <w:b/>
                <w:bCs/>
                <w:sz w:val="24"/>
              </w:rPr>
              <w:t>现有项目</w:t>
            </w:r>
            <w:r>
              <w:rPr>
                <w:b/>
                <w:bCs/>
                <w:sz w:val="24"/>
              </w:rPr>
              <w:t>噪声分析</w:t>
            </w:r>
          </w:p>
          <w:p w14:paraId="727F5CC5">
            <w:pPr>
              <w:pStyle w:val="20"/>
              <w:widowControl w:val="0"/>
              <w:spacing w:line="360" w:lineRule="auto"/>
              <w:ind w:left="0" w:firstLine="480" w:firstLineChars="200"/>
              <w:rPr>
                <w:bCs/>
                <w:sz w:val="24"/>
                <w:szCs w:val="24"/>
              </w:rPr>
            </w:pPr>
            <w:r>
              <w:rPr>
                <w:sz w:val="24"/>
              </w:rPr>
              <w:t>本环评根据《</w:t>
            </w:r>
            <w:r>
              <w:rPr>
                <w:rFonts w:hint="eastAsia" w:cs="Times New Roman"/>
                <w:color w:val="auto"/>
                <w:kern w:val="2"/>
                <w:sz w:val="24"/>
                <w:szCs w:val="32"/>
                <w:lang w:val="en-US" w:eastAsia="zh-CN"/>
              </w:rPr>
              <w:t>淮南市第五人民医院门诊楼工程竣工</w:t>
            </w:r>
            <w:r>
              <w:rPr>
                <w:rFonts w:hint="eastAsia" w:ascii="宋体" w:hAnsi="宋体" w:cs="宋体"/>
                <w:kern w:val="0"/>
                <w:sz w:val="24"/>
                <w:shd w:val="clear" w:color="auto" w:fill="FFFFFF"/>
              </w:rPr>
              <w:t>环境保护验收监测报告表</w:t>
            </w:r>
            <w:r>
              <w:rPr>
                <w:sz w:val="24"/>
                <w:szCs w:val="24"/>
              </w:rPr>
              <w:t>》</w:t>
            </w:r>
            <w:r>
              <w:rPr>
                <w:rFonts w:hint="eastAsia"/>
                <w:sz w:val="24"/>
                <w:szCs w:val="24"/>
              </w:rPr>
              <w:t>的</w:t>
            </w:r>
            <w:r>
              <w:rPr>
                <w:rFonts w:hint="eastAsia"/>
                <w:sz w:val="24"/>
              </w:rPr>
              <w:t>监测数据，建设单位噪声</w:t>
            </w:r>
            <w:r>
              <w:rPr>
                <w:sz w:val="24"/>
              </w:rPr>
              <w:t>监测结果</w:t>
            </w:r>
            <w:r>
              <w:rPr>
                <w:rFonts w:hint="eastAsia"/>
                <w:sz w:val="24"/>
              </w:rPr>
              <w:t>如下：</w:t>
            </w:r>
          </w:p>
          <w:p w14:paraId="6CDC0977">
            <w:pPr>
              <w:widowControl/>
              <w:adjustRightInd w:val="0"/>
              <w:snapToGrid w:val="0"/>
              <w:jc w:val="center"/>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表</w:t>
            </w:r>
            <w:r>
              <w:rPr>
                <w:rFonts w:hint="eastAsia"/>
                <w:b/>
                <w:bCs/>
                <w:color w:val="000000" w:themeColor="text1"/>
                <w:sz w:val="24"/>
                <w14:textFill>
                  <w14:solidFill>
                    <w14:schemeClr w14:val="tx1"/>
                  </w14:solidFill>
                </w14:textFill>
              </w:rPr>
              <w:t>2-1</w:t>
            </w:r>
            <w:r>
              <w:rPr>
                <w:rFonts w:hint="eastAsia"/>
                <w:b/>
                <w:bCs/>
                <w:color w:val="000000" w:themeColor="text1"/>
                <w:sz w:val="24"/>
                <w:lang w:val="en-US" w:eastAsia="zh-CN"/>
                <w14:textFill>
                  <w14:solidFill>
                    <w14:schemeClr w14:val="tx1"/>
                  </w14:solidFill>
                </w14:textFill>
              </w:rPr>
              <w:t>1</w:t>
            </w:r>
            <w:r>
              <w:rPr>
                <w:rFonts w:hint="eastAsia"/>
                <w:b/>
                <w:bCs/>
                <w:color w:val="000000" w:themeColor="text1"/>
                <w:sz w:val="24"/>
                <w14:textFill>
                  <w14:solidFill>
                    <w14:schemeClr w14:val="tx1"/>
                  </w14:solidFill>
                </w14:textFill>
              </w:rPr>
              <w:t xml:space="preserve">  </w:t>
            </w:r>
            <w:r>
              <w:rPr>
                <w:b/>
                <w:bCs/>
                <w:color w:val="000000" w:themeColor="text1"/>
                <w:sz w:val="24"/>
                <w14:textFill>
                  <w14:solidFill>
                    <w14:schemeClr w14:val="tx1"/>
                  </w14:solidFill>
                </w14:textFill>
              </w:rPr>
              <w:t>噪声检测结果     单位：dB（A)</w:t>
            </w:r>
          </w:p>
          <w:tbl>
            <w:tblPr>
              <w:tblStyle w:val="27"/>
              <w:tblW w:w="858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741"/>
              <w:gridCol w:w="570"/>
              <w:gridCol w:w="2370"/>
              <w:gridCol w:w="1260"/>
              <w:gridCol w:w="1200"/>
              <w:gridCol w:w="1260"/>
              <w:gridCol w:w="1183"/>
            </w:tblGrid>
            <w:tr w14:paraId="1B35EB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41" w:type="dxa"/>
                  <w:vMerge w:val="restart"/>
                  <w:vAlign w:val="center"/>
                </w:tcPr>
                <w:p w14:paraId="2597AABC">
                  <w:pPr>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测点编号</w:t>
                  </w:r>
                </w:p>
              </w:tc>
              <w:tc>
                <w:tcPr>
                  <w:tcW w:w="2940" w:type="dxa"/>
                  <w:gridSpan w:val="2"/>
                  <w:vMerge w:val="restart"/>
                  <w:vAlign w:val="center"/>
                </w:tcPr>
                <w:p w14:paraId="110B8C46">
                  <w:pPr>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测点名称</w:t>
                  </w:r>
                </w:p>
              </w:tc>
              <w:tc>
                <w:tcPr>
                  <w:tcW w:w="4903" w:type="dxa"/>
                  <w:gridSpan w:val="4"/>
                  <w:vAlign w:val="center"/>
                </w:tcPr>
                <w:p w14:paraId="03FAABF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检测值</w:t>
                  </w:r>
                </w:p>
              </w:tc>
            </w:tr>
            <w:tr w14:paraId="6E9414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2" w:hRule="atLeast"/>
                <w:jc w:val="center"/>
              </w:trPr>
              <w:tc>
                <w:tcPr>
                  <w:tcW w:w="741" w:type="dxa"/>
                  <w:vMerge w:val="continue"/>
                  <w:vAlign w:val="center"/>
                </w:tcPr>
                <w:p w14:paraId="1FA157F0">
                  <w:pPr>
                    <w:jc w:val="center"/>
                    <w:rPr>
                      <w:color w:val="000000" w:themeColor="text1"/>
                      <w:szCs w:val="21"/>
                      <w14:textFill>
                        <w14:solidFill>
                          <w14:schemeClr w14:val="tx1"/>
                        </w14:solidFill>
                      </w14:textFill>
                    </w:rPr>
                  </w:pPr>
                </w:p>
              </w:tc>
              <w:tc>
                <w:tcPr>
                  <w:tcW w:w="2940" w:type="dxa"/>
                  <w:gridSpan w:val="2"/>
                  <w:vMerge w:val="continue"/>
                  <w:vAlign w:val="center"/>
                </w:tcPr>
                <w:p w14:paraId="06AE3D7E">
                  <w:pPr>
                    <w:jc w:val="center"/>
                    <w:rPr>
                      <w:color w:val="000000" w:themeColor="text1"/>
                      <w:szCs w:val="21"/>
                      <w14:textFill>
                        <w14:solidFill>
                          <w14:schemeClr w14:val="tx1"/>
                        </w14:solidFill>
                      </w14:textFill>
                    </w:rPr>
                  </w:pPr>
                </w:p>
              </w:tc>
              <w:tc>
                <w:tcPr>
                  <w:tcW w:w="2460" w:type="dxa"/>
                  <w:gridSpan w:val="2"/>
                  <w:vAlign w:val="center"/>
                </w:tcPr>
                <w:p w14:paraId="2A810208">
                  <w:pPr>
                    <w:jc w:val="center"/>
                    <w:rPr>
                      <w:color w:val="000000" w:themeColor="text1"/>
                      <w:spacing w:val="-20"/>
                      <w:kern w:val="0"/>
                      <w:szCs w:val="21"/>
                      <w14:textFill>
                        <w14:solidFill>
                          <w14:schemeClr w14:val="tx1"/>
                        </w14:solidFill>
                      </w14:textFill>
                    </w:rPr>
                  </w:pPr>
                  <w:r>
                    <w:rPr>
                      <w:color w:val="000000" w:themeColor="text1"/>
                      <w:szCs w:val="21"/>
                      <w14:textFill>
                        <w14:solidFill>
                          <w14:schemeClr w14:val="tx1"/>
                        </w14:solidFill>
                      </w14:textFill>
                    </w:rPr>
                    <w:t>20</w:t>
                  </w:r>
                  <w:r>
                    <w:rPr>
                      <w:rFonts w:hint="eastAsia"/>
                      <w:color w:val="000000" w:themeColor="text1"/>
                      <w:szCs w:val="21"/>
                      <w:lang w:val="en-US" w:eastAsia="zh-CN"/>
                      <w14:textFill>
                        <w14:solidFill>
                          <w14:schemeClr w14:val="tx1"/>
                        </w14:solidFill>
                      </w14:textFill>
                    </w:rPr>
                    <w:t>22</w:t>
                  </w:r>
                  <w:r>
                    <w:rPr>
                      <w:color w:val="000000" w:themeColor="text1"/>
                      <w:szCs w:val="21"/>
                      <w14:textFill>
                        <w14:solidFill>
                          <w14:schemeClr w14:val="tx1"/>
                        </w14:solidFill>
                      </w14:textFill>
                    </w:rPr>
                    <w:t>年</w:t>
                  </w:r>
                  <w:r>
                    <w:rPr>
                      <w:rFonts w:hint="eastAsia"/>
                      <w:color w:val="000000" w:themeColor="text1"/>
                      <w:szCs w:val="21"/>
                      <w:lang w:val="en-US" w:eastAsia="zh-CN"/>
                      <w14:textFill>
                        <w14:solidFill>
                          <w14:schemeClr w14:val="tx1"/>
                        </w14:solidFill>
                      </w14:textFill>
                    </w:rPr>
                    <w:t>11</w:t>
                  </w:r>
                  <w:r>
                    <w:rPr>
                      <w:color w:val="000000" w:themeColor="text1"/>
                      <w:szCs w:val="21"/>
                      <w14:textFill>
                        <w14:solidFill>
                          <w14:schemeClr w14:val="tx1"/>
                        </w14:solidFill>
                      </w14:textFill>
                    </w:rPr>
                    <w:t>月</w:t>
                  </w:r>
                  <w:r>
                    <w:rPr>
                      <w:rFonts w:hint="eastAsia"/>
                      <w:color w:val="000000" w:themeColor="text1"/>
                      <w:szCs w:val="21"/>
                      <w:lang w:val="en-US" w:eastAsia="zh-CN"/>
                      <w14:textFill>
                        <w14:solidFill>
                          <w14:schemeClr w14:val="tx1"/>
                        </w14:solidFill>
                      </w14:textFill>
                    </w:rPr>
                    <w:t>12</w:t>
                  </w:r>
                  <w:r>
                    <w:rPr>
                      <w:color w:val="000000" w:themeColor="text1"/>
                      <w:szCs w:val="21"/>
                      <w14:textFill>
                        <w14:solidFill>
                          <w14:schemeClr w14:val="tx1"/>
                        </w14:solidFill>
                      </w14:textFill>
                    </w:rPr>
                    <w:t>日</w:t>
                  </w:r>
                </w:p>
              </w:tc>
              <w:tc>
                <w:tcPr>
                  <w:tcW w:w="2443" w:type="dxa"/>
                  <w:gridSpan w:val="2"/>
                  <w:tcBorders>
                    <w:left w:val="single" w:color="auto" w:sz="4" w:space="0"/>
                  </w:tcBorders>
                  <w:vAlign w:val="center"/>
                </w:tcPr>
                <w:p w14:paraId="6E787B37">
                  <w:pPr>
                    <w:jc w:val="center"/>
                    <w:rPr>
                      <w:color w:val="000000" w:themeColor="text1"/>
                      <w:spacing w:val="-20"/>
                      <w:kern w:val="0"/>
                      <w:szCs w:val="21"/>
                      <w14:textFill>
                        <w14:solidFill>
                          <w14:schemeClr w14:val="tx1"/>
                        </w14:solidFill>
                      </w14:textFill>
                    </w:rPr>
                  </w:pPr>
                  <w:r>
                    <w:rPr>
                      <w:color w:val="000000" w:themeColor="text1"/>
                      <w:szCs w:val="21"/>
                      <w14:textFill>
                        <w14:solidFill>
                          <w14:schemeClr w14:val="tx1"/>
                        </w14:solidFill>
                      </w14:textFill>
                    </w:rPr>
                    <w:t>20</w:t>
                  </w:r>
                  <w:r>
                    <w:rPr>
                      <w:rFonts w:hint="eastAsia"/>
                      <w:color w:val="000000" w:themeColor="text1"/>
                      <w:szCs w:val="21"/>
                      <w:lang w:val="en-US" w:eastAsia="zh-CN"/>
                      <w14:textFill>
                        <w14:solidFill>
                          <w14:schemeClr w14:val="tx1"/>
                        </w14:solidFill>
                      </w14:textFill>
                    </w:rPr>
                    <w:t>22</w:t>
                  </w:r>
                  <w:r>
                    <w:rPr>
                      <w:color w:val="000000" w:themeColor="text1"/>
                      <w:szCs w:val="21"/>
                      <w14:textFill>
                        <w14:solidFill>
                          <w14:schemeClr w14:val="tx1"/>
                        </w14:solidFill>
                      </w14:textFill>
                    </w:rPr>
                    <w:t>年</w:t>
                  </w:r>
                  <w:r>
                    <w:rPr>
                      <w:rFonts w:hint="eastAsia"/>
                      <w:color w:val="000000" w:themeColor="text1"/>
                      <w:szCs w:val="21"/>
                      <w:lang w:val="en-US" w:eastAsia="zh-CN"/>
                      <w14:textFill>
                        <w14:solidFill>
                          <w14:schemeClr w14:val="tx1"/>
                        </w14:solidFill>
                      </w14:textFill>
                    </w:rPr>
                    <w:t>11</w:t>
                  </w:r>
                  <w:r>
                    <w:rPr>
                      <w:color w:val="000000" w:themeColor="text1"/>
                      <w:szCs w:val="21"/>
                      <w14:textFill>
                        <w14:solidFill>
                          <w14:schemeClr w14:val="tx1"/>
                        </w14:solidFill>
                      </w14:textFill>
                    </w:rPr>
                    <w:t>月</w:t>
                  </w:r>
                  <w:r>
                    <w:rPr>
                      <w:rFonts w:hint="eastAsia"/>
                      <w:color w:val="000000" w:themeColor="text1"/>
                      <w:szCs w:val="21"/>
                      <w:lang w:val="en-US" w:eastAsia="zh-CN"/>
                      <w14:textFill>
                        <w14:solidFill>
                          <w14:schemeClr w14:val="tx1"/>
                        </w14:solidFill>
                      </w14:textFill>
                    </w:rPr>
                    <w:t>13</w:t>
                  </w:r>
                  <w:r>
                    <w:rPr>
                      <w:color w:val="000000" w:themeColor="text1"/>
                      <w:szCs w:val="21"/>
                      <w14:textFill>
                        <w14:solidFill>
                          <w14:schemeClr w14:val="tx1"/>
                        </w14:solidFill>
                      </w14:textFill>
                    </w:rPr>
                    <w:t>日</w:t>
                  </w:r>
                </w:p>
              </w:tc>
            </w:tr>
            <w:tr w14:paraId="44F609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41" w:type="dxa"/>
                  <w:vMerge w:val="continue"/>
                  <w:vAlign w:val="center"/>
                </w:tcPr>
                <w:p w14:paraId="5ED73DAB">
                  <w:pPr>
                    <w:jc w:val="center"/>
                    <w:rPr>
                      <w:color w:val="000000" w:themeColor="text1"/>
                      <w:szCs w:val="21"/>
                      <w14:textFill>
                        <w14:solidFill>
                          <w14:schemeClr w14:val="tx1"/>
                        </w14:solidFill>
                      </w14:textFill>
                    </w:rPr>
                  </w:pPr>
                </w:p>
              </w:tc>
              <w:tc>
                <w:tcPr>
                  <w:tcW w:w="2940" w:type="dxa"/>
                  <w:gridSpan w:val="2"/>
                  <w:vMerge w:val="continue"/>
                  <w:vAlign w:val="center"/>
                </w:tcPr>
                <w:p w14:paraId="42E61FB5">
                  <w:pPr>
                    <w:jc w:val="center"/>
                    <w:rPr>
                      <w:color w:val="000000" w:themeColor="text1"/>
                      <w:szCs w:val="21"/>
                      <w14:textFill>
                        <w14:solidFill>
                          <w14:schemeClr w14:val="tx1"/>
                        </w14:solidFill>
                      </w14:textFill>
                    </w:rPr>
                  </w:pPr>
                </w:p>
              </w:tc>
              <w:tc>
                <w:tcPr>
                  <w:tcW w:w="1260" w:type="dxa"/>
                  <w:vAlign w:val="center"/>
                </w:tcPr>
                <w:p w14:paraId="271D90B6">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昼间Leq</w:t>
                  </w:r>
                </w:p>
              </w:tc>
              <w:tc>
                <w:tcPr>
                  <w:tcW w:w="1200" w:type="dxa"/>
                  <w:vAlign w:val="center"/>
                </w:tcPr>
                <w:p w14:paraId="01B03B5E">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夜间Leq</w:t>
                  </w:r>
                </w:p>
              </w:tc>
              <w:tc>
                <w:tcPr>
                  <w:tcW w:w="1260" w:type="dxa"/>
                  <w:vAlign w:val="center"/>
                </w:tcPr>
                <w:p w14:paraId="740FCFA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昼间Leq</w:t>
                  </w:r>
                </w:p>
              </w:tc>
              <w:tc>
                <w:tcPr>
                  <w:tcW w:w="1183" w:type="dxa"/>
                  <w:vAlign w:val="center"/>
                </w:tcPr>
                <w:p w14:paraId="7AD52C11">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夜间Leq</w:t>
                  </w:r>
                </w:p>
              </w:tc>
            </w:tr>
            <w:tr w14:paraId="5D045D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41" w:type="dxa"/>
                  <w:vAlign w:val="center"/>
                </w:tcPr>
                <w:p w14:paraId="0B6956A1">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w:t>
                  </w:r>
                </w:p>
              </w:tc>
              <w:tc>
                <w:tcPr>
                  <w:tcW w:w="2940" w:type="dxa"/>
                  <w:gridSpan w:val="2"/>
                  <w:vAlign w:val="center"/>
                </w:tcPr>
                <w:p w14:paraId="05049EE1">
                  <w:pPr>
                    <w:widowControl/>
                    <w:adjustRightInd w:val="0"/>
                    <w:snapToGrid w:val="0"/>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门诊楼东侧</w:t>
                  </w:r>
                </w:p>
              </w:tc>
              <w:tc>
                <w:tcPr>
                  <w:tcW w:w="1260" w:type="dxa"/>
                  <w:vAlign w:val="center"/>
                </w:tcPr>
                <w:p w14:paraId="3C7C468C">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57.0</w:t>
                  </w:r>
                </w:p>
              </w:tc>
              <w:tc>
                <w:tcPr>
                  <w:tcW w:w="1200" w:type="dxa"/>
                  <w:vAlign w:val="center"/>
                </w:tcPr>
                <w:p w14:paraId="15B2115B">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48.4</w:t>
                  </w:r>
                </w:p>
              </w:tc>
              <w:tc>
                <w:tcPr>
                  <w:tcW w:w="1260" w:type="dxa"/>
                  <w:vAlign w:val="center"/>
                </w:tcPr>
                <w:p w14:paraId="607AE96D">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54.5</w:t>
                  </w:r>
                </w:p>
              </w:tc>
              <w:tc>
                <w:tcPr>
                  <w:tcW w:w="1183" w:type="dxa"/>
                  <w:vAlign w:val="center"/>
                </w:tcPr>
                <w:p w14:paraId="20411B69">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49.9</w:t>
                  </w:r>
                </w:p>
              </w:tc>
            </w:tr>
            <w:tr w14:paraId="54A296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41" w:type="dxa"/>
                  <w:vAlign w:val="center"/>
                </w:tcPr>
                <w:p w14:paraId="55334229">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w:t>
                  </w:r>
                </w:p>
              </w:tc>
              <w:tc>
                <w:tcPr>
                  <w:tcW w:w="2940" w:type="dxa"/>
                  <w:gridSpan w:val="2"/>
                  <w:vAlign w:val="center"/>
                </w:tcPr>
                <w:p w14:paraId="67FFB24B">
                  <w:pPr>
                    <w:widowControl/>
                    <w:adjustRightInd w:val="0"/>
                    <w:snapToGrid w:val="0"/>
                    <w:jc w:val="center"/>
                    <w:rPr>
                      <w:color w:val="000000" w:themeColor="text1"/>
                      <w:szCs w:val="21"/>
                      <w14:textFill>
                        <w14:solidFill>
                          <w14:schemeClr w14:val="tx1"/>
                        </w14:solidFill>
                      </w14:textFill>
                    </w:rPr>
                  </w:pPr>
                  <w:r>
                    <w:rPr>
                      <w:rFonts w:hint="eastAsia"/>
                      <w:color w:val="000000" w:themeColor="text1"/>
                      <w:szCs w:val="21"/>
                      <w:lang w:eastAsia="zh-CN"/>
                      <w14:textFill>
                        <w14:solidFill>
                          <w14:schemeClr w14:val="tx1"/>
                        </w14:solidFill>
                      </w14:textFill>
                    </w:rPr>
                    <w:t>门诊楼南侧</w:t>
                  </w:r>
                </w:p>
              </w:tc>
              <w:tc>
                <w:tcPr>
                  <w:tcW w:w="1260" w:type="dxa"/>
                  <w:vAlign w:val="center"/>
                </w:tcPr>
                <w:p w14:paraId="093E132F">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57.0</w:t>
                  </w:r>
                </w:p>
              </w:tc>
              <w:tc>
                <w:tcPr>
                  <w:tcW w:w="1200" w:type="dxa"/>
                  <w:vAlign w:val="center"/>
                </w:tcPr>
                <w:p w14:paraId="037EDB70">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46.5</w:t>
                  </w:r>
                </w:p>
              </w:tc>
              <w:tc>
                <w:tcPr>
                  <w:tcW w:w="1260" w:type="dxa"/>
                  <w:vAlign w:val="center"/>
                </w:tcPr>
                <w:p w14:paraId="5AA77312">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57.1</w:t>
                  </w:r>
                </w:p>
              </w:tc>
              <w:tc>
                <w:tcPr>
                  <w:tcW w:w="1183" w:type="dxa"/>
                  <w:vAlign w:val="center"/>
                </w:tcPr>
                <w:p w14:paraId="021D96FE">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46.3</w:t>
                  </w:r>
                </w:p>
              </w:tc>
            </w:tr>
            <w:tr w14:paraId="5F35FF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41" w:type="dxa"/>
                  <w:vAlign w:val="center"/>
                </w:tcPr>
                <w:p w14:paraId="30134570">
                  <w:pPr>
                    <w:jc w:val="cente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3#</w:t>
                  </w:r>
                </w:p>
              </w:tc>
              <w:tc>
                <w:tcPr>
                  <w:tcW w:w="2940" w:type="dxa"/>
                  <w:gridSpan w:val="2"/>
                  <w:vAlign w:val="center"/>
                </w:tcPr>
                <w:p w14:paraId="77AE4AE9">
                  <w:pPr>
                    <w:widowControl/>
                    <w:adjustRightInd w:val="0"/>
                    <w:snapToGrid w:val="0"/>
                    <w:jc w:val="center"/>
                    <w:rPr>
                      <w:color w:val="000000" w:themeColor="text1"/>
                      <w:szCs w:val="21"/>
                      <w14:textFill>
                        <w14:solidFill>
                          <w14:schemeClr w14:val="tx1"/>
                        </w14:solidFill>
                      </w14:textFill>
                    </w:rPr>
                  </w:pPr>
                  <w:r>
                    <w:rPr>
                      <w:rFonts w:hint="eastAsia"/>
                      <w:color w:val="000000" w:themeColor="text1"/>
                      <w:szCs w:val="21"/>
                      <w:lang w:eastAsia="zh-CN"/>
                      <w14:textFill>
                        <w14:solidFill>
                          <w14:schemeClr w14:val="tx1"/>
                        </w14:solidFill>
                      </w14:textFill>
                    </w:rPr>
                    <w:t>门诊楼西侧</w:t>
                  </w:r>
                </w:p>
              </w:tc>
              <w:tc>
                <w:tcPr>
                  <w:tcW w:w="1260" w:type="dxa"/>
                  <w:vAlign w:val="center"/>
                </w:tcPr>
                <w:p w14:paraId="74734504">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56.4</w:t>
                  </w:r>
                </w:p>
              </w:tc>
              <w:tc>
                <w:tcPr>
                  <w:tcW w:w="1200" w:type="dxa"/>
                  <w:vAlign w:val="center"/>
                </w:tcPr>
                <w:p w14:paraId="20D97791">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47.8</w:t>
                  </w:r>
                </w:p>
              </w:tc>
              <w:tc>
                <w:tcPr>
                  <w:tcW w:w="1260" w:type="dxa"/>
                  <w:vAlign w:val="center"/>
                </w:tcPr>
                <w:p w14:paraId="3851DA6F">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55.3</w:t>
                  </w:r>
                </w:p>
              </w:tc>
              <w:tc>
                <w:tcPr>
                  <w:tcW w:w="1183" w:type="dxa"/>
                  <w:vAlign w:val="center"/>
                </w:tcPr>
                <w:p w14:paraId="56168570">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46.6</w:t>
                  </w:r>
                </w:p>
              </w:tc>
            </w:tr>
            <w:tr w14:paraId="2F5AB4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41" w:type="dxa"/>
                  <w:vAlign w:val="center"/>
                </w:tcPr>
                <w:p w14:paraId="4ADF679E">
                  <w:pPr>
                    <w:jc w:val="cente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4#</w:t>
                  </w:r>
                </w:p>
              </w:tc>
              <w:tc>
                <w:tcPr>
                  <w:tcW w:w="2940" w:type="dxa"/>
                  <w:gridSpan w:val="2"/>
                  <w:vAlign w:val="center"/>
                </w:tcPr>
                <w:p w14:paraId="182FE7E2">
                  <w:pPr>
                    <w:widowControl/>
                    <w:adjustRightInd w:val="0"/>
                    <w:snapToGrid w:val="0"/>
                    <w:jc w:val="center"/>
                    <w:rPr>
                      <w:color w:val="000000" w:themeColor="text1"/>
                      <w:szCs w:val="21"/>
                      <w14:textFill>
                        <w14:solidFill>
                          <w14:schemeClr w14:val="tx1"/>
                        </w14:solidFill>
                      </w14:textFill>
                    </w:rPr>
                  </w:pPr>
                  <w:r>
                    <w:rPr>
                      <w:rFonts w:hint="eastAsia"/>
                      <w:color w:val="000000" w:themeColor="text1"/>
                      <w:szCs w:val="21"/>
                      <w:lang w:eastAsia="zh-CN"/>
                      <w14:textFill>
                        <w14:solidFill>
                          <w14:schemeClr w14:val="tx1"/>
                        </w14:solidFill>
                      </w14:textFill>
                    </w:rPr>
                    <w:t>门诊楼北侧</w:t>
                  </w:r>
                </w:p>
              </w:tc>
              <w:tc>
                <w:tcPr>
                  <w:tcW w:w="1260" w:type="dxa"/>
                  <w:vAlign w:val="center"/>
                </w:tcPr>
                <w:p w14:paraId="6D938140">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56.0</w:t>
                  </w:r>
                </w:p>
              </w:tc>
              <w:tc>
                <w:tcPr>
                  <w:tcW w:w="1200" w:type="dxa"/>
                  <w:vAlign w:val="center"/>
                </w:tcPr>
                <w:p w14:paraId="1DFCDE67">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46.8</w:t>
                  </w:r>
                </w:p>
              </w:tc>
              <w:tc>
                <w:tcPr>
                  <w:tcW w:w="1260" w:type="dxa"/>
                  <w:vAlign w:val="center"/>
                </w:tcPr>
                <w:p w14:paraId="4650571A">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55.4</w:t>
                  </w:r>
                </w:p>
              </w:tc>
              <w:tc>
                <w:tcPr>
                  <w:tcW w:w="1183" w:type="dxa"/>
                  <w:vAlign w:val="center"/>
                </w:tcPr>
                <w:p w14:paraId="0B8A95E2">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49.2</w:t>
                  </w:r>
                </w:p>
              </w:tc>
            </w:tr>
            <w:tr w14:paraId="361337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41" w:type="dxa"/>
                  <w:vAlign w:val="center"/>
                </w:tcPr>
                <w:p w14:paraId="46A8675B">
                  <w:pPr>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w:t>
                  </w:r>
                </w:p>
              </w:tc>
              <w:tc>
                <w:tcPr>
                  <w:tcW w:w="2940" w:type="dxa"/>
                  <w:gridSpan w:val="2"/>
                  <w:vAlign w:val="center"/>
                </w:tcPr>
                <w:p w14:paraId="209C4546">
                  <w:pPr>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医院厂界东侧</w:t>
                  </w:r>
                </w:p>
              </w:tc>
              <w:tc>
                <w:tcPr>
                  <w:tcW w:w="1260" w:type="dxa"/>
                  <w:vAlign w:val="center"/>
                </w:tcPr>
                <w:p w14:paraId="5230D373">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52.5</w:t>
                  </w:r>
                </w:p>
              </w:tc>
              <w:tc>
                <w:tcPr>
                  <w:tcW w:w="1200" w:type="dxa"/>
                  <w:vAlign w:val="center"/>
                </w:tcPr>
                <w:p w14:paraId="573664C5">
                  <w:pPr>
                    <w:widowControl/>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47.7</w:t>
                  </w:r>
                </w:p>
              </w:tc>
              <w:tc>
                <w:tcPr>
                  <w:tcW w:w="1260" w:type="dxa"/>
                  <w:vAlign w:val="center"/>
                </w:tcPr>
                <w:p w14:paraId="1D728207">
                  <w:pPr>
                    <w:widowControl/>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53.5</w:t>
                  </w:r>
                </w:p>
              </w:tc>
              <w:tc>
                <w:tcPr>
                  <w:tcW w:w="1183" w:type="dxa"/>
                  <w:vAlign w:val="center"/>
                </w:tcPr>
                <w:p w14:paraId="3C9994CB">
                  <w:pPr>
                    <w:widowControl/>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48.7</w:t>
                  </w:r>
                </w:p>
              </w:tc>
            </w:tr>
            <w:tr w14:paraId="77CE54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41" w:type="dxa"/>
                  <w:vAlign w:val="center"/>
                </w:tcPr>
                <w:p w14:paraId="6B2AA34D">
                  <w:pPr>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6#</w:t>
                  </w:r>
                </w:p>
              </w:tc>
              <w:tc>
                <w:tcPr>
                  <w:tcW w:w="2940" w:type="dxa"/>
                  <w:gridSpan w:val="2"/>
                  <w:vAlign w:val="center"/>
                </w:tcPr>
                <w:p w14:paraId="167C91EE">
                  <w:pPr>
                    <w:jc w:val="center"/>
                    <w:rPr>
                      <w:color w:val="000000" w:themeColor="text1"/>
                      <w:szCs w:val="21"/>
                      <w14:textFill>
                        <w14:solidFill>
                          <w14:schemeClr w14:val="tx1"/>
                        </w14:solidFill>
                      </w14:textFill>
                    </w:rPr>
                  </w:pPr>
                  <w:r>
                    <w:rPr>
                      <w:rFonts w:hint="eastAsia"/>
                      <w:color w:val="000000" w:themeColor="text1"/>
                      <w:szCs w:val="21"/>
                      <w:lang w:eastAsia="zh-CN"/>
                      <w14:textFill>
                        <w14:solidFill>
                          <w14:schemeClr w14:val="tx1"/>
                        </w14:solidFill>
                      </w14:textFill>
                    </w:rPr>
                    <w:t>医院厂界东侧</w:t>
                  </w:r>
                </w:p>
              </w:tc>
              <w:tc>
                <w:tcPr>
                  <w:tcW w:w="1260" w:type="dxa"/>
                  <w:vAlign w:val="center"/>
                </w:tcPr>
                <w:p w14:paraId="72CC2EA3">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55.8</w:t>
                  </w:r>
                </w:p>
              </w:tc>
              <w:tc>
                <w:tcPr>
                  <w:tcW w:w="1200" w:type="dxa"/>
                  <w:vAlign w:val="center"/>
                </w:tcPr>
                <w:p w14:paraId="21EB05F0">
                  <w:pPr>
                    <w:widowControl/>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44.0</w:t>
                  </w:r>
                </w:p>
              </w:tc>
              <w:tc>
                <w:tcPr>
                  <w:tcW w:w="1260" w:type="dxa"/>
                  <w:vAlign w:val="center"/>
                </w:tcPr>
                <w:p w14:paraId="49D81F5C">
                  <w:pPr>
                    <w:widowControl/>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55.1</w:t>
                  </w:r>
                </w:p>
              </w:tc>
              <w:tc>
                <w:tcPr>
                  <w:tcW w:w="1183" w:type="dxa"/>
                  <w:vAlign w:val="center"/>
                </w:tcPr>
                <w:p w14:paraId="2A9A12A8">
                  <w:pPr>
                    <w:widowControl/>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49.7</w:t>
                  </w:r>
                </w:p>
              </w:tc>
            </w:tr>
            <w:tr w14:paraId="492F93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41" w:type="dxa"/>
                  <w:vAlign w:val="center"/>
                </w:tcPr>
                <w:p w14:paraId="080D9E66">
                  <w:pPr>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7#</w:t>
                  </w:r>
                </w:p>
              </w:tc>
              <w:tc>
                <w:tcPr>
                  <w:tcW w:w="2940" w:type="dxa"/>
                  <w:gridSpan w:val="2"/>
                  <w:vAlign w:val="center"/>
                </w:tcPr>
                <w:p w14:paraId="0B9275EB">
                  <w:pPr>
                    <w:jc w:val="center"/>
                    <w:rPr>
                      <w:color w:val="000000" w:themeColor="text1"/>
                      <w:szCs w:val="21"/>
                      <w14:textFill>
                        <w14:solidFill>
                          <w14:schemeClr w14:val="tx1"/>
                        </w14:solidFill>
                      </w14:textFill>
                    </w:rPr>
                  </w:pPr>
                  <w:r>
                    <w:rPr>
                      <w:rFonts w:hint="eastAsia"/>
                      <w:color w:val="000000" w:themeColor="text1"/>
                      <w:szCs w:val="21"/>
                      <w:lang w:eastAsia="zh-CN"/>
                      <w14:textFill>
                        <w14:solidFill>
                          <w14:schemeClr w14:val="tx1"/>
                        </w14:solidFill>
                      </w14:textFill>
                    </w:rPr>
                    <w:t>医院厂界东侧</w:t>
                  </w:r>
                </w:p>
              </w:tc>
              <w:tc>
                <w:tcPr>
                  <w:tcW w:w="1260" w:type="dxa"/>
                  <w:vAlign w:val="center"/>
                </w:tcPr>
                <w:p w14:paraId="36873213">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56.1</w:t>
                  </w:r>
                </w:p>
              </w:tc>
              <w:tc>
                <w:tcPr>
                  <w:tcW w:w="1200" w:type="dxa"/>
                  <w:vAlign w:val="center"/>
                </w:tcPr>
                <w:p w14:paraId="4CC7A5D5">
                  <w:pPr>
                    <w:widowControl/>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49.0</w:t>
                  </w:r>
                </w:p>
              </w:tc>
              <w:tc>
                <w:tcPr>
                  <w:tcW w:w="1260" w:type="dxa"/>
                  <w:vAlign w:val="center"/>
                </w:tcPr>
                <w:p w14:paraId="2F9B4BF7">
                  <w:pPr>
                    <w:widowControl/>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58.5</w:t>
                  </w:r>
                </w:p>
              </w:tc>
              <w:tc>
                <w:tcPr>
                  <w:tcW w:w="1183" w:type="dxa"/>
                  <w:vAlign w:val="center"/>
                </w:tcPr>
                <w:p w14:paraId="480451DF">
                  <w:pPr>
                    <w:widowControl/>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47.2</w:t>
                  </w:r>
                </w:p>
              </w:tc>
            </w:tr>
            <w:tr w14:paraId="650AB5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41" w:type="dxa"/>
                  <w:vAlign w:val="center"/>
                </w:tcPr>
                <w:p w14:paraId="249EA8EE">
                  <w:pPr>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8#</w:t>
                  </w:r>
                </w:p>
              </w:tc>
              <w:tc>
                <w:tcPr>
                  <w:tcW w:w="2940" w:type="dxa"/>
                  <w:gridSpan w:val="2"/>
                  <w:vAlign w:val="center"/>
                </w:tcPr>
                <w:p w14:paraId="37B90C57">
                  <w:pPr>
                    <w:jc w:val="center"/>
                    <w:rPr>
                      <w:color w:val="000000" w:themeColor="text1"/>
                      <w:szCs w:val="21"/>
                      <w14:textFill>
                        <w14:solidFill>
                          <w14:schemeClr w14:val="tx1"/>
                        </w14:solidFill>
                      </w14:textFill>
                    </w:rPr>
                  </w:pPr>
                  <w:r>
                    <w:rPr>
                      <w:rFonts w:hint="eastAsia"/>
                      <w:color w:val="000000" w:themeColor="text1"/>
                      <w:szCs w:val="21"/>
                      <w:lang w:eastAsia="zh-CN"/>
                      <w14:textFill>
                        <w14:solidFill>
                          <w14:schemeClr w14:val="tx1"/>
                        </w14:solidFill>
                      </w14:textFill>
                    </w:rPr>
                    <w:t>医院厂界东侧</w:t>
                  </w:r>
                </w:p>
              </w:tc>
              <w:tc>
                <w:tcPr>
                  <w:tcW w:w="1260" w:type="dxa"/>
                  <w:vAlign w:val="center"/>
                </w:tcPr>
                <w:p w14:paraId="670574CC">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58.9</w:t>
                  </w:r>
                </w:p>
              </w:tc>
              <w:tc>
                <w:tcPr>
                  <w:tcW w:w="1200" w:type="dxa"/>
                  <w:vAlign w:val="center"/>
                </w:tcPr>
                <w:p w14:paraId="303BC650">
                  <w:pPr>
                    <w:widowControl/>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47.2</w:t>
                  </w:r>
                </w:p>
              </w:tc>
              <w:tc>
                <w:tcPr>
                  <w:tcW w:w="1260" w:type="dxa"/>
                  <w:vAlign w:val="center"/>
                </w:tcPr>
                <w:p w14:paraId="6E2D47B0">
                  <w:pPr>
                    <w:widowControl/>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58.0</w:t>
                  </w:r>
                </w:p>
              </w:tc>
              <w:tc>
                <w:tcPr>
                  <w:tcW w:w="1183" w:type="dxa"/>
                  <w:vAlign w:val="center"/>
                </w:tcPr>
                <w:p w14:paraId="7204AC0E">
                  <w:pPr>
                    <w:widowControl/>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48.7</w:t>
                  </w:r>
                </w:p>
              </w:tc>
            </w:tr>
            <w:tr w14:paraId="26CA97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41" w:type="dxa"/>
                  <w:vAlign w:val="center"/>
                </w:tcPr>
                <w:p w14:paraId="2B525D27">
                  <w:pPr>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9#</w:t>
                  </w:r>
                </w:p>
              </w:tc>
              <w:tc>
                <w:tcPr>
                  <w:tcW w:w="570" w:type="dxa"/>
                  <w:vMerge w:val="restart"/>
                  <w:vAlign w:val="center"/>
                </w:tcPr>
                <w:p w14:paraId="0E48D31A">
                  <w:pPr>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敏感点</w:t>
                  </w:r>
                </w:p>
              </w:tc>
              <w:tc>
                <w:tcPr>
                  <w:tcW w:w="2370" w:type="dxa"/>
                  <w:vAlign w:val="center"/>
                </w:tcPr>
                <w:p w14:paraId="37871C1E">
                  <w:pPr>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泰府名邸（医院东侧）</w:t>
                  </w:r>
                </w:p>
              </w:tc>
              <w:tc>
                <w:tcPr>
                  <w:tcW w:w="1260" w:type="dxa"/>
                  <w:vAlign w:val="center"/>
                </w:tcPr>
                <w:p w14:paraId="2E1D8AB8">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54.5</w:t>
                  </w:r>
                </w:p>
              </w:tc>
              <w:tc>
                <w:tcPr>
                  <w:tcW w:w="1200" w:type="dxa"/>
                  <w:vAlign w:val="center"/>
                </w:tcPr>
                <w:p w14:paraId="445AF86E">
                  <w:pPr>
                    <w:widowControl/>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48.4</w:t>
                  </w:r>
                </w:p>
              </w:tc>
              <w:tc>
                <w:tcPr>
                  <w:tcW w:w="1260" w:type="dxa"/>
                  <w:vAlign w:val="center"/>
                </w:tcPr>
                <w:p w14:paraId="35989E56">
                  <w:pPr>
                    <w:widowControl/>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57.2</w:t>
                  </w:r>
                </w:p>
              </w:tc>
              <w:tc>
                <w:tcPr>
                  <w:tcW w:w="1183" w:type="dxa"/>
                  <w:vAlign w:val="center"/>
                </w:tcPr>
                <w:p w14:paraId="7C27FB49">
                  <w:pPr>
                    <w:widowControl/>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47.2</w:t>
                  </w:r>
                </w:p>
              </w:tc>
            </w:tr>
            <w:tr w14:paraId="5812AE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41" w:type="dxa"/>
                  <w:vAlign w:val="center"/>
                </w:tcPr>
                <w:p w14:paraId="3D0D6644">
                  <w:pPr>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10#</w:t>
                  </w:r>
                </w:p>
              </w:tc>
              <w:tc>
                <w:tcPr>
                  <w:tcW w:w="570" w:type="dxa"/>
                  <w:vMerge w:val="continue"/>
                  <w:vAlign w:val="center"/>
                </w:tcPr>
                <w:p w14:paraId="2938CC7F">
                  <w:pPr>
                    <w:jc w:val="center"/>
                    <w:rPr>
                      <w:color w:val="000000" w:themeColor="text1"/>
                      <w:szCs w:val="21"/>
                      <w14:textFill>
                        <w14:solidFill>
                          <w14:schemeClr w14:val="tx1"/>
                        </w14:solidFill>
                      </w14:textFill>
                    </w:rPr>
                  </w:pPr>
                </w:p>
              </w:tc>
              <w:tc>
                <w:tcPr>
                  <w:tcW w:w="2370" w:type="dxa"/>
                  <w:vAlign w:val="center"/>
                </w:tcPr>
                <w:p w14:paraId="2FBAB1B8">
                  <w:pPr>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绿城珠江丽景（医院西南侧）</w:t>
                  </w:r>
                </w:p>
              </w:tc>
              <w:tc>
                <w:tcPr>
                  <w:tcW w:w="1260" w:type="dxa"/>
                  <w:vAlign w:val="center"/>
                </w:tcPr>
                <w:p w14:paraId="20F27E06">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54.6</w:t>
                  </w:r>
                </w:p>
              </w:tc>
              <w:tc>
                <w:tcPr>
                  <w:tcW w:w="1200" w:type="dxa"/>
                  <w:vAlign w:val="center"/>
                </w:tcPr>
                <w:p w14:paraId="03B2B547">
                  <w:pPr>
                    <w:widowControl/>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48.1</w:t>
                  </w:r>
                </w:p>
              </w:tc>
              <w:tc>
                <w:tcPr>
                  <w:tcW w:w="1260" w:type="dxa"/>
                  <w:vAlign w:val="center"/>
                </w:tcPr>
                <w:p w14:paraId="53362345">
                  <w:pPr>
                    <w:widowControl/>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55.2</w:t>
                  </w:r>
                </w:p>
              </w:tc>
              <w:tc>
                <w:tcPr>
                  <w:tcW w:w="1183" w:type="dxa"/>
                  <w:vAlign w:val="center"/>
                </w:tcPr>
                <w:p w14:paraId="5C7E01EE">
                  <w:pPr>
                    <w:widowControl/>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49.2</w:t>
                  </w:r>
                </w:p>
              </w:tc>
            </w:tr>
            <w:tr w14:paraId="33A001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681" w:type="dxa"/>
                  <w:gridSpan w:val="3"/>
                  <w:vAlign w:val="center"/>
                </w:tcPr>
                <w:p w14:paraId="26C7F1B8">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执行标准</w:t>
                  </w:r>
                </w:p>
              </w:tc>
              <w:tc>
                <w:tcPr>
                  <w:tcW w:w="1260" w:type="dxa"/>
                  <w:vAlign w:val="center"/>
                </w:tcPr>
                <w:p w14:paraId="1B37148A">
                  <w:pPr>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6</w:t>
                  </w:r>
                  <w:r>
                    <w:rPr>
                      <w:rFonts w:hint="eastAsia"/>
                      <w:color w:val="000000" w:themeColor="text1"/>
                      <w:szCs w:val="21"/>
                      <w:lang w:val="en-US" w:eastAsia="zh-CN"/>
                      <w14:textFill>
                        <w14:solidFill>
                          <w14:schemeClr w14:val="tx1"/>
                        </w14:solidFill>
                      </w14:textFill>
                    </w:rPr>
                    <w:t>0</w:t>
                  </w:r>
                </w:p>
              </w:tc>
              <w:tc>
                <w:tcPr>
                  <w:tcW w:w="1200" w:type="dxa"/>
                  <w:vAlign w:val="center"/>
                </w:tcPr>
                <w:p w14:paraId="3B348875">
                  <w:pPr>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5</w:t>
                  </w:r>
                  <w:r>
                    <w:rPr>
                      <w:rFonts w:hint="eastAsia"/>
                      <w:color w:val="000000" w:themeColor="text1"/>
                      <w:szCs w:val="21"/>
                      <w:lang w:val="en-US" w:eastAsia="zh-CN"/>
                      <w14:textFill>
                        <w14:solidFill>
                          <w14:schemeClr w14:val="tx1"/>
                        </w14:solidFill>
                      </w14:textFill>
                    </w:rPr>
                    <w:t>0</w:t>
                  </w:r>
                </w:p>
              </w:tc>
              <w:tc>
                <w:tcPr>
                  <w:tcW w:w="1260" w:type="dxa"/>
                  <w:vAlign w:val="center"/>
                </w:tcPr>
                <w:p w14:paraId="619DA868">
                  <w:pPr>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6</w:t>
                  </w:r>
                  <w:r>
                    <w:rPr>
                      <w:rFonts w:hint="eastAsia"/>
                      <w:color w:val="000000" w:themeColor="text1"/>
                      <w:szCs w:val="21"/>
                      <w:lang w:val="en-US" w:eastAsia="zh-CN"/>
                      <w14:textFill>
                        <w14:solidFill>
                          <w14:schemeClr w14:val="tx1"/>
                        </w14:solidFill>
                      </w14:textFill>
                    </w:rPr>
                    <w:t>0</w:t>
                  </w:r>
                </w:p>
              </w:tc>
              <w:tc>
                <w:tcPr>
                  <w:tcW w:w="1183" w:type="dxa"/>
                  <w:vAlign w:val="center"/>
                </w:tcPr>
                <w:p w14:paraId="72083B8D">
                  <w:pPr>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5</w:t>
                  </w:r>
                  <w:r>
                    <w:rPr>
                      <w:rFonts w:hint="eastAsia"/>
                      <w:color w:val="000000" w:themeColor="text1"/>
                      <w:szCs w:val="21"/>
                      <w:lang w:val="en-US" w:eastAsia="zh-CN"/>
                      <w14:textFill>
                        <w14:solidFill>
                          <w14:schemeClr w14:val="tx1"/>
                        </w14:solidFill>
                      </w14:textFill>
                    </w:rPr>
                    <w:t>0</w:t>
                  </w:r>
                </w:p>
              </w:tc>
            </w:tr>
            <w:tr w14:paraId="61AA7B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681" w:type="dxa"/>
                  <w:gridSpan w:val="3"/>
                  <w:vAlign w:val="center"/>
                </w:tcPr>
                <w:p w14:paraId="171A30C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达标情况</w:t>
                  </w:r>
                </w:p>
              </w:tc>
              <w:tc>
                <w:tcPr>
                  <w:tcW w:w="1260" w:type="dxa"/>
                  <w:vAlign w:val="center"/>
                </w:tcPr>
                <w:p w14:paraId="03FAC870">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达标</w:t>
                  </w:r>
                </w:p>
              </w:tc>
              <w:tc>
                <w:tcPr>
                  <w:tcW w:w="1200" w:type="dxa"/>
                  <w:vAlign w:val="center"/>
                </w:tcPr>
                <w:p w14:paraId="74371801">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达标</w:t>
                  </w:r>
                </w:p>
              </w:tc>
              <w:tc>
                <w:tcPr>
                  <w:tcW w:w="1260" w:type="dxa"/>
                  <w:vAlign w:val="center"/>
                </w:tcPr>
                <w:p w14:paraId="0E2D49E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达标</w:t>
                  </w:r>
                </w:p>
              </w:tc>
              <w:tc>
                <w:tcPr>
                  <w:tcW w:w="1183" w:type="dxa"/>
                  <w:vAlign w:val="center"/>
                </w:tcPr>
                <w:p w14:paraId="5A8FA6F6">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达标</w:t>
                  </w:r>
                </w:p>
              </w:tc>
            </w:tr>
          </w:tbl>
          <w:p w14:paraId="7CE8705C">
            <w:pPr>
              <w:pStyle w:val="20"/>
              <w:widowControl w:val="0"/>
              <w:spacing w:line="360" w:lineRule="auto"/>
              <w:ind w:left="0" w:firstLine="480" w:firstLineChars="200"/>
              <w:rPr>
                <w:rFonts w:hint="eastAsia" w:eastAsia="宋体"/>
                <w:bCs/>
                <w:sz w:val="24"/>
                <w:szCs w:val="24"/>
                <w:lang w:eastAsia="zh-CN"/>
              </w:rPr>
            </w:pPr>
            <w:r>
              <w:rPr>
                <w:rFonts w:hint="eastAsia"/>
                <w:sz w:val="24"/>
                <w:szCs w:val="24"/>
              </w:rPr>
              <w:t>由上表可知，项目</w:t>
            </w:r>
            <w:r>
              <w:rPr>
                <w:rFonts w:hint="eastAsia"/>
                <w:sz w:val="24"/>
                <w:szCs w:val="24"/>
                <w:lang w:eastAsia="zh-CN"/>
              </w:rPr>
              <w:t>医院厂界</w:t>
            </w:r>
            <w:r>
              <w:rPr>
                <w:rFonts w:hint="eastAsia"/>
                <w:sz w:val="24"/>
                <w:szCs w:val="24"/>
              </w:rPr>
              <w:t>噪声满足</w:t>
            </w:r>
            <w:r>
              <w:rPr>
                <w:sz w:val="24"/>
                <w:szCs w:val="24"/>
              </w:rPr>
              <w:t>《工业企业厂界环境噪声排放标准》（GB 1</w:t>
            </w:r>
            <w:r>
              <w:rPr>
                <w:rFonts w:hint="eastAsia"/>
                <w:sz w:val="24"/>
                <w:szCs w:val="24"/>
              </w:rPr>
              <w:t>23</w:t>
            </w:r>
            <w:r>
              <w:rPr>
                <w:sz w:val="24"/>
                <w:szCs w:val="24"/>
              </w:rPr>
              <w:t>48-2008）中</w:t>
            </w:r>
            <w:r>
              <w:rPr>
                <w:rFonts w:hint="eastAsia"/>
                <w:sz w:val="24"/>
                <w:szCs w:val="24"/>
                <w:lang w:val="en-US" w:eastAsia="zh-CN"/>
              </w:rPr>
              <w:t>2</w:t>
            </w:r>
            <w:r>
              <w:rPr>
                <w:sz w:val="24"/>
                <w:szCs w:val="24"/>
              </w:rPr>
              <w:t>类标准限值要求</w:t>
            </w:r>
            <w:r>
              <w:rPr>
                <w:rFonts w:hint="eastAsia"/>
                <w:sz w:val="24"/>
                <w:szCs w:val="24"/>
                <w:lang w:eastAsia="zh-CN"/>
              </w:rPr>
              <w:t>；敏感点噪声满足</w:t>
            </w:r>
            <w:r>
              <w:rPr>
                <w:rFonts w:hint="default" w:ascii="Times New Roman" w:hAnsi="Times New Roman" w:eastAsia="宋体" w:cs="Times New Roman"/>
                <w:color w:val="auto"/>
                <w:sz w:val="24"/>
              </w:rPr>
              <w:t>《声环境质量标准》（GB3096-2008）的</w:t>
            </w:r>
            <w:r>
              <w:rPr>
                <w:rFonts w:hint="eastAsia"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rPr>
              <w:t>类标准</w:t>
            </w:r>
            <w:r>
              <w:rPr>
                <w:rFonts w:hint="eastAsia"/>
                <w:sz w:val="24"/>
                <w:szCs w:val="24"/>
                <w:lang w:eastAsia="zh-CN"/>
              </w:rPr>
              <w:t>。</w:t>
            </w:r>
          </w:p>
          <w:p w14:paraId="50BA0C64">
            <w:pPr>
              <w:spacing w:line="360" w:lineRule="auto"/>
              <w:ind w:firstLine="482" w:firstLineChars="200"/>
              <w:rPr>
                <w:b/>
                <w:bCs/>
                <w:sz w:val="24"/>
              </w:rPr>
            </w:pPr>
            <w:r>
              <w:rPr>
                <w:b/>
                <w:bCs/>
                <w:sz w:val="24"/>
              </w:rPr>
              <w:t>5、</w:t>
            </w:r>
            <w:r>
              <w:rPr>
                <w:rFonts w:hint="eastAsia"/>
                <w:b/>
                <w:bCs/>
                <w:sz w:val="24"/>
              </w:rPr>
              <w:t>现有项目</w:t>
            </w:r>
            <w:r>
              <w:rPr>
                <w:b/>
                <w:bCs/>
                <w:sz w:val="24"/>
              </w:rPr>
              <w:t>固废分析</w:t>
            </w:r>
          </w:p>
          <w:p w14:paraId="6888EE4E">
            <w:pPr>
              <w:pStyle w:val="20"/>
              <w:widowControl w:val="0"/>
              <w:spacing w:line="360" w:lineRule="auto"/>
              <w:ind w:left="0" w:firstLine="480" w:firstLineChars="200"/>
              <w:rPr>
                <w:bCs/>
                <w:sz w:val="24"/>
                <w:szCs w:val="24"/>
              </w:rPr>
            </w:pPr>
            <w:r>
              <w:rPr>
                <w:sz w:val="24"/>
                <w:szCs w:val="24"/>
              </w:rPr>
              <w:t>本项目固废</w:t>
            </w:r>
            <w:r>
              <w:rPr>
                <w:rFonts w:hint="eastAsia"/>
                <w:sz w:val="24"/>
                <w:szCs w:val="24"/>
                <w:lang w:eastAsia="zh-CN"/>
              </w:rPr>
              <w:t>主要为普通废包装材料、医疗废物、污水处理站污泥</w:t>
            </w:r>
            <w:r>
              <w:rPr>
                <w:sz w:val="24"/>
                <w:szCs w:val="24"/>
              </w:rPr>
              <w:t>以及职工生活垃圾。职工生活垃圾和</w:t>
            </w:r>
            <w:r>
              <w:rPr>
                <w:rFonts w:hint="eastAsia"/>
                <w:sz w:val="24"/>
                <w:szCs w:val="24"/>
                <w:lang w:eastAsia="zh-CN"/>
              </w:rPr>
              <w:t>普通废包装材料</w:t>
            </w:r>
            <w:r>
              <w:rPr>
                <w:sz w:val="24"/>
                <w:szCs w:val="24"/>
              </w:rPr>
              <w:t>交由环卫部门统一清运；</w:t>
            </w:r>
            <w:r>
              <w:rPr>
                <w:rFonts w:hint="eastAsia" w:cs="Times New Roman"/>
                <w:color w:val="auto"/>
                <w:sz w:val="24"/>
                <w:szCs w:val="24"/>
                <w:lang w:eastAsia="zh-CN"/>
              </w:rPr>
              <w:t>医疗废物和污水处理站污泥</w:t>
            </w:r>
            <w:r>
              <w:rPr>
                <w:rFonts w:hint="default" w:ascii="Times New Roman" w:hAnsi="Times New Roman" w:cs="Times New Roman"/>
                <w:color w:val="auto"/>
                <w:kern w:val="0"/>
                <w:sz w:val="24"/>
              </w:rPr>
              <w:t>属于危险废物，将其交由</w:t>
            </w:r>
            <w:r>
              <w:rPr>
                <w:rFonts w:hint="eastAsia" w:cs="Times New Roman"/>
                <w:color w:val="auto"/>
                <w:kern w:val="0"/>
                <w:sz w:val="24"/>
                <w:lang w:eastAsia="zh-CN"/>
              </w:rPr>
              <w:t>淮南市康德医疗废物处置有限公司</w:t>
            </w:r>
            <w:r>
              <w:rPr>
                <w:rFonts w:hint="default" w:ascii="Times New Roman" w:hAnsi="Times New Roman" w:cs="Times New Roman"/>
                <w:color w:val="auto"/>
                <w:kern w:val="0"/>
                <w:sz w:val="24"/>
              </w:rPr>
              <w:t>处理</w:t>
            </w:r>
            <w:r>
              <w:rPr>
                <w:rFonts w:hint="eastAsia"/>
                <w:sz w:val="24"/>
                <w:szCs w:val="24"/>
              </w:rPr>
              <w:t>。</w:t>
            </w:r>
          </w:p>
          <w:p w14:paraId="1D6C0754">
            <w:pPr>
              <w:jc w:val="center"/>
              <w:rPr>
                <w:b/>
                <w:sz w:val="24"/>
              </w:rPr>
            </w:pPr>
            <w:r>
              <w:rPr>
                <w:b/>
                <w:sz w:val="24"/>
              </w:rPr>
              <w:t>表</w:t>
            </w:r>
            <w:r>
              <w:rPr>
                <w:rFonts w:hint="eastAsia"/>
                <w:b/>
                <w:sz w:val="24"/>
              </w:rPr>
              <w:t>2-1</w:t>
            </w:r>
            <w:r>
              <w:rPr>
                <w:rFonts w:hint="eastAsia"/>
                <w:b/>
                <w:sz w:val="24"/>
                <w:lang w:val="en-US" w:eastAsia="zh-CN"/>
              </w:rPr>
              <w:t>2</w:t>
            </w:r>
            <w:r>
              <w:rPr>
                <w:b/>
                <w:sz w:val="24"/>
              </w:rPr>
              <w:t xml:space="preserve">  固废污染</w:t>
            </w:r>
            <w:r>
              <w:rPr>
                <w:rFonts w:hint="eastAsia"/>
                <w:b/>
                <w:sz w:val="24"/>
              </w:rPr>
              <w:t>产生及</w:t>
            </w:r>
            <w:r>
              <w:rPr>
                <w:b/>
                <w:sz w:val="24"/>
              </w:rPr>
              <w:t>治理措施一览表</w:t>
            </w:r>
          </w:p>
          <w:tbl>
            <w:tblPr>
              <w:tblStyle w:val="27"/>
              <w:tblW w:w="8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1932"/>
              <w:gridCol w:w="1429"/>
              <w:gridCol w:w="1188"/>
              <w:gridCol w:w="1109"/>
              <w:gridCol w:w="2324"/>
            </w:tblGrid>
            <w:tr w14:paraId="226C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vAlign w:val="center"/>
                </w:tcPr>
                <w:p w14:paraId="53E60D79">
                  <w:pPr>
                    <w:jc w:val="center"/>
                    <w:rPr>
                      <w:szCs w:val="21"/>
                    </w:rPr>
                  </w:pPr>
                  <w:r>
                    <w:rPr>
                      <w:szCs w:val="21"/>
                    </w:rPr>
                    <w:t>序号</w:t>
                  </w:r>
                </w:p>
              </w:tc>
              <w:tc>
                <w:tcPr>
                  <w:tcW w:w="1932" w:type="dxa"/>
                  <w:vAlign w:val="center"/>
                </w:tcPr>
                <w:p w14:paraId="28A99990">
                  <w:pPr>
                    <w:jc w:val="center"/>
                    <w:rPr>
                      <w:szCs w:val="21"/>
                    </w:rPr>
                  </w:pPr>
                  <w:r>
                    <w:rPr>
                      <w:szCs w:val="21"/>
                    </w:rPr>
                    <w:t>固废名称</w:t>
                  </w:r>
                </w:p>
              </w:tc>
              <w:tc>
                <w:tcPr>
                  <w:tcW w:w="1429" w:type="dxa"/>
                  <w:vAlign w:val="center"/>
                </w:tcPr>
                <w:p w14:paraId="7F247938">
                  <w:pPr>
                    <w:jc w:val="center"/>
                    <w:rPr>
                      <w:szCs w:val="21"/>
                    </w:rPr>
                  </w:pPr>
                  <w:r>
                    <w:rPr>
                      <w:rFonts w:hint="eastAsia"/>
                      <w:szCs w:val="21"/>
                    </w:rPr>
                    <w:t>固废类别</w:t>
                  </w:r>
                </w:p>
              </w:tc>
              <w:tc>
                <w:tcPr>
                  <w:tcW w:w="1188" w:type="dxa"/>
                  <w:vAlign w:val="center"/>
                </w:tcPr>
                <w:p w14:paraId="193A4CB5">
                  <w:pPr>
                    <w:jc w:val="center"/>
                    <w:rPr>
                      <w:szCs w:val="21"/>
                    </w:rPr>
                  </w:pPr>
                  <w:r>
                    <w:rPr>
                      <w:szCs w:val="21"/>
                    </w:rPr>
                    <w:t>产生量</w:t>
                  </w:r>
                </w:p>
              </w:tc>
              <w:tc>
                <w:tcPr>
                  <w:tcW w:w="1109" w:type="dxa"/>
                  <w:vAlign w:val="center"/>
                </w:tcPr>
                <w:p w14:paraId="25EC6322">
                  <w:pPr>
                    <w:jc w:val="center"/>
                    <w:rPr>
                      <w:szCs w:val="21"/>
                    </w:rPr>
                  </w:pPr>
                  <w:r>
                    <w:rPr>
                      <w:rFonts w:hint="eastAsia"/>
                      <w:szCs w:val="21"/>
                    </w:rPr>
                    <w:t>处置量</w:t>
                  </w:r>
                </w:p>
              </w:tc>
              <w:tc>
                <w:tcPr>
                  <w:tcW w:w="2324" w:type="dxa"/>
                  <w:vAlign w:val="center"/>
                </w:tcPr>
                <w:p w14:paraId="1F466B7A">
                  <w:pPr>
                    <w:jc w:val="center"/>
                    <w:rPr>
                      <w:szCs w:val="21"/>
                    </w:rPr>
                  </w:pPr>
                  <w:r>
                    <w:rPr>
                      <w:szCs w:val="21"/>
                    </w:rPr>
                    <w:t>处置</w:t>
                  </w:r>
                  <w:r>
                    <w:rPr>
                      <w:rFonts w:hint="eastAsia"/>
                      <w:szCs w:val="21"/>
                    </w:rPr>
                    <w:t>方式</w:t>
                  </w:r>
                </w:p>
              </w:tc>
            </w:tr>
            <w:tr w14:paraId="11E5B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trPr>
              <w:tc>
                <w:tcPr>
                  <w:tcW w:w="616" w:type="dxa"/>
                  <w:vAlign w:val="center"/>
                </w:tcPr>
                <w:p w14:paraId="71D85DC9">
                  <w:pPr>
                    <w:jc w:val="center"/>
                    <w:rPr>
                      <w:szCs w:val="21"/>
                    </w:rPr>
                  </w:pPr>
                  <w:r>
                    <w:rPr>
                      <w:szCs w:val="21"/>
                    </w:rPr>
                    <w:t>1</w:t>
                  </w:r>
                </w:p>
              </w:tc>
              <w:tc>
                <w:tcPr>
                  <w:tcW w:w="1932" w:type="dxa"/>
                  <w:vAlign w:val="center"/>
                </w:tcPr>
                <w:p w14:paraId="2F977A62">
                  <w:pPr>
                    <w:jc w:val="center"/>
                    <w:rPr>
                      <w:szCs w:val="21"/>
                    </w:rPr>
                  </w:pPr>
                  <w:r>
                    <w:rPr>
                      <w:rFonts w:hint="eastAsia"/>
                      <w:szCs w:val="21"/>
                    </w:rPr>
                    <w:t>生活垃圾</w:t>
                  </w:r>
                </w:p>
              </w:tc>
              <w:tc>
                <w:tcPr>
                  <w:tcW w:w="1429" w:type="dxa"/>
                  <w:vAlign w:val="center"/>
                </w:tcPr>
                <w:p w14:paraId="64848AA5">
                  <w:pPr>
                    <w:jc w:val="center"/>
                    <w:rPr>
                      <w:szCs w:val="21"/>
                    </w:rPr>
                  </w:pPr>
                  <w:r>
                    <w:rPr>
                      <w:rFonts w:hint="eastAsia"/>
                      <w:szCs w:val="21"/>
                    </w:rPr>
                    <w:t>一般固废</w:t>
                  </w:r>
                </w:p>
              </w:tc>
              <w:tc>
                <w:tcPr>
                  <w:tcW w:w="1188" w:type="dxa"/>
                  <w:vAlign w:val="center"/>
                </w:tcPr>
                <w:p w14:paraId="770856B5">
                  <w:pPr>
                    <w:jc w:val="center"/>
                    <w:rPr>
                      <w:rFonts w:hint="default" w:eastAsia="宋体"/>
                      <w:szCs w:val="21"/>
                      <w:lang w:val="en-US" w:eastAsia="zh-CN"/>
                    </w:rPr>
                  </w:pPr>
                  <w:r>
                    <w:rPr>
                      <w:rFonts w:hint="eastAsia"/>
                      <w:szCs w:val="21"/>
                      <w:lang w:val="en-US" w:eastAsia="zh-CN"/>
                    </w:rPr>
                    <w:t>40.16t/a</w:t>
                  </w:r>
                </w:p>
              </w:tc>
              <w:tc>
                <w:tcPr>
                  <w:tcW w:w="1109" w:type="dxa"/>
                  <w:vAlign w:val="center"/>
                </w:tcPr>
                <w:p w14:paraId="437C1BD5">
                  <w:pPr>
                    <w:jc w:val="center"/>
                    <w:rPr>
                      <w:szCs w:val="21"/>
                    </w:rPr>
                  </w:pPr>
                  <w:r>
                    <w:rPr>
                      <w:rFonts w:hint="eastAsia"/>
                      <w:szCs w:val="21"/>
                      <w:lang w:val="en-US" w:eastAsia="zh-CN"/>
                    </w:rPr>
                    <w:t>40.16t/a</w:t>
                  </w:r>
                </w:p>
              </w:tc>
              <w:tc>
                <w:tcPr>
                  <w:tcW w:w="2324" w:type="dxa"/>
                  <w:vMerge w:val="restart"/>
                  <w:vAlign w:val="center"/>
                </w:tcPr>
                <w:p w14:paraId="62CAC5B7">
                  <w:pPr>
                    <w:jc w:val="center"/>
                    <w:rPr>
                      <w:szCs w:val="21"/>
                    </w:rPr>
                  </w:pPr>
                  <w:r>
                    <w:rPr>
                      <w:rFonts w:hint="eastAsia"/>
                      <w:szCs w:val="21"/>
                    </w:rPr>
                    <w:t>环卫部门清运</w:t>
                  </w:r>
                </w:p>
              </w:tc>
            </w:tr>
            <w:tr w14:paraId="283A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trPr>
              <w:tc>
                <w:tcPr>
                  <w:tcW w:w="616" w:type="dxa"/>
                  <w:vAlign w:val="center"/>
                </w:tcPr>
                <w:p w14:paraId="1D5F79FF">
                  <w:pPr>
                    <w:jc w:val="center"/>
                    <w:rPr>
                      <w:rFonts w:hint="eastAsia" w:eastAsia="宋体"/>
                      <w:szCs w:val="21"/>
                      <w:lang w:val="en-US" w:eastAsia="zh-CN"/>
                    </w:rPr>
                  </w:pPr>
                  <w:r>
                    <w:rPr>
                      <w:rFonts w:hint="eastAsia"/>
                      <w:szCs w:val="21"/>
                      <w:lang w:val="en-US" w:eastAsia="zh-CN"/>
                    </w:rPr>
                    <w:t>2</w:t>
                  </w:r>
                </w:p>
              </w:tc>
              <w:tc>
                <w:tcPr>
                  <w:tcW w:w="1932" w:type="dxa"/>
                  <w:vAlign w:val="center"/>
                </w:tcPr>
                <w:p w14:paraId="017A6A83">
                  <w:pPr>
                    <w:jc w:val="center"/>
                    <w:rPr>
                      <w:rFonts w:hint="eastAsia" w:eastAsia="宋体"/>
                      <w:szCs w:val="21"/>
                      <w:lang w:eastAsia="zh-CN"/>
                    </w:rPr>
                  </w:pPr>
                  <w:r>
                    <w:rPr>
                      <w:rFonts w:hint="eastAsia"/>
                      <w:szCs w:val="21"/>
                      <w:lang w:eastAsia="zh-CN"/>
                    </w:rPr>
                    <w:t>普通废包装材料</w:t>
                  </w:r>
                </w:p>
              </w:tc>
              <w:tc>
                <w:tcPr>
                  <w:tcW w:w="1429" w:type="dxa"/>
                  <w:vAlign w:val="center"/>
                </w:tcPr>
                <w:p w14:paraId="0328623F">
                  <w:pPr>
                    <w:jc w:val="center"/>
                    <w:rPr>
                      <w:rFonts w:hint="eastAsia"/>
                      <w:szCs w:val="21"/>
                    </w:rPr>
                  </w:pPr>
                  <w:r>
                    <w:rPr>
                      <w:rFonts w:hint="eastAsia"/>
                      <w:szCs w:val="21"/>
                    </w:rPr>
                    <w:t>一般固废</w:t>
                  </w:r>
                </w:p>
              </w:tc>
              <w:tc>
                <w:tcPr>
                  <w:tcW w:w="1188" w:type="dxa"/>
                  <w:vAlign w:val="center"/>
                </w:tcPr>
                <w:p w14:paraId="39247E9D">
                  <w:pPr>
                    <w:jc w:val="center"/>
                    <w:rPr>
                      <w:rFonts w:hint="default"/>
                      <w:szCs w:val="21"/>
                      <w:lang w:val="en-US" w:eastAsia="zh-CN"/>
                    </w:rPr>
                  </w:pPr>
                  <w:r>
                    <w:rPr>
                      <w:rFonts w:hint="eastAsia"/>
                      <w:szCs w:val="21"/>
                      <w:lang w:val="en-US" w:eastAsia="zh-CN"/>
                    </w:rPr>
                    <w:t>6t/a</w:t>
                  </w:r>
                </w:p>
              </w:tc>
              <w:tc>
                <w:tcPr>
                  <w:tcW w:w="1109" w:type="dxa"/>
                  <w:vAlign w:val="center"/>
                </w:tcPr>
                <w:p w14:paraId="4EC405E6">
                  <w:pPr>
                    <w:jc w:val="center"/>
                    <w:rPr>
                      <w:rFonts w:hint="eastAsia"/>
                      <w:szCs w:val="21"/>
                      <w:lang w:val="en-US" w:eastAsia="zh-CN"/>
                    </w:rPr>
                  </w:pPr>
                  <w:r>
                    <w:rPr>
                      <w:rFonts w:hint="eastAsia"/>
                      <w:szCs w:val="21"/>
                      <w:lang w:val="en-US" w:eastAsia="zh-CN"/>
                    </w:rPr>
                    <w:t>6t/a</w:t>
                  </w:r>
                </w:p>
              </w:tc>
              <w:tc>
                <w:tcPr>
                  <w:tcW w:w="2324" w:type="dxa"/>
                  <w:vMerge w:val="continue"/>
                  <w:vAlign w:val="center"/>
                </w:tcPr>
                <w:p w14:paraId="06EE780E">
                  <w:pPr>
                    <w:jc w:val="center"/>
                    <w:rPr>
                      <w:rFonts w:hint="eastAsia"/>
                      <w:szCs w:val="21"/>
                    </w:rPr>
                  </w:pPr>
                </w:p>
              </w:tc>
            </w:tr>
            <w:tr w14:paraId="7BD9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vAlign w:val="center"/>
                </w:tcPr>
                <w:p w14:paraId="0FA15A85">
                  <w:pPr>
                    <w:jc w:val="center"/>
                    <w:rPr>
                      <w:rFonts w:hint="default" w:eastAsia="宋体"/>
                      <w:szCs w:val="21"/>
                      <w:lang w:val="en-US" w:eastAsia="zh-CN"/>
                    </w:rPr>
                  </w:pPr>
                  <w:r>
                    <w:rPr>
                      <w:rFonts w:hint="eastAsia"/>
                      <w:szCs w:val="21"/>
                      <w:lang w:val="en-US" w:eastAsia="zh-CN"/>
                    </w:rPr>
                    <w:t>3</w:t>
                  </w:r>
                </w:p>
              </w:tc>
              <w:tc>
                <w:tcPr>
                  <w:tcW w:w="1932" w:type="dxa"/>
                  <w:vAlign w:val="center"/>
                </w:tcPr>
                <w:p w14:paraId="6B7D085F">
                  <w:pPr>
                    <w:jc w:val="center"/>
                    <w:rPr>
                      <w:rFonts w:hint="eastAsia" w:eastAsia="宋体"/>
                      <w:szCs w:val="21"/>
                      <w:lang w:eastAsia="zh-CN"/>
                    </w:rPr>
                  </w:pPr>
                  <w:r>
                    <w:rPr>
                      <w:rFonts w:hint="eastAsia"/>
                      <w:szCs w:val="21"/>
                      <w:lang w:eastAsia="zh-CN"/>
                    </w:rPr>
                    <w:t>医疗废物</w:t>
                  </w:r>
                </w:p>
              </w:tc>
              <w:tc>
                <w:tcPr>
                  <w:tcW w:w="1429" w:type="dxa"/>
                  <w:vAlign w:val="center"/>
                </w:tcPr>
                <w:p w14:paraId="024BA82F">
                  <w:pPr>
                    <w:jc w:val="center"/>
                    <w:rPr>
                      <w:rFonts w:hint="eastAsia" w:eastAsia="宋体"/>
                      <w:szCs w:val="21"/>
                      <w:lang w:eastAsia="zh-CN"/>
                    </w:rPr>
                  </w:pPr>
                  <w:r>
                    <w:rPr>
                      <w:rFonts w:hint="eastAsia"/>
                      <w:szCs w:val="21"/>
                      <w:lang w:eastAsia="zh-CN"/>
                    </w:rPr>
                    <w:t>危险废物</w:t>
                  </w:r>
                </w:p>
              </w:tc>
              <w:tc>
                <w:tcPr>
                  <w:tcW w:w="1188" w:type="dxa"/>
                  <w:vAlign w:val="center"/>
                </w:tcPr>
                <w:p w14:paraId="0184B6BD">
                  <w:pPr>
                    <w:jc w:val="center"/>
                    <w:rPr>
                      <w:rFonts w:hint="default" w:eastAsia="宋体"/>
                      <w:szCs w:val="21"/>
                      <w:lang w:val="en-US" w:eastAsia="zh-CN"/>
                    </w:rPr>
                  </w:pPr>
                  <w:r>
                    <w:rPr>
                      <w:rFonts w:hint="eastAsia"/>
                      <w:szCs w:val="21"/>
                      <w:lang w:val="en-US" w:eastAsia="zh-CN"/>
                    </w:rPr>
                    <w:t>146t/a</w:t>
                  </w:r>
                </w:p>
              </w:tc>
              <w:tc>
                <w:tcPr>
                  <w:tcW w:w="1109" w:type="dxa"/>
                  <w:vAlign w:val="center"/>
                </w:tcPr>
                <w:p w14:paraId="2C62971C">
                  <w:pPr>
                    <w:jc w:val="center"/>
                    <w:rPr>
                      <w:szCs w:val="21"/>
                    </w:rPr>
                  </w:pPr>
                  <w:r>
                    <w:rPr>
                      <w:rFonts w:hint="eastAsia"/>
                      <w:szCs w:val="21"/>
                      <w:lang w:val="en-US" w:eastAsia="zh-CN"/>
                    </w:rPr>
                    <w:t>146t/a</w:t>
                  </w:r>
                </w:p>
              </w:tc>
              <w:tc>
                <w:tcPr>
                  <w:tcW w:w="2324" w:type="dxa"/>
                  <w:vMerge w:val="restart"/>
                  <w:vAlign w:val="center"/>
                </w:tcPr>
                <w:p w14:paraId="5A4FE455">
                  <w:pPr>
                    <w:jc w:val="center"/>
                    <w:rPr>
                      <w:rFonts w:hint="eastAsia" w:eastAsia="宋体"/>
                      <w:szCs w:val="21"/>
                      <w:lang w:eastAsia="zh-CN"/>
                    </w:rPr>
                  </w:pPr>
                  <w:r>
                    <w:rPr>
                      <w:rFonts w:hint="eastAsia"/>
                      <w:szCs w:val="21"/>
                      <w:lang w:eastAsia="zh-CN"/>
                    </w:rPr>
                    <w:t>委托淮南市康德医疗废物处置有限公司处置</w:t>
                  </w:r>
                </w:p>
              </w:tc>
            </w:tr>
            <w:tr w14:paraId="27EB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vAlign w:val="center"/>
                </w:tcPr>
                <w:p w14:paraId="06E77897">
                  <w:pPr>
                    <w:jc w:val="center"/>
                    <w:rPr>
                      <w:rFonts w:hint="default" w:eastAsia="宋体"/>
                      <w:szCs w:val="21"/>
                      <w:lang w:val="en-US" w:eastAsia="zh-CN"/>
                    </w:rPr>
                  </w:pPr>
                  <w:r>
                    <w:rPr>
                      <w:rFonts w:hint="eastAsia"/>
                      <w:szCs w:val="21"/>
                      <w:lang w:val="en-US" w:eastAsia="zh-CN"/>
                    </w:rPr>
                    <w:t>4</w:t>
                  </w:r>
                </w:p>
              </w:tc>
              <w:tc>
                <w:tcPr>
                  <w:tcW w:w="1932" w:type="dxa"/>
                  <w:vAlign w:val="center"/>
                </w:tcPr>
                <w:p w14:paraId="2F8457E7">
                  <w:pPr>
                    <w:jc w:val="center"/>
                    <w:rPr>
                      <w:rFonts w:hint="eastAsia" w:eastAsia="宋体"/>
                      <w:szCs w:val="21"/>
                      <w:lang w:eastAsia="zh-CN"/>
                    </w:rPr>
                  </w:pPr>
                  <w:r>
                    <w:rPr>
                      <w:rFonts w:hint="eastAsia"/>
                      <w:szCs w:val="21"/>
                      <w:lang w:eastAsia="zh-CN"/>
                    </w:rPr>
                    <w:t>污水处理站污泥</w:t>
                  </w:r>
                </w:p>
              </w:tc>
              <w:tc>
                <w:tcPr>
                  <w:tcW w:w="1429" w:type="dxa"/>
                  <w:vAlign w:val="center"/>
                </w:tcPr>
                <w:p w14:paraId="58ACE06B">
                  <w:pPr>
                    <w:jc w:val="center"/>
                    <w:rPr>
                      <w:rFonts w:hint="eastAsia" w:eastAsia="宋体"/>
                      <w:szCs w:val="21"/>
                      <w:lang w:eastAsia="zh-CN"/>
                    </w:rPr>
                  </w:pPr>
                  <w:r>
                    <w:rPr>
                      <w:rFonts w:hint="eastAsia"/>
                      <w:szCs w:val="21"/>
                      <w:lang w:eastAsia="zh-CN"/>
                    </w:rPr>
                    <w:t>危险废物</w:t>
                  </w:r>
                </w:p>
              </w:tc>
              <w:tc>
                <w:tcPr>
                  <w:tcW w:w="1188" w:type="dxa"/>
                  <w:vAlign w:val="center"/>
                </w:tcPr>
                <w:p w14:paraId="19915213">
                  <w:pPr>
                    <w:jc w:val="center"/>
                    <w:rPr>
                      <w:rFonts w:hint="default"/>
                      <w:szCs w:val="21"/>
                      <w:lang w:val="en-US" w:eastAsia="zh-CN"/>
                    </w:rPr>
                  </w:pPr>
                  <w:r>
                    <w:rPr>
                      <w:rFonts w:hint="eastAsia"/>
                      <w:szCs w:val="21"/>
                      <w:lang w:val="en-US" w:eastAsia="zh-CN"/>
                    </w:rPr>
                    <w:t>3.85t/a</w:t>
                  </w:r>
                </w:p>
              </w:tc>
              <w:tc>
                <w:tcPr>
                  <w:tcW w:w="1109" w:type="dxa"/>
                  <w:vAlign w:val="center"/>
                </w:tcPr>
                <w:p w14:paraId="45955F09">
                  <w:pPr>
                    <w:jc w:val="center"/>
                    <w:rPr>
                      <w:rFonts w:hint="eastAsia"/>
                      <w:szCs w:val="21"/>
                      <w:lang w:val="en-US" w:eastAsia="zh-CN"/>
                    </w:rPr>
                  </w:pPr>
                  <w:r>
                    <w:rPr>
                      <w:rFonts w:hint="eastAsia"/>
                      <w:szCs w:val="21"/>
                      <w:lang w:val="en-US" w:eastAsia="zh-CN"/>
                    </w:rPr>
                    <w:t>3.85t/a</w:t>
                  </w:r>
                </w:p>
              </w:tc>
              <w:tc>
                <w:tcPr>
                  <w:tcW w:w="2324" w:type="dxa"/>
                  <w:vMerge w:val="continue"/>
                  <w:vAlign w:val="center"/>
                </w:tcPr>
                <w:p w14:paraId="2090AA8E">
                  <w:pPr>
                    <w:jc w:val="center"/>
                    <w:rPr>
                      <w:rFonts w:hint="eastAsia"/>
                      <w:szCs w:val="21"/>
                    </w:rPr>
                  </w:pPr>
                </w:p>
              </w:tc>
            </w:tr>
          </w:tbl>
          <w:p w14:paraId="10291472">
            <w:pPr>
              <w:spacing w:line="360" w:lineRule="auto"/>
              <w:ind w:firstLine="482" w:firstLineChars="200"/>
              <w:rPr>
                <w:sz w:val="24"/>
              </w:rPr>
            </w:pPr>
            <w:r>
              <w:rPr>
                <w:rFonts w:hint="eastAsia"/>
                <w:b/>
                <w:bCs/>
                <w:sz w:val="24"/>
              </w:rPr>
              <w:t>6、</w:t>
            </w:r>
            <w:r>
              <w:rPr>
                <w:b/>
                <w:bCs/>
                <w:sz w:val="24"/>
              </w:rPr>
              <w:t>现有项目污染物排放统计</w:t>
            </w:r>
          </w:p>
          <w:p w14:paraId="7C37E28C">
            <w:pPr>
              <w:spacing w:line="360" w:lineRule="auto"/>
              <w:ind w:firstLine="480" w:firstLineChars="200"/>
              <w:rPr>
                <w:b/>
                <w:bCs/>
                <w:sz w:val="24"/>
              </w:rPr>
            </w:pPr>
            <w:r>
              <w:rPr>
                <w:rFonts w:hint="eastAsia"/>
                <w:sz w:val="24"/>
              </w:rPr>
              <w:t>现有项目污染物排放量</w:t>
            </w:r>
            <w:r>
              <w:rPr>
                <w:sz w:val="24"/>
              </w:rPr>
              <w:t>，见</w:t>
            </w:r>
            <w:r>
              <w:rPr>
                <w:rFonts w:hint="eastAsia"/>
                <w:sz w:val="24"/>
              </w:rPr>
              <w:t>下</w:t>
            </w:r>
            <w:r>
              <w:rPr>
                <w:sz w:val="24"/>
              </w:rPr>
              <w:t>表。</w:t>
            </w:r>
          </w:p>
          <w:p w14:paraId="467D5F07">
            <w:pPr>
              <w:jc w:val="center"/>
              <w:rPr>
                <w:b/>
                <w:bCs/>
                <w:sz w:val="24"/>
              </w:rPr>
            </w:pPr>
            <w:r>
              <w:rPr>
                <w:b/>
                <w:bCs/>
                <w:sz w:val="24"/>
              </w:rPr>
              <w:t>表</w:t>
            </w:r>
            <w:r>
              <w:rPr>
                <w:rFonts w:hint="eastAsia"/>
                <w:b/>
                <w:bCs/>
                <w:sz w:val="24"/>
              </w:rPr>
              <w:t>2-1</w:t>
            </w:r>
            <w:r>
              <w:rPr>
                <w:rFonts w:hint="eastAsia"/>
                <w:b/>
                <w:bCs/>
                <w:sz w:val="24"/>
                <w:lang w:val="en-US" w:eastAsia="zh-CN"/>
              </w:rPr>
              <w:t>3</w:t>
            </w:r>
            <w:r>
              <w:rPr>
                <w:rFonts w:hint="eastAsia"/>
                <w:b/>
                <w:bCs/>
                <w:sz w:val="24"/>
              </w:rPr>
              <w:t xml:space="preserve">  </w:t>
            </w:r>
            <w:r>
              <w:rPr>
                <w:b/>
                <w:bCs/>
                <w:sz w:val="24"/>
              </w:rPr>
              <w:t>现有项目污染物排放统计一览表</w:t>
            </w:r>
          </w:p>
          <w:tbl>
            <w:tblPr>
              <w:tblStyle w:val="27"/>
              <w:tblW w:w="86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0"/>
              <w:gridCol w:w="2832"/>
              <w:gridCol w:w="4329"/>
            </w:tblGrid>
            <w:tr w14:paraId="423B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40" w:type="dxa"/>
                  <w:tcBorders>
                    <w:tl2br w:val="nil"/>
                    <w:tr2bl w:val="nil"/>
                  </w:tcBorders>
                  <w:vAlign w:val="center"/>
                </w:tcPr>
                <w:p w14:paraId="56DC8339">
                  <w:pPr>
                    <w:pStyle w:val="118"/>
                  </w:pPr>
                  <w:r>
                    <w:rPr>
                      <w:rFonts w:hint="eastAsia"/>
                    </w:rPr>
                    <w:t>种类</w:t>
                  </w:r>
                </w:p>
              </w:tc>
              <w:tc>
                <w:tcPr>
                  <w:tcW w:w="2832" w:type="dxa"/>
                  <w:tcBorders>
                    <w:tl2br w:val="nil"/>
                    <w:tr2bl w:val="nil"/>
                  </w:tcBorders>
                  <w:vAlign w:val="center"/>
                </w:tcPr>
                <w:p w14:paraId="20391335">
                  <w:pPr>
                    <w:pStyle w:val="118"/>
                  </w:pPr>
                  <w:r>
                    <w:t>项目</w:t>
                  </w:r>
                </w:p>
              </w:tc>
              <w:tc>
                <w:tcPr>
                  <w:tcW w:w="4329" w:type="dxa"/>
                  <w:tcBorders>
                    <w:tl2br w:val="nil"/>
                    <w:tr2bl w:val="nil"/>
                  </w:tcBorders>
                  <w:vAlign w:val="center"/>
                </w:tcPr>
                <w:p w14:paraId="16B864F0">
                  <w:pPr>
                    <w:pStyle w:val="118"/>
                  </w:pPr>
                  <w:r>
                    <w:t>年排放量</w:t>
                  </w:r>
                </w:p>
              </w:tc>
            </w:tr>
            <w:tr w14:paraId="2D0FF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40" w:type="dxa"/>
                  <w:vMerge w:val="restart"/>
                  <w:tcBorders>
                    <w:tl2br w:val="nil"/>
                    <w:tr2bl w:val="nil"/>
                  </w:tcBorders>
                  <w:vAlign w:val="center"/>
                </w:tcPr>
                <w:p w14:paraId="347A02D3">
                  <w:pPr>
                    <w:pStyle w:val="118"/>
                  </w:pPr>
                  <w:r>
                    <w:rPr>
                      <w:rFonts w:hint="eastAsia"/>
                    </w:rPr>
                    <w:t>废气</w:t>
                  </w:r>
                </w:p>
              </w:tc>
              <w:tc>
                <w:tcPr>
                  <w:tcW w:w="2832" w:type="dxa"/>
                  <w:tcBorders>
                    <w:tl2br w:val="nil"/>
                    <w:tr2bl w:val="nil"/>
                  </w:tcBorders>
                  <w:vAlign w:val="center"/>
                </w:tcPr>
                <w:p w14:paraId="742397B3">
                  <w:pPr>
                    <w:pStyle w:val="118"/>
                    <w:rPr>
                      <w:rFonts w:hint="eastAsia" w:eastAsia="宋体"/>
                      <w:kern w:val="2"/>
                      <w:szCs w:val="18"/>
                      <w:lang w:eastAsia="zh-CN"/>
                    </w:rPr>
                  </w:pPr>
                  <w:r>
                    <w:rPr>
                      <w:rFonts w:hint="eastAsia"/>
                      <w:lang w:eastAsia="zh-CN"/>
                    </w:rPr>
                    <w:t>氨</w:t>
                  </w:r>
                </w:p>
              </w:tc>
              <w:tc>
                <w:tcPr>
                  <w:tcW w:w="4329" w:type="dxa"/>
                  <w:tcBorders>
                    <w:tl2br w:val="nil"/>
                    <w:tr2bl w:val="nil"/>
                  </w:tcBorders>
                  <w:vAlign w:val="center"/>
                </w:tcPr>
                <w:p w14:paraId="65E9110F">
                  <w:pPr>
                    <w:pStyle w:val="118"/>
                    <w:rPr>
                      <w:rFonts w:hint="default" w:eastAsia="宋体"/>
                      <w:kern w:val="2"/>
                      <w:szCs w:val="18"/>
                      <w:lang w:val="en-US" w:eastAsia="zh-CN"/>
                    </w:rPr>
                  </w:pPr>
                  <w:r>
                    <w:rPr>
                      <w:rFonts w:hint="eastAsia"/>
                      <w:kern w:val="2"/>
                      <w:szCs w:val="18"/>
                      <w:lang w:val="en-US" w:eastAsia="zh-CN"/>
                    </w:rPr>
                    <w:t>0.028t/a</w:t>
                  </w:r>
                </w:p>
              </w:tc>
            </w:tr>
            <w:tr w14:paraId="497DA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40" w:type="dxa"/>
                  <w:vMerge w:val="continue"/>
                  <w:tcBorders>
                    <w:tl2br w:val="nil"/>
                    <w:tr2bl w:val="nil"/>
                  </w:tcBorders>
                  <w:vAlign w:val="center"/>
                </w:tcPr>
                <w:p w14:paraId="7D5C64B5">
                  <w:pPr>
                    <w:pStyle w:val="118"/>
                    <w:rPr>
                      <w:rFonts w:hint="eastAsia"/>
                    </w:rPr>
                  </w:pPr>
                </w:p>
              </w:tc>
              <w:tc>
                <w:tcPr>
                  <w:tcW w:w="2832" w:type="dxa"/>
                  <w:tcBorders>
                    <w:tl2br w:val="nil"/>
                    <w:tr2bl w:val="nil"/>
                  </w:tcBorders>
                  <w:vAlign w:val="center"/>
                </w:tcPr>
                <w:p w14:paraId="45E9CC0A">
                  <w:pPr>
                    <w:pStyle w:val="118"/>
                    <w:rPr>
                      <w:rFonts w:hint="eastAsia" w:eastAsia="宋体"/>
                      <w:lang w:eastAsia="zh-CN"/>
                    </w:rPr>
                  </w:pPr>
                  <w:r>
                    <w:rPr>
                      <w:rFonts w:hint="eastAsia"/>
                      <w:lang w:eastAsia="zh-CN"/>
                    </w:rPr>
                    <w:t>硫化氢</w:t>
                  </w:r>
                </w:p>
              </w:tc>
              <w:tc>
                <w:tcPr>
                  <w:tcW w:w="4329" w:type="dxa"/>
                  <w:tcBorders>
                    <w:tl2br w:val="nil"/>
                    <w:tr2bl w:val="nil"/>
                  </w:tcBorders>
                  <w:vAlign w:val="center"/>
                </w:tcPr>
                <w:p w14:paraId="51F234DC">
                  <w:pPr>
                    <w:pStyle w:val="118"/>
                    <w:rPr>
                      <w:rFonts w:hint="default"/>
                      <w:kern w:val="2"/>
                      <w:szCs w:val="18"/>
                      <w:lang w:val="en-US" w:eastAsia="zh-CN"/>
                    </w:rPr>
                  </w:pPr>
                  <w:r>
                    <w:rPr>
                      <w:rFonts w:hint="eastAsia"/>
                      <w:kern w:val="2"/>
                      <w:szCs w:val="18"/>
                      <w:lang w:val="en-US" w:eastAsia="zh-CN"/>
                    </w:rPr>
                    <w:t>0.0008t/a</w:t>
                  </w:r>
                </w:p>
              </w:tc>
            </w:tr>
            <w:tr w14:paraId="3B83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40" w:type="dxa"/>
                  <w:vMerge w:val="restart"/>
                  <w:tcBorders>
                    <w:tl2br w:val="nil"/>
                    <w:tr2bl w:val="nil"/>
                  </w:tcBorders>
                  <w:vAlign w:val="center"/>
                </w:tcPr>
                <w:p w14:paraId="75306465">
                  <w:pPr>
                    <w:pStyle w:val="118"/>
                  </w:pPr>
                  <w:r>
                    <w:rPr>
                      <w:rFonts w:hint="eastAsia"/>
                    </w:rPr>
                    <w:t>废水</w:t>
                  </w:r>
                </w:p>
              </w:tc>
              <w:tc>
                <w:tcPr>
                  <w:tcW w:w="2832" w:type="dxa"/>
                  <w:tcBorders>
                    <w:tl2br w:val="nil"/>
                    <w:tr2bl w:val="nil"/>
                  </w:tcBorders>
                  <w:vAlign w:val="center"/>
                </w:tcPr>
                <w:p w14:paraId="01F742D5">
                  <w:pPr>
                    <w:pStyle w:val="118"/>
                  </w:pPr>
                  <w:r>
                    <w:rPr>
                      <w:rFonts w:hint="eastAsia"/>
                    </w:rPr>
                    <w:t>COD</w:t>
                  </w:r>
                </w:p>
              </w:tc>
              <w:tc>
                <w:tcPr>
                  <w:tcW w:w="4329" w:type="dxa"/>
                  <w:tcBorders>
                    <w:tl2br w:val="nil"/>
                    <w:tr2bl w:val="nil"/>
                  </w:tcBorders>
                  <w:vAlign w:val="center"/>
                </w:tcPr>
                <w:p w14:paraId="575B6DA3">
                  <w:pPr>
                    <w:pStyle w:val="118"/>
                    <w:rPr>
                      <w:rFonts w:hint="default" w:eastAsia="宋体"/>
                      <w:lang w:val="en-US" w:eastAsia="zh-CN"/>
                    </w:rPr>
                  </w:pPr>
                  <w:r>
                    <w:rPr>
                      <w:rFonts w:hint="eastAsia"/>
                      <w:lang w:val="en-US" w:eastAsia="zh-CN"/>
                    </w:rPr>
                    <w:t>0.894t/a</w:t>
                  </w:r>
                </w:p>
              </w:tc>
            </w:tr>
            <w:tr w14:paraId="1924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40" w:type="dxa"/>
                  <w:vMerge w:val="continue"/>
                  <w:tcBorders>
                    <w:tl2br w:val="nil"/>
                    <w:tr2bl w:val="nil"/>
                  </w:tcBorders>
                  <w:vAlign w:val="center"/>
                </w:tcPr>
                <w:p w14:paraId="0B543EE2">
                  <w:pPr>
                    <w:pStyle w:val="118"/>
                  </w:pPr>
                </w:p>
              </w:tc>
              <w:tc>
                <w:tcPr>
                  <w:tcW w:w="2832" w:type="dxa"/>
                  <w:tcBorders>
                    <w:tl2br w:val="nil"/>
                    <w:tr2bl w:val="nil"/>
                  </w:tcBorders>
                  <w:vAlign w:val="center"/>
                </w:tcPr>
                <w:p w14:paraId="285B71F0">
                  <w:pPr>
                    <w:pStyle w:val="118"/>
                  </w:pPr>
                  <w:r>
                    <w:rPr>
                      <w:rFonts w:hint="eastAsia"/>
                    </w:rPr>
                    <w:t>氨氮</w:t>
                  </w:r>
                </w:p>
              </w:tc>
              <w:tc>
                <w:tcPr>
                  <w:tcW w:w="4329" w:type="dxa"/>
                  <w:tcBorders>
                    <w:tl2br w:val="nil"/>
                    <w:tr2bl w:val="nil"/>
                  </w:tcBorders>
                  <w:vAlign w:val="center"/>
                </w:tcPr>
                <w:p w14:paraId="33DC74ED">
                  <w:pPr>
                    <w:pStyle w:val="118"/>
                    <w:rPr>
                      <w:rFonts w:hint="default" w:eastAsia="宋体"/>
                      <w:lang w:val="en-US" w:eastAsia="zh-CN"/>
                    </w:rPr>
                  </w:pPr>
                  <w:r>
                    <w:rPr>
                      <w:rFonts w:hint="eastAsia"/>
                      <w:lang w:val="en-US" w:eastAsia="zh-CN"/>
                    </w:rPr>
                    <w:t>0.329t/a</w:t>
                  </w:r>
                </w:p>
              </w:tc>
            </w:tr>
            <w:tr w14:paraId="17162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40" w:type="dxa"/>
                  <w:vMerge w:val="restart"/>
                  <w:tcBorders>
                    <w:tl2br w:val="nil"/>
                    <w:tr2bl w:val="nil"/>
                  </w:tcBorders>
                  <w:vAlign w:val="center"/>
                </w:tcPr>
                <w:p w14:paraId="79FCAA15">
                  <w:pPr>
                    <w:pStyle w:val="118"/>
                  </w:pPr>
                  <w:r>
                    <w:rPr>
                      <w:rFonts w:hint="eastAsia"/>
                    </w:rPr>
                    <w:t>固废</w:t>
                  </w:r>
                </w:p>
              </w:tc>
              <w:tc>
                <w:tcPr>
                  <w:tcW w:w="2832" w:type="dxa"/>
                  <w:tcBorders>
                    <w:tl2br w:val="nil"/>
                    <w:tr2bl w:val="nil"/>
                  </w:tcBorders>
                  <w:vAlign w:val="center"/>
                </w:tcPr>
                <w:p w14:paraId="14A8FD01">
                  <w:pPr>
                    <w:jc w:val="center"/>
                    <w:rPr>
                      <w:szCs w:val="21"/>
                    </w:rPr>
                  </w:pPr>
                  <w:r>
                    <w:rPr>
                      <w:rFonts w:hint="eastAsia"/>
                      <w:szCs w:val="21"/>
                    </w:rPr>
                    <w:t>生活垃圾</w:t>
                  </w:r>
                </w:p>
              </w:tc>
              <w:tc>
                <w:tcPr>
                  <w:tcW w:w="4329" w:type="dxa"/>
                  <w:tcBorders>
                    <w:tl2br w:val="nil"/>
                    <w:tr2bl w:val="nil"/>
                  </w:tcBorders>
                  <w:vAlign w:val="center"/>
                </w:tcPr>
                <w:p w14:paraId="331C9339">
                  <w:pPr>
                    <w:jc w:val="center"/>
                    <w:rPr>
                      <w:szCs w:val="21"/>
                    </w:rPr>
                  </w:pPr>
                  <w:r>
                    <w:rPr>
                      <w:rFonts w:hint="eastAsia"/>
                      <w:szCs w:val="21"/>
                      <w:lang w:val="en-US" w:eastAsia="zh-CN"/>
                    </w:rPr>
                    <w:t>40.16t/a</w:t>
                  </w:r>
                </w:p>
              </w:tc>
            </w:tr>
            <w:tr w14:paraId="425F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40" w:type="dxa"/>
                  <w:vMerge w:val="continue"/>
                  <w:tcBorders>
                    <w:tl2br w:val="nil"/>
                    <w:tr2bl w:val="nil"/>
                  </w:tcBorders>
                  <w:vAlign w:val="center"/>
                </w:tcPr>
                <w:p w14:paraId="36A93416">
                  <w:pPr>
                    <w:pStyle w:val="118"/>
                  </w:pPr>
                </w:p>
              </w:tc>
              <w:tc>
                <w:tcPr>
                  <w:tcW w:w="2832" w:type="dxa"/>
                  <w:tcBorders>
                    <w:tl2br w:val="nil"/>
                    <w:tr2bl w:val="nil"/>
                  </w:tcBorders>
                  <w:vAlign w:val="center"/>
                </w:tcPr>
                <w:p w14:paraId="15DF131B">
                  <w:pPr>
                    <w:jc w:val="center"/>
                    <w:rPr>
                      <w:szCs w:val="21"/>
                    </w:rPr>
                  </w:pPr>
                  <w:r>
                    <w:rPr>
                      <w:rFonts w:hint="eastAsia"/>
                      <w:szCs w:val="21"/>
                      <w:lang w:eastAsia="zh-CN"/>
                    </w:rPr>
                    <w:t>普通废包装材料</w:t>
                  </w:r>
                </w:p>
              </w:tc>
              <w:tc>
                <w:tcPr>
                  <w:tcW w:w="4329" w:type="dxa"/>
                  <w:tcBorders>
                    <w:tl2br w:val="nil"/>
                    <w:tr2bl w:val="nil"/>
                  </w:tcBorders>
                  <w:vAlign w:val="center"/>
                </w:tcPr>
                <w:p w14:paraId="3FD811E4">
                  <w:pPr>
                    <w:jc w:val="center"/>
                    <w:rPr>
                      <w:szCs w:val="21"/>
                    </w:rPr>
                  </w:pPr>
                  <w:r>
                    <w:rPr>
                      <w:rFonts w:hint="eastAsia"/>
                      <w:szCs w:val="21"/>
                      <w:lang w:val="en-US" w:eastAsia="zh-CN"/>
                    </w:rPr>
                    <w:t>6t/a</w:t>
                  </w:r>
                </w:p>
              </w:tc>
            </w:tr>
            <w:tr w14:paraId="6FBD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40" w:type="dxa"/>
                  <w:vMerge w:val="continue"/>
                  <w:tcBorders>
                    <w:tl2br w:val="nil"/>
                    <w:tr2bl w:val="nil"/>
                  </w:tcBorders>
                  <w:vAlign w:val="center"/>
                </w:tcPr>
                <w:p w14:paraId="18C9F404">
                  <w:pPr>
                    <w:pStyle w:val="118"/>
                  </w:pPr>
                </w:p>
              </w:tc>
              <w:tc>
                <w:tcPr>
                  <w:tcW w:w="2832" w:type="dxa"/>
                  <w:tcBorders>
                    <w:tl2br w:val="nil"/>
                    <w:tr2bl w:val="nil"/>
                  </w:tcBorders>
                  <w:vAlign w:val="center"/>
                </w:tcPr>
                <w:p w14:paraId="2F9D2075">
                  <w:pPr>
                    <w:jc w:val="center"/>
                    <w:rPr>
                      <w:rFonts w:hint="eastAsia" w:eastAsia="宋体"/>
                      <w:szCs w:val="21"/>
                      <w:lang w:eastAsia="zh-CN"/>
                    </w:rPr>
                  </w:pPr>
                  <w:r>
                    <w:rPr>
                      <w:rFonts w:hint="eastAsia"/>
                      <w:szCs w:val="21"/>
                      <w:lang w:eastAsia="zh-CN"/>
                    </w:rPr>
                    <w:t>医疗废物</w:t>
                  </w:r>
                </w:p>
              </w:tc>
              <w:tc>
                <w:tcPr>
                  <w:tcW w:w="4329" w:type="dxa"/>
                  <w:tcBorders>
                    <w:tl2br w:val="nil"/>
                    <w:tr2bl w:val="nil"/>
                  </w:tcBorders>
                  <w:vAlign w:val="center"/>
                </w:tcPr>
                <w:p w14:paraId="7295D3B0">
                  <w:pPr>
                    <w:jc w:val="center"/>
                    <w:rPr>
                      <w:rFonts w:hint="default"/>
                      <w:szCs w:val="21"/>
                      <w:lang w:val="en-US" w:eastAsia="zh-CN"/>
                    </w:rPr>
                  </w:pPr>
                  <w:r>
                    <w:rPr>
                      <w:rFonts w:hint="eastAsia"/>
                      <w:szCs w:val="21"/>
                      <w:lang w:val="en-US" w:eastAsia="zh-CN"/>
                    </w:rPr>
                    <w:t>146t/a</w:t>
                  </w:r>
                </w:p>
              </w:tc>
            </w:tr>
            <w:tr w14:paraId="0BA2F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40" w:type="dxa"/>
                  <w:vMerge w:val="continue"/>
                  <w:tcBorders>
                    <w:tl2br w:val="nil"/>
                    <w:tr2bl w:val="nil"/>
                  </w:tcBorders>
                  <w:vAlign w:val="center"/>
                </w:tcPr>
                <w:p w14:paraId="2E2E9F74">
                  <w:pPr>
                    <w:pStyle w:val="118"/>
                  </w:pPr>
                </w:p>
              </w:tc>
              <w:tc>
                <w:tcPr>
                  <w:tcW w:w="2832" w:type="dxa"/>
                  <w:tcBorders>
                    <w:tl2br w:val="nil"/>
                    <w:tr2bl w:val="nil"/>
                  </w:tcBorders>
                  <w:vAlign w:val="center"/>
                </w:tcPr>
                <w:p w14:paraId="5884E24E">
                  <w:pPr>
                    <w:jc w:val="center"/>
                    <w:rPr>
                      <w:szCs w:val="21"/>
                    </w:rPr>
                  </w:pPr>
                  <w:r>
                    <w:rPr>
                      <w:rFonts w:hint="eastAsia"/>
                      <w:szCs w:val="21"/>
                      <w:lang w:eastAsia="zh-CN"/>
                    </w:rPr>
                    <w:t>污水处理站污泥</w:t>
                  </w:r>
                </w:p>
              </w:tc>
              <w:tc>
                <w:tcPr>
                  <w:tcW w:w="4329" w:type="dxa"/>
                  <w:tcBorders>
                    <w:tl2br w:val="nil"/>
                    <w:tr2bl w:val="nil"/>
                  </w:tcBorders>
                  <w:vAlign w:val="center"/>
                </w:tcPr>
                <w:p w14:paraId="789A1D67">
                  <w:pPr>
                    <w:jc w:val="center"/>
                    <w:rPr>
                      <w:szCs w:val="21"/>
                    </w:rPr>
                  </w:pPr>
                  <w:r>
                    <w:rPr>
                      <w:rFonts w:hint="eastAsia"/>
                      <w:szCs w:val="21"/>
                      <w:lang w:val="en-US" w:eastAsia="zh-CN"/>
                    </w:rPr>
                    <w:t>3.85t/a</w:t>
                  </w:r>
                </w:p>
              </w:tc>
            </w:tr>
          </w:tbl>
          <w:p w14:paraId="2883B70A">
            <w:pPr>
              <w:spacing w:line="360" w:lineRule="auto"/>
              <w:ind w:firstLine="420" w:firstLineChars="200"/>
              <w:rPr>
                <w:rFonts w:hint="eastAsia" w:eastAsia="宋体"/>
                <w:b w:val="0"/>
                <w:bCs w:val="0"/>
                <w:sz w:val="21"/>
                <w:szCs w:val="21"/>
                <w:lang w:eastAsia="zh-CN"/>
              </w:rPr>
            </w:pPr>
            <w:r>
              <w:rPr>
                <w:rFonts w:hint="eastAsia"/>
                <w:color w:val="auto"/>
                <w:sz w:val="21"/>
                <w:szCs w:val="21"/>
                <w:lang w:eastAsia="zh-CN"/>
              </w:rPr>
              <w:t>注：固废</w:t>
            </w:r>
            <w:r>
              <w:rPr>
                <w:rFonts w:hint="eastAsia"/>
                <w:color w:val="auto"/>
                <w:sz w:val="21"/>
                <w:szCs w:val="21"/>
                <w:lang w:val="en-US" w:eastAsia="zh-CN"/>
              </w:rPr>
              <w:t>污染源数据来源于现有项目环评报告</w:t>
            </w:r>
            <w:r>
              <w:rPr>
                <w:rFonts w:hint="eastAsia"/>
                <w:b w:val="0"/>
                <w:bCs w:val="0"/>
                <w:sz w:val="21"/>
                <w:szCs w:val="21"/>
                <w:lang w:eastAsia="zh-CN"/>
              </w:rPr>
              <w:t>。</w:t>
            </w:r>
          </w:p>
          <w:p w14:paraId="1564F974">
            <w:pPr>
              <w:spacing w:line="360" w:lineRule="auto"/>
              <w:ind w:firstLine="482" w:firstLineChars="200"/>
              <w:rPr>
                <w:b/>
                <w:bCs/>
                <w:sz w:val="24"/>
              </w:rPr>
            </w:pPr>
            <w:r>
              <w:rPr>
                <w:b/>
                <w:bCs/>
                <w:sz w:val="24"/>
              </w:rPr>
              <w:t>7、</w:t>
            </w:r>
            <w:r>
              <w:rPr>
                <w:rFonts w:hint="eastAsia"/>
                <w:b/>
                <w:bCs/>
                <w:sz w:val="24"/>
              </w:rPr>
              <w:t>现有项目存在的主要环境问题及整改措施</w:t>
            </w:r>
          </w:p>
          <w:p w14:paraId="720B898F">
            <w:pPr>
              <w:spacing w:line="360" w:lineRule="auto"/>
              <w:ind w:firstLine="440" w:firstLineChars="200"/>
              <w:rPr>
                <w:rFonts w:hint="eastAsia"/>
                <w:b/>
                <w:bCs/>
                <w:color w:val="auto"/>
                <w:sz w:val="24"/>
              </w:rPr>
            </w:pPr>
            <w:r>
              <w:rPr>
                <w:rFonts w:ascii="Calibri" w:hAnsi="Calibri" w:cs="Calibri"/>
                <w:color w:val="auto"/>
                <w:spacing w:val="-10"/>
                <w:sz w:val="24"/>
              </w:rPr>
              <w:t>本项目厂房内各种设施完备，已铺设好雨水管、污水管，并已实现雨污分流。经现场勘察</w:t>
            </w:r>
            <w:r>
              <w:rPr>
                <w:color w:val="auto"/>
                <w:sz w:val="24"/>
              </w:rPr>
              <w:t>，</w:t>
            </w:r>
            <w:r>
              <w:rPr>
                <w:rFonts w:hint="eastAsia"/>
                <w:color w:val="auto"/>
                <w:sz w:val="24"/>
              </w:rPr>
              <w:t>原有项目存在的主要环境问题</w:t>
            </w:r>
            <w:r>
              <w:rPr>
                <w:rStyle w:val="37"/>
                <w:rFonts w:hint="eastAsia"/>
                <w:color w:val="auto"/>
                <w:kern w:val="0"/>
                <w:sz w:val="24"/>
              </w:rPr>
              <w:t>及整改措施详见下表。</w:t>
            </w:r>
          </w:p>
          <w:p w14:paraId="0A28141F">
            <w:pPr>
              <w:keepNext w:val="0"/>
              <w:keepLines w:val="0"/>
              <w:pageBreakBefore w:val="0"/>
              <w:widowControl w:val="0"/>
              <w:kinsoku/>
              <w:wordWrap/>
              <w:overflowPunct/>
              <w:topLinePunct w:val="0"/>
              <w:autoSpaceDE/>
              <w:autoSpaceDN/>
              <w:bidi w:val="0"/>
              <w:adjustRightInd/>
              <w:snapToGrid/>
              <w:ind w:firstLine="0"/>
              <w:jc w:val="center"/>
              <w:textAlignment w:val="auto"/>
              <w:rPr>
                <w:b/>
                <w:bCs/>
                <w:color w:val="auto"/>
                <w:sz w:val="24"/>
              </w:rPr>
            </w:pPr>
            <w:r>
              <w:rPr>
                <w:rFonts w:hint="eastAsia"/>
                <w:b/>
                <w:bCs/>
                <w:color w:val="auto"/>
                <w:sz w:val="24"/>
              </w:rPr>
              <w:t>表2-</w:t>
            </w:r>
            <w:r>
              <w:rPr>
                <w:rFonts w:hint="eastAsia"/>
                <w:b/>
                <w:bCs/>
                <w:color w:val="auto"/>
                <w:sz w:val="24"/>
                <w:lang w:val="en-US" w:eastAsia="zh-CN"/>
              </w:rPr>
              <w:t>14</w:t>
            </w:r>
            <w:r>
              <w:rPr>
                <w:rFonts w:hint="eastAsia"/>
                <w:b/>
                <w:bCs/>
                <w:color w:val="auto"/>
                <w:sz w:val="24"/>
              </w:rPr>
              <w:t xml:space="preserve"> </w:t>
            </w:r>
            <w:r>
              <w:rPr>
                <w:rFonts w:hint="eastAsia"/>
                <w:b/>
                <w:bCs/>
                <w:color w:val="auto"/>
                <w:sz w:val="24"/>
                <w:lang w:val="en-US" w:eastAsia="zh-CN"/>
              </w:rPr>
              <w:t xml:space="preserve"> </w:t>
            </w:r>
            <w:r>
              <w:rPr>
                <w:rFonts w:hint="eastAsia"/>
                <w:b/>
                <w:bCs/>
                <w:color w:val="auto"/>
                <w:sz w:val="24"/>
              </w:rPr>
              <w:t>原有项目主要环境问题及整改措施一览表</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2"/>
              <w:gridCol w:w="2548"/>
              <w:gridCol w:w="3454"/>
              <w:gridCol w:w="1954"/>
            </w:tblGrid>
            <w:tr w14:paraId="7851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3" w:type="pct"/>
                  <w:vAlign w:val="center"/>
                </w:tcPr>
                <w:p w14:paraId="4CBD930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auto"/>
                      <w:szCs w:val="21"/>
                    </w:rPr>
                  </w:pPr>
                  <w:r>
                    <w:rPr>
                      <w:rFonts w:hint="eastAsia"/>
                      <w:color w:val="auto"/>
                      <w:szCs w:val="21"/>
                    </w:rPr>
                    <w:t>序号</w:t>
                  </w:r>
                </w:p>
              </w:tc>
              <w:tc>
                <w:tcPr>
                  <w:tcW w:w="1481" w:type="pct"/>
                  <w:vAlign w:val="center"/>
                </w:tcPr>
                <w:p w14:paraId="661371D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auto"/>
                      <w:szCs w:val="21"/>
                    </w:rPr>
                  </w:pPr>
                  <w:r>
                    <w:rPr>
                      <w:rFonts w:hint="eastAsia"/>
                      <w:color w:val="auto"/>
                      <w:szCs w:val="21"/>
                    </w:rPr>
                    <w:t>环境问题</w:t>
                  </w:r>
                </w:p>
              </w:tc>
              <w:tc>
                <w:tcPr>
                  <w:tcW w:w="2008" w:type="pct"/>
                  <w:vAlign w:val="center"/>
                </w:tcPr>
                <w:p w14:paraId="0E60B5F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auto"/>
                      <w:szCs w:val="21"/>
                    </w:rPr>
                  </w:pPr>
                  <w:r>
                    <w:rPr>
                      <w:rFonts w:hint="eastAsia"/>
                      <w:color w:val="auto"/>
                      <w:szCs w:val="21"/>
                    </w:rPr>
                    <w:t>整改措施</w:t>
                  </w:r>
                </w:p>
              </w:tc>
              <w:tc>
                <w:tcPr>
                  <w:tcW w:w="1136" w:type="pct"/>
                  <w:vAlign w:val="center"/>
                </w:tcPr>
                <w:p w14:paraId="7B76C70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auto"/>
                      <w:szCs w:val="21"/>
                    </w:rPr>
                  </w:pPr>
                  <w:r>
                    <w:rPr>
                      <w:rFonts w:hint="eastAsia"/>
                      <w:color w:val="auto"/>
                      <w:szCs w:val="21"/>
                    </w:rPr>
                    <w:t>整改时间</w:t>
                  </w:r>
                </w:p>
              </w:tc>
            </w:tr>
            <w:tr w14:paraId="1E4F9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3" w:type="pct"/>
                  <w:vAlign w:val="center"/>
                </w:tcPr>
                <w:p w14:paraId="47309A34">
                  <w:pPr>
                    <w:pStyle w:val="119"/>
                    <w:keepNext w:val="0"/>
                    <w:keepLines w:val="0"/>
                    <w:pageBreakBefore w:val="0"/>
                    <w:widowControl w:val="0"/>
                    <w:kinsoku/>
                    <w:wordWrap/>
                    <w:overflowPunct/>
                    <w:topLinePunct w:val="0"/>
                    <w:autoSpaceDE/>
                    <w:autoSpaceDN/>
                    <w:bidi w:val="0"/>
                    <w:adjustRightInd/>
                    <w:snapToGrid/>
                    <w:spacing w:line="276"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1481" w:type="pct"/>
                  <w:vAlign w:val="center"/>
                </w:tcPr>
                <w:p w14:paraId="17B994B5">
                  <w:pPr>
                    <w:pStyle w:val="1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lang w:eastAsia="zh-CN"/>
                    </w:rPr>
                    <w:t>危废仓库库标识牌未更新</w:t>
                  </w:r>
                </w:p>
              </w:tc>
              <w:tc>
                <w:tcPr>
                  <w:tcW w:w="2008" w:type="pct"/>
                  <w:vAlign w:val="center"/>
                </w:tcPr>
                <w:p w14:paraId="1CC4B8FB">
                  <w:pPr>
                    <w:pStyle w:val="1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lang w:eastAsia="zh-CN"/>
                    </w:rPr>
                    <w:t>按照最新技术规范更新危废标识牌</w:t>
                  </w:r>
                </w:p>
              </w:tc>
              <w:tc>
                <w:tcPr>
                  <w:tcW w:w="1136" w:type="pct"/>
                  <w:vAlign w:val="center"/>
                </w:tcPr>
                <w:p w14:paraId="27910B56">
                  <w:pPr>
                    <w:pStyle w:val="1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sz w:val="21"/>
                      <w:szCs w:val="21"/>
                      <w:lang w:eastAsia="zh-CN"/>
                    </w:rPr>
                    <w:t>与本次扩建项目建设同时进行</w:t>
                  </w:r>
                </w:p>
              </w:tc>
            </w:tr>
          </w:tbl>
          <w:p w14:paraId="62A23DBF">
            <w:pPr>
              <w:pStyle w:val="81"/>
              <w:keepNext w:val="0"/>
              <w:keepLines w:val="0"/>
              <w:suppressLineNumbers w:val="0"/>
              <w:spacing w:before="0" w:beforeAutospacing="0" w:after="0" w:afterAutospacing="0"/>
              <w:ind w:left="0" w:leftChars="0" w:right="0" w:firstLine="0" w:firstLineChars="0"/>
              <w:jc w:val="left"/>
              <w:rPr>
                <w:rFonts w:hint="eastAsia" w:cs="Times New Roman"/>
                <w:b w:val="0"/>
                <w:bCs w:val="0"/>
                <w:i w:val="0"/>
                <w:iCs w:val="0"/>
                <w:color w:val="auto"/>
                <w:kern w:val="2"/>
                <w:sz w:val="24"/>
                <w:szCs w:val="24"/>
                <w:lang w:eastAsia="zh-CN"/>
              </w:rPr>
            </w:pPr>
          </w:p>
          <w:p w14:paraId="11D85501">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both"/>
              <w:textAlignment w:val="auto"/>
              <w:rPr>
                <w:rFonts w:hint="eastAsia" w:cs="Times New Roman"/>
                <w:bCs/>
                <w:color w:val="auto"/>
                <w:szCs w:val="21"/>
                <w:lang w:val="en-US" w:eastAsia="zh-CN"/>
              </w:rPr>
            </w:pPr>
          </w:p>
          <w:p w14:paraId="22D74E6D">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both"/>
              <w:textAlignment w:val="auto"/>
              <w:rPr>
                <w:rFonts w:hint="eastAsia" w:cs="Times New Roman"/>
                <w:bCs/>
                <w:color w:val="auto"/>
                <w:szCs w:val="21"/>
                <w:lang w:val="en-US" w:eastAsia="zh-CN"/>
              </w:rPr>
            </w:pPr>
          </w:p>
          <w:p w14:paraId="4CFEF1FD">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both"/>
              <w:textAlignment w:val="auto"/>
              <w:rPr>
                <w:rFonts w:hint="eastAsia" w:cs="Times New Roman"/>
                <w:bCs/>
                <w:color w:val="auto"/>
                <w:szCs w:val="21"/>
                <w:lang w:val="en-US" w:eastAsia="zh-CN"/>
              </w:rPr>
            </w:pPr>
          </w:p>
          <w:p w14:paraId="5D068864">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both"/>
              <w:textAlignment w:val="auto"/>
              <w:rPr>
                <w:rFonts w:hint="default" w:ascii="Times New Roman" w:hAnsi="Times New Roman" w:eastAsia="宋体" w:cs="Times New Roman"/>
                <w:bCs/>
                <w:color w:val="auto"/>
                <w:szCs w:val="21"/>
                <w:lang w:val="en-US" w:eastAsia="zh-CN"/>
              </w:rPr>
            </w:pPr>
          </w:p>
        </w:tc>
      </w:tr>
    </w:tbl>
    <w:p w14:paraId="1FFBE285">
      <w:pPr>
        <w:pStyle w:val="23"/>
        <w:jc w:val="center"/>
        <w:rPr>
          <w:rFonts w:hint="default" w:ascii="Times New Roman" w:hAnsi="Times New Roman" w:eastAsia="黑体" w:cs="Times New Roman"/>
          <w:snapToGrid w:val="0"/>
          <w:color w:val="FF0000"/>
          <w:sz w:val="36"/>
          <w:szCs w:val="36"/>
        </w:rPr>
        <w:sectPr>
          <w:pgSz w:w="11906" w:h="16838"/>
          <w:pgMar w:top="1417" w:right="1417" w:bottom="1417" w:left="1417" w:header="851" w:footer="851" w:gutter="0"/>
          <w:pgNumType w:fmt="decimal"/>
          <w:cols w:space="720" w:num="1"/>
          <w:docGrid w:linePitch="312" w:charSpace="0"/>
        </w:sectPr>
      </w:pPr>
    </w:p>
    <w:p w14:paraId="30E1E8C2">
      <w:pPr>
        <w:pStyle w:val="23"/>
        <w:adjustRightInd w:val="0"/>
        <w:snapToGrid w:val="0"/>
        <w:spacing w:before="0" w:beforeAutospacing="0" w:after="0" w:afterAutospacing="0" w:line="14" w:lineRule="auto"/>
        <w:jc w:val="center"/>
        <w:outlineLvl w:val="0"/>
        <w:rPr>
          <w:rFonts w:hint="default" w:ascii="Times New Roman" w:hAnsi="Times New Roman" w:eastAsia="黑体" w:cs="Times New Roman"/>
          <w:snapToGrid w:val="0"/>
          <w:color w:val="FF0000"/>
          <w:sz w:val="30"/>
          <w:szCs w:val="30"/>
        </w:rPr>
      </w:pPr>
    </w:p>
    <w:p w14:paraId="7717F5BA">
      <w:pPr>
        <w:pStyle w:val="2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default" w:ascii="Times New Roman" w:hAnsi="Times New Roman" w:eastAsia="宋体" w:cs="Times New Roman"/>
          <w:b/>
          <w:bCs/>
          <w:snapToGrid w:val="0"/>
          <w:color w:val="auto"/>
          <w:sz w:val="30"/>
          <w:szCs w:val="30"/>
        </w:rPr>
      </w:pPr>
      <w:r>
        <w:rPr>
          <w:rFonts w:hint="default" w:ascii="Times New Roman" w:hAnsi="Times New Roman" w:eastAsia="宋体" w:cs="Times New Roman"/>
          <w:b/>
          <w:bCs/>
          <w:snapToGrid w:val="0"/>
          <w:color w:val="auto"/>
          <w:sz w:val="30"/>
          <w:szCs w:val="30"/>
        </w:rPr>
        <w:t>三、区域环境质量现状、环境保护目标及评价标准</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29"/>
        <w:gridCol w:w="8758"/>
      </w:tblGrid>
      <w:tr w14:paraId="7BF6F7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12" w:hRule="atLeast"/>
          <w:jc w:val="center"/>
        </w:trPr>
        <w:tc>
          <w:tcPr>
            <w:tcW w:w="285" w:type="pct"/>
            <w:noWrap w:val="0"/>
            <w:vAlign w:val="center"/>
          </w:tcPr>
          <w:p w14:paraId="68C85BD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bCs/>
                <w:color w:val="auto"/>
                <w:kern w:val="0"/>
                <w:sz w:val="24"/>
                <w:szCs w:val="24"/>
              </w:rPr>
            </w:pPr>
            <w:r>
              <w:rPr>
                <w:rFonts w:hint="default" w:ascii="Times New Roman" w:hAnsi="Times New Roman" w:cs="Times New Roman"/>
                <w:b/>
                <w:bCs/>
                <w:color w:val="auto"/>
                <w:kern w:val="0"/>
                <w:sz w:val="24"/>
                <w:szCs w:val="24"/>
              </w:rPr>
              <w:t>区域</w:t>
            </w:r>
          </w:p>
          <w:p w14:paraId="7CE5170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bCs/>
                <w:color w:val="auto"/>
                <w:kern w:val="0"/>
                <w:sz w:val="24"/>
                <w:szCs w:val="24"/>
              </w:rPr>
            </w:pPr>
            <w:r>
              <w:rPr>
                <w:rFonts w:hint="default" w:ascii="Times New Roman" w:hAnsi="Times New Roman" w:cs="Times New Roman"/>
                <w:b/>
                <w:bCs/>
                <w:color w:val="auto"/>
                <w:kern w:val="0"/>
                <w:sz w:val="24"/>
                <w:szCs w:val="24"/>
              </w:rPr>
              <w:t>环境</w:t>
            </w:r>
          </w:p>
          <w:p w14:paraId="5F76EBB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bCs/>
                <w:color w:val="auto"/>
                <w:kern w:val="0"/>
                <w:sz w:val="24"/>
                <w:szCs w:val="24"/>
              </w:rPr>
            </w:pPr>
            <w:r>
              <w:rPr>
                <w:rFonts w:hint="default" w:ascii="Times New Roman" w:hAnsi="Times New Roman" w:cs="Times New Roman"/>
                <w:b/>
                <w:bCs/>
                <w:color w:val="auto"/>
                <w:kern w:val="0"/>
                <w:sz w:val="24"/>
                <w:szCs w:val="24"/>
              </w:rPr>
              <w:t>质量</w:t>
            </w:r>
          </w:p>
          <w:p w14:paraId="3A82DD3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auto"/>
                <w:kern w:val="0"/>
                <w:szCs w:val="21"/>
              </w:rPr>
            </w:pPr>
            <w:r>
              <w:rPr>
                <w:rFonts w:hint="default" w:ascii="Times New Roman" w:hAnsi="Times New Roman" w:cs="Times New Roman"/>
                <w:b/>
                <w:bCs/>
                <w:color w:val="auto"/>
                <w:kern w:val="0"/>
                <w:sz w:val="24"/>
                <w:szCs w:val="24"/>
              </w:rPr>
              <w:t>现状</w:t>
            </w:r>
          </w:p>
        </w:tc>
        <w:tc>
          <w:tcPr>
            <w:tcW w:w="4714" w:type="pct"/>
            <w:noWrap w:val="0"/>
            <w:vAlign w:val="center"/>
          </w:tcPr>
          <w:p w14:paraId="16076B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outlineLvl w:val="2"/>
              <w:rPr>
                <w:rFonts w:hint="eastAsia" w:ascii="Times New Roman" w:hAnsi="Times New Roman" w:eastAsia="宋体" w:cs="Times New Roman"/>
                <w:b/>
                <w:color w:val="auto"/>
                <w:sz w:val="24"/>
                <w:szCs w:val="24"/>
                <w:lang w:eastAsia="zh-CN"/>
              </w:rPr>
            </w:pPr>
            <w:r>
              <w:rPr>
                <w:rFonts w:hint="default" w:ascii="Times New Roman" w:hAnsi="Times New Roman" w:eastAsia="宋体" w:cs="Times New Roman"/>
                <w:b/>
                <w:color w:val="auto"/>
                <w:sz w:val="24"/>
                <w:szCs w:val="24"/>
                <w:lang w:val="en-US" w:eastAsia="zh-CN"/>
              </w:rPr>
              <w:t>一</w:t>
            </w:r>
            <w:r>
              <w:rPr>
                <w:rFonts w:hint="default" w:ascii="Times New Roman" w:hAnsi="Times New Roman" w:eastAsia="宋体" w:cs="Times New Roman"/>
                <w:b/>
                <w:color w:val="auto"/>
                <w:sz w:val="24"/>
                <w:szCs w:val="24"/>
              </w:rPr>
              <w:t>、</w:t>
            </w:r>
            <w:r>
              <w:rPr>
                <w:rFonts w:hint="eastAsia" w:cs="Times New Roman"/>
                <w:b/>
                <w:color w:val="auto"/>
                <w:sz w:val="24"/>
                <w:szCs w:val="24"/>
                <w:lang w:val="en-US" w:eastAsia="zh-CN"/>
              </w:rPr>
              <w:t>大气环境</w:t>
            </w:r>
          </w:p>
          <w:p w14:paraId="0CFF57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val="en-US" w:eastAsia="zh-CN"/>
              </w:rPr>
              <w:t>1、</w:t>
            </w:r>
            <w:r>
              <w:rPr>
                <w:rFonts w:hint="default" w:ascii="Times New Roman" w:hAnsi="Times New Roman" w:eastAsia="宋体" w:cs="Times New Roman"/>
                <w:color w:val="auto"/>
                <w:sz w:val="24"/>
              </w:rPr>
              <w:t>项目所在区域达标判断</w:t>
            </w:r>
          </w:p>
          <w:p w14:paraId="7E07D971">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根据建设项目环境影响报告表编制技术指南 （污染影响类），项目所在区域达标情况判定优先采用国家或地方生态环境主管部门公开发布的环境质量公告或环境质量报告中的数据或结论。</w:t>
            </w:r>
          </w:p>
          <w:p w14:paraId="78618E59">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kern w:val="24"/>
                <w:sz w:val="24"/>
                <w:szCs w:val="24"/>
                <w:highlight w:val="none"/>
                <w:lang w:val="en-US" w:eastAsia="zh-CN" w:bidi="ar-SA"/>
              </w:rPr>
            </w:pPr>
            <w:r>
              <w:rPr>
                <w:rFonts w:hint="default" w:ascii="Times New Roman" w:hAnsi="Times New Roman" w:eastAsia="宋体" w:cs="Times New Roman"/>
                <w:sz w:val="24"/>
                <w:szCs w:val="24"/>
              </w:rPr>
              <w:t>根据《</w:t>
            </w:r>
            <w:r>
              <w:rPr>
                <w:rFonts w:hint="default" w:ascii="Times New Roman" w:hAnsi="Times New Roman" w:eastAsia="宋体" w:cs="Times New Roman"/>
                <w:sz w:val="24"/>
                <w:szCs w:val="24"/>
                <w:lang w:eastAsia="zh-CN"/>
              </w:rPr>
              <w:t>2024年淮南市生</w:t>
            </w:r>
            <w:r>
              <w:rPr>
                <w:rFonts w:hint="default" w:ascii="Times New Roman" w:hAnsi="Times New Roman" w:eastAsia="宋体" w:cs="Times New Roman"/>
                <w:color w:val="auto"/>
                <w:sz w:val="24"/>
                <w:szCs w:val="24"/>
                <w:lang w:eastAsia="zh-CN"/>
              </w:rPr>
              <w:t>态环境质量状况公报</w:t>
            </w:r>
            <w:r>
              <w:rPr>
                <w:rFonts w:hint="default" w:ascii="Times New Roman" w:hAnsi="Times New Roman" w:eastAsia="宋体" w:cs="Times New Roman"/>
                <w:color w:val="auto"/>
                <w:kern w:val="24"/>
                <w:sz w:val="24"/>
                <w:szCs w:val="24"/>
                <w:highlight w:val="none"/>
                <w:lang w:val="en-US" w:eastAsia="zh-CN" w:bidi="ar-SA"/>
              </w:rPr>
              <w:t>》，</w:t>
            </w:r>
            <w:r>
              <w:rPr>
                <w:rFonts w:hint="default" w:ascii="Times New Roman" w:hAnsi="Times New Roman" w:eastAsia="宋体" w:cs="Times New Roman"/>
                <w:i w:val="0"/>
                <w:iCs w:val="0"/>
                <w:caps w:val="0"/>
                <w:color w:val="auto"/>
                <w:spacing w:val="0"/>
                <w:sz w:val="24"/>
                <w:szCs w:val="24"/>
                <w:shd w:val="clear" w:fill="FFFFFF"/>
              </w:rPr>
              <w:t>2024年，全市环境空气质量一级（优）65天，二级（良）218天，三级（轻度污染）69天，四级（中度污染）13天，五级（重度污染）1天；全市年度环境空气达标天数比例为77.3%，与上年相比下降了3.2个百分点；全市环境空气综合指数为3.87，首要污染物为细颗粒物。细颗粒物（PM</w:t>
            </w:r>
            <w:r>
              <w:rPr>
                <w:rFonts w:hint="default" w:ascii="Times New Roman" w:hAnsi="Times New Roman" w:eastAsia="宋体" w:cs="Times New Roman"/>
                <w:i w:val="0"/>
                <w:iCs w:val="0"/>
                <w:caps w:val="0"/>
                <w:color w:val="auto"/>
                <w:spacing w:val="0"/>
                <w:sz w:val="24"/>
                <w:szCs w:val="24"/>
                <w:shd w:val="clear" w:fill="FFFFFF"/>
                <w:vertAlign w:val="subscript"/>
              </w:rPr>
              <w:t>2.5</w:t>
            </w:r>
            <w:r>
              <w:rPr>
                <w:rFonts w:hint="default" w:ascii="Times New Roman" w:hAnsi="Times New Roman" w:eastAsia="宋体" w:cs="Times New Roman"/>
                <w:i w:val="0"/>
                <w:iCs w:val="0"/>
                <w:caps w:val="0"/>
                <w:color w:val="auto"/>
                <w:spacing w:val="0"/>
                <w:sz w:val="24"/>
                <w:szCs w:val="24"/>
                <w:shd w:val="clear" w:fill="FFFFFF"/>
              </w:rPr>
              <w:t>）日均浓度范围为7～156微克/立方米，日均值达标率为87.6%</w:t>
            </w:r>
            <w:r>
              <w:rPr>
                <w:rFonts w:hint="eastAsia"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年均值为40.0微克/立方米，与上年相比上升了3.4个百分点。可吸入颗粒物（PM</w:t>
            </w:r>
            <w:r>
              <w:rPr>
                <w:rFonts w:hint="default" w:ascii="Times New Roman" w:hAnsi="Times New Roman" w:eastAsia="宋体" w:cs="Times New Roman"/>
                <w:i w:val="0"/>
                <w:iCs w:val="0"/>
                <w:caps w:val="0"/>
                <w:color w:val="auto"/>
                <w:spacing w:val="0"/>
                <w:sz w:val="24"/>
                <w:szCs w:val="24"/>
                <w:shd w:val="clear" w:fill="FFFFFF"/>
                <w:vertAlign w:val="subscript"/>
              </w:rPr>
              <w:t>10</w:t>
            </w:r>
            <w:r>
              <w:rPr>
                <w:rFonts w:hint="default" w:ascii="Times New Roman" w:hAnsi="Times New Roman" w:eastAsia="宋体" w:cs="Times New Roman"/>
                <w:i w:val="0"/>
                <w:iCs w:val="0"/>
                <w:caps w:val="0"/>
                <w:color w:val="auto"/>
                <w:spacing w:val="0"/>
                <w:sz w:val="24"/>
                <w:szCs w:val="24"/>
                <w:shd w:val="clear" w:fill="FFFFFF"/>
              </w:rPr>
              <w:t>）日均浓度范围为10～262微克/立方米，日均值达标率为96.0%</w:t>
            </w:r>
            <w:r>
              <w:rPr>
                <w:rFonts w:hint="eastAsia"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年均值为65.0微克/立方米，与上年相比下降了1.4个百分点。二氧化氮（NO</w:t>
            </w:r>
            <w:r>
              <w:rPr>
                <w:rFonts w:hint="default" w:ascii="Times New Roman" w:hAnsi="Times New Roman" w:eastAsia="宋体" w:cs="Times New Roman"/>
                <w:i w:val="0"/>
                <w:iCs w:val="0"/>
                <w:caps w:val="0"/>
                <w:color w:val="auto"/>
                <w:spacing w:val="0"/>
                <w:sz w:val="24"/>
                <w:szCs w:val="24"/>
                <w:shd w:val="clear" w:fill="FFFFFF"/>
                <w:vertAlign w:val="subscript"/>
              </w:rPr>
              <w:t>2</w:t>
            </w:r>
            <w:r>
              <w:rPr>
                <w:rFonts w:hint="default" w:ascii="Times New Roman" w:hAnsi="Times New Roman" w:eastAsia="宋体" w:cs="Times New Roman"/>
                <w:i w:val="0"/>
                <w:iCs w:val="0"/>
                <w:caps w:val="0"/>
                <w:color w:val="auto"/>
                <w:spacing w:val="0"/>
                <w:sz w:val="24"/>
                <w:szCs w:val="24"/>
                <w:shd w:val="clear" w:fill="FFFFFF"/>
              </w:rPr>
              <w:t>）日均浓度范围为5～47微克/立方米，日均值达标率为100%</w:t>
            </w:r>
            <w:r>
              <w:rPr>
                <w:rFonts w:hint="eastAsia"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年均浓度为19微克/立方米，与上年相比下降了9.5个百分点。二氧化硫（SO</w:t>
            </w:r>
            <w:r>
              <w:rPr>
                <w:rFonts w:hint="default" w:ascii="Times New Roman" w:hAnsi="Times New Roman" w:eastAsia="宋体" w:cs="Times New Roman"/>
                <w:i w:val="0"/>
                <w:iCs w:val="0"/>
                <w:caps w:val="0"/>
                <w:color w:val="auto"/>
                <w:spacing w:val="0"/>
                <w:sz w:val="24"/>
                <w:szCs w:val="24"/>
                <w:shd w:val="clear" w:fill="FFFFFF"/>
                <w:vertAlign w:val="subscript"/>
              </w:rPr>
              <w:t>2</w:t>
            </w:r>
            <w:r>
              <w:rPr>
                <w:rFonts w:hint="default" w:ascii="Times New Roman" w:hAnsi="Times New Roman" w:eastAsia="宋体" w:cs="Times New Roman"/>
                <w:i w:val="0"/>
                <w:iCs w:val="0"/>
                <w:caps w:val="0"/>
                <w:color w:val="auto"/>
                <w:spacing w:val="0"/>
                <w:sz w:val="24"/>
                <w:szCs w:val="24"/>
                <w:shd w:val="clear" w:fill="FFFFFF"/>
              </w:rPr>
              <w:t>）日均浓度范围为2～13微克/立方米，日均值达标率为100%</w:t>
            </w:r>
            <w:r>
              <w:rPr>
                <w:rFonts w:hint="eastAsia"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年均浓度为7微克/立方米，与上年相比下降了12.5个百分点。一氧化碳（CO）日均浓度范围为0.2～1.1毫克/立方米，日均值达标率为100%</w:t>
            </w:r>
            <w:r>
              <w:rPr>
                <w:rFonts w:hint="eastAsia"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日均值第95百分位数为0.8毫克/立方米，与上年相比上升了14.3个百分点。臭氧日最大8小时（O</w:t>
            </w:r>
            <w:r>
              <w:rPr>
                <w:rFonts w:hint="default" w:ascii="Times New Roman" w:hAnsi="Times New Roman" w:eastAsia="宋体" w:cs="Times New Roman"/>
                <w:i w:val="0"/>
                <w:iCs w:val="0"/>
                <w:caps w:val="0"/>
                <w:color w:val="auto"/>
                <w:spacing w:val="0"/>
                <w:sz w:val="24"/>
                <w:szCs w:val="24"/>
                <w:shd w:val="clear" w:fill="FFFFFF"/>
                <w:vertAlign w:val="subscript"/>
              </w:rPr>
              <w:t>3</w:t>
            </w:r>
            <w:r>
              <w:rPr>
                <w:rFonts w:hint="default" w:ascii="Times New Roman" w:hAnsi="Times New Roman" w:eastAsia="宋体" w:cs="Times New Roman"/>
                <w:i w:val="0"/>
                <w:iCs w:val="0"/>
                <w:caps w:val="0"/>
                <w:color w:val="auto"/>
                <w:spacing w:val="0"/>
                <w:sz w:val="24"/>
                <w:szCs w:val="24"/>
                <w:shd w:val="clear" w:fill="FFFFFF"/>
              </w:rPr>
              <w:t>-8h）滑动平均值范围为16～227微克/立方米，达标率为90.4%</w:t>
            </w:r>
            <w:r>
              <w:rPr>
                <w:rFonts w:hint="eastAsia"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日最大8小时滑动平均值第90百分位数为160微克/立方米，与上年相比上升了1.9个百分点</w:t>
            </w:r>
            <w:r>
              <w:rPr>
                <w:rFonts w:hint="default" w:ascii="Times New Roman" w:hAnsi="Times New Roman" w:eastAsia="宋体" w:cs="Times New Roman"/>
                <w:color w:val="auto"/>
                <w:kern w:val="24"/>
                <w:sz w:val="24"/>
                <w:szCs w:val="24"/>
                <w:highlight w:val="none"/>
                <w:lang w:val="en-US" w:eastAsia="zh-CN" w:bidi="ar-SA"/>
              </w:rPr>
              <w:t>。</w:t>
            </w:r>
          </w:p>
          <w:p w14:paraId="681D509B">
            <w:pPr>
              <w:adjustRightInd w:val="0"/>
              <w:spacing w:line="360" w:lineRule="auto"/>
              <w:ind w:firstLine="480" w:firstLineChars="200"/>
              <w:jc w:val="both"/>
              <w:rPr>
                <w:rFonts w:hint="default" w:ascii="Times New Roman" w:hAnsi="Times New Roman" w:eastAsia="宋体" w:cs="Times New Roman"/>
                <w:color w:val="auto"/>
                <w:szCs w:val="24"/>
              </w:rPr>
            </w:pPr>
            <w:r>
              <w:rPr>
                <w:rFonts w:hint="default" w:ascii="Times New Roman" w:hAnsi="Times New Roman" w:eastAsia="宋体" w:cs="Times New Roman"/>
                <w:color w:val="auto"/>
                <w:sz w:val="24"/>
              </w:rPr>
              <w:t>综上，该区域</w:t>
            </w:r>
            <w:r>
              <w:rPr>
                <w:color w:val="auto"/>
                <w:sz w:val="24"/>
                <w:shd w:val="clear" w:color="auto" w:fill="FFFFFF"/>
              </w:rPr>
              <w:t>二氧化硫（</w:t>
            </w:r>
            <w:r>
              <w:rPr>
                <w:color w:val="000000"/>
                <w:sz w:val="24"/>
                <w:shd w:val="clear" w:color="auto" w:fill="FFFFFF"/>
              </w:rPr>
              <w:t>SO</w:t>
            </w:r>
            <w:r>
              <w:rPr>
                <w:color w:val="000000"/>
                <w:sz w:val="24"/>
                <w:shd w:val="clear" w:color="auto" w:fill="FFFFFF"/>
                <w:vertAlign w:val="subscript"/>
              </w:rPr>
              <w:t>2</w:t>
            </w:r>
            <w:r>
              <w:rPr>
                <w:color w:val="000000"/>
                <w:sz w:val="24"/>
                <w:shd w:val="clear" w:color="auto" w:fill="FFFFFF"/>
              </w:rPr>
              <w:t>）、二氧化氮（NO</w:t>
            </w:r>
            <w:r>
              <w:rPr>
                <w:color w:val="000000"/>
                <w:sz w:val="24"/>
                <w:shd w:val="clear" w:color="auto" w:fill="FFFFFF"/>
                <w:vertAlign w:val="subscript"/>
              </w:rPr>
              <w:t>2</w:t>
            </w:r>
            <w:r>
              <w:rPr>
                <w:color w:val="000000"/>
                <w:sz w:val="24"/>
                <w:shd w:val="clear" w:color="auto" w:fill="FFFFFF"/>
              </w:rPr>
              <w:t>）、一氧化碳（CO）年均浓度、臭氧（O</w:t>
            </w:r>
            <w:r>
              <w:rPr>
                <w:color w:val="000000"/>
                <w:sz w:val="24"/>
                <w:shd w:val="clear" w:color="auto" w:fill="FFFFFF"/>
                <w:vertAlign w:val="subscript"/>
              </w:rPr>
              <w:t>3</w:t>
            </w:r>
            <w:r>
              <w:rPr>
                <w:color w:val="000000"/>
                <w:sz w:val="24"/>
                <w:shd w:val="clear" w:color="auto" w:fill="FFFFFF"/>
              </w:rPr>
              <w:t>）均符合《环境空气质量标准》（</w:t>
            </w:r>
            <w:r>
              <w:rPr>
                <w:rFonts w:hint="eastAsia"/>
                <w:color w:val="000000"/>
                <w:sz w:val="24"/>
                <w:shd w:val="clear" w:color="auto" w:fill="FFFFFF"/>
                <w:lang w:eastAsia="zh-CN"/>
              </w:rPr>
              <w:t>GB3095-2026</w:t>
            </w:r>
            <w:r>
              <w:rPr>
                <w:color w:val="000000"/>
                <w:sz w:val="24"/>
                <w:shd w:val="clear" w:color="auto" w:fill="FFFFFF"/>
              </w:rPr>
              <w:t>）</w:t>
            </w:r>
            <w:r>
              <w:rPr>
                <w:rFonts w:hint="eastAsia"/>
                <w:color w:val="000000"/>
                <w:sz w:val="24"/>
                <w:shd w:val="clear" w:color="auto" w:fill="FFFFFF"/>
                <w:lang w:eastAsia="zh-CN"/>
              </w:rPr>
              <w:t>过渡阶段</w:t>
            </w:r>
            <w:r>
              <w:rPr>
                <w:color w:val="000000"/>
                <w:sz w:val="24"/>
                <w:shd w:val="clear" w:color="auto" w:fill="FFFFFF"/>
              </w:rPr>
              <w:t>二级标准</w:t>
            </w:r>
            <w:r>
              <w:rPr>
                <w:rFonts w:hint="eastAsia"/>
                <w:color w:val="000000"/>
                <w:sz w:val="24"/>
                <w:shd w:val="clear" w:color="auto" w:fill="FFFFFF"/>
                <w:lang w:eastAsia="zh-CN"/>
              </w:rPr>
              <w:t>，</w:t>
            </w:r>
            <w:r>
              <w:rPr>
                <w:color w:val="000000"/>
                <w:sz w:val="24"/>
                <w:shd w:val="clear" w:color="auto" w:fill="FFFFFF"/>
              </w:rPr>
              <w:t>细颗粒物（PM</w:t>
            </w:r>
            <w:r>
              <w:rPr>
                <w:color w:val="000000"/>
                <w:sz w:val="24"/>
                <w:shd w:val="clear" w:color="auto" w:fill="FFFFFF"/>
                <w:vertAlign w:val="subscript"/>
              </w:rPr>
              <w:t>2.5</w:t>
            </w:r>
            <w:r>
              <w:rPr>
                <w:color w:val="000000"/>
                <w:sz w:val="24"/>
                <w:shd w:val="clear" w:color="auto" w:fill="FFFFFF"/>
              </w:rPr>
              <w:t>）</w:t>
            </w:r>
            <w:r>
              <w:rPr>
                <w:rFonts w:hint="eastAsia"/>
                <w:color w:val="000000"/>
                <w:sz w:val="24"/>
                <w:shd w:val="clear" w:color="auto" w:fill="FFFFFF"/>
                <w:lang w:eastAsia="zh-CN"/>
              </w:rPr>
              <w:t>、</w:t>
            </w:r>
            <w:r>
              <w:rPr>
                <w:color w:val="000000"/>
                <w:sz w:val="24"/>
                <w:shd w:val="clear" w:color="auto" w:fill="FFFFFF"/>
              </w:rPr>
              <w:t>可吸入颗粒物（PM</w:t>
            </w:r>
            <w:r>
              <w:rPr>
                <w:color w:val="000000"/>
                <w:sz w:val="24"/>
                <w:shd w:val="clear" w:color="auto" w:fill="FFFFFF"/>
                <w:vertAlign w:val="subscript"/>
              </w:rPr>
              <w:t>10</w:t>
            </w:r>
            <w:r>
              <w:rPr>
                <w:color w:val="000000"/>
                <w:sz w:val="24"/>
                <w:shd w:val="clear" w:color="auto" w:fill="FFFFFF"/>
              </w:rPr>
              <w:t>）年均浓度</w:t>
            </w:r>
            <w:r>
              <w:rPr>
                <w:rFonts w:hint="eastAsia"/>
                <w:color w:val="000000"/>
                <w:sz w:val="24"/>
                <w:shd w:val="clear" w:color="auto" w:fill="FFFFFF"/>
                <w:lang w:eastAsia="zh-CN"/>
              </w:rPr>
              <w:t>不满足</w:t>
            </w:r>
            <w:r>
              <w:rPr>
                <w:color w:val="000000"/>
                <w:sz w:val="24"/>
                <w:shd w:val="clear" w:color="auto" w:fill="FFFFFF"/>
              </w:rPr>
              <w:t>《环境空气质量标准》（</w:t>
            </w:r>
            <w:r>
              <w:rPr>
                <w:rFonts w:hint="eastAsia"/>
                <w:color w:val="000000"/>
                <w:sz w:val="24"/>
                <w:shd w:val="clear" w:color="auto" w:fill="FFFFFF"/>
                <w:lang w:eastAsia="zh-CN"/>
              </w:rPr>
              <w:t>GB3095-2026</w:t>
            </w:r>
            <w:r>
              <w:rPr>
                <w:color w:val="000000"/>
                <w:sz w:val="24"/>
                <w:shd w:val="clear" w:color="auto" w:fill="FFFFFF"/>
              </w:rPr>
              <w:t>）</w:t>
            </w:r>
            <w:r>
              <w:rPr>
                <w:rFonts w:hint="eastAsia"/>
                <w:color w:val="000000"/>
                <w:sz w:val="24"/>
                <w:shd w:val="clear" w:color="auto" w:fill="FFFFFF"/>
                <w:lang w:eastAsia="zh-CN"/>
              </w:rPr>
              <w:t>过渡阶段</w:t>
            </w:r>
            <w:r>
              <w:rPr>
                <w:color w:val="000000"/>
                <w:sz w:val="24"/>
                <w:shd w:val="clear" w:color="auto" w:fill="FFFFFF"/>
              </w:rPr>
              <w:t>二级标准</w:t>
            </w:r>
            <w:r>
              <w:rPr>
                <w:rFonts w:hint="eastAsia"/>
                <w:color w:val="000000"/>
                <w:sz w:val="24"/>
                <w:shd w:val="clear" w:color="auto" w:fill="FFFFFF"/>
                <w:lang w:eastAsia="zh-CN"/>
              </w:rPr>
              <w:t>，</w:t>
            </w:r>
            <w:r>
              <w:rPr>
                <w:rFonts w:hint="eastAsia" w:ascii="宋体" w:hAnsi="宋体" w:cs="宋体"/>
                <w:kern w:val="0"/>
                <w:sz w:val="24"/>
              </w:rPr>
              <w:t>项目所在区域为不达标区</w:t>
            </w:r>
            <w:r>
              <w:rPr>
                <w:rFonts w:hint="default" w:ascii="Times New Roman" w:hAnsi="Times New Roman" w:eastAsia="宋体" w:cs="Times New Roman"/>
                <w:color w:val="auto"/>
                <w:sz w:val="24"/>
              </w:rPr>
              <w:t>。</w:t>
            </w:r>
            <w:r>
              <w:rPr>
                <w:sz w:val="24"/>
              </w:rPr>
              <w:t>根据大气环境质量达标规划，通过进一步控制扬尘污染，机动车尾气污染防治等措施，</w:t>
            </w:r>
            <w:r>
              <w:rPr>
                <w:rFonts w:hint="eastAsia"/>
                <w:sz w:val="24"/>
              </w:rPr>
              <w:t>预计</w:t>
            </w:r>
            <w:r>
              <w:rPr>
                <w:sz w:val="24"/>
              </w:rPr>
              <w:t>大气环境质量状况可以得到进一步改善</w:t>
            </w:r>
            <w:r>
              <w:rPr>
                <w:rFonts w:hint="default" w:ascii="Times New Roman" w:hAnsi="Times New Roman" w:eastAsia="宋体" w:cs="Times New Roman"/>
                <w:color w:val="auto"/>
                <w:szCs w:val="24"/>
              </w:rPr>
              <w:t>。</w:t>
            </w:r>
          </w:p>
          <w:p w14:paraId="005FDC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outlineLvl w:val="9"/>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lang w:val="en-US" w:eastAsia="zh-CN"/>
              </w:rPr>
              <w:t>二</w:t>
            </w:r>
            <w:r>
              <w:rPr>
                <w:rFonts w:hint="default" w:ascii="Times New Roman" w:hAnsi="Times New Roman" w:eastAsia="宋体" w:cs="Times New Roman"/>
                <w:b/>
                <w:color w:val="auto"/>
                <w:sz w:val="24"/>
                <w:szCs w:val="24"/>
              </w:rPr>
              <w:t>、地表水环境</w:t>
            </w:r>
          </w:p>
          <w:p w14:paraId="6DB756B8">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hint="default" w:ascii="Times New Roman" w:hAnsi="Times New Roman" w:eastAsia="宋体" w:cs="Times New Roman"/>
                <w:color w:val="auto"/>
                <w:kern w:val="2"/>
                <w:sz w:val="24"/>
                <w:szCs w:val="24"/>
                <w:lang w:val="en-US" w:eastAsia="zh-CN" w:bidi="ar-SA"/>
              </w:rPr>
            </w:pPr>
            <w:r>
              <w:rPr>
                <w:rFonts w:hint="eastAsia"/>
                <w:sz w:val="24"/>
                <w:lang w:eastAsia="zh-CN"/>
              </w:rPr>
              <w:t>本项目</w:t>
            </w:r>
            <w:r>
              <w:rPr>
                <w:rFonts w:hint="eastAsia"/>
                <w:sz w:val="24"/>
                <w:lang w:val="en-US" w:eastAsia="zh-CN"/>
              </w:rPr>
              <w:t>评价区域的纳污水体</w:t>
            </w:r>
            <w:r>
              <w:rPr>
                <w:rFonts w:hint="eastAsia"/>
                <w:sz w:val="24"/>
                <w:lang w:eastAsia="zh-CN"/>
              </w:rPr>
              <w:t>为</w:t>
            </w:r>
            <w:r>
              <w:rPr>
                <w:rFonts w:hint="eastAsia"/>
                <w:sz w:val="24"/>
                <w:lang w:val="en-US" w:eastAsia="zh-CN"/>
              </w:rPr>
              <w:t>泥河，最终排入</w:t>
            </w:r>
            <w:r>
              <w:rPr>
                <w:rFonts w:hint="eastAsia"/>
                <w:sz w:val="24"/>
                <w:lang w:eastAsia="zh-CN"/>
              </w:rPr>
              <w:t>淮河。</w:t>
            </w:r>
            <w:r>
              <w:rPr>
                <w:rFonts w:hint="eastAsia" w:ascii="Times New Roman" w:hAnsi="Times New Roman" w:eastAsia="宋体" w:cs="Times New Roman"/>
                <w:color w:val="auto"/>
                <w:kern w:val="2"/>
                <w:sz w:val="24"/>
                <w:szCs w:val="24"/>
                <w:lang w:val="en-US" w:eastAsia="zh-CN" w:bidi="ar-SA"/>
              </w:rPr>
              <w:t>根据</w:t>
            </w:r>
            <w:r>
              <w:rPr>
                <w:rFonts w:hint="default" w:ascii="Times New Roman" w:hAnsi="Times New Roman" w:eastAsia="宋体"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2024年淮南市生态环境质量状况公报</w:t>
            </w:r>
            <w:r>
              <w:rPr>
                <w:rFonts w:hint="default" w:ascii="Times New Roman" w:hAnsi="Times New Roman" w:eastAsia="宋体"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可知，</w:t>
            </w:r>
            <w:r>
              <w:rPr>
                <w:rFonts w:hint="default" w:ascii="Times New Roman" w:hAnsi="Times New Roman" w:eastAsia="宋体" w:cs="Times New Roman"/>
                <w:color w:val="auto"/>
                <w:kern w:val="2"/>
                <w:sz w:val="24"/>
                <w:szCs w:val="24"/>
                <w:lang w:val="en-US" w:eastAsia="zh-CN" w:bidi="ar-SA"/>
              </w:rPr>
              <w:t>2024年，全市地表水24</w:t>
            </w:r>
            <w:r>
              <w:rPr>
                <w:rFonts w:hint="eastAsia" w:ascii="Times New Roman" w:hAnsi="Times New Roman" w:eastAsia="宋体" w:cs="Times New Roman"/>
                <w:color w:val="auto"/>
                <w:kern w:val="2"/>
                <w:sz w:val="24"/>
                <w:szCs w:val="24"/>
                <w:lang w:val="en-US" w:eastAsia="zh-CN" w:bidi="ar-SA"/>
              </w:rPr>
              <w:t>个监测断面中优良水质比例为</w:t>
            </w:r>
            <w:r>
              <w:rPr>
                <w:rFonts w:hint="default" w:ascii="Times New Roman" w:hAnsi="Times New Roman" w:eastAsia="宋体" w:cs="Times New Roman"/>
                <w:color w:val="auto"/>
                <w:kern w:val="2"/>
                <w:sz w:val="24"/>
                <w:szCs w:val="24"/>
                <w:lang w:val="en-US" w:eastAsia="zh-CN" w:bidi="ar-SA"/>
              </w:rPr>
              <w:t>91.7%</w:t>
            </w:r>
            <w:r>
              <w:rPr>
                <w:rFonts w:hint="eastAsia" w:ascii="Times New Roman" w:hAnsi="Times New Roman" w:eastAsia="宋体" w:cs="Times New Roman"/>
                <w:color w:val="auto"/>
                <w:kern w:val="2"/>
                <w:sz w:val="24"/>
                <w:szCs w:val="24"/>
                <w:lang w:val="en-US" w:eastAsia="zh-CN" w:bidi="ar-SA"/>
              </w:rPr>
              <w:t>，比上年下降了</w:t>
            </w:r>
            <w:r>
              <w:rPr>
                <w:rFonts w:hint="default" w:ascii="Times New Roman" w:hAnsi="Times New Roman" w:eastAsia="宋体" w:cs="Times New Roman"/>
                <w:color w:val="auto"/>
                <w:kern w:val="2"/>
                <w:sz w:val="24"/>
                <w:szCs w:val="24"/>
                <w:lang w:val="en-US" w:eastAsia="zh-CN" w:bidi="ar-SA"/>
              </w:rPr>
              <w:t>4.1</w:t>
            </w:r>
            <w:r>
              <w:rPr>
                <w:rFonts w:hint="eastAsia" w:ascii="Times New Roman" w:hAnsi="Times New Roman" w:eastAsia="宋体" w:cs="Times New Roman"/>
                <w:color w:val="auto"/>
                <w:kern w:val="2"/>
                <w:sz w:val="24"/>
                <w:szCs w:val="24"/>
                <w:lang w:val="en-US" w:eastAsia="zh-CN" w:bidi="ar-SA"/>
              </w:rPr>
              <w:t>个百分点，</w:t>
            </w:r>
            <w:r>
              <w:rPr>
                <w:rFonts w:hint="default" w:ascii="Times New Roman" w:hAnsi="Times New Roman" w:eastAsia="宋体" w:cs="Times New Roman"/>
                <w:color w:val="auto"/>
                <w:kern w:val="2"/>
                <w:sz w:val="24"/>
                <w:szCs w:val="24"/>
                <w:lang w:val="en-US" w:eastAsia="zh-CN" w:bidi="ar-SA"/>
              </w:rPr>
              <w:t>Ⅳ</w:t>
            </w:r>
            <w:r>
              <w:rPr>
                <w:rFonts w:hint="eastAsia" w:ascii="Times New Roman" w:hAnsi="Times New Roman" w:eastAsia="宋体" w:cs="Times New Roman"/>
                <w:color w:val="auto"/>
                <w:kern w:val="2"/>
                <w:sz w:val="24"/>
                <w:szCs w:val="24"/>
                <w:lang w:val="en-US" w:eastAsia="zh-CN" w:bidi="ar-SA"/>
              </w:rPr>
              <w:t>类水质比例</w:t>
            </w:r>
            <w:r>
              <w:rPr>
                <w:rFonts w:hint="default" w:ascii="Times New Roman" w:hAnsi="Times New Roman" w:eastAsia="宋体" w:cs="Times New Roman"/>
                <w:color w:val="auto"/>
                <w:kern w:val="2"/>
                <w:sz w:val="24"/>
                <w:szCs w:val="24"/>
                <w:lang w:val="en-US" w:eastAsia="zh-CN" w:bidi="ar-SA"/>
              </w:rPr>
              <w:t>8.3%</w:t>
            </w:r>
            <w:r>
              <w:rPr>
                <w:rFonts w:hint="eastAsia" w:ascii="Times New Roman" w:hAnsi="Times New Roman" w:eastAsia="宋体" w:cs="Times New Roman"/>
                <w:color w:val="auto"/>
                <w:kern w:val="2"/>
                <w:sz w:val="24"/>
                <w:szCs w:val="24"/>
                <w:lang w:val="en-US" w:eastAsia="zh-CN" w:bidi="ar-SA"/>
              </w:rPr>
              <w:t>，总体水质状况优。</w:t>
            </w:r>
          </w:p>
          <w:p w14:paraId="7FBF0FF8">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8</w:t>
            </w:r>
            <w:r>
              <w:rPr>
                <w:rFonts w:hint="eastAsia" w:ascii="Times New Roman" w:hAnsi="Times New Roman" w:eastAsia="宋体" w:cs="Times New Roman"/>
                <w:color w:val="auto"/>
                <w:kern w:val="2"/>
                <w:sz w:val="24"/>
                <w:szCs w:val="24"/>
                <w:lang w:val="en-US" w:eastAsia="zh-CN" w:bidi="ar-SA"/>
              </w:rPr>
              <w:t>个国控断面中优良水质比例为</w:t>
            </w:r>
            <w:r>
              <w:rPr>
                <w:rFonts w:hint="default" w:ascii="Times New Roman" w:hAnsi="Times New Roman" w:eastAsia="宋体" w:cs="Times New Roman"/>
                <w:color w:val="auto"/>
                <w:kern w:val="2"/>
                <w:sz w:val="24"/>
                <w:szCs w:val="24"/>
                <w:lang w:val="en-US" w:eastAsia="zh-CN" w:bidi="ar-SA"/>
              </w:rPr>
              <w:t>87.5%</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Ⅳ</w:t>
            </w:r>
            <w:r>
              <w:rPr>
                <w:rFonts w:hint="eastAsia" w:ascii="Times New Roman" w:hAnsi="Times New Roman" w:eastAsia="宋体" w:cs="Times New Roman"/>
                <w:color w:val="auto"/>
                <w:kern w:val="2"/>
                <w:sz w:val="24"/>
                <w:szCs w:val="24"/>
                <w:lang w:val="en-US" w:eastAsia="zh-CN" w:bidi="ar-SA"/>
              </w:rPr>
              <w:t>类水质比例</w:t>
            </w:r>
            <w:r>
              <w:rPr>
                <w:rFonts w:hint="default" w:ascii="Times New Roman" w:hAnsi="Times New Roman" w:eastAsia="宋体" w:cs="Times New Roman"/>
                <w:color w:val="auto"/>
                <w:kern w:val="2"/>
                <w:sz w:val="24"/>
                <w:szCs w:val="24"/>
                <w:lang w:val="en-US" w:eastAsia="zh-CN" w:bidi="ar-SA"/>
              </w:rPr>
              <w:t>12.5%</w:t>
            </w:r>
            <w:r>
              <w:rPr>
                <w:rFonts w:hint="eastAsia" w:ascii="Times New Roman" w:hAnsi="Times New Roman" w:eastAsia="宋体" w:cs="Times New Roman"/>
                <w:color w:val="auto"/>
                <w:kern w:val="2"/>
                <w:sz w:val="24"/>
                <w:szCs w:val="24"/>
                <w:lang w:val="en-US" w:eastAsia="zh-CN" w:bidi="ar-SA"/>
              </w:rPr>
              <w:t>，水质总体状况良好；</w:t>
            </w:r>
            <w:r>
              <w:rPr>
                <w:rFonts w:hint="default" w:ascii="Times New Roman" w:hAnsi="Times New Roman" w:eastAsia="宋体" w:cs="Times New Roman"/>
                <w:color w:val="auto"/>
                <w:kern w:val="2"/>
                <w:sz w:val="24"/>
                <w:szCs w:val="24"/>
                <w:lang w:val="en-US" w:eastAsia="zh-CN" w:bidi="ar-SA"/>
              </w:rPr>
              <w:t>11</w:t>
            </w:r>
            <w:r>
              <w:rPr>
                <w:rFonts w:hint="eastAsia" w:ascii="Times New Roman" w:hAnsi="Times New Roman" w:eastAsia="宋体" w:cs="Times New Roman"/>
                <w:color w:val="auto"/>
                <w:kern w:val="2"/>
                <w:sz w:val="24"/>
                <w:szCs w:val="24"/>
                <w:lang w:val="en-US" w:eastAsia="zh-CN" w:bidi="ar-SA"/>
              </w:rPr>
              <w:t>个省控断面中优良水质比例为</w:t>
            </w:r>
            <w:r>
              <w:rPr>
                <w:rFonts w:hint="default" w:ascii="Times New Roman" w:hAnsi="Times New Roman" w:eastAsia="宋体" w:cs="Times New Roman"/>
                <w:color w:val="auto"/>
                <w:kern w:val="2"/>
                <w:sz w:val="24"/>
                <w:szCs w:val="24"/>
                <w:lang w:val="en-US" w:eastAsia="zh-CN" w:bidi="ar-SA"/>
              </w:rPr>
              <w:t>90.9%</w:t>
            </w:r>
            <w:r>
              <w:rPr>
                <w:rFonts w:hint="eastAsia" w:ascii="Times New Roman" w:hAnsi="Times New Roman" w:eastAsia="宋体" w:cs="Times New Roman"/>
                <w:color w:val="auto"/>
                <w:kern w:val="2"/>
                <w:sz w:val="24"/>
                <w:szCs w:val="24"/>
                <w:lang w:val="en-US" w:eastAsia="zh-CN" w:bidi="ar-SA"/>
              </w:rPr>
              <w:t>，水质总体状况优。</w:t>
            </w:r>
          </w:p>
          <w:p w14:paraId="214A3C5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河流：全市辖区内淮河干流水质状况为优，永幸河和丁家沟水质状况为优，西淝河、东淝河、架河、泥河、万小河、瓦西干渠、陡涧河和便民沟水质状况为良好。</w:t>
            </w:r>
            <w:r>
              <w:rPr>
                <w:rFonts w:hint="default" w:ascii="Times New Roman" w:hAnsi="Times New Roman" w:eastAsia="宋体" w:cs="Times New Roman"/>
                <w:color w:val="auto"/>
                <w:kern w:val="2"/>
                <w:sz w:val="24"/>
                <w:szCs w:val="24"/>
                <w:lang w:val="en-US" w:eastAsia="zh-CN" w:bidi="ar-SA"/>
              </w:rPr>
              <w:t>20</w:t>
            </w:r>
            <w:r>
              <w:rPr>
                <w:rFonts w:hint="eastAsia" w:ascii="Times New Roman" w:hAnsi="Times New Roman" w:eastAsia="宋体" w:cs="Times New Roman"/>
                <w:color w:val="auto"/>
                <w:kern w:val="2"/>
                <w:sz w:val="24"/>
                <w:szCs w:val="24"/>
                <w:lang w:val="en-US" w:eastAsia="zh-CN" w:bidi="ar-SA"/>
              </w:rPr>
              <w:t>个监测断面中优良水质比例为</w:t>
            </w:r>
            <w:r>
              <w:rPr>
                <w:rFonts w:hint="default" w:ascii="Times New Roman" w:hAnsi="Times New Roman" w:eastAsia="宋体" w:cs="Times New Roman"/>
                <w:color w:val="auto"/>
                <w:kern w:val="2"/>
                <w:sz w:val="24"/>
                <w:szCs w:val="24"/>
                <w:lang w:val="en-US" w:eastAsia="zh-CN" w:bidi="ar-SA"/>
              </w:rPr>
              <w:t>100%</w:t>
            </w:r>
            <w:r>
              <w:rPr>
                <w:rFonts w:hint="eastAsia" w:ascii="Times New Roman" w:hAnsi="Times New Roman" w:eastAsia="宋体" w:cs="Times New Roman"/>
                <w:color w:val="auto"/>
                <w:kern w:val="2"/>
                <w:sz w:val="24"/>
                <w:szCs w:val="24"/>
                <w:lang w:val="en-US" w:eastAsia="zh-CN" w:bidi="ar-SA"/>
              </w:rPr>
              <w:t>，与去年持平。其中黄圩和丁家沟河口断面水质均有所好转（</w:t>
            </w:r>
            <w:r>
              <w:rPr>
                <w:rFonts w:hint="default" w:ascii="Times New Roman" w:hAnsi="Times New Roman" w:eastAsia="宋体" w:cs="Times New Roman"/>
                <w:color w:val="auto"/>
                <w:kern w:val="2"/>
                <w:sz w:val="24"/>
                <w:szCs w:val="24"/>
                <w:lang w:val="en-US" w:eastAsia="zh-CN" w:bidi="ar-SA"/>
              </w:rPr>
              <w:t>Ⅲ</w:t>
            </w:r>
            <w:r>
              <w:rPr>
                <w:rFonts w:hint="eastAsia" w:ascii="Times New Roman" w:hAnsi="Times New Roman" w:eastAsia="宋体" w:cs="Times New Roman"/>
                <w:color w:val="auto"/>
                <w:kern w:val="2"/>
                <w:sz w:val="24"/>
                <w:szCs w:val="24"/>
                <w:lang w:val="en-US" w:eastAsia="zh-CN" w:bidi="ar-SA"/>
              </w:rPr>
              <w:t>类</w:t>
            </w:r>
            <w:r>
              <w:rPr>
                <w:rFonts w:hint="default" w:ascii="Times New Roman" w:hAnsi="Times New Roman" w:eastAsia="宋体" w:cs="Times New Roman"/>
                <w:color w:val="auto"/>
                <w:kern w:val="2"/>
                <w:sz w:val="24"/>
                <w:szCs w:val="24"/>
                <w:lang w:val="en-US" w:eastAsia="zh-CN" w:bidi="ar-SA"/>
              </w:rPr>
              <w:t>→Ⅱ</w:t>
            </w:r>
            <w:r>
              <w:rPr>
                <w:rFonts w:hint="eastAsia" w:ascii="Times New Roman" w:hAnsi="Times New Roman" w:eastAsia="宋体" w:cs="Times New Roman"/>
                <w:color w:val="auto"/>
                <w:kern w:val="2"/>
                <w:sz w:val="24"/>
                <w:szCs w:val="24"/>
                <w:lang w:val="en-US" w:eastAsia="zh-CN" w:bidi="ar-SA"/>
              </w:rPr>
              <w:t>类），五里闸（</w:t>
            </w:r>
            <w:r>
              <w:rPr>
                <w:rFonts w:hint="default" w:ascii="Times New Roman" w:hAnsi="Times New Roman" w:eastAsia="宋体" w:cs="Times New Roman"/>
                <w:color w:val="auto"/>
                <w:kern w:val="2"/>
                <w:sz w:val="24"/>
                <w:szCs w:val="24"/>
                <w:lang w:val="en-US" w:eastAsia="zh-CN" w:bidi="ar-SA"/>
              </w:rPr>
              <w:t>II</w:t>
            </w:r>
            <w:r>
              <w:rPr>
                <w:rFonts w:hint="eastAsia" w:ascii="Times New Roman" w:hAnsi="Times New Roman" w:eastAsia="宋体" w:cs="Times New Roman"/>
                <w:color w:val="auto"/>
                <w:kern w:val="2"/>
                <w:sz w:val="24"/>
                <w:szCs w:val="24"/>
                <w:lang w:val="en-US" w:eastAsia="zh-CN" w:bidi="ar-SA"/>
              </w:rPr>
              <w:t>类</w:t>
            </w:r>
            <w:r>
              <w:rPr>
                <w:rFonts w:hint="default" w:ascii="Times New Roman" w:hAnsi="Times New Roman" w:eastAsia="宋体" w:cs="Times New Roman"/>
                <w:color w:val="auto"/>
                <w:kern w:val="2"/>
                <w:sz w:val="24"/>
                <w:szCs w:val="24"/>
                <w:lang w:val="en-US" w:eastAsia="zh-CN" w:bidi="ar-SA"/>
              </w:rPr>
              <w:t>→Ⅲ</w:t>
            </w:r>
            <w:r>
              <w:rPr>
                <w:rFonts w:hint="eastAsia" w:ascii="Times New Roman" w:hAnsi="Times New Roman" w:eastAsia="宋体" w:cs="Times New Roman"/>
                <w:color w:val="auto"/>
                <w:kern w:val="2"/>
                <w:sz w:val="24"/>
                <w:szCs w:val="24"/>
                <w:lang w:val="en-US" w:eastAsia="zh-CN" w:bidi="ar-SA"/>
              </w:rPr>
              <w:t>类）和西淝河闸下（</w:t>
            </w:r>
            <w:r>
              <w:rPr>
                <w:rFonts w:hint="default" w:ascii="Times New Roman" w:hAnsi="Times New Roman" w:eastAsia="宋体" w:cs="Times New Roman"/>
                <w:color w:val="auto"/>
                <w:kern w:val="2"/>
                <w:sz w:val="24"/>
                <w:szCs w:val="24"/>
                <w:lang w:val="en-US" w:eastAsia="zh-CN" w:bidi="ar-SA"/>
              </w:rPr>
              <w:t>II</w:t>
            </w:r>
            <w:r>
              <w:rPr>
                <w:rFonts w:hint="eastAsia" w:ascii="Times New Roman" w:hAnsi="Times New Roman" w:eastAsia="宋体" w:cs="Times New Roman"/>
                <w:color w:val="auto"/>
                <w:kern w:val="2"/>
                <w:sz w:val="24"/>
                <w:szCs w:val="24"/>
                <w:lang w:val="en-US" w:eastAsia="zh-CN" w:bidi="ar-SA"/>
              </w:rPr>
              <w:t>类</w:t>
            </w:r>
            <w:r>
              <w:rPr>
                <w:rFonts w:hint="default" w:ascii="Times New Roman" w:hAnsi="Times New Roman" w:eastAsia="宋体" w:cs="Times New Roman"/>
                <w:color w:val="auto"/>
                <w:kern w:val="2"/>
                <w:sz w:val="24"/>
                <w:szCs w:val="24"/>
                <w:lang w:val="en-US" w:eastAsia="zh-CN" w:bidi="ar-SA"/>
              </w:rPr>
              <w:t>→Ⅲ</w:t>
            </w:r>
            <w:r>
              <w:rPr>
                <w:rFonts w:hint="eastAsia" w:ascii="Times New Roman" w:hAnsi="Times New Roman" w:eastAsia="宋体" w:cs="Times New Roman"/>
                <w:color w:val="auto"/>
                <w:kern w:val="2"/>
                <w:sz w:val="24"/>
                <w:szCs w:val="24"/>
                <w:lang w:val="en-US" w:eastAsia="zh-CN" w:bidi="ar-SA"/>
              </w:rPr>
              <w:t>类）水质均有所下降，其他断面水质保持稳定。</w:t>
            </w:r>
          </w:p>
          <w:p w14:paraId="387BE60F">
            <w:pPr>
              <w:keepNext/>
              <w:keepLines/>
              <w:pageBreakBefore w:val="0"/>
              <w:widowControl w:val="0"/>
              <w:kinsoku/>
              <w:wordWrap/>
              <w:overflowPunct/>
              <w:topLinePunct w:val="0"/>
              <w:autoSpaceDE/>
              <w:autoSpaceDN/>
              <w:bidi w:val="0"/>
              <w:adjustRightInd/>
              <w:snapToGrid/>
              <w:spacing w:before="0" w:line="360" w:lineRule="auto"/>
              <w:ind w:firstLine="480" w:firstLineChars="200"/>
              <w:jc w:val="both"/>
              <w:textAlignment w:val="auto"/>
              <w:outlineLvl w:val="9"/>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综上所述</w:t>
            </w:r>
            <w:r>
              <w:rPr>
                <w:rFonts w:hint="default" w:ascii="Times New Roman" w:hAnsi="Times New Roman" w:eastAsia="宋体"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项目所在地区域地表水</w:t>
            </w:r>
            <w:r>
              <w:rPr>
                <w:rFonts w:hint="default" w:ascii="Times New Roman" w:hAnsi="Times New Roman" w:eastAsia="宋体" w:cs="Times New Roman"/>
                <w:color w:val="auto"/>
                <w:kern w:val="2"/>
                <w:sz w:val="24"/>
                <w:szCs w:val="24"/>
                <w:lang w:val="en-US" w:eastAsia="zh-CN" w:bidi="ar-SA"/>
              </w:rPr>
              <w:t>水质</w:t>
            </w:r>
            <w:r>
              <w:rPr>
                <w:rFonts w:hint="eastAsia" w:ascii="Times New Roman" w:hAnsi="Times New Roman" w:eastAsia="宋体" w:cs="Times New Roman"/>
                <w:color w:val="auto"/>
                <w:kern w:val="2"/>
                <w:sz w:val="24"/>
                <w:szCs w:val="24"/>
                <w:lang w:val="en-US" w:eastAsia="zh-CN" w:bidi="ar-SA"/>
              </w:rPr>
              <w:t>良好</w:t>
            </w:r>
            <w:r>
              <w:rPr>
                <w:rFonts w:hint="default" w:ascii="Times New Roman" w:hAnsi="Times New Roman" w:eastAsia="宋体" w:cs="Times New Roman"/>
                <w:color w:val="auto"/>
                <w:kern w:val="2"/>
                <w:sz w:val="24"/>
                <w:szCs w:val="24"/>
                <w:lang w:val="en-US" w:eastAsia="zh-CN" w:bidi="ar-SA"/>
              </w:rPr>
              <w:t>。</w:t>
            </w:r>
          </w:p>
          <w:p w14:paraId="323D74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outlineLvl w:val="9"/>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lang w:val="en-US" w:eastAsia="zh-CN"/>
              </w:rPr>
              <w:t>三</w:t>
            </w:r>
            <w:r>
              <w:rPr>
                <w:rFonts w:hint="default" w:ascii="Times New Roman" w:hAnsi="Times New Roman" w:eastAsia="宋体" w:cs="Times New Roman"/>
                <w:b/>
                <w:color w:val="auto"/>
                <w:sz w:val="24"/>
                <w:szCs w:val="24"/>
              </w:rPr>
              <w:t>、声环境</w:t>
            </w:r>
          </w:p>
          <w:p w14:paraId="14CEE555">
            <w:pPr>
              <w:keepNext w:val="0"/>
              <w:keepLines w:val="0"/>
              <w:pageBreakBefore w:val="0"/>
              <w:widowControl w:val="0"/>
              <w:suppressLineNumbers w:val="0"/>
              <w:kinsoku/>
              <w:wordWrap/>
              <w:overflowPunct/>
              <w:topLinePunct w:val="0"/>
              <w:bidi w:val="0"/>
              <w:snapToGrid/>
              <w:spacing w:before="0" w:beforeAutospacing="0" w:after="0" w:afterAutospacing="0" w:line="360" w:lineRule="auto"/>
              <w:ind w:left="0" w:right="0" w:firstLine="480" w:firstLineChars="200"/>
              <w:textAlignment w:val="auto"/>
              <w:outlineLvl w:val="9"/>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本项目位于</w:t>
            </w:r>
            <w:r>
              <w:rPr>
                <w:rFonts w:hint="eastAsia" w:cs="Times New Roman"/>
                <w:color w:val="auto"/>
                <w:sz w:val="24"/>
                <w:lang w:eastAsia="zh-CN"/>
              </w:rPr>
              <w:t>安徽省淮南市潘集区珠江路北侧、武夷山路西侧</w:t>
            </w:r>
            <w:r>
              <w:rPr>
                <w:rFonts w:hint="default" w:ascii="Times New Roman" w:hAnsi="Times New Roman" w:eastAsia="宋体" w:cs="Times New Roman"/>
                <w:color w:val="auto"/>
                <w:sz w:val="24"/>
              </w:rPr>
              <w:t>，根据《声环境质量标准》（GB3096-2008）中声环境质量功能区的分类方法，区域为声环境质量</w:t>
            </w:r>
            <w:r>
              <w:rPr>
                <w:rFonts w:hint="eastAsia" w:cs="Times New Roman"/>
                <w:color w:val="auto"/>
                <w:sz w:val="24"/>
                <w:lang w:val="en-US" w:eastAsia="zh-CN"/>
              </w:rPr>
              <w:t>2</w:t>
            </w:r>
            <w:r>
              <w:rPr>
                <w:rFonts w:hint="default" w:ascii="Times New Roman" w:hAnsi="Times New Roman" w:eastAsia="宋体" w:cs="Times New Roman"/>
                <w:color w:val="auto"/>
                <w:sz w:val="24"/>
              </w:rPr>
              <w:t>类功能区，执行《声环境质量标准》（GB3096-2008）的</w:t>
            </w:r>
            <w:r>
              <w:rPr>
                <w:rFonts w:hint="eastAsia" w:cs="Times New Roman"/>
                <w:color w:val="auto"/>
                <w:sz w:val="24"/>
                <w:lang w:val="en-US" w:eastAsia="zh-CN"/>
              </w:rPr>
              <w:t>2</w:t>
            </w:r>
            <w:r>
              <w:rPr>
                <w:rFonts w:hint="default" w:ascii="Times New Roman" w:hAnsi="Times New Roman" w:eastAsia="宋体" w:cs="Times New Roman"/>
                <w:color w:val="auto"/>
                <w:sz w:val="24"/>
              </w:rPr>
              <w:t>类标准，（即昼间≤6</w:t>
            </w:r>
            <w:r>
              <w:rPr>
                <w:rFonts w:hint="eastAsia" w:cs="Times New Roman"/>
                <w:color w:val="auto"/>
                <w:sz w:val="24"/>
                <w:lang w:val="en-US" w:eastAsia="zh-CN"/>
              </w:rPr>
              <w:t>0</w:t>
            </w:r>
            <w:r>
              <w:rPr>
                <w:rFonts w:hint="default" w:ascii="Times New Roman" w:hAnsi="Times New Roman" w:eastAsia="宋体" w:cs="Times New Roman"/>
                <w:color w:val="auto"/>
                <w:sz w:val="24"/>
              </w:rPr>
              <w:t>dB(A)、夜间≤5</w:t>
            </w:r>
            <w:r>
              <w:rPr>
                <w:rFonts w:hint="eastAsia" w:cs="Times New Roman"/>
                <w:color w:val="auto"/>
                <w:sz w:val="24"/>
                <w:lang w:val="en-US" w:eastAsia="zh-CN"/>
              </w:rPr>
              <w:t>0</w:t>
            </w:r>
            <w:r>
              <w:rPr>
                <w:rFonts w:hint="default" w:ascii="Times New Roman" w:hAnsi="Times New Roman" w:eastAsia="宋体" w:cs="Times New Roman"/>
                <w:color w:val="auto"/>
                <w:sz w:val="24"/>
              </w:rPr>
              <w:t>dB(A)）</w:t>
            </w:r>
            <w:r>
              <w:rPr>
                <w:rFonts w:hint="eastAsia" w:cs="Times New Roman"/>
                <w:color w:val="auto"/>
                <w:sz w:val="24"/>
                <w:lang w:eastAsia="zh-CN"/>
              </w:rPr>
              <w:t>，项目附近敏感点潘集区妇幼保健所、泰府名邸</w:t>
            </w:r>
            <w:r>
              <w:rPr>
                <w:rFonts w:hint="default" w:ascii="Times New Roman" w:hAnsi="Times New Roman" w:eastAsia="宋体" w:cs="Times New Roman"/>
                <w:color w:val="auto"/>
                <w:sz w:val="24"/>
              </w:rPr>
              <w:t>声环境质量</w:t>
            </w:r>
            <w:r>
              <w:rPr>
                <w:rFonts w:hint="eastAsia" w:cs="Times New Roman"/>
                <w:color w:val="auto"/>
                <w:sz w:val="24"/>
                <w:lang w:eastAsia="zh-CN"/>
              </w:rPr>
              <w:t>执行</w:t>
            </w:r>
            <w:r>
              <w:rPr>
                <w:rFonts w:hint="default" w:ascii="Times New Roman" w:hAnsi="Times New Roman" w:eastAsia="宋体" w:cs="Times New Roman"/>
                <w:color w:val="auto"/>
                <w:sz w:val="24"/>
              </w:rPr>
              <w:t>《声环境质量标准》（GB3096-2008）的</w:t>
            </w:r>
            <w:r>
              <w:rPr>
                <w:rFonts w:hint="eastAsia"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rPr>
              <w:t>类标准，（即昼间≤6</w:t>
            </w:r>
            <w:r>
              <w:rPr>
                <w:rFonts w:hint="eastAsia" w:ascii="Times New Roman" w:hAnsi="Times New Roman" w:eastAsia="宋体" w:cs="Times New Roman"/>
                <w:color w:val="auto"/>
                <w:sz w:val="24"/>
                <w:lang w:val="en-US" w:eastAsia="zh-CN"/>
              </w:rPr>
              <w:t>0</w:t>
            </w:r>
            <w:r>
              <w:rPr>
                <w:rFonts w:hint="default" w:ascii="Times New Roman" w:hAnsi="Times New Roman" w:eastAsia="宋体" w:cs="Times New Roman"/>
                <w:color w:val="auto"/>
                <w:sz w:val="24"/>
              </w:rPr>
              <w:t>dB(A)、夜间≤5</w:t>
            </w:r>
            <w:r>
              <w:rPr>
                <w:rFonts w:hint="eastAsia" w:ascii="Times New Roman" w:hAnsi="Times New Roman" w:eastAsia="宋体" w:cs="Times New Roman"/>
                <w:color w:val="auto"/>
                <w:sz w:val="24"/>
                <w:lang w:val="en-US" w:eastAsia="zh-CN"/>
              </w:rPr>
              <w:t>0</w:t>
            </w:r>
            <w:r>
              <w:rPr>
                <w:rFonts w:hint="default" w:ascii="Times New Roman" w:hAnsi="Times New Roman" w:eastAsia="宋体" w:cs="Times New Roman"/>
                <w:color w:val="auto"/>
                <w:sz w:val="24"/>
              </w:rPr>
              <w:t>dB(A)）。</w:t>
            </w:r>
          </w:p>
          <w:p w14:paraId="3DC89ADD">
            <w:pPr>
              <w:keepNext w:val="0"/>
              <w:keepLines w:val="0"/>
              <w:pageBreakBefore w:val="0"/>
              <w:widowControl w:val="0"/>
              <w:suppressLineNumbers w:val="0"/>
              <w:kinsoku/>
              <w:wordWrap/>
              <w:overflowPunct/>
              <w:topLinePunct w:val="0"/>
              <w:bidi w:val="0"/>
              <w:snapToGrid/>
              <w:spacing w:before="0" w:beforeAutospacing="0" w:after="0" w:afterAutospacing="0" w:line="360" w:lineRule="auto"/>
              <w:ind w:left="0" w:right="0" w:firstLine="480" w:firstLineChars="200"/>
              <w:textAlignment w:val="auto"/>
              <w:outlineLvl w:val="9"/>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rPr>
              <w:t>本次评价委托</w:t>
            </w:r>
            <w:r>
              <w:rPr>
                <w:rFonts w:hint="eastAsia" w:cs="Times New Roman"/>
                <w:color w:val="auto"/>
                <w:sz w:val="24"/>
                <w:lang w:eastAsia="zh-CN"/>
              </w:rPr>
              <w:t>安徽国测检测技术</w:t>
            </w:r>
            <w:r>
              <w:rPr>
                <w:rFonts w:hint="default" w:ascii="Times New Roman" w:hAnsi="Times New Roman" w:cs="Times New Roman"/>
                <w:color w:val="auto"/>
                <w:sz w:val="24"/>
                <w:lang w:eastAsia="zh-CN"/>
              </w:rPr>
              <w:t>有限公司</w:t>
            </w:r>
            <w:r>
              <w:rPr>
                <w:rFonts w:hint="default" w:ascii="Times New Roman" w:hAnsi="Times New Roman" w:eastAsia="宋体" w:cs="Times New Roman"/>
                <w:color w:val="auto"/>
                <w:sz w:val="24"/>
              </w:rPr>
              <w:t>于202</w:t>
            </w:r>
            <w:r>
              <w:rPr>
                <w:rFonts w:hint="eastAsia" w:ascii="Times New Roman" w:hAnsi="Times New Roman" w:eastAsia="宋体" w:cs="Times New Roman"/>
                <w:color w:val="auto"/>
                <w:sz w:val="24"/>
                <w:lang w:val="en-US" w:eastAsia="zh-CN"/>
              </w:rPr>
              <w:t>6</w:t>
            </w:r>
            <w:r>
              <w:rPr>
                <w:rFonts w:hint="default" w:ascii="Times New Roman" w:hAnsi="Times New Roman" w:eastAsia="宋体" w:cs="Times New Roman"/>
                <w:color w:val="auto"/>
                <w:sz w:val="24"/>
              </w:rPr>
              <w:t>年</w:t>
            </w:r>
            <w:r>
              <w:rPr>
                <w:rFonts w:hint="eastAsia" w:ascii="Times New Roman" w:hAnsi="Times New Roman" w:eastAsia="宋体" w:cs="Times New Roman"/>
                <w:color w:val="auto"/>
                <w:sz w:val="24"/>
                <w:lang w:val="en-US" w:eastAsia="zh-CN"/>
              </w:rPr>
              <w:t>6</w:t>
            </w:r>
            <w:r>
              <w:rPr>
                <w:rFonts w:hint="default" w:ascii="Times New Roman" w:hAnsi="Times New Roman" w:eastAsia="宋体" w:cs="Times New Roman"/>
                <w:color w:val="auto"/>
                <w:sz w:val="24"/>
              </w:rPr>
              <w:t>月</w:t>
            </w:r>
            <w:r>
              <w:rPr>
                <w:rFonts w:hint="default" w:ascii="Times New Roman" w:hAnsi="Times New Roman" w:eastAsia="宋体" w:cs="Times New Roman"/>
                <w:color w:val="auto"/>
                <w:sz w:val="24"/>
                <w:lang w:val="en-US" w:eastAsia="zh-CN"/>
              </w:rPr>
              <w:t>2</w:t>
            </w:r>
            <w:r>
              <w:rPr>
                <w:rFonts w:hint="eastAsia" w:ascii="Times New Roman" w:hAnsi="Times New Roman" w:eastAsia="宋体" w:cs="Times New Roman"/>
                <w:color w:val="auto"/>
                <w:sz w:val="24"/>
                <w:lang w:val="en-US" w:eastAsia="zh-CN"/>
              </w:rPr>
              <w:t>9</w:t>
            </w:r>
            <w:r>
              <w:rPr>
                <w:rFonts w:hint="default" w:ascii="Times New Roman" w:hAnsi="Times New Roman" w:eastAsia="宋体" w:cs="Times New Roman"/>
                <w:color w:val="auto"/>
                <w:sz w:val="24"/>
              </w:rPr>
              <w:t>日对</w:t>
            </w:r>
            <w:r>
              <w:rPr>
                <w:rFonts w:hint="default" w:ascii="Times New Roman" w:hAnsi="Times New Roman" w:cs="Times New Roman"/>
                <w:color w:val="auto"/>
                <w:sz w:val="24"/>
                <w:lang w:eastAsia="zh-CN"/>
              </w:rPr>
              <w:t>建设单位厂界及声环境保</w:t>
            </w:r>
            <w:r>
              <w:rPr>
                <w:rFonts w:hint="default" w:ascii="Times New Roman" w:hAnsi="Times New Roman" w:cs="Times New Roman"/>
                <w:color w:val="auto"/>
                <w:sz w:val="24"/>
                <w:szCs w:val="24"/>
                <w:lang w:eastAsia="zh-CN"/>
              </w:rPr>
              <w:t>护目标</w:t>
            </w:r>
            <w:r>
              <w:rPr>
                <w:rFonts w:hint="default" w:ascii="Times New Roman" w:hAnsi="Times New Roman" w:eastAsia="宋体" w:cs="Times New Roman"/>
                <w:color w:val="auto"/>
                <w:sz w:val="24"/>
                <w:szCs w:val="24"/>
              </w:rPr>
              <w:t>进行了</w:t>
            </w:r>
            <w:r>
              <w:rPr>
                <w:rFonts w:hint="default" w:ascii="Times New Roman" w:hAnsi="Times New Roman" w:eastAsia="宋体" w:cs="Times New Roman"/>
                <w:color w:val="auto"/>
                <w:sz w:val="24"/>
              </w:rPr>
              <w:t>监测，监测结果如下</w:t>
            </w:r>
            <w:r>
              <w:rPr>
                <w:rFonts w:hint="default" w:ascii="Times New Roman" w:hAnsi="Times New Roman" w:eastAsia="宋体" w:cs="Times New Roman"/>
                <w:color w:val="auto"/>
                <w:kern w:val="2"/>
                <w:sz w:val="24"/>
                <w:szCs w:val="24"/>
                <w:lang w:val="en-US" w:eastAsia="zh-CN" w:bidi="ar-SA"/>
              </w:rPr>
              <w:t>：</w:t>
            </w:r>
          </w:p>
          <w:p w14:paraId="0B87C2E0">
            <w:pPr>
              <w:pStyle w:val="3"/>
              <w:keepNext w:val="0"/>
              <w:keepLines w:val="0"/>
              <w:pageBreakBefore w:val="0"/>
              <w:widowControl w:val="0"/>
              <w:tabs>
                <w:tab w:val="left" w:pos="1270"/>
              </w:tabs>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spacing w:val="-62"/>
              </w:rPr>
              <w:t xml:space="preserve"> </w:t>
            </w:r>
            <w:r>
              <w:rPr>
                <w:rFonts w:hint="default" w:ascii="Times New Roman" w:hAnsi="Times New Roman" w:eastAsia="Times New Roman" w:cs="Times New Roman"/>
                <w:color w:val="auto"/>
              </w:rPr>
              <w:t>3-</w:t>
            </w:r>
            <w:r>
              <w:rPr>
                <w:rFonts w:hint="eastAsia" w:ascii="Times New Roman" w:hAnsi="Times New Roman" w:eastAsia="宋体" w:cs="Times New Roman"/>
                <w:color w:val="auto"/>
                <w:lang w:val="en-US" w:eastAsia="zh-CN"/>
              </w:rPr>
              <w:t>1</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噪声监测结果</w:t>
            </w:r>
          </w:p>
          <w:tbl>
            <w:tblPr>
              <w:tblStyle w:val="2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07"/>
              <w:gridCol w:w="3074"/>
              <w:gridCol w:w="2750"/>
            </w:tblGrid>
            <w:tr w14:paraId="0C17D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95" w:type="dxa"/>
                  <w:vAlign w:val="center"/>
                </w:tcPr>
                <w:p w14:paraId="4AC071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新宋体" w:cs="Times New Roman"/>
                      <w:b/>
                      <w:color w:val="auto"/>
                      <w:sz w:val="21"/>
                      <w:szCs w:val="21"/>
                    </w:rPr>
                  </w:pPr>
                  <w:r>
                    <w:rPr>
                      <w:rFonts w:hint="default" w:ascii="Times New Roman" w:hAnsi="Times New Roman" w:eastAsia="新宋体" w:cs="Times New Roman"/>
                      <w:b/>
                      <w:bCs/>
                      <w:color w:val="auto"/>
                      <w:sz w:val="21"/>
                      <w:szCs w:val="21"/>
                      <w:lang w:val="en-US" w:eastAsia="zh-CN"/>
                    </w:rPr>
                    <w:t>监测</w:t>
                  </w:r>
                  <w:r>
                    <w:rPr>
                      <w:rFonts w:hint="default" w:ascii="Times New Roman" w:hAnsi="Times New Roman" w:eastAsia="新宋体" w:cs="Times New Roman"/>
                      <w:b/>
                      <w:bCs/>
                      <w:color w:val="auto"/>
                      <w:sz w:val="21"/>
                      <w:szCs w:val="21"/>
                    </w:rPr>
                    <w:t>时间</w:t>
                  </w:r>
                </w:p>
              </w:tc>
              <w:tc>
                <w:tcPr>
                  <w:tcW w:w="5798" w:type="dxa"/>
                  <w:gridSpan w:val="2"/>
                  <w:vAlign w:val="center"/>
                </w:tcPr>
                <w:p w14:paraId="347F89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新宋体" w:cs="Times New Roman"/>
                      <w:b/>
                      <w:color w:val="auto"/>
                      <w:sz w:val="21"/>
                      <w:szCs w:val="21"/>
                    </w:rPr>
                  </w:pPr>
                  <w:r>
                    <w:rPr>
                      <w:rFonts w:hint="default" w:ascii="Times New Roman" w:hAnsi="Times New Roman" w:eastAsia="新宋体" w:cs="Times New Roman"/>
                      <w:b/>
                      <w:bCs/>
                      <w:color w:val="auto"/>
                      <w:sz w:val="21"/>
                      <w:szCs w:val="21"/>
                      <w:lang w:val="en-US" w:eastAsia="zh-CN"/>
                    </w:rPr>
                    <w:t>202</w:t>
                  </w:r>
                  <w:r>
                    <w:rPr>
                      <w:rFonts w:hint="eastAsia" w:ascii="Times New Roman" w:hAnsi="Times New Roman" w:eastAsia="新宋体" w:cs="Times New Roman"/>
                      <w:b/>
                      <w:bCs/>
                      <w:color w:val="auto"/>
                      <w:sz w:val="21"/>
                      <w:szCs w:val="21"/>
                      <w:lang w:val="en-US" w:eastAsia="zh-CN"/>
                    </w:rPr>
                    <w:t>6</w:t>
                  </w:r>
                  <w:r>
                    <w:rPr>
                      <w:rFonts w:hint="default" w:ascii="Times New Roman" w:hAnsi="Times New Roman" w:eastAsia="新宋体" w:cs="Times New Roman"/>
                      <w:b/>
                      <w:bCs/>
                      <w:color w:val="auto"/>
                      <w:sz w:val="21"/>
                      <w:szCs w:val="21"/>
                      <w:lang w:val="en-US" w:eastAsia="zh-CN"/>
                    </w:rPr>
                    <w:t>年</w:t>
                  </w:r>
                  <w:r>
                    <w:rPr>
                      <w:rFonts w:hint="eastAsia" w:ascii="Times New Roman" w:hAnsi="Times New Roman" w:eastAsia="新宋体" w:cs="Times New Roman"/>
                      <w:b/>
                      <w:bCs/>
                      <w:color w:val="auto"/>
                      <w:sz w:val="21"/>
                      <w:szCs w:val="21"/>
                      <w:lang w:val="en-US" w:eastAsia="zh-CN"/>
                    </w:rPr>
                    <w:t>6</w:t>
                  </w:r>
                  <w:r>
                    <w:rPr>
                      <w:rFonts w:hint="default" w:ascii="Times New Roman" w:hAnsi="Times New Roman" w:eastAsia="新宋体" w:cs="Times New Roman"/>
                      <w:b/>
                      <w:bCs/>
                      <w:color w:val="auto"/>
                      <w:sz w:val="21"/>
                      <w:szCs w:val="21"/>
                      <w:lang w:val="en-US" w:eastAsia="zh-CN"/>
                    </w:rPr>
                    <w:t>月2</w:t>
                  </w:r>
                  <w:r>
                    <w:rPr>
                      <w:rFonts w:hint="eastAsia" w:ascii="Times New Roman" w:hAnsi="Times New Roman" w:eastAsia="新宋体" w:cs="Times New Roman"/>
                      <w:b/>
                      <w:bCs/>
                      <w:color w:val="auto"/>
                      <w:sz w:val="21"/>
                      <w:szCs w:val="21"/>
                      <w:lang w:val="en-US" w:eastAsia="zh-CN"/>
                    </w:rPr>
                    <w:t>9</w:t>
                  </w:r>
                  <w:r>
                    <w:rPr>
                      <w:rFonts w:hint="default" w:ascii="Times New Roman" w:hAnsi="Times New Roman" w:eastAsia="新宋体" w:cs="Times New Roman"/>
                      <w:b/>
                      <w:bCs/>
                      <w:color w:val="auto"/>
                      <w:sz w:val="21"/>
                      <w:szCs w:val="21"/>
                      <w:lang w:val="en-US" w:eastAsia="zh-CN"/>
                    </w:rPr>
                    <w:t>日</w:t>
                  </w:r>
                </w:p>
              </w:tc>
            </w:tr>
            <w:tr w14:paraId="2A102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95" w:type="dxa"/>
                  <w:vAlign w:val="center"/>
                </w:tcPr>
                <w:p w14:paraId="4B9618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新宋体" w:cs="Times New Roman"/>
                      <w:b/>
                      <w:color w:val="auto"/>
                      <w:sz w:val="21"/>
                      <w:szCs w:val="21"/>
                    </w:rPr>
                  </w:pPr>
                  <w:r>
                    <w:rPr>
                      <w:rFonts w:hint="default" w:ascii="Times New Roman" w:hAnsi="Times New Roman" w:eastAsia="新宋体" w:cs="Times New Roman"/>
                      <w:b/>
                      <w:bCs/>
                      <w:color w:val="auto"/>
                      <w:sz w:val="21"/>
                      <w:szCs w:val="21"/>
                    </w:rPr>
                    <w:t>编号</w:t>
                  </w:r>
                </w:p>
              </w:tc>
              <w:tc>
                <w:tcPr>
                  <w:tcW w:w="3060" w:type="dxa"/>
                  <w:vAlign w:val="center"/>
                </w:tcPr>
                <w:p w14:paraId="563A13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新宋体" w:cs="Times New Roman"/>
                      <w:b/>
                      <w:color w:val="auto"/>
                      <w:sz w:val="21"/>
                      <w:szCs w:val="21"/>
                    </w:rPr>
                  </w:pPr>
                  <w:r>
                    <w:rPr>
                      <w:rFonts w:hint="default" w:ascii="Times New Roman" w:hAnsi="Times New Roman" w:eastAsia="新宋体" w:cs="Times New Roman"/>
                      <w:b/>
                      <w:bCs/>
                      <w:color w:val="auto"/>
                      <w:sz w:val="21"/>
                      <w:szCs w:val="21"/>
                      <w:lang w:eastAsia="zh-CN"/>
                    </w:rPr>
                    <w:t>昼间Leq dB（A）</w:t>
                  </w:r>
                </w:p>
              </w:tc>
              <w:tc>
                <w:tcPr>
                  <w:tcW w:w="2738" w:type="dxa"/>
                  <w:vAlign w:val="center"/>
                </w:tcPr>
                <w:p w14:paraId="0E4544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新宋体" w:cs="Times New Roman"/>
                      <w:b/>
                      <w:color w:val="auto"/>
                      <w:sz w:val="21"/>
                      <w:szCs w:val="21"/>
                    </w:rPr>
                  </w:pPr>
                  <w:r>
                    <w:rPr>
                      <w:rFonts w:hint="default" w:ascii="Times New Roman" w:hAnsi="Times New Roman" w:eastAsia="新宋体" w:cs="Times New Roman"/>
                      <w:b/>
                      <w:bCs/>
                      <w:color w:val="auto"/>
                      <w:sz w:val="21"/>
                      <w:szCs w:val="21"/>
                      <w:lang w:eastAsia="zh-CN"/>
                    </w:rPr>
                    <w:t>夜间Leq dB（A）</w:t>
                  </w:r>
                </w:p>
              </w:tc>
            </w:tr>
            <w:tr w14:paraId="7A36A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95" w:type="dxa"/>
                  <w:vAlign w:val="center"/>
                </w:tcPr>
                <w:p w14:paraId="70B0AE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auto"/>
                      <w:sz w:val="21"/>
                      <w:szCs w:val="21"/>
                      <w:lang w:val="en-US" w:eastAsia="zh-CN"/>
                    </w:rPr>
                  </w:pPr>
                  <w:r>
                    <w:rPr>
                      <w:rFonts w:hint="default" w:ascii="Times New Roman" w:hAnsi="Times New Roman" w:cs="Times New Roman"/>
                      <w:b/>
                      <w:bCs w:val="0"/>
                      <w:color w:val="auto"/>
                      <w:sz w:val="21"/>
                      <w:szCs w:val="21"/>
                      <w:lang w:val="en-US" w:eastAsia="zh-CN"/>
                    </w:rPr>
                    <w:t>厂界东侧</w:t>
                  </w:r>
                </w:p>
              </w:tc>
              <w:tc>
                <w:tcPr>
                  <w:tcW w:w="3060" w:type="dxa"/>
                  <w:vAlign w:val="center"/>
                </w:tcPr>
                <w:p w14:paraId="3D8530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59</w:t>
                  </w:r>
                </w:p>
              </w:tc>
              <w:tc>
                <w:tcPr>
                  <w:tcW w:w="2738" w:type="dxa"/>
                  <w:vAlign w:val="center"/>
                </w:tcPr>
                <w:p w14:paraId="607400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45</w:t>
                  </w:r>
                </w:p>
              </w:tc>
            </w:tr>
            <w:tr w14:paraId="01B94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95" w:type="dxa"/>
                  <w:vAlign w:val="center"/>
                </w:tcPr>
                <w:p w14:paraId="12A7C1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auto"/>
                      <w:sz w:val="21"/>
                      <w:szCs w:val="21"/>
                      <w:lang w:val="en-US" w:eastAsia="zh-CN"/>
                    </w:rPr>
                  </w:pPr>
                  <w:r>
                    <w:rPr>
                      <w:rFonts w:hint="default" w:ascii="Times New Roman" w:hAnsi="Times New Roman" w:cs="Times New Roman"/>
                      <w:b/>
                      <w:bCs w:val="0"/>
                      <w:color w:val="auto"/>
                      <w:sz w:val="21"/>
                      <w:szCs w:val="21"/>
                      <w:lang w:val="en-US" w:eastAsia="zh-CN"/>
                    </w:rPr>
                    <w:t>厂界南侧</w:t>
                  </w:r>
                </w:p>
              </w:tc>
              <w:tc>
                <w:tcPr>
                  <w:tcW w:w="3060" w:type="dxa"/>
                  <w:vAlign w:val="center"/>
                </w:tcPr>
                <w:p w14:paraId="6A75E1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59</w:t>
                  </w:r>
                </w:p>
              </w:tc>
              <w:tc>
                <w:tcPr>
                  <w:tcW w:w="2738" w:type="dxa"/>
                  <w:vAlign w:val="center"/>
                </w:tcPr>
                <w:p w14:paraId="39F094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41</w:t>
                  </w:r>
                </w:p>
              </w:tc>
            </w:tr>
            <w:tr w14:paraId="4CBF9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95" w:type="dxa"/>
                  <w:vAlign w:val="center"/>
                </w:tcPr>
                <w:p w14:paraId="40318F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auto"/>
                      <w:sz w:val="21"/>
                      <w:szCs w:val="21"/>
                      <w:lang w:val="en-US" w:eastAsia="zh-CN"/>
                    </w:rPr>
                  </w:pPr>
                  <w:r>
                    <w:rPr>
                      <w:rFonts w:hint="default" w:ascii="Times New Roman" w:hAnsi="Times New Roman" w:cs="Times New Roman"/>
                      <w:b/>
                      <w:bCs w:val="0"/>
                      <w:color w:val="auto"/>
                      <w:sz w:val="21"/>
                      <w:szCs w:val="21"/>
                      <w:lang w:val="en-US" w:eastAsia="zh-CN"/>
                    </w:rPr>
                    <w:t>厂界西侧</w:t>
                  </w:r>
                </w:p>
              </w:tc>
              <w:tc>
                <w:tcPr>
                  <w:tcW w:w="3060" w:type="dxa"/>
                  <w:vAlign w:val="center"/>
                </w:tcPr>
                <w:p w14:paraId="2818EB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46</w:t>
                  </w:r>
                </w:p>
              </w:tc>
              <w:tc>
                <w:tcPr>
                  <w:tcW w:w="2738" w:type="dxa"/>
                  <w:vAlign w:val="center"/>
                </w:tcPr>
                <w:p w14:paraId="630B4E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45</w:t>
                  </w:r>
                </w:p>
              </w:tc>
            </w:tr>
            <w:tr w14:paraId="20030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95" w:type="dxa"/>
                  <w:vAlign w:val="center"/>
                </w:tcPr>
                <w:p w14:paraId="0933FC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auto"/>
                      <w:sz w:val="21"/>
                      <w:szCs w:val="21"/>
                      <w:lang w:val="en-US" w:eastAsia="zh-CN"/>
                    </w:rPr>
                  </w:pPr>
                  <w:r>
                    <w:rPr>
                      <w:rFonts w:hint="default" w:ascii="Times New Roman" w:hAnsi="Times New Roman" w:cs="Times New Roman"/>
                      <w:b/>
                      <w:bCs w:val="0"/>
                      <w:color w:val="auto"/>
                      <w:sz w:val="21"/>
                      <w:szCs w:val="21"/>
                      <w:lang w:val="en-US" w:eastAsia="zh-CN"/>
                    </w:rPr>
                    <w:t>厂界北侧</w:t>
                  </w:r>
                </w:p>
              </w:tc>
              <w:tc>
                <w:tcPr>
                  <w:tcW w:w="3060" w:type="dxa"/>
                  <w:vAlign w:val="center"/>
                </w:tcPr>
                <w:p w14:paraId="0B4A0E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52</w:t>
                  </w:r>
                </w:p>
              </w:tc>
              <w:tc>
                <w:tcPr>
                  <w:tcW w:w="2738" w:type="dxa"/>
                  <w:vAlign w:val="center"/>
                </w:tcPr>
                <w:p w14:paraId="217C1A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44</w:t>
                  </w:r>
                </w:p>
              </w:tc>
            </w:tr>
            <w:tr w14:paraId="151B3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95" w:type="dxa"/>
                  <w:vAlign w:val="center"/>
                </w:tcPr>
                <w:p w14:paraId="5E8FE7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eastAsia" w:ascii="Times New Roman" w:hAnsi="Times New Roman" w:eastAsia="宋体" w:cs="Times New Roman"/>
                      <w:b/>
                      <w:bCs w:val="0"/>
                      <w:color w:val="auto"/>
                      <w:sz w:val="21"/>
                      <w:szCs w:val="21"/>
                      <w:lang w:val="en-US" w:eastAsia="zh-CN"/>
                    </w:rPr>
                    <w:t>潘集区妇幼保健所</w:t>
                  </w:r>
                </w:p>
              </w:tc>
              <w:tc>
                <w:tcPr>
                  <w:tcW w:w="3060" w:type="dxa"/>
                  <w:vAlign w:val="center"/>
                </w:tcPr>
                <w:p w14:paraId="30D974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56</w:t>
                  </w:r>
                </w:p>
              </w:tc>
              <w:tc>
                <w:tcPr>
                  <w:tcW w:w="2738" w:type="dxa"/>
                  <w:vAlign w:val="center"/>
                </w:tcPr>
                <w:p w14:paraId="505A4C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w:t>
                  </w:r>
                </w:p>
              </w:tc>
            </w:tr>
            <w:tr w14:paraId="40EF4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95" w:type="dxa"/>
                  <w:vAlign w:val="center"/>
                </w:tcPr>
                <w:p w14:paraId="309FF5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eastAsia" w:ascii="Times New Roman" w:hAnsi="Times New Roman" w:eastAsia="宋体" w:cs="Times New Roman"/>
                      <w:b/>
                      <w:bCs w:val="0"/>
                      <w:color w:val="auto"/>
                      <w:sz w:val="21"/>
                      <w:szCs w:val="21"/>
                      <w:lang w:val="en-US" w:eastAsia="zh-CN"/>
                    </w:rPr>
                    <w:t>泰府名邸</w:t>
                  </w:r>
                </w:p>
              </w:tc>
              <w:tc>
                <w:tcPr>
                  <w:tcW w:w="3060" w:type="dxa"/>
                  <w:vAlign w:val="center"/>
                </w:tcPr>
                <w:p w14:paraId="2FFF76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57</w:t>
                  </w:r>
                </w:p>
              </w:tc>
              <w:tc>
                <w:tcPr>
                  <w:tcW w:w="2738" w:type="dxa"/>
                  <w:vAlign w:val="center"/>
                </w:tcPr>
                <w:p w14:paraId="195316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43</w:t>
                  </w:r>
                </w:p>
              </w:tc>
            </w:tr>
          </w:tbl>
          <w:p w14:paraId="2EDE1A3C">
            <w:pPr>
              <w:keepNext w:val="0"/>
              <w:keepLines w:val="0"/>
              <w:pageBreakBefore w:val="0"/>
              <w:widowControl w:val="0"/>
              <w:suppressLineNumbers w:val="0"/>
              <w:kinsoku/>
              <w:wordWrap/>
              <w:overflowPunct/>
              <w:topLinePunct w:val="0"/>
              <w:bidi w:val="0"/>
              <w:snapToGrid/>
              <w:spacing w:before="0" w:beforeAutospacing="0" w:after="0" w:afterAutospacing="0" w:line="360" w:lineRule="auto"/>
              <w:ind w:left="0" w:right="0" w:firstLine="480" w:firstLineChars="200"/>
              <w:textAlignment w:val="auto"/>
              <w:outlineLvl w:val="9"/>
              <w:rPr>
                <w:rFonts w:hint="default" w:ascii="Times New Roman" w:hAnsi="Times New Roman" w:eastAsia="宋体" w:cs="Times New Roman"/>
                <w:color w:val="auto"/>
                <w:sz w:val="24"/>
              </w:rPr>
            </w:pPr>
            <w:r>
              <w:rPr>
                <w:rFonts w:hint="default" w:ascii="Times New Roman" w:hAnsi="Times New Roman" w:eastAsia="宋体" w:cs="Times New Roman"/>
                <w:b w:val="0"/>
                <w:bCs w:val="0"/>
                <w:color w:val="auto"/>
                <w:kern w:val="2"/>
                <w:sz w:val="24"/>
                <w:szCs w:val="24"/>
                <w:lang w:val="en-US" w:eastAsia="zh-CN" w:bidi="ar-SA"/>
              </w:rPr>
              <w:t>由上表可知</w:t>
            </w:r>
            <w:r>
              <w:rPr>
                <w:rFonts w:hint="default" w:ascii="Times New Roman" w:hAnsi="Times New Roman" w:eastAsia="宋体" w:cs="Times New Roman"/>
                <w:color w:val="auto"/>
                <w:sz w:val="24"/>
              </w:rPr>
              <w:t>，建设项目的厂界噪声测点昼</w:t>
            </w:r>
            <w:r>
              <w:rPr>
                <w:rFonts w:hint="default" w:ascii="Times New Roman" w:hAnsi="Times New Roman" w:cs="Times New Roman"/>
                <w:color w:val="auto"/>
                <w:sz w:val="24"/>
                <w:lang w:eastAsia="zh-CN"/>
              </w:rPr>
              <w:t>、</w:t>
            </w:r>
            <w:r>
              <w:rPr>
                <w:rFonts w:hint="default" w:ascii="Times New Roman" w:hAnsi="Times New Roman" w:eastAsia="宋体" w:cs="Times New Roman"/>
                <w:color w:val="auto"/>
                <w:sz w:val="24"/>
              </w:rPr>
              <w:t>夜间</w:t>
            </w:r>
            <w:r>
              <w:rPr>
                <w:rFonts w:hint="default" w:ascii="Times New Roman" w:hAnsi="Times New Roman" w:eastAsia="宋体" w:cs="Times New Roman"/>
                <w:color w:val="auto"/>
                <w:sz w:val="24"/>
                <w:lang w:val="en-US" w:eastAsia="zh-CN"/>
              </w:rPr>
              <w:t>噪声</w:t>
            </w:r>
            <w:r>
              <w:rPr>
                <w:rFonts w:hint="default" w:ascii="Times New Roman" w:hAnsi="Times New Roman" w:eastAsia="宋体" w:cs="Times New Roman"/>
                <w:color w:val="auto"/>
                <w:sz w:val="24"/>
              </w:rPr>
              <w:t>均可达到《声环境质量标准》（GB3096-2008）中</w:t>
            </w:r>
            <w:r>
              <w:rPr>
                <w:rFonts w:hint="eastAsia"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rPr>
              <w:t>类标准限值的要求</w:t>
            </w:r>
            <w:r>
              <w:rPr>
                <w:rFonts w:hint="default" w:ascii="Times New Roman" w:hAnsi="Times New Roman" w:cs="Times New Roman"/>
                <w:color w:val="auto"/>
                <w:sz w:val="24"/>
                <w:lang w:eastAsia="zh-CN"/>
              </w:rPr>
              <w:t>，声环境保护目标</w:t>
            </w:r>
            <w:r>
              <w:rPr>
                <w:rFonts w:hint="eastAsia" w:cs="Times New Roman"/>
                <w:color w:val="auto"/>
                <w:sz w:val="24"/>
                <w:lang w:eastAsia="zh-CN"/>
              </w:rPr>
              <w:t>潘集区妇幼保健所和泰府名邸</w:t>
            </w:r>
            <w:r>
              <w:rPr>
                <w:rFonts w:hint="default" w:ascii="Times New Roman" w:hAnsi="Times New Roman" w:eastAsia="宋体" w:cs="Times New Roman"/>
                <w:color w:val="auto"/>
                <w:sz w:val="24"/>
              </w:rPr>
              <w:t>昼</w:t>
            </w:r>
            <w:r>
              <w:rPr>
                <w:rFonts w:hint="default" w:ascii="Times New Roman" w:hAnsi="Times New Roman" w:cs="Times New Roman"/>
                <w:color w:val="auto"/>
                <w:sz w:val="24"/>
                <w:lang w:eastAsia="zh-CN"/>
              </w:rPr>
              <w:t>、</w:t>
            </w:r>
            <w:r>
              <w:rPr>
                <w:rFonts w:hint="default" w:ascii="Times New Roman" w:hAnsi="Times New Roman" w:eastAsia="宋体" w:cs="Times New Roman"/>
                <w:color w:val="auto"/>
                <w:sz w:val="24"/>
              </w:rPr>
              <w:t>夜间</w:t>
            </w:r>
            <w:r>
              <w:rPr>
                <w:rFonts w:hint="default" w:ascii="Times New Roman" w:hAnsi="Times New Roman" w:eastAsia="宋体" w:cs="Times New Roman"/>
                <w:color w:val="auto"/>
                <w:sz w:val="24"/>
                <w:lang w:val="en-US" w:eastAsia="zh-CN"/>
              </w:rPr>
              <w:t>噪声</w:t>
            </w:r>
            <w:r>
              <w:rPr>
                <w:rFonts w:hint="default" w:ascii="Times New Roman" w:hAnsi="Times New Roman" w:eastAsia="宋体" w:cs="Times New Roman"/>
                <w:color w:val="auto"/>
                <w:sz w:val="24"/>
              </w:rPr>
              <w:t>均可达到《声环境质量标准》（GB3096-2008）中</w:t>
            </w:r>
            <w:r>
              <w:rPr>
                <w:rFonts w:hint="default" w:ascii="Times New Roman" w:hAnsi="Times New Roman" w:cs="Times New Roman"/>
                <w:color w:val="auto"/>
                <w:sz w:val="24"/>
                <w:lang w:val="en-US" w:eastAsia="zh-CN"/>
              </w:rPr>
              <w:t>2</w:t>
            </w:r>
            <w:r>
              <w:rPr>
                <w:rFonts w:hint="default" w:ascii="Times New Roman" w:hAnsi="Times New Roman" w:eastAsia="宋体" w:cs="Times New Roman"/>
                <w:color w:val="auto"/>
                <w:sz w:val="24"/>
              </w:rPr>
              <w:t>类标准限值的要求。因此，项目所在地周围声环境质量现状良好。</w:t>
            </w:r>
          </w:p>
          <w:p w14:paraId="45F898D8">
            <w:pPr>
              <w:tabs>
                <w:tab w:val="left" w:pos="452"/>
              </w:tabs>
              <w:adjustRightInd w:val="0"/>
              <w:snapToGrid w:val="0"/>
              <w:spacing w:line="360" w:lineRule="auto"/>
              <w:ind w:firstLine="482" w:firstLineChars="200"/>
              <w:rPr>
                <w:rFonts w:hint="default" w:ascii="Times New Roman" w:hAnsi="Times New Roman" w:cs="Times New Roman"/>
                <w:b/>
                <w:color w:val="auto"/>
                <w:sz w:val="24"/>
              </w:rPr>
            </w:pPr>
            <w:r>
              <w:rPr>
                <w:rFonts w:hint="default" w:ascii="Times New Roman" w:hAnsi="Times New Roman" w:cs="Times New Roman"/>
                <w:b/>
                <w:color w:val="auto"/>
                <w:sz w:val="24"/>
                <w:lang w:val="en-US" w:eastAsia="zh-CN"/>
              </w:rPr>
              <w:t>四</w:t>
            </w:r>
            <w:r>
              <w:rPr>
                <w:rFonts w:hint="default" w:ascii="Times New Roman" w:hAnsi="Times New Roman" w:cs="Times New Roman"/>
                <w:b/>
                <w:color w:val="auto"/>
                <w:sz w:val="24"/>
                <w:lang w:eastAsia="zh-CN"/>
              </w:rPr>
              <w:t>、</w:t>
            </w:r>
            <w:r>
              <w:rPr>
                <w:rFonts w:hint="default" w:ascii="Times New Roman" w:hAnsi="Times New Roman" w:cs="Times New Roman"/>
                <w:b/>
                <w:color w:val="auto"/>
                <w:sz w:val="24"/>
              </w:rPr>
              <w:t>生态环境</w:t>
            </w:r>
          </w:p>
          <w:p w14:paraId="7870081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s="Times New Roman"/>
                <w:color w:val="auto"/>
                <w:sz w:val="24"/>
                <w:lang w:val="en-US" w:eastAsia="zh-CN"/>
              </w:rPr>
            </w:pPr>
            <w:r>
              <w:rPr>
                <w:rFonts w:hint="default" w:ascii="Times New Roman" w:hAnsi="Times New Roman" w:cs="Times New Roman"/>
                <w:color w:val="auto"/>
                <w:sz w:val="24"/>
              </w:rPr>
              <w:t>本项目位于</w:t>
            </w:r>
            <w:r>
              <w:rPr>
                <w:rFonts w:hint="eastAsia" w:cs="Times New Roman"/>
                <w:color w:val="auto"/>
                <w:sz w:val="24"/>
                <w:szCs w:val="24"/>
                <w:lang w:val="en-US" w:eastAsia="zh-CN"/>
              </w:rPr>
              <w:t>安徽省淮南市潘集区珠江路北侧、武夷山路西侧</w:t>
            </w:r>
            <w:r>
              <w:rPr>
                <w:rFonts w:hint="default" w:ascii="Times New Roman" w:hAnsi="Times New Roman" w:cs="Times New Roman"/>
                <w:color w:val="auto"/>
                <w:sz w:val="24"/>
                <w:lang w:val="en-US" w:eastAsia="zh-CN"/>
              </w:rPr>
              <w:t>，项目</w:t>
            </w:r>
            <w:r>
              <w:rPr>
                <w:rFonts w:hint="eastAsia" w:cs="Times New Roman"/>
                <w:color w:val="auto"/>
                <w:sz w:val="24"/>
                <w:lang w:val="en-US" w:eastAsia="zh-CN"/>
              </w:rPr>
              <w:t>用地</w:t>
            </w:r>
            <w:r>
              <w:rPr>
                <w:rFonts w:hint="default" w:ascii="Times New Roman" w:hAnsi="Times New Roman" w:cs="Times New Roman"/>
                <w:color w:val="auto"/>
                <w:sz w:val="24"/>
                <w:lang w:val="en-US" w:eastAsia="zh-CN"/>
              </w:rPr>
              <w:t>为现状</w:t>
            </w:r>
            <w:r>
              <w:rPr>
                <w:rFonts w:hint="eastAsia" w:cs="Times New Roman"/>
                <w:color w:val="auto"/>
                <w:sz w:val="24"/>
                <w:lang w:val="en-US" w:eastAsia="zh-CN"/>
              </w:rPr>
              <w:t>医卫慈善用地，用地范围内</w:t>
            </w:r>
            <w:r>
              <w:rPr>
                <w:rFonts w:hint="default" w:ascii="Times New Roman" w:hAnsi="Times New Roman" w:cs="Times New Roman"/>
                <w:color w:val="auto"/>
                <w:sz w:val="24"/>
                <w:lang w:val="en-US" w:eastAsia="zh-CN"/>
              </w:rPr>
              <w:t>不涉及</w:t>
            </w:r>
            <w:r>
              <w:rPr>
                <w:rFonts w:hint="default" w:ascii="Times New Roman" w:hAnsi="Times New Roman" w:cs="Times New Roman"/>
                <w:color w:val="auto"/>
                <w:sz w:val="24"/>
                <w:szCs w:val="24"/>
              </w:rPr>
              <w:t>生态环境保护目标</w:t>
            </w:r>
            <w:r>
              <w:rPr>
                <w:rFonts w:hint="eastAsia" w:cs="Times New Roman"/>
                <w:color w:val="auto"/>
                <w:sz w:val="24"/>
                <w:lang w:val="en-US" w:eastAsia="zh-CN"/>
              </w:rPr>
              <w:t>。</w:t>
            </w:r>
          </w:p>
          <w:p w14:paraId="25195146">
            <w:pPr>
              <w:keepNext w:val="0"/>
              <w:keepLines w:val="0"/>
              <w:pageBreakBefore w:val="0"/>
              <w:widowControl w:val="0"/>
              <w:bidi w:val="0"/>
              <w:spacing w:beforeAutospacing="0" w:afterAutospacing="0" w:line="360" w:lineRule="auto"/>
              <w:ind w:left="0" w:leftChars="0" w:right="0" w:rightChars="0" w:firstLine="482" w:firstLineChars="200"/>
              <w:rPr>
                <w:rFonts w:cs="Calibri"/>
                <w:b/>
                <w:bCs/>
                <w:color w:val="auto"/>
                <w:sz w:val="24"/>
              </w:rPr>
            </w:pPr>
            <w:r>
              <w:rPr>
                <w:rFonts w:hint="eastAsia" w:cs="Calibri"/>
                <w:b/>
                <w:bCs/>
                <w:color w:val="auto"/>
                <w:sz w:val="24"/>
                <w:lang w:eastAsia="zh-CN"/>
              </w:rPr>
              <w:t>五</w:t>
            </w:r>
            <w:r>
              <w:rPr>
                <w:rFonts w:hint="eastAsia" w:cs="Calibri"/>
                <w:b/>
                <w:bCs/>
                <w:color w:val="auto"/>
                <w:sz w:val="24"/>
              </w:rPr>
              <w:t>、电磁辐射</w:t>
            </w:r>
          </w:p>
          <w:p w14:paraId="2B7EA141">
            <w:pPr>
              <w:keepNext w:val="0"/>
              <w:keepLines w:val="0"/>
              <w:pageBreakBefore w:val="0"/>
              <w:widowControl w:val="0"/>
              <w:bidi w:val="0"/>
              <w:spacing w:beforeAutospacing="0" w:afterAutospacing="0" w:line="360" w:lineRule="auto"/>
              <w:ind w:left="0" w:leftChars="0" w:right="0" w:rightChars="0" w:firstLine="480" w:firstLineChars="200"/>
              <w:rPr>
                <w:rFonts w:hint="eastAsia" w:cs="Times New Roman"/>
                <w:b/>
                <w:bCs/>
                <w:color w:val="auto"/>
                <w:sz w:val="24"/>
                <w:lang w:val="en-US" w:eastAsia="zh-CN"/>
              </w:rPr>
            </w:pPr>
            <w:r>
              <w:rPr>
                <w:rFonts w:hint="eastAsia" w:cs="Calibri"/>
                <w:color w:val="auto"/>
                <w:sz w:val="24"/>
              </w:rPr>
              <w:t>无电磁辐射影响</w:t>
            </w:r>
            <w:r>
              <w:rPr>
                <w:rFonts w:hint="default" w:ascii="Times New Roman" w:hAnsi="Times New Roman" w:eastAsia="宋体" w:cs="Times New Roman"/>
                <w:color w:val="auto"/>
                <w:sz w:val="24"/>
                <w:lang w:val="en-US" w:eastAsia="zh-CN"/>
              </w:rPr>
              <w:t>。</w:t>
            </w:r>
          </w:p>
          <w:p w14:paraId="74C1BC54">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left="0" w:leftChars="0" w:right="0" w:rightChars="0" w:firstLine="482" w:firstLineChars="200"/>
              <w:textAlignment w:val="auto"/>
              <w:rPr>
                <w:rFonts w:hint="default" w:ascii="Times New Roman" w:hAnsi="Times New Roman" w:eastAsia="宋体" w:cs="Times New Roman"/>
                <w:b/>
                <w:bCs/>
                <w:color w:val="auto"/>
                <w:sz w:val="24"/>
                <w:lang w:val="en-US" w:eastAsia="zh-CN"/>
              </w:rPr>
            </w:pPr>
            <w:r>
              <w:rPr>
                <w:rFonts w:hint="eastAsia" w:cs="Times New Roman"/>
                <w:b/>
                <w:bCs/>
                <w:color w:val="auto"/>
                <w:sz w:val="24"/>
                <w:lang w:val="en-US" w:eastAsia="zh-CN"/>
              </w:rPr>
              <w:t>六</w:t>
            </w:r>
            <w:r>
              <w:rPr>
                <w:rFonts w:hint="default" w:ascii="Times New Roman" w:hAnsi="Times New Roman" w:eastAsia="宋体" w:cs="Times New Roman"/>
                <w:b/>
                <w:bCs/>
                <w:color w:val="auto"/>
                <w:sz w:val="24"/>
                <w:lang w:val="en-US" w:eastAsia="zh-CN"/>
              </w:rPr>
              <w:t>、地下水</w:t>
            </w:r>
            <w:r>
              <w:rPr>
                <w:rFonts w:hint="eastAsia" w:cs="Times New Roman"/>
                <w:b/>
                <w:bCs/>
                <w:color w:val="auto"/>
                <w:sz w:val="24"/>
                <w:lang w:val="en-US" w:eastAsia="zh-CN"/>
              </w:rPr>
              <w:t>、土壤</w:t>
            </w:r>
            <w:r>
              <w:rPr>
                <w:rFonts w:hint="default" w:ascii="Times New Roman" w:hAnsi="Times New Roman" w:eastAsia="宋体" w:cs="Times New Roman"/>
                <w:b/>
                <w:bCs/>
                <w:color w:val="auto"/>
                <w:sz w:val="24"/>
                <w:lang w:val="en-US" w:eastAsia="zh-CN"/>
              </w:rPr>
              <w:t>环境</w:t>
            </w:r>
          </w:p>
          <w:p w14:paraId="4814BF2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kern w:val="0"/>
                <w:szCs w:val="21"/>
              </w:rPr>
            </w:pPr>
            <w:r>
              <w:rPr>
                <w:rFonts w:hint="default" w:ascii="Times New Roman" w:hAnsi="Times New Roman" w:eastAsia="宋体" w:cs="Times New Roman"/>
                <w:b w:val="0"/>
                <w:bCs w:val="0"/>
                <w:color w:val="auto"/>
                <w:sz w:val="24"/>
                <w:szCs w:val="24"/>
                <w:lang w:val="en-US" w:eastAsia="zh-CN"/>
              </w:rPr>
              <w:t>根据</w:t>
            </w:r>
            <w:r>
              <w:rPr>
                <w:rFonts w:hint="eastAsia"/>
                <w:sz w:val="24"/>
                <w:szCs w:val="24"/>
                <w:lang w:eastAsia="zh-CN"/>
              </w:rPr>
              <w:t>《</w:t>
            </w:r>
            <w:r>
              <w:rPr>
                <w:rFonts w:hint="default" w:ascii="Times New Roman" w:hAnsi="Times New Roman" w:eastAsia="宋体" w:cs="Times New Roman"/>
                <w:b w:val="0"/>
                <w:bCs w:val="0"/>
                <w:color w:val="auto"/>
                <w:sz w:val="24"/>
                <w:szCs w:val="24"/>
                <w:lang w:val="en-US" w:eastAsia="zh-CN"/>
              </w:rPr>
              <w:t>建设项目环境影响报告表编制技术指南（污染影响类）（试行）</w:t>
            </w:r>
            <w:r>
              <w:rPr>
                <w:rFonts w:hint="eastAsia"/>
                <w:sz w:val="24"/>
                <w:szCs w:val="24"/>
                <w:lang w:eastAsia="zh-CN"/>
              </w:rPr>
              <w:t>》</w:t>
            </w:r>
            <w:r>
              <w:rPr>
                <w:rFonts w:hint="default" w:ascii="Times New Roman" w:hAnsi="Times New Roman" w:eastAsia="宋体" w:cs="Times New Roman"/>
                <w:b w:val="0"/>
                <w:bCs w:val="0"/>
                <w:color w:val="auto"/>
                <w:sz w:val="24"/>
                <w:szCs w:val="24"/>
                <w:lang w:val="en-US" w:eastAsia="zh-CN"/>
              </w:rPr>
              <w:t>，本项目</w:t>
            </w:r>
            <w:r>
              <w:rPr>
                <w:rFonts w:hint="eastAsia" w:cs="Times New Roman"/>
                <w:b w:val="0"/>
                <w:bCs w:val="0"/>
                <w:color w:val="auto"/>
                <w:sz w:val="24"/>
                <w:szCs w:val="24"/>
                <w:lang w:val="en-US" w:eastAsia="zh-CN"/>
              </w:rPr>
              <w:t>采取防腐防渗等措施可有效避免对</w:t>
            </w:r>
            <w:r>
              <w:rPr>
                <w:rFonts w:hint="default" w:ascii="Times New Roman" w:hAnsi="Times New Roman" w:eastAsia="宋体" w:cs="Times New Roman"/>
                <w:b w:val="0"/>
                <w:bCs w:val="0"/>
                <w:color w:val="auto"/>
                <w:sz w:val="24"/>
                <w:szCs w:val="24"/>
                <w:lang w:val="en-US" w:eastAsia="zh-CN"/>
              </w:rPr>
              <w:t>土壤、地下水环境</w:t>
            </w:r>
            <w:r>
              <w:rPr>
                <w:rFonts w:hint="eastAsia" w:cs="Times New Roman"/>
                <w:b w:val="0"/>
                <w:bCs w:val="0"/>
                <w:color w:val="auto"/>
                <w:sz w:val="24"/>
                <w:szCs w:val="24"/>
                <w:lang w:val="en-US" w:eastAsia="zh-CN"/>
              </w:rPr>
              <w:t>造成</w:t>
            </w:r>
            <w:r>
              <w:rPr>
                <w:rFonts w:hint="default" w:ascii="Times New Roman" w:hAnsi="Times New Roman" w:eastAsia="宋体" w:cs="Times New Roman"/>
                <w:b w:val="0"/>
                <w:bCs w:val="0"/>
                <w:color w:val="auto"/>
                <w:sz w:val="24"/>
                <w:szCs w:val="24"/>
                <w:lang w:val="en-US" w:eastAsia="zh-CN"/>
              </w:rPr>
              <w:t>污染，</w:t>
            </w:r>
            <w:r>
              <w:rPr>
                <w:rFonts w:hint="eastAsia" w:cs="Times New Roman"/>
                <w:b w:val="0"/>
                <w:bCs w:val="0"/>
                <w:color w:val="auto"/>
                <w:sz w:val="24"/>
                <w:szCs w:val="24"/>
                <w:lang w:val="en-US" w:eastAsia="zh-CN"/>
              </w:rPr>
              <w:t>基本</w:t>
            </w:r>
            <w:r>
              <w:rPr>
                <w:rFonts w:hint="eastAsia" w:eastAsia="宋体" w:cs="Times New Roman"/>
                <w:b w:val="0"/>
                <w:bCs w:val="0"/>
                <w:color w:val="auto"/>
                <w:sz w:val="24"/>
                <w:szCs w:val="24"/>
                <w:lang w:val="en-US" w:eastAsia="zh-CN"/>
              </w:rPr>
              <w:t>不存在</w:t>
            </w:r>
            <w:r>
              <w:rPr>
                <w:rFonts w:hint="default" w:ascii="Times New Roman" w:hAnsi="Times New Roman" w:eastAsia="宋体" w:cs="Times New Roman"/>
                <w:b w:val="0"/>
                <w:bCs w:val="0"/>
                <w:color w:val="auto"/>
                <w:sz w:val="24"/>
                <w:szCs w:val="24"/>
                <w:lang w:val="en-US" w:eastAsia="zh-CN"/>
              </w:rPr>
              <w:t>土壤、地下水环境污染途径</w:t>
            </w:r>
            <w:r>
              <w:rPr>
                <w:rFonts w:hint="eastAsia" w:cs="Times New Roman"/>
                <w:b w:val="0"/>
                <w:bCs w:val="0"/>
                <w:color w:val="auto"/>
                <w:sz w:val="24"/>
                <w:szCs w:val="24"/>
                <w:lang w:val="en-US" w:eastAsia="zh-CN"/>
              </w:rPr>
              <w:t>，故</w:t>
            </w:r>
            <w:r>
              <w:rPr>
                <w:rFonts w:hint="default" w:ascii="Times New Roman" w:hAnsi="Times New Roman" w:eastAsia="宋体" w:cs="Times New Roman"/>
                <w:b w:val="0"/>
                <w:bCs w:val="0"/>
                <w:color w:val="auto"/>
                <w:sz w:val="24"/>
                <w:szCs w:val="24"/>
                <w:lang w:val="en-US" w:eastAsia="zh-CN"/>
              </w:rPr>
              <w:t>不</w:t>
            </w:r>
            <w:r>
              <w:rPr>
                <w:rFonts w:hint="eastAsia" w:cs="Times New Roman"/>
                <w:b w:val="0"/>
                <w:bCs w:val="0"/>
                <w:color w:val="auto"/>
                <w:sz w:val="24"/>
                <w:szCs w:val="24"/>
                <w:lang w:val="en-US" w:eastAsia="zh-CN"/>
              </w:rPr>
              <w:t>对</w:t>
            </w:r>
            <w:r>
              <w:rPr>
                <w:rFonts w:hint="default" w:ascii="Times New Roman" w:hAnsi="Times New Roman" w:eastAsia="宋体" w:cs="Times New Roman"/>
                <w:b w:val="0"/>
                <w:bCs w:val="0"/>
                <w:color w:val="auto"/>
                <w:sz w:val="24"/>
                <w:szCs w:val="24"/>
                <w:lang w:val="en-US" w:eastAsia="zh-CN"/>
              </w:rPr>
              <w:t>地下水、土壤环境质量</w:t>
            </w:r>
            <w:r>
              <w:rPr>
                <w:rFonts w:hint="eastAsia" w:cs="Times New Roman"/>
                <w:b w:val="0"/>
                <w:bCs w:val="0"/>
                <w:color w:val="auto"/>
                <w:sz w:val="24"/>
                <w:szCs w:val="24"/>
                <w:lang w:val="en-US" w:eastAsia="zh-CN"/>
              </w:rPr>
              <w:t>进行</w:t>
            </w:r>
            <w:r>
              <w:rPr>
                <w:rFonts w:hint="default" w:ascii="Times New Roman" w:hAnsi="Times New Roman" w:eastAsia="宋体" w:cs="Times New Roman"/>
                <w:b w:val="0"/>
                <w:bCs w:val="0"/>
                <w:color w:val="auto"/>
                <w:sz w:val="24"/>
                <w:szCs w:val="24"/>
                <w:lang w:val="en-US" w:eastAsia="zh-CN"/>
              </w:rPr>
              <w:t>现</w:t>
            </w:r>
            <w:r>
              <w:rPr>
                <w:rFonts w:hint="default" w:ascii="Times New Roman" w:hAnsi="Times New Roman" w:eastAsia="宋体" w:cs="Times New Roman"/>
                <w:b w:val="0"/>
                <w:bCs w:val="0"/>
                <w:color w:val="auto"/>
                <w:sz w:val="24"/>
                <w:lang w:val="en-US" w:eastAsia="zh-CN"/>
              </w:rPr>
              <w:t>状监测</w:t>
            </w:r>
            <w:r>
              <w:rPr>
                <w:rFonts w:hint="eastAsia" w:cs="Times New Roman"/>
                <w:b w:val="0"/>
                <w:bCs w:val="0"/>
                <w:color w:val="auto"/>
                <w:sz w:val="24"/>
                <w:lang w:val="en-US" w:eastAsia="zh-CN"/>
              </w:rPr>
              <w:t>。</w:t>
            </w:r>
          </w:p>
        </w:tc>
      </w:tr>
      <w:tr w14:paraId="7ADC5A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285" w:type="pct"/>
            <w:noWrap w:val="0"/>
            <w:vAlign w:val="center"/>
          </w:tcPr>
          <w:p w14:paraId="75FCF2F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bCs/>
                <w:color w:val="auto"/>
                <w:kern w:val="0"/>
                <w:sz w:val="24"/>
                <w:szCs w:val="24"/>
              </w:rPr>
            </w:pPr>
            <w:r>
              <w:rPr>
                <w:rFonts w:hint="default" w:ascii="Times New Roman" w:hAnsi="Times New Roman" w:cs="Times New Roman"/>
                <w:b/>
                <w:bCs/>
                <w:color w:val="auto"/>
                <w:kern w:val="0"/>
                <w:sz w:val="24"/>
                <w:szCs w:val="24"/>
              </w:rPr>
              <w:t>环境</w:t>
            </w:r>
          </w:p>
          <w:p w14:paraId="11385EF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bCs/>
                <w:color w:val="auto"/>
                <w:kern w:val="0"/>
                <w:sz w:val="24"/>
                <w:szCs w:val="24"/>
              </w:rPr>
            </w:pPr>
            <w:r>
              <w:rPr>
                <w:rFonts w:hint="default" w:ascii="Times New Roman" w:hAnsi="Times New Roman" w:cs="Times New Roman"/>
                <w:b/>
                <w:bCs/>
                <w:color w:val="auto"/>
                <w:kern w:val="0"/>
                <w:sz w:val="24"/>
                <w:szCs w:val="24"/>
              </w:rPr>
              <w:t>保护</w:t>
            </w:r>
          </w:p>
          <w:p w14:paraId="6B82E98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FF0000"/>
                <w:kern w:val="0"/>
                <w:szCs w:val="21"/>
              </w:rPr>
            </w:pPr>
            <w:r>
              <w:rPr>
                <w:rFonts w:hint="default" w:ascii="Times New Roman" w:hAnsi="Times New Roman" w:cs="Times New Roman"/>
                <w:b/>
                <w:bCs/>
                <w:color w:val="auto"/>
                <w:kern w:val="0"/>
                <w:sz w:val="24"/>
                <w:szCs w:val="24"/>
              </w:rPr>
              <w:t>目标</w:t>
            </w:r>
          </w:p>
        </w:tc>
        <w:tc>
          <w:tcPr>
            <w:tcW w:w="4714" w:type="pct"/>
            <w:noWrap w:val="0"/>
            <w:vAlign w:val="center"/>
          </w:tcPr>
          <w:p w14:paraId="4D08CE41">
            <w:pPr>
              <w:adjustRightInd w:val="0"/>
              <w:snapToGrid w:val="0"/>
              <w:spacing w:line="360" w:lineRule="auto"/>
              <w:ind w:firstLine="482" w:firstLineChars="200"/>
              <w:rPr>
                <w:rFonts w:hint="default" w:ascii="Times New Roman" w:hAnsi="Times New Roman" w:cs="Times New Roman"/>
                <w:b/>
                <w:bCs/>
                <w:iCs/>
                <w:color w:val="auto"/>
                <w:sz w:val="24"/>
              </w:rPr>
            </w:pPr>
            <w:r>
              <w:rPr>
                <w:rFonts w:hint="default" w:ascii="Times New Roman" w:hAnsi="Times New Roman" w:cs="Times New Roman"/>
                <w:b/>
                <w:bCs/>
                <w:iCs/>
                <w:color w:val="auto"/>
                <w:sz w:val="24"/>
              </w:rPr>
              <w:t>1、大气环境保护目标</w:t>
            </w:r>
          </w:p>
          <w:p w14:paraId="01731B9C">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jc w:val="both"/>
              <w:textAlignment w:val="auto"/>
              <w:rPr>
                <w:rFonts w:hint="default" w:ascii="Times New Roman" w:hAnsi="Times New Roman" w:cs="Times New Roman"/>
                <w:b/>
                <w:bCs/>
                <w:color w:val="auto"/>
                <w:kern w:val="0"/>
                <w:sz w:val="24"/>
                <w:szCs w:val="24"/>
              </w:rPr>
            </w:pPr>
            <w:r>
              <w:rPr>
                <w:rFonts w:hint="default" w:ascii="Times New Roman" w:hAnsi="Times New Roman" w:cs="Times New Roman"/>
                <w:color w:val="auto"/>
                <w:kern w:val="0"/>
                <w:sz w:val="24"/>
                <w:szCs w:val="24"/>
              </w:rPr>
              <w:t>本项目位于</w:t>
            </w:r>
            <w:r>
              <w:rPr>
                <w:rFonts w:hint="eastAsia" w:cs="Times New Roman"/>
                <w:color w:val="auto"/>
                <w:sz w:val="24"/>
                <w:lang w:eastAsia="zh-CN"/>
              </w:rPr>
              <w:t>安徽省淮南市潘集区珠江路北侧、武夷山路西侧</w:t>
            </w:r>
            <w:r>
              <w:rPr>
                <w:rFonts w:hint="default" w:ascii="Times New Roman" w:hAnsi="Times New Roman" w:cs="Times New Roman"/>
                <w:color w:val="auto"/>
                <w:kern w:val="0"/>
                <w:sz w:val="24"/>
                <w:szCs w:val="24"/>
              </w:rPr>
              <w:t>，</w:t>
            </w:r>
            <w:r>
              <w:rPr>
                <w:rFonts w:hint="eastAsia" w:ascii="Times New Roman" w:hAnsi="Times New Roman" w:cs="Times New Roman"/>
                <w:color w:val="auto"/>
                <w:kern w:val="0"/>
                <w:sz w:val="24"/>
                <w:szCs w:val="24"/>
                <w:lang w:eastAsia="zh-CN"/>
              </w:rPr>
              <w:t>周边</w:t>
            </w:r>
            <w:r>
              <w:rPr>
                <w:rFonts w:hint="default" w:ascii="Times New Roman" w:hAnsi="Times New Roman" w:cs="Times New Roman"/>
                <w:color w:val="auto"/>
                <w:kern w:val="0"/>
                <w:sz w:val="24"/>
                <w:szCs w:val="24"/>
              </w:rPr>
              <w:t>无自然保护区、风景名胜区、文化区等保护目标，本项目</w:t>
            </w:r>
            <w:r>
              <w:rPr>
                <w:rFonts w:hint="eastAsia" w:cs="Times New Roman"/>
                <w:color w:val="auto"/>
                <w:kern w:val="0"/>
                <w:sz w:val="24"/>
                <w:szCs w:val="24"/>
                <w:lang w:eastAsia="zh-CN"/>
              </w:rPr>
              <w:t>主要大气</w:t>
            </w:r>
            <w:r>
              <w:rPr>
                <w:rFonts w:hint="default" w:ascii="Times New Roman" w:hAnsi="Times New Roman" w:cs="Times New Roman"/>
                <w:color w:val="auto"/>
                <w:kern w:val="0"/>
                <w:sz w:val="24"/>
                <w:szCs w:val="24"/>
              </w:rPr>
              <w:t>环境保护目标详见下表：</w:t>
            </w:r>
          </w:p>
          <w:p w14:paraId="2AD00668">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cs="Times New Roman"/>
                <w:b/>
                <w:bCs/>
                <w:color w:val="auto"/>
                <w:kern w:val="0"/>
                <w:sz w:val="24"/>
                <w:szCs w:val="24"/>
              </w:rPr>
            </w:pPr>
            <w:r>
              <w:rPr>
                <w:rFonts w:hint="default" w:ascii="Times New Roman" w:hAnsi="Times New Roman" w:cs="Times New Roman"/>
                <w:b/>
                <w:bCs/>
                <w:color w:val="auto"/>
                <w:kern w:val="0"/>
                <w:sz w:val="24"/>
                <w:szCs w:val="24"/>
              </w:rPr>
              <w:t>表3-</w:t>
            </w:r>
            <w:r>
              <w:rPr>
                <w:rFonts w:hint="eastAsia" w:cs="Times New Roman"/>
                <w:b/>
                <w:bCs/>
                <w:color w:val="auto"/>
                <w:kern w:val="0"/>
                <w:sz w:val="24"/>
                <w:szCs w:val="24"/>
                <w:lang w:val="en-US" w:eastAsia="zh-CN"/>
              </w:rPr>
              <w:t>2</w:t>
            </w:r>
            <w:r>
              <w:rPr>
                <w:rFonts w:hint="default" w:ascii="Times New Roman" w:hAnsi="Times New Roman" w:cs="Times New Roman"/>
                <w:b/>
                <w:bCs/>
                <w:color w:val="auto"/>
                <w:kern w:val="0"/>
                <w:sz w:val="24"/>
                <w:szCs w:val="24"/>
              </w:rPr>
              <w:t xml:space="preserve">  项目周边主要大气环境保护目标一览表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1"/>
              <w:gridCol w:w="1119"/>
              <w:gridCol w:w="660"/>
              <w:gridCol w:w="690"/>
              <w:gridCol w:w="870"/>
              <w:gridCol w:w="1215"/>
              <w:gridCol w:w="1484"/>
              <w:gridCol w:w="816"/>
              <w:gridCol w:w="1039"/>
            </w:tblGrid>
            <w:tr w14:paraId="7CAE51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0" w:hRule="atLeast"/>
                <w:jc w:val="center"/>
              </w:trPr>
              <w:tc>
                <w:tcPr>
                  <w:tcW w:w="641" w:type="dxa"/>
                  <w:vMerge w:val="restart"/>
                  <w:noWrap w:val="0"/>
                  <w:vAlign w:val="center"/>
                </w:tcPr>
                <w:p w14:paraId="749DA08D">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环境要素</w:t>
                  </w:r>
                </w:p>
              </w:tc>
              <w:tc>
                <w:tcPr>
                  <w:tcW w:w="1119" w:type="dxa"/>
                  <w:vMerge w:val="restart"/>
                  <w:noWrap w:val="0"/>
                  <w:vAlign w:val="center"/>
                </w:tcPr>
                <w:p w14:paraId="6F8B8918">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敏感点</w:t>
                  </w:r>
                </w:p>
                <w:p w14:paraId="7597260C">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名称</w:t>
                  </w:r>
                </w:p>
              </w:tc>
              <w:tc>
                <w:tcPr>
                  <w:tcW w:w="1350" w:type="dxa"/>
                  <w:gridSpan w:val="2"/>
                  <w:noWrap w:val="0"/>
                  <w:vAlign w:val="center"/>
                </w:tcPr>
                <w:p w14:paraId="2BA0A670">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坐标/m</w:t>
                  </w:r>
                </w:p>
              </w:tc>
              <w:tc>
                <w:tcPr>
                  <w:tcW w:w="870" w:type="dxa"/>
                  <w:vMerge w:val="restart"/>
                  <w:noWrap w:val="0"/>
                  <w:vAlign w:val="center"/>
                </w:tcPr>
                <w:p w14:paraId="7A4C95E6">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保护</w:t>
                  </w:r>
                </w:p>
                <w:p w14:paraId="78A6622D">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对象</w:t>
                  </w:r>
                </w:p>
              </w:tc>
              <w:tc>
                <w:tcPr>
                  <w:tcW w:w="1215" w:type="dxa"/>
                  <w:vMerge w:val="restart"/>
                  <w:noWrap w:val="0"/>
                  <w:vAlign w:val="center"/>
                </w:tcPr>
                <w:p w14:paraId="2BFD4D54">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保护内容</w:t>
                  </w:r>
                </w:p>
              </w:tc>
              <w:tc>
                <w:tcPr>
                  <w:tcW w:w="1484" w:type="dxa"/>
                  <w:vMerge w:val="restart"/>
                  <w:noWrap w:val="0"/>
                  <w:vAlign w:val="center"/>
                </w:tcPr>
                <w:p w14:paraId="540EB16A">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环境功能</w:t>
                  </w:r>
                </w:p>
              </w:tc>
              <w:tc>
                <w:tcPr>
                  <w:tcW w:w="816" w:type="dxa"/>
                  <w:vMerge w:val="restart"/>
                  <w:noWrap w:val="0"/>
                  <w:vAlign w:val="center"/>
                </w:tcPr>
                <w:p w14:paraId="4006F05F">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相对厂址方位</w:t>
                  </w:r>
                </w:p>
              </w:tc>
              <w:tc>
                <w:tcPr>
                  <w:tcW w:w="1039" w:type="dxa"/>
                  <w:vMerge w:val="restart"/>
                  <w:noWrap w:val="0"/>
                  <w:vAlign w:val="center"/>
                </w:tcPr>
                <w:p w14:paraId="5F6069AA">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相对厂界距离/m</w:t>
                  </w:r>
                </w:p>
              </w:tc>
            </w:tr>
            <w:tr w14:paraId="549774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41" w:type="dxa"/>
                  <w:vMerge w:val="continue"/>
                  <w:noWrap w:val="0"/>
                  <w:vAlign w:val="center"/>
                </w:tcPr>
                <w:p w14:paraId="04B59D3C">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FF0000"/>
                      <w:sz w:val="21"/>
                      <w:szCs w:val="21"/>
                      <w:highlight w:val="none"/>
                    </w:rPr>
                  </w:pPr>
                </w:p>
              </w:tc>
              <w:tc>
                <w:tcPr>
                  <w:tcW w:w="1119" w:type="dxa"/>
                  <w:vMerge w:val="continue"/>
                  <w:noWrap w:val="0"/>
                  <w:vAlign w:val="center"/>
                </w:tcPr>
                <w:p w14:paraId="6720B2BC">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FF0000"/>
                      <w:sz w:val="21"/>
                      <w:szCs w:val="21"/>
                      <w:highlight w:val="none"/>
                    </w:rPr>
                  </w:pPr>
                </w:p>
              </w:tc>
              <w:tc>
                <w:tcPr>
                  <w:tcW w:w="660" w:type="dxa"/>
                  <w:noWrap w:val="0"/>
                  <w:vAlign w:val="center"/>
                </w:tcPr>
                <w:p w14:paraId="2963F4CA">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X</w:t>
                  </w:r>
                </w:p>
              </w:tc>
              <w:tc>
                <w:tcPr>
                  <w:tcW w:w="690" w:type="dxa"/>
                  <w:noWrap w:val="0"/>
                  <w:vAlign w:val="center"/>
                </w:tcPr>
                <w:p w14:paraId="7F7AE368">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Y</w:t>
                  </w:r>
                </w:p>
              </w:tc>
              <w:tc>
                <w:tcPr>
                  <w:tcW w:w="870" w:type="dxa"/>
                  <w:vMerge w:val="continue"/>
                  <w:noWrap w:val="0"/>
                  <w:vAlign w:val="center"/>
                </w:tcPr>
                <w:p w14:paraId="66D1EDA7">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1215" w:type="dxa"/>
                  <w:vMerge w:val="continue"/>
                  <w:noWrap w:val="0"/>
                  <w:vAlign w:val="center"/>
                </w:tcPr>
                <w:p w14:paraId="7572900A">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1484" w:type="dxa"/>
                  <w:vMerge w:val="continue"/>
                  <w:noWrap w:val="0"/>
                  <w:vAlign w:val="center"/>
                </w:tcPr>
                <w:p w14:paraId="5A2AAC92">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816" w:type="dxa"/>
                  <w:vMerge w:val="continue"/>
                  <w:noWrap w:val="0"/>
                  <w:vAlign w:val="center"/>
                </w:tcPr>
                <w:p w14:paraId="391C9455">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1039" w:type="dxa"/>
                  <w:vMerge w:val="continue"/>
                  <w:noWrap w:val="0"/>
                  <w:vAlign w:val="center"/>
                </w:tcPr>
                <w:p w14:paraId="0124BC77">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r>
            <w:tr w14:paraId="3387B9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41" w:type="dxa"/>
                  <w:vMerge w:val="restart"/>
                  <w:noWrap w:val="0"/>
                  <w:vAlign w:val="center"/>
                </w:tcPr>
                <w:p w14:paraId="29E762CB">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FF0000"/>
                      <w:sz w:val="21"/>
                      <w:szCs w:val="21"/>
                      <w:highlight w:val="none"/>
                    </w:rPr>
                  </w:pPr>
                  <w:r>
                    <w:rPr>
                      <w:rFonts w:hint="default" w:ascii="Times New Roman" w:hAnsi="Times New Roman" w:eastAsia="宋体" w:cs="Times New Roman"/>
                      <w:b w:val="0"/>
                      <w:bCs w:val="0"/>
                      <w:color w:val="auto"/>
                      <w:sz w:val="21"/>
                      <w:szCs w:val="21"/>
                      <w:highlight w:val="none"/>
                    </w:rPr>
                    <w:t>大气环境</w:t>
                  </w:r>
                </w:p>
              </w:tc>
              <w:tc>
                <w:tcPr>
                  <w:tcW w:w="1119" w:type="dxa"/>
                  <w:noWrap w:val="0"/>
                  <w:vAlign w:val="center"/>
                </w:tcPr>
                <w:p w14:paraId="6FC952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color w:val="auto"/>
                      <w:sz w:val="21"/>
                      <w:szCs w:val="21"/>
                      <w:lang w:val="en-US" w:eastAsia="zh-CN"/>
                    </w:rPr>
                    <w:t>潘集区妇幼保健所</w:t>
                  </w:r>
                </w:p>
              </w:tc>
              <w:tc>
                <w:tcPr>
                  <w:tcW w:w="660" w:type="dxa"/>
                  <w:noWrap w:val="0"/>
                  <w:vAlign w:val="center"/>
                </w:tcPr>
                <w:p w14:paraId="4E35E0AC">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0</w:t>
                  </w:r>
                </w:p>
              </w:tc>
              <w:tc>
                <w:tcPr>
                  <w:tcW w:w="690" w:type="dxa"/>
                  <w:noWrap w:val="0"/>
                  <w:vAlign w:val="center"/>
                </w:tcPr>
                <w:p w14:paraId="4F08E9E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117</w:t>
                  </w:r>
                </w:p>
              </w:tc>
              <w:tc>
                <w:tcPr>
                  <w:tcW w:w="870" w:type="dxa"/>
                  <w:noWrap w:val="0"/>
                  <w:vAlign w:val="center"/>
                </w:tcPr>
                <w:p w14:paraId="31993F9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jc w:val="center"/>
                    <w:textAlignment w:val="auto"/>
                    <w:outlineLvl w:val="9"/>
                    <w:rPr>
                      <w:rFonts w:hint="default" w:ascii="Times New Roman" w:hAnsi="Times New Roman" w:eastAsia="宋体" w:cs="Times New Roman"/>
                      <w:b w:val="0"/>
                      <w:bCs w:val="0"/>
                      <w:color w:val="auto"/>
                      <w:sz w:val="21"/>
                      <w:szCs w:val="21"/>
                      <w:highlight w:val="none"/>
                      <w:lang w:eastAsia="zh-CN"/>
                    </w:rPr>
                  </w:pPr>
                  <w:r>
                    <w:rPr>
                      <w:rFonts w:hint="eastAsia" w:cs="Times New Roman"/>
                      <w:b w:val="0"/>
                      <w:bCs w:val="0"/>
                      <w:color w:val="auto"/>
                      <w:sz w:val="21"/>
                      <w:szCs w:val="21"/>
                      <w:lang w:val="en-US" w:eastAsia="zh-CN"/>
                    </w:rPr>
                    <w:t>妇幼保健机构</w:t>
                  </w:r>
                </w:p>
              </w:tc>
              <w:tc>
                <w:tcPr>
                  <w:tcW w:w="1215" w:type="dxa"/>
                  <w:noWrap w:val="0"/>
                  <w:vAlign w:val="center"/>
                </w:tcPr>
                <w:p w14:paraId="70EE10B2">
                  <w:pPr>
                    <w:pStyle w:val="95"/>
                    <w:bidi w:val="0"/>
                    <w:ind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olor w:val="auto"/>
                      <w:highlight w:val="none"/>
                      <w:lang w:val="en-US" w:eastAsia="zh-CN"/>
                    </w:rPr>
                    <w:t>约142人</w:t>
                  </w:r>
                </w:p>
              </w:tc>
              <w:tc>
                <w:tcPr>
                  <w:tcW w:w="1484" w:type="dxa"/>
                  <w:vMerge w:val="restart"/>
                  <w:noWrap w:val="0"/>
                  <w:vAlign w:val="center"/>
                </w:tcPr>
                <w:p w14:paraId="015B3B3C">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《环境空气质量标准》（GB3095-20</w:t>
                  </w:r>
                  <w:r>
                    <w:rPr>
                      <w:rFonts w:hint="eastAsia" w:cs="Times New Roman"/>
                      <w:b w:val="0"/>
                      <w:bCs w:val="0"/>
                      <w:color w:val="auto"/>
                      <w:sz w:val="21"/>
                      <w:szCs w:val="21"/>
                      <w:highlight w:val="none"/>
                      <w:lang w:val="en-US" w:eastAsia="zh-CN"/>
                    </w:rPr>
                    <w:t>26</w:t>
                  </w:r>
                  <w:r>
                    <w:rPr>
                      <w:rFonts w:hint="default" w:ascii="Times New Roman" w:hAnsi="Times New Roman" w:eastAsia="宋体" w:cs="Times New Roman"/>
                      <w:b w:val="0"/>
                      <w:bCs w:val="0"/>
                      <w:color w:val="auto"/>
                      <w:sz w:val="21"/>
                      <w:szCs w:val="21"/>
                      <w:highlight w:val="none"/>
                    </w:rPr>
                    <w:t>）二级标准</w:t>
                  </w:r>
                </w:p>
              </w:tc>
              <w:tc>
                <w:tcPr>
                  <w:tcW w:w="816" w:type="dxa"/>
                  <w:noWrap w:val="0"/>
                  <w:vAlign w:val="center"/>
                </w:tcPr>
                <w:p w14:paraId="6ADF6681">
                  <w:pPr>
                    <w:pStyle w:val="95"/>
                    <w:bidi w:val="0"/>
                    <w:ind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olor w:val="auto"/>
                      <w:highlight w:val="none"/>
                      <w:lang w:val="en-US" w:eastAsia="zh-CN"/>
                    </w:rPr>
                    <w:t>N</w:t>
                  </w:r>
                </w:p>
              </w:tc>
              <w:tc>
                <w:tcPr>
                  <w:tcW w:w="1039" w:type="dxa"/>
                  <w:noWrap w:val="0"/>
                  <w:vAlign w:val="center"/>
                </w:tcPr>
                <w:p w14:paraId="5A44E004">
                  <w:pPr>
                    <w:pStyle w:val="95"/>
                    <w:bidi w:val="0"/>
                    <w:ind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olor w:val="auto"/>
                      <w:highlight w:val="none"/>
                      <w:lang w:val="en-US" w:eastAsia="zh-CN"/>
                    </w:rPr>
                    <w:t>10</w:t>
                  </w:r>
                  <w:r>
                    <w:rPr>
                      <w:rFonts w:hint="eastAsia" w:ascii="Times New Roman" w:hAnsi="Times New Roman" w:eastAsia="宋体"/>
                      <w:color w:val="auto"/>
                      <w:highlight w:val="none"/>
                      <w:lang w:val="en-US" w:eastAsia="zh-CN"/>
                    </w:rPr>
                    <w:t>m</w:t>
                  </w:r>
                </w:p>
              </w:tc>
            </w:tr>
            <w:tr w14:paraId="5C03C8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41" w:type="dxa"/>
                  <w:vMerge w:val="continue"/>
                  <w:noWrap w:val="0"/>
                  <w:vAlign w:val="center"/>
                </w:tcPr>
                <w:p w14:paraId="1512E138">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1119" w:type="dxa"/>
                  <w:noWrap w:val="0"/>
                  <w:vAlign w:val="center"/>
                </w:tcPr>
                <w:p w14:paraId="5286A9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color w:val="auto"/>
                      <w:sz w:val="21"/>
                      <w:szCs w:val="21"/>
                      <w:lang w:val="en-US" w:eastAsia="zh-CN"/>
                    </w:rPr>
                    <w:t>泰府名邸</w:t>
                  </w:r>
                </w:p>
              </w:tc>
              <w:tc>
                <w:tcPr>
                  <w:tcW w:w="660" w:type="dxa"/>
                  <w:noWrap w:val="0"/>
                  <w:vAlign w:val="center"/>
                </w:tcPr>
                <w:p w14:paraId="06C21855">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leftChars="0" w:right="0" w:rightChars="0" w:firstLine="0" w:firstLineChars="0"/>
                    <w:jc w:val="center"/>
                    <w:textAlignment w:val="center"/>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112</w:t>
                  </w:r>
                </w:p>
              </w:tc>
              <w:tc>
                <w:tcPr>
                  <w:tcW w:w="690" w:type="dxa"/>
                  <w:noWrap w:val="0"/>
                  <w:vAlign w:val="center"/>
                </w:tcPr>
                <w:p w14:paraId="2CA3D1B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0</w:t>
                  </w:r>
                </w:p>
              </w:tc>
              <w:tc>
                <w:tcPr>
                  <w:tcW w:w="870" w:type="dxa"/>
                  <w:noWrap w:val="0"/>
                  <w:vAlign w:val="center"/>
                </w:tcPr>
                <w:p w14:paraId="3869844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jc w:val="center"/>
                    <w:textAlignment w:val="auto"/>
                    <w:outlineLvl w:val="9"/>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居民</w:t>
                  </w:r>
                </w:p>
              </w:tc>
              <w:tc>
                <w:tcPr>
                  <w:tcW w:w="1215" w:type="dxa"/>
                  <w:noWrap w:val="0"/>
                  <w:vAlign w:val="center"/>
                </w:tcPr>
                <w:p w14:paraId="1F5ED282">
                  <w:pPr>
                    <w:pStyle w:val="95"/>
                    <w:bidi w:val="0"/>
                    <w:ind w:firstLine="0" w:firstLineChars="0"/>
                    <w:jc w:val="center"/>
                    <w:rPr>
                      <w:rFonts w:hint="default" w:ascii="Times New Roman" w:hAnsi="Times New Roman" w:cs="Times New Roman"/>
                      <w:b w:val="0"/>
                      <w:bCs w:val="0"/>
                      <w:color w:val="auto"/>
                      <w:kern w:val="2"/>
                      <w:sz w:val="21"/>
                      <w:szCs w:val="21"/>
                      <w:highlight w:val="none"/>
                      <w:lang w:val="en-US" w:eastAsia="zh-CN" w:bidi="zh-CN"/>
                    </w:rPr>
                  </w:pPr>
                  <w:r>
                    <w:rPr>
                      <w:rFonts w:hint="eastAsia"/>
                      <w:color w:val="auto"/>
                      <w:highlight w:val="none"/>
                      <w:lang w:val="en-US" w:eastAsia="zh-CN"/>
                    </w:rPr>
                    <w:t>约3642人</w:t>
                  </w:r>
                </w:p>
              </w:tc>
              <w:tc>
                <w:tcPr>
                  <w:tcW w:w="1484" w:type="dxa"/>
                  <w:vMerge w:val="continue"/>
                  <w:noWrap w:val="0"/>
                  <w:vAlign w:val="center"/>
                </w:tcPr>
                <w:p w14:paraId="0D0402B9">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816" w:type="dxa"/>
                  <w:noWrap w:val="0"/>
                  <w:vAlign w:val="center"/>
                </w:tcPr>
                <w:p w14:paraId="450D2E33">
                  <w:pPr>
                    <w:pStyle w:val="95"/>
                    <w:bidi w:val="0"/>
                    <w:ind w:firstLine="0" w:firstLineChars="0"/>
                    <w:jc w:val="center"/>
                    <w:rPr>
                      <w:rFonts w:hint="eastAsia" w:ascii="Times New Roman" w:hAnsi="Times New Roman" w:cs="Times New Roman"/>
                      <w:b w:val="0"/>
                      <w:bCs w:val="0"/>
                      <w:color w:val="auto"/>
                      <w:kern w:val="2"/>
                      <w:sz w:val="21"/>
                      <w:szCs w:val="21"/>
                      <w:highlight w:val="none"/>
                      <w:lang w:val="en-US" w:eastAsia="zh-CN" w:bidi="ar-SA"/>
                    </w:rPr>
                  </w:pPr>
                  <w:r>
                    <w:rPr>
                      <w:rFonts w:hint="eastAsia"/>
                      <w:color w:val="auto"/>
                      <w:highlight w:val="none"/>
                      <w:lang w:val="en-US" w:eastAsia="zh-CN"/>
                    </w:rPr>
                    <w:t>E</w:t>
                  </w:r>
                </w:p>
              </w:tc>
              <w:tc>
                <w:tcPr>
                  <w:tcW w:w="1039" w:type="dxa"/>
                  <w:noWrap w:val="0"/>
                  <w:vAlign w:val="center"/>
                </w:tcPr>
                <w:p w14:paraId="2174506E">
                  <w:pPr>
                    <w:pStyle w:val="95"/>
                    <w:bidi w:val="0"/>
                    <w:ind w:firstLine="0" w:firstLineChars="0"/>
                    <w:jc w:val="center"/>
                    <w:rPr>
                      <w:rFonts w:hint="default" w:cs="Times New Roman"/>
                      <w:b w:val="0"/>
                      <w:bCs w:val="0"/>
                      <w:color w:val="auto"/>
                      <w:kern w:val="2"/>
                      <w:sz w:val="21"/>
                      <w:szCs w:val="21"/>
                      <w:highlight w:val="none"/>
                      <w:lang w:val="en-US" w:eastAsia="zh-CN" w:bidi="ar-SA"/>
                    </w:rPr>
                  </w:pPr>
                  <w:r>
                    <w:rPr>
                      <w:rFonts w:hint="eastAsia"/>
                      <w:color w:val="auto"/>
                      <w:highlight w:val="none"/>
                      <w:lang w:val="en-US" w:eastAsia="zh-CN"/>
                    </w:rPr>
                    <w:t>21m</w:t>
                  </w:r>
                </w:p>
              </w:tc>
            </w:tr>
            <w:tr w14:paraId="52D7BF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41" w:type="dxa"/>
                  <w:vMerge w:val="continue"/>
                  <w:noWrap w:val="0"/>
                  <w:vAlign w:val="center"/>
                </w:tcPr>
                <w:p w14:paraId="0F2D9D80">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1119" w:type="dxa"/>
                  <w:noWrap w:val="0"/>
                  <w:vAlign w:val="center"/>
                </w:tcPr>
                <w:p w14:paraId="1205402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eastAsia" w:cs="Times New Roman"/>
                      <w:b w:val="0"/>
                      <w:bCs w:val="0"/>
                      <w:color w:val="auto"/>
                      <w:kern w:val="2"/>
                      <w:sz w:val="21"/>
                      <w:szCs w:val="21"/>
                      <w:highlight w:val="none"/>
                      <w:lang w:val="en-US" w:eastAsia="zh-CN" w:bidi="ar-SA"/>
                    </w:rPr>
                  </w:pPr>
                  <w:r>
                    <w:rPr>
                      <w:rFonts w:hint="eastAsia"/>
                      <w:color w:val="000000" w:themeColor="text1"/>
                      <w:szCs w:val="21"/>
                      <w:lang w:eastAsia="zh-CN"/>
                      <w14:textFill>
                        <w14:solidFill>
                          <w14:schemeClr w14:val="tx1"/>
                        </w14:solidFill>
                      </w14:textFill>
                    </w:rPr>
                    <w:t>绿城珠江丽景</w:t>
                  </w:r>
                </w:p>
              </w:tc>
              <w:tc>
                <w:tcPr>
                  <w:tcW w:w="660" w:type="dxa"/>
                  <w:noWrap w:val="0"/>
                  <w:vAlign w:val="center"/>
                </w:tcPr>
                <w:p w14:paraId="1FDE4205">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leftChars="0" w:right="0" w:rightChars="0" w:firstLine="0" w:firstLineChars="0"/>
                    <w:jc w:val="center"/>
                    <w:textAlignment w:val="center"/>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-64</w:t>
                  </w:r>
                </w:p>
              </w:tc>
              <w:tc>
                <w:tcPr>
                  <w:tcW w:w="690" w:type="dxa"/>
                  <w:noWrap w:val="0"/>
                  <w:vAlign w:val="center"/>
                </w:tcPr>
                <w:p w14:paraId="7F45D3C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-233</w:t>
                  </w:r>
                </w:p>
              </w:tc>
              <w:tc>
                <w:tcPr>
                  <w:tcW w:w="870" w:type="dxa"/>
                  <w:noWrap w:val="0"/>
                  <w:vAlign w:val="center"/>
                </w:tcPr>
                <w:p w14:paraId="120070E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jc w:val="center"/>
                    <w:textAlignment w:val="auto"/>
                    <w:outlineLvl w:val="9"/>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居民</w:t>
                  </w:r>
                </w:p>
              </w:tc>
              <w:tc>
                <w:tcPr>
                  <w:tcW w:w="1215" w:type="dxa"/>
                  <w:noWrap w:val="0"/>
                  <w:vAlign w:val="center"/>
                </w:tcPr>
                <w:p w14:paraId="2E610205">
                  <w:pPr>
                    <w:pStyle w:val="122"/>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leftChars="0" w:right="0" w:rightChars="0" w:firstLine="0" w:firstLineChars="0"/>
                    <w:jc w:val="center"/>
                    <w:rPr>
                      <w:rFonts w:hint="default" w:ascii="Times New Roman" w:hAnsi="Times New Roman" w:cs="Times New Roman"/>
                      <w:b w:val="0"/>
                      <w:bCs w:val="0"/>
                      <w:color w:val="auto"/>
                      <w:kern w:val="2"/>
                      <w:sz w:val="21"/>
                      <w:szCs w:val="21"/>
                      <w:highlight w:val="none"/>
                      <w:lang w:val="en-US" w:eastAsia="zh-CN" w:bidi="zh-CN"/>
                    </w:rPr>
                  </w:pPr>
                  <w:r>
                    <w:rPr>
                      <w:rFonts w:hint="default" w:ascii="Times New Roman" w:hAnsi="Times New Roman" w:cs="Times New Roman"/>
                      <w:b w:val="0"/>
                      <w:bCs w:val="0"/>
                      <w:color w:val="auto"/>
                      <w:kern w:val="2"/>
                      <w:sz w:val="21"/>
                      <w:szCs w:val="21"/>
                      <w:highlight w:val="none"/>
                      <w:lang w:val="en-US" w:eastAsia="zh-CN" w:bidi="zh-CN"/>
                    </w:rPr>
                    <w:t>约</w:t>
                  </w:r>
                  <w:r>
                    <w:rPr>
                      <w:rFonts w:hint="eastAsia" w:ascii="Times New Roman" w:hAnsi="Times New Roman" w:cs="Times New Roman"/>
                      <w:b w:val="0"/>
                      <w:bCs w:val="0"/>
                      <w:color w:val="auto"/>
                      <w:kern w:val="2"/>
                      <w:sz w:val="21"/>
                      <w:szCs w:val="21"/>
                      <w:highlight w:val="none"/>
                      <w:lang w:val="en-US" w:eastAsia="zh-CN" w:bidi="zh-CN"/>
                    </w:rPr>
                    <w:t>1578</w:t>
                  </w:r>
                  <w:r>
                    <w:rPr>
                      <w:rFonts w:hint="default" w:ascii="Times New Roman" w:hAnsi="Times New Roman" w:cs="Times New Roman"/>
                      <w:b w:val="0"/>
                      <w:bCs w:val="0"/>
                      <w:color w:val="auto"/>
                      <w:kern w:val="2"/>
                      <w:sz w:val="21"/>
                      <w:szCs w:val="21"/>
                      <w:highlight w:val="none"/>
                      <w:lang w:val="en-US" w:eastAsia="zh-CN" w:bidi="zh-CN"/>
                    </w:rPr>
                    <w:t>人</w:t>
                  </w:r>
                </w:p>
              </w:tc>
              <w:tc>
                <w:tcPr>
                  <w:tcW w:w="1484" w:type="dxa"/>
                  <w:vMerge w:val="continue"/>
                  <w:noWrap w:val="0"/>
                  <w:vAlign w:val="center"/>
                </w:tcPr>
                <w:p w14:paraId="44C8F243">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816" w:type="dxa"/>
                  <w:noWrap w:val="0"/>
                  <w:vAlign w:val="center"/>
                </w:tcPr>
                <w:p w14:paraId="4D69AAC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default"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S</w:t>
                  </w:r>
                </w:p>
              </w:tc>
              <w:tc>
                <w:tcPr>
                  <w:tcW w:w="1039" w:type="dxa"/>
                  <w:noWrap w:val="0"/>
                  <w:vAlign w:val="center"/>
                </w:tcPr>
                <w:p w14:paraId="25CFB087">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leftChars="0" w:right="0" w:rightChars="0" w:firstLine="0" w:firstLineChars="0"/>
                    <w:jc w:val="center"/>
                    <w:textAlignment w:val="center"/>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73m</w:t>
                  </w:r>
                </w:p>
              </w:tc>
            </w:tr>
            <w:tr w14:paraId="455D0F3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41" w:type="dxa"/>
                  <w:vMerge w:val="continue"/>
                  <w:noWrap w:val="0"/>
                  <w:vAlign w:val="center"/>
                </w:tcPr>
                <w:p w14:paraId="67843320">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1119" w:type="dxa"/>
                  <w:noWrap w:val="0"/>
                  <w:vAlign w:val="center"/>
                </w:tcPr>
                <w:p w14:paraId="2EB54CC7">
                  <w:pPr>
                    <w:pStyle w:val="95"/>
                    <w:bidi w:val="0"/>
                    <w:ind w:firstLine="0" w:firstLineChars="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淮南市直机关幼儿园</w:t>
                  </w:r>
                </w:p>
              </w:tc>
              <w:tc>
                <w:tcPr>
                  <w:tcW w:w="660" w:type="dxa"/>
                  <w:noWrap w:val="0"/>
                  <w:vAlign w:val="center"/>
                </w:tcPr>
                <w:p w14:paraId="53473252">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31</w:t>
                  </w:r>
                </w:p>
              </w:tc>
              <w:tc>
                <w:tcPr>
                  <w:tcW w:w="690" w:type="dxa"/>
                  <w:noWrap w:val="0"/>
                  <w:vAlign w:val="center"/>
                </w:tcPr>
                <w:p w14:paraId="5C17E17D">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-275</w:t>
                  </w:r>
                </w:p>
              </w:tc>
              <w:tc>
                <w:tcPr>
                  <w:tcW w:w="870" w:type="dxa"/>
                  <w:noWrap w:val="0"/>
                  <w:vAlign w:val="center"/>
                </w:tcPr>
                <w:p w14:paraId="23F4F16E">
                  <w:pPr>
                    <w:pStyle w:val="95"/>
                    <w:bidi w:val="0"/>
                    <w:ind w:firstLine="0" w:firstLineChars="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学校</w:t>
                  </w:r>
                </w:p>
              </w:tc>
              <w:tc>
                <w:tcPr>
                  <w:tcW w:w="1215" w:type="dxa"/>
                  <w:noWrap w:val="0"/>
                  <w:vAlign w:val="center"/>
                </w:tcPr>
                <w:p w14:paraId="43AC6E9E">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约251人</w:t>
                  </w:r>
                </w:p>
              </w:tc>
              <w:tc>
                <w:tcPr>
                  <w:tcW w:w="1484" w:type="dxa"/>
                  <w:vMerge w:val="continue"/>
                  <w:noWrap w:val="0"/>
                  <w:vAlign w:val="center"/>
                </w:tcPr>
                <w:p w14:paraId="5B182FA0">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816" w:type="dxa"/>
                  <w:noWrap w:val="0"/>
                  <w:vAlign w:val="center"/>
                </w:tcPr>
                <w:p w14:paraId="198A8F2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default"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SE</w:t>
                  </w:r>
                </w:p>
              </w:tc>
              <w:tc>
                <w:tcPr>
                  <w:tcW w:w="1039" w:type="dxa"/>
                  <w:noWrap w:val="0"/>
                  <w:vAlign w:val="center"/>
                </w:tcPr>
                <w:p w14:paraId="23F7C34C">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leftChars="0" w:right="0" w:rightChars="0" w:firstLine="0" w:firstLineChars="0"/>
                    <w:jc w:val="center"/>
                    <w:textAlignment w:val="center"/>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84m</w:t>
                  </w:r>
                </w:p>
              </w:tc>
            </w:tr>
            <w:tr w14:paraId="55216D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41" w:type="dxa"/>
                  <w:vMerge w:val="continue"/>
                  <w:noWrap w:val="0"/>
                  <w:vAlign w:val="center"/>
                </w:tcPr>
                <w:p w14:paraId="30038B4E">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1119" w:type="dxa"/>
                  <w:noWrap w:val="0"/>
                  <w:vAlign w:val="center"/>
                </w:tcPr>
                <w:p w14:paraId="7825523C">
                  <w:pPr>
                    <w:pStyle w:val="95"/>
                    <w:bidi w:val="0"/>
                    <w:ind w:firstLine="0" w:firstLineChars="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淮南市潘集区第三小学</w:t>
                  </w:r>
                </w:p>
              </w:tc>
              <w:tc>
                <w:tcPr>
                  <w:tcW w:w="660" w:type="dxa"/>
                  <w:noWrap w:val="0"/>
                  <w:vAlign w:val="center"/>
                </w:tcPr>
                <w:p w14:paraId="349ED967">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22</w:t>
                  </w:r>
                </w:p>
              </w:tc>
              <w:tc>
                <w:tcPr>
                  <w:tcW w:w="690" w:type="dxa"/>
                  <w:noWrap w:val="0"/>
                  <w:vAlign w:val="center"/>
                </w:tcPr>
                <w:p w14:paraId="4A76C8FC">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-317</w:t>
                  </w:r>
                </w:p>
              </w:tc>
              <w:tc>
                <w:tcPr>
                  <w:tcW w:w="870" w:type="dxa"/>
                  <w:noWrap w:val="0"/>
                  <w:vAlign w:val="center"/>
                </w:tcPr>
                <w:p w14:paraId="3E2C5D11">
                  <w:pPr>
                    <w:pStyle w:val="95"/>
                    <w:bidi w:val="0"/>
                    <w:ind w:firstLine="0" w:firstLineChars="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学校</w:t>
                  </w:r>
                </w:p>
              </w:tc>
              <w:tc>
                <w:tcPr>
                  <w:tcW w:w="1215" w:type="dxa"/>
                  <w:noWrap w:val="0"/>
                  <w:vAlign w:val="center"/>
                </w:tcPr>
                <w:p w14:paraId="2A80CE89">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约588人</w:t>
                  </w:r>
                </w:p>
              </w:tc>
              <w:tc>
                <w:tcPr>
                  <w:tcW w:w="1484" w:type="dxa"/>
                  <w:vMerge w:val="continue"/>
                  <w:noWrap w:val="0"/>
                  <w:vAlign w:val="center"/>
                </w:tcPr>
                <w:p w14:paraId="7C4C1BF0">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816" w:type="dxa"/>
                  <w:noWrap w:val="0"/>
                  <w:vAlign w:val="center"/>
                </w:tcPr>
                <w:p w14:paraId="46C4453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default"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SE</w:t>
                  </w:r>
                </w:p>
              </w:tc>
              <w:tc>
                <w:tcPr>
                  <w:tcW w:w="1039" w:type="dxa"/>
                  <w:noWrap w:val="0"/>
                  <w:vAlign w:val="center"/>
                </w:tcPr>
                <w:p w14:paraId="6252E658">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leftChars="0" w:right="0" w:rightChars="0" w:firstLine="0" w:firstLineChars="0"/>
                    <w:jc w:val="center"/>
                    <w:textAlignment w:val="center"/>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123m</w:t>
                  </w:r>
                </w:p>
              </w:tc>
            </w:tr>
            <w:tr w14:paraId="7C5CEC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41" w:type="dxa"/>
                  <w:vMerge w:val="continue"/>
                  <w:noWrap w:val="0"/>
                  <w:vAlign w:val="center"/>
                </w:tcPr>
                <w:p w14:paraId="5840CEF0">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1119" w:type="dxa"/>
                  <w:noWrap w:val="0"/>
                  <w:vAlign w:val="center"/>
                </w:tcPr>
                <w:p w14:paraId="64CE827C">
                  <w:pPr>
                    <w:pStyle w:val="95"/>
                    <w:bidi w:val="0"/>
                    <w:ind w:firstLine="0" w:firstLineChars="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潘集区第一小学东校区</w:t>
                  </w:r>
                </w:p>
              </w:tc>
              <w:tc>
                <w:tcPr>
                  <w:tcW w:w="660" w:type="dxa"/>
                  <w:noWrap w:val="0"/>
                  <w:vAlign w:val="center"/>
                </w:tcPr>
                <w:p w14:paraId="4FFAAD81">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171</w:t>
                  </w:r>
                </w:p>
              </w:tc>
              <w:tc>
                <w:tcPr>
                  <w:tcW w:w="690" w:type="dxa"/>
                  <w:noWrap w:val="0"/>
                  <w:vAlign w:val="center"/>
                </w:tcPr>
                <w:p w14:paraId="11853974">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-334</w:t>
                  </w:r>
                </w:p>
              </w:tc>
              <w:tc>
                <w:tcPr>
                  <w:tcW w:w="870" w:type="dxa"/>
                  <w:noWrap w:val="0"/>
                  <w:vAlign w:val="center"/>
                </w:tcPr>
                <w:p w14:paraId="3FCCF5D5">
                  <w:pPr>
                    <w:pStyle w:val="95"/>
                    <w:bidi w:val="0"/>
                    <w:ind w:firstLine="0" w:firstLineChars="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学校</w:t>
                  </w:r>
                </w:p>
              </w:tc>
              <w:tc>
                <w:tcPr>
                  <w:tcW w:w="1215" w:type="dxa"/>
                  <w:noWrap w:val="0"/>
                  <w:vAlign w:val="center"/>
                </w:tcPr>
                <w:p w14:paraId="09AEE910">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约353人</w:t>
                  </w:r>
                </w:p>
              </w:tc>
              <w:tc>
                <w:tcPr>
                  <w:tcW w:w="1484" w:type="dxa"/>
                  <w:vMerge w:val="continue"/>
                  <w:noWrap w:val="0"/>
                  <w:vAlign w:val="center"/>
                </w:tcPr>
                <w:p w14:paraId="41CB5B29">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816" w:type="dxa"/>
                  <w:noWrap w:val="0"/>
                  <w:vAlign w:val="center"/>
                </w:tcPr>
                <w:p w14:paraId="0E925CB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eastAsia"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SE</w:t>
                  </w:r>
                </w:p>
              </w:tc>
              <w:tc>
                <w:tcPr>
                  <w:tcW w:w="1039" w:type="dxa"/>
                  <w:noWrap w:val="0"/>
                  <w:vAlign w:val="center"/>
                </w:tcPr>
                <w:p w14:paraId="79C56378">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leftChars="0" w:right="0" w:rightChars="0" w:firstLine="0" w:firstLineChars="0"/>
                    <w:jc w:val="center"/>
                    <w:textAlignment w:val="center"/>
                    <w:rPr>
                      <w:rFonts w:hint="eastAsia"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265m</w:t>
                  </w:r>
                </w:p>
              </w:tc>
            </w:tr>
            <w:tr w14:paraId="31BAA2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41" w:type="dxa"/>
                  <w:vMerge w:val="continue"/>
                  <w:noWrap w:val="0"/>
                  <w:vAlign w:val="center"/>
                </w:tcPr>
                <w:p w14:paraId="2B084361">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1119" w:type="dxa"/>
                  <w:noWrap w:val="0"/>
                  <w:vAlign w:val="center"/>
                </w:tcPr>
                <w:p w14:paraId="6A7A2D56">
                  <w:pPr>
                    <w:pStyle w:val="95"/>
                    <w:bidi w:val="0"/>
                    <w:ind w:firstLine="0" w:firstLineChars="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嘉和名城</w:t>
                  </w:r>
                </w:p>
              </w:tc>
              <w:tc>
                <w:tcPr>
                  <w:tcW w:w="660" w:type="dxa"/>
                  <w:noWrap w:val="0"/>
                  <w:vAlign w:val="center"/>
                </w:tcPr>
                <w:p w14:paraId="0A51265D">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321</w:t>
                  </w:r>
                </w:p>
              </w:tc>
              <w:tc>
                <w:tcPr>
                  <w:tcW w:w="690" w:type="dxa"/>
                  <w:noWrap w:val="0"/>
                  <w:vAlign w:val="center"/>
                </w:tcPr>
                <w:p w14:paraId="24F1F7F8">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-31</w:t>
                  </w:r>
                </w:p>
              </w:tc>
              <w:tc>
                <w:tcPr>
                  <w:tcW w:w="870" w:type="dxa"/>
                  <w:noWrap w:val="0"/>
                  <w:vAlign w:val="center"/>
                </w:tcPr>
                <w:p w14:paraId="5FC40F0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b w:val="0"/>
                      <w:bCs w:val="0"/>
                      <w:color w:val="auto"/>
                      <w:sz w:val="21"/>
                      <w:szCs w:val="21"/>
                      <w:lang w:val="en-US" w:eastAsia="zh-CN"/>
                    </w:rPr>
                    <w:t>居民</w:t>
                  </w:r>
                </w:p>
              </w:tc>
              <w:tc>
                <w:tcPr>
                  <w:tcW w:w="1215" w:type="dxa"/>
                  <w:noWrap w:val="0"/>
                  <w:vAlign w:val="center"/>
                </w:tcPr>
                <w:p w14:paraId="70A968BB">
                  <w:pPr>
                    <w:pStyle w:val="122"/>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b w:val="0"/>
                      <w:bCs w:val="0"/>
                      <w:color w:val="auto"/>
                      <w:kern w:val="2"/>
                      <w:sz w:val="21"/>
                      <w:szCs w:val="21"/>
                      <w:highlight w:val="none"/>
                      <w:lang w:val="en-US" w:eastAsia="zh-CN" w:bidi="zh-CN"/>
                    </w:rPr>
                    <w:t>约</w:t>
                  </w:r>
                  <w:r>
                    <w:rPr>
                      <w:rFonts w:hint="eastAsia" w:ascii="Times New Roman" w:hAnsi="Times New Roman" w:cs="Times New Roman"/>
                      <w:b w:val="0"/>
                      <w:bCs w:val="0"/>
                      <w:color w:val="auto"/>
                      <w:kern w:val="2"/>
                      <w:sz w:val="21"/>
                      <w:szCs w:val="21"/>
                      <w:highlight w:val="none"/>
                      <w:lang w:val="en-US" w:eastAsia="zh-CN" w:bidi="zh-CN"/>
                    </w:rPr>
                    <w:t>4278</w:t>
                  </w:r>
                  <w:r>
                    <w:rPr>
                      <w:rFonts w:hint="default" w:ascii="Times New Roman" w:hAnsi="Times New Roman" w:cs="Times New Roman"/>
                      <w:b w:val="0"/>
                      <w:bCs w:val="0"/>
                      <w:color w:val="auto"/>
                      <w:kern w:val="2"/>
                      <w:sz w:val="21"/>
                      <w:szCs w:val="21"/>
                      <w:highlight w:val="none"/>
                      <w:lang w:val="en-US" w:eastAsia="zh-CN" w:bidi="zh-CN"/>
                    </w:rPr>
                    <w:t>人</w:t>
                  </w:r>
                </w:p>
              </w:tc>
              <w:tc>
                <w:tcPr>
                  <w:tcW w:w="1484" w:type="dxa"/>
                  <w:vMerge w:val="continue"/>
                  <w:noWrap w:val="0"/>
                  <w:vAlign w:val="center"/>
                </w:tcPr>
                <w:p w14:paraId="562F63C5">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816" w:type="dxa"/>
                  <w:noWrap w:val="0"/>
                  <w:vAlign w:val="center"/>
                </w:tcPr>
                <w:p w14:paraId="534BD15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default"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E</w:t>
                  </w:r>
                </w:p>
              </w:tc>
              <w:tc>
                <w:tcPr>
                  <w:tcW w:w="1039" w:type="dxa"/>
                  <w:noWrap w:val="0"/>
                  <w:vAlign w:val="center"/>
                </w:tcPr>
                <w:p w14:paraId="5F41FF74">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leftChars="0" w:right="0" w:rightChars="0" w:firstLine="0" w:firstLineChars="0"/>
                    <w:jc w:val="center"/>
                    <w:textAlignment w:val="center"/>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214m</w:t>
                  </w:r>
                </w:p>
              </w:tc>
            </w:tr>
            <w:tr w14:paraId="725DF1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41" w:type="dxa"/>
                  <w:vMerge w:val="continue"/>
                  <w:noWrap w:val="0"/>
                  <w:vAlign w:val="center"/>
                </w:tcPr>
                <w:p w14:paraId="43978975">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1119" w:type="dxa"/>
                  <w:noWrap w:val="0"/>
                  <w:vAlign w:val="center"/>
                </w:tcPr>
                <w:p w14:paraId="272893DB">
                  <w:pPr>
                    <w:pStyle w:val="95"/>
                    <w:bidi w:val="0"/>
                    <w:ind w:firstLine="0" w:firstLineChars="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潘集区民政局婚姻登记处</w:t>
                  </w:r>
                </w:p>
              </w:tc>
              <w:tc>
                <w:tcPr>
                  <w:tcW w:w="660" w:type="dxa"/>
                  <w:noWrap w:val="0"/>
                  <w:vAlign w:val="center"/>
                </w:tcPr>
                <w:p w14:paraId="1D8DB502">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280</w:t>
                  </w:r>
                </w:p>
              </w:tc>
              <w:tc>
                <w:tcPr>
                  <w:tcW w:w="690" w:type="dxa"/>
                  <w:noWrap w:val="0"/>
                  <w:vAlign w:val="center"/>
                </w:tcPr>
                <w:p w14:paraId="1B40A2E0">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64</w:t>
                  </w:r>
                </w:p>
              </w:tc>
              <w:tc>
                <w:tcPr>
                  <w:tcW w:w="870" w:type="dxa"/>
                  <w:noWrap w:val="0"/>
                  <w:vAlign w:val="center"/>
                </w:tcPr>
                <w:p w14:paraId="25EC8A24">
                  <w:pPr>
                    <w:pStyle w:val="95"/>
                    <w:bidi w:val="0"/>
                    <w:ind w:firstLine="0" w:firstLineChars="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行政机关</w:t>
                  </w:r>
                </w:p>
              </w:tc>
              <w:tc>
                <w:tcPr>
                  <w:tcW w:w="1215" w:type="dxa"/>
                  <w:noWrap w:val="0"/>
                  <w:vAlign w:val="center"/>
                </w:tcPr>
                <w:p w14:paraId="0E9E70E7">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b w:val="0"/>
                      <w:bCs w:val="0"/>
                      <w:color w:val="auto"/>
                      <w:kern w:val="2"/>
                      <w:sz w:val="21"/>
                      <w:szCs w:val="21"/>
                      <w:highlight w:val="none"/>
                      <w:lang w:val="en-US" w:eastAsia="zh-CN" w:bidi="zh-CN"/>
                    </w:rPr>
                    <w:t>约</w:t>
                  </w:r>
                  <w:r>
                    <w:rPr>
                      <w:rFonts w:hint="eastAsia" w:ascii="Times New Roman" w:hAnsi="Times New Roman" w:cs="Times New Roman"/>
                      <w:b w:val="0"/>
                      <w:bCs w:val="0"/>
                      <w:color w:val="auto"/>
                      <w:kern w:val="2"/>
                      <w:sz w:val="21"/>
                      <w:szCs w:val="21"/>
                      <w:highlight w:val="none"/>
                      <w:lang w:val="en-US" w:eastAsia="zh-CN" w:bidi="zh-CN"/>
                    </w:rPr>
                    <w:t>121</w:t>
                  </w:r>
                  <w:r>
                    <w:rPr>
                      <w:rFonts w:hint="default" w:ascii="Times New Roman" w:hAnsi="Times New Roman" w:cs="Times New Roman"/>
                      <w:b w:val="0"/>
                      <w:bCs w:val="0"/>
                      <w:color w:val="auto"/>
                      <w:kern w:val="2"/>
                      <w:sz w:val="21"/>
                      <w:szCs w:val="21"/>
                      <w:highlight w:val="none"/>
                      <w:lang w:val="en-US" w:eastAsia="zh-CN" w:bidi="zh-CN"/>
                    </w:rPr>
                    <w:t>人</w:t>
                  </w:r>
                </w:p>
              </w:tc>
              <w:tc>
                <w:tcPr>
                  <w:tcW w:w="1484" w:type="dxa"/>
                  <w:vMerge w:val="continue"/>
                  <w:noWrap w:val="0"/>
                  <w:vAlign w:val="center"/>
                </w:tcPr>
                <w:p w14:paraId="4C36562D">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816" w:type="dxa"/>
                  <w:noWrap w:val="0"/>
                  <w:vAlign w:val="center"/>
                </w:tcPr>
                <w:p w14:paraId="424FCB1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default"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NE</w:t>
                  </w:r>
                </w:p>
              </w:tc>
              <w:tc>
                <w:tcPr>
                  <w:tcW w:w="1039" w:type="dxa"/>
                  <w:noWrap w:val="0"/>
                  <w:vAlign w:val="center"/>
                </w:tcPr>
                <w:p w14:paraId="2C2F4603">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leftChars="0" w:right="0" w:rightChars="0" w:firstLine="0" w:firstLineChars="0"/>
                    <w:jc w:val="center"/>
                    <w:textAlignment w:val="center"/>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184m</w:t>
                  </w:r>
                </w:p>
              </w:tc>
            </w:tr>
            <w:tr w14:paraId="311174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41" w:type="dxa"/>
                  <w:vMerge w:val="continue"/>
                  <w:noWrap w:val="0"/>
                  <w:vAlign w:val="center"/>
                </w:tcPr>
                <w:p w14:paraId="56588E45">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1119" w:type="dxa"/>
                  <w:noWrap w:val="0"/>
                  <w:vAlign w:val="center"/>
                </w:tcPr>
                <w:p w14:paraId="6A75D8CF">
                  <w:pPr>
                    <w:pStyle w:val="95"/>
                    <w:bidi w:val="0"/>
                    <w:ind w:firstLine="0" w:firstLineChars="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淮南市公安局潘集分局</w:t>
                  </w:r>
                </w:p>
              </w:tc>
              <w:tc>
                <w:tcPr>
                  <w:tcW w:w="660" w:type="dxa"/>
                  <w:noWrap w:val="0"/>
                  <w:vAlign w:val="center"/>
                </w:tcPr>
                <w:p w14:paraId="37932286">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182</w:t>
                  </w:r>
                </w:p>
              </w:tc>
              <w:tc>
                <w:tcPr>
                  <w:tcW w:w="690" w:type="dxa"/>
                  <w:noWrap w:val="0"/>
                  <w:vAlign w:val="center"/>
                </w:tcPr>
                <w:p w14:paraId="4E1A7CE6">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223</w:t>
                  </w:r>
                </w:p>
              </w:tc>
              <w:tc>
                <w:tcPr>
                  <w:tcW w:w="870" w:type="dxa"/>
                  <w:noWrap w:val="0"/>
                  <w:vAlign w:val="center"/>
                </w:tcPr>
                <w:p w14:paraId="43F797B3">
                  <w:pPr>
                    <w:pStyle w:val="95"/>
                    <w:bidi w:val="0"/>
                    <w:ind w:firstLine="0" w:firstLineChars="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行政机关</w:t>
                  </w:r>
                </w:p>
              </w:tc>
              <w:tc>
                <w:tcPr>
                  <w:tcW w:w="1215" w:type="dxa"/>
                  <w:noWrap w:val="0"/>
                  <w:vAlign w:val="center"/>
                </w:tcPr>
                <w:p w14:paraId="21578626">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b w:val="0"/>
                      <w:bCs w:val="0"/>
                      <w:color w:val="auto"/>
                      <w:kern w:val="2"/>
                      <w:sz w:val="21"/>
                      <w:szCs w:val="21"/>
                      <w:highlight w:val="none"/>
                      <w:lang w:val="en-US" w:eastAsia="zh-CN" w:bidi="zh-CN"/>
                    </w:rPr>
                    <w:t>约</w:t>
                  </w:r>
                  <w:r>
                    <w:rPr>
                      <w:rFonts w:hint="eastAsia" w:ascii="Times New Roman" w:hAnsi="Times New Roman" w:cs="Times New Roman"/>
                      <w:b w:val="0"/>
                      <w:bCs w:val="0"/>
                      <w:color w:val="auto"/>
                      <w:kern w:val="2"/>
                      <w:sz w:val="21"/>
                      <w:szCs w:val="21"/>
                      <w:highlight w:val="none"/>
                      <w:lang w:val="en-US" w:eastAsia="zh-CN" w:bidi="zh-CN"/>
                    </w:rPr>
                    <w:t>124</w:t>
                  </w:r>
                  <w:r>
                    <w:rPr>
                      <w:rFonts w:hint="default" w:ascii="Times New Roman" w:hAnsi="Times New Roman" w:cs="Times New Roman"/>
                      <w:b w:val="0"/>
                      <w:bCs w:val="0"/>
                      <w:color w:val="auto"/>
                      <w:kern w:val="2"/>
                      <w:sz w:val="21"/>
                      <w:szCs w:val="21"/>
                      <w:highlight w:val="none"/>
                      <w:lang w:val="en-US" w:eastAsia="zh-CN" w:bidi="zh-CN"/>
                    </w:rPr>
                    <w:t>人</w:t>
                  </w:r>
                </w:p>
              </w:tc>
              <w:tc>
                <w:tcPr>
                  <w:tcW w:w="1484" w:type="dxa"/>
                  <w:vMerge w:val="continue"/>
                  <w:noWrap w:val="0"/>
                  <w:vAlign w:val="center"/>
                </w:tcPr>
                <w:p w14:paraId="22A5A9AB">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816" w:type="dxa"/>
                  <w:noWrap w:val="0"/>
                  <w:vAlign w:val="center"/>
                </w:tcPr>
                <w:p w14:paraId="486D7FB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default"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NE</w:t>
                  </w:r>
                </w:p>
              </w:tc>
              <w:tc>
                <w:tcPr>
                  <w:tcW w:w="1039" w:type="dxa"/>
                  <w:noWrap w:val="0"/>
                  <w:vAlign w:val="center"/>
                </w:tcPr>
                <w:p w14:paraId="6877CA9C">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leftChars="0" w:right="0" w:rightChars="0" w:firstLine="0" w:firstLineChars="0"/>
                    <w:jc w:val="center"/>
                    <w:textAlignment w:val="center"/>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193m</w:t>
                  </w:r>
                </w:p>
              </w:tc>
            </w:tr>
            <w:tr w14:paraId="19C1DAC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41" w:type="dxa"/>
                  <w:vMerge w:val="continue"/>
                  <w:noWrap w:val="0"/>
                  <w:vAlign w:val="center"/>
                </w:tcPr>
                <w:p w14:paraId="2BD9518F">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1119" w:type="dxa"/>
                  <w:noWrap w:val="0"/>
                  <w:vAlign w:val="center"/>
                </w:tcPr>
                <w:p w14:paraId="72E3B0B5">
                  <w:pPr>
                    <w:pStyle w:val="95"/>
                    <w:bidi w:val="0"/>
                    <w:ind w:firstLine="0" w:firstLineChars="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潘集区人民政府</w:t>
                  </w:r>
                </w:p>
              </w:tc>
              <w:tc>
                <w:tcPr>
                  <w:tcW w:w="660" w:type="dxa"/>
                  <w:noWrap w:val="0"/>
                  <w:vAlign w:val="center"/>
                </w:tcPr>
                <w:p w14:paraId="6133D5F6">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348</w:t>
                  </w:r>
                </w:p>
              </w:tc>
              <w:tc>
                <w:tcPr>
                  <w:tcW w:w="690" w:type="dxa"/>
                  <w:noWrap w:val="0"/>
                  <w:vAlign w:val="center"/>
                </w:tcPr>
                <w:p w14:paraId="70443380">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230</w:t>
                  </w:r>
                </w:p>
              </w:tc>
              <w:tc>
                <w:tcPr>
                  <w:tcW w:w="870" w:type="dxa"/>
                  <w:noWrap w:val="0"/>
                  <w:vAlign w:val="center"/>
                </w:tcPr>
                <w:p w14:paraId="195A289F">
                  <w:pPr>
                    <w:pStyle w:val="95"/>
                    <w:bidi w:val="0"/>
                    <w:ind w:firstLine="0" w:firstLineChars="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行政机关</w:t>
                  </w:r>
                </w:p>
              </w:tc>
              <w:tc>
                <w:tcPr>
                  <w:tcW w:w="1215" w:type="dxa"/>
                  <w:noWrap w:val="0"/>
                  <w:vAlign w:val="center"/>
                </w:tcPr>
                <w:p w14:paraId="3F9A6DDA">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b w:val="0"/>
                      <w:bCs w:val="0"/>
                      <w:color w:val="auto"/>
                      <w:kern w:val="2"/>
                      <w:sz w:val="21"/>
                      <w:szCs w:val="21"/>
                      <w:highlight w:val="none"/>
                      <w:lang w:val="en-US" w:eastAsia="zh-CN" w:bidi="zh-CN"/>
                    </w:rPr>
                    <w:t>约</w:t>
                  </w:r>
                  <w:r>
                    <w:rPr>
                      <w:rFonts w:hint="eastAsia" w:ascii="Times New Roman" w:hAnsi="Times New Roman" w:cs="Times New Roman"/>
                      <w:b w:val="0"/>
                      <w:bCs w:val="0"/>
                      <w:color w:val="auto"/>
                      <w:kern w:val="2"/>
                      <w:sz w:val="21"/>
                      <w:szCs w:val="21"/>
                      <w:highlight w:val="none"/>
                      <w:lang w:val="en-US" w:eastAsia="zh-CN" w:bidi="zh-CN"/>
                    </w:rPr>
                    <w:t>221</w:t>
                  </w:r>
                  <w:r>
                    <w:rPr>
                      <w:rFonts w:hint="default" w:ascii="Times New Roman" w:hAnsi="Times New Roman" w:cs="Times New Roman"/>
                      <w:b w:val="0"/>
                      <w:bCs w:val="0"/>
                      <w:color w:val="auto"/>
                      <w:kern w:val="2"/>
                      <w:sz w:val="21"/>
                      <w:szCs w:val="21"/>
                      <w:highlight w:val="none"/>
                      <w:lang w:val="en-US" w:eastAsia="zh-CN" w:bidi="zh-CN"/>
                    </w:rPr>
                    <w:t>人</w:t>
                  </w:r>
                </w:p>
              </w:tc>
              <w:tc>
                <w:tcPr>
                  <w:tcW w:w="1484" w:type="dxa"/>
                  <w:vMerge w:val="continue"/>
                  <w:noWrap w:val="0"/>
                  <w:vAlign w:val="center"/>
                </w:tcPr>
                <w:p w14:paraId="7E794CD4">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816" w:type="dxa"/>
                  <w:noWrap w:val="0"/>
                  <w:vAlign w:val="center"/>
                </w:tcPr>
                <w:p w14:paraId="11B1FD0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default"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NE</w:t>
                  </w:r>
                </w:p>
              </w:tc>
              <w:tc>
                <w:tcPr>
                  <w:tcW w:w="1039" w:type="dxa"/>
                  <w:noWrap w:val="0"/>
                  <w:vAlign w:val="center"/>
                </w:tcPr>
                <w:p w14:paraId="7A419725">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leftChars="0" w:right="0" w:rightChars="0" w:firstLine="0" w:firstLineChars="0"/>
                    <w:jc w:val="center"/>
                    <w:textAlignment w:val="center"/>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277m</w:t>
                  </w:r>
                </w:p>
              </w:tc>
            </w:tr>
            <w:tr w14:paraId="6D4AE9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41" w:type="dxa"/>
                  <w:vMerge w:val="continue"/>
                  <w:noWrap w:val="0"/>
                  <w:vAlign w:val="center"/>
                </w:tcPr>
                <w:p w14:paraId="3616A578">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1119" w:type="dxa"/>
                  <w:noWrap w:val="0"/>
                  <w:vAlign w:val="center"/>
                </w:tcPr>
                <w:p w14:paraId="218D2B36">
                  <w:pPr>
                    <w:pStyle w:val="95"/>
                    <w:bidi w:val="0"/>
                    <w:ind w:firstLine="0" w:firstLineChars="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潘集区人民检察院</w:t>
                  </w:r>
                </w:p>
              </w:tc>
              <w:tc>
                <w:tcPr>
                  <w:tcW w:w="660" w:type="dxa"/>
                  <w:noWrap w:val="0"/>
                  <w:vAlign w:val="center"/>
                </w:tcPr>
                <w:p w14:paraId="73C8649F">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512</w:t>
                  </w:r>
                </w:p>
              </w:tc>
              <w:tc>
                <w:tcPr>
                  <w:tcW w:w="690" w:type="dxa"/>
                  <w:noWrap w:val="0"/>
                  <w:vAlign w:val="center"/>
                </w:tcPr>
                <w:p w14:paraId="3B4B331E">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178</w:t>
                  </w:r>
                </w:p>
              </w:tc>
              <w:tc>
                <w:tcPr>
                  <w:tcW w:w="870" w:type="dxa"/>
                  <w:noWrap w:val="0"/>
                  <w:vAlign w:val="center"/>
                </w:tcPr>
                <w:p w14:paraId="088AFA38">
                  <w:pPr>
                    <w:pStyle w:val="95"/>
                    <w:bidi w:val="0"/>
                    <w:ind w:firstLine="0" w:firstLineChars="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行政机关</w:t>
                  </w:r>
                </w:p>
              </w:tc>
              <w:tc>
                <w:tcPr>
                  <w:tcW w:w="1215" w:type="dxa"/>
                  <w:noWrap w:val="0"/>
                  <w:vAlign w:val="center"/>
                </w:tcPr>
                <w:p w14:paraId="1E4F5D49">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b w:val="0"/>
                      <w:bCs w:val="0"/>
                      <w:color w:val="auto"/>
                      <w:kern w:val="2"/>
                      <w:sz w:val="21"/>
                      <w:szCs w:val="21"/>
                      <w:highlight w:val="none"/>
                      <w:lang w:val="en-US" w:eastAsia="zh-CN" w:bidi="zh-CN"/>
                    </w:rPr>
                    <w:t>约</w:t>
                  </w:r>
                  <w:r>
                    <w:rPr>
                      <w:rFonts w:hint="eastAsia" w:ascii="Times New Roman" w:hAnsi="Times New Roman" w:cs="Times New Roman"/>
                      <w:b w:val="0"/>
                      <w:bCs w:val="0"/>
                      <w:color w:val="auto"/>
                      <w:kern w:val="2"/>
                      <w:sz w:val="21"/>
                      <w:szCs w:val="21"/>
                      <w:highlight w:val="none"/>
                      <w:lang w:val="en-US" w:eastAsia="zh-CN" w:bidi="zh-CN"/>
                    </w:rPr>
                    <w:t>146</w:t>
                  </w:r>
                  <w:r>
                    <w:rPr>
                      <w:rFonts w:hint="default" w:ascii="Times New Roman" w:hAnsi="Times New Roman" w:cs="Times New Roman"/>
                      <w:b w:val="0"/>
                      <w:bCs w:val="0"/>
                      <w:color w:val="auto"/>
                      <w:kern w:val="2"/>
                      <w:sz w:val="21"/>
                      <w:szCs w:val="21"/>
                      <w:highlight w:val="none"/>
                      <w:lang w:val="en-US" w:eastAsia="zh-CN" w:bidi="zh-CN"/>
                    </w:rPr>
                    <w:t>人</w:t>
                  </w:r>
                </w:p>
              </w:tc>
              <w:tc>
                <w:tcPr>
                  <w:tcW w:w="1484" w:type="dxa"/>
                  <w:vMerge w:val="continue"/>
                  <w:noWrap w:val="0"/>
                  <w:vAlign w:val="center"/>
                </w:tcPr>
                <w:p w14:paraId="372CA93A">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816" w:type="dxa"/>
                  <w:noWrap w:val="0"/>
                  <w:vAlign w:val="center"/>
                </w:tcPr>
                <w:p w14:paraId="69458B6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default"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NE</w:t>
                  </w:r>
                </w:p>
              </w:tc>
              <w:tc>
                <w:tcPr>
                  <w:tcW w:w="1039" w:type="dxa"/>
                  <w:noWrap w:val="0"/>
                  <w:vAlign w:val="center"/>
                </w:tcPr>
                <w:p w14:paraId="42C08669">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leftChars="0" w:right="0" w:rightChars="0" w:firstLine="0" w:firstLineChars="0"/>
                    <w:jc w:val="center"/>
                    <w:textAlignment w:val="center"/>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451m</w:t>
                  </w:r>
                </w:p>
              </w:tc>
            </w:tr>
            <w:tr w14:paraId="50633B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41" w:type="dxa"/>
                  <w:vMerge w:val="continue"/>
                  <w:noWrap w:val="0"/>
                  <w:vAlign w:val="center"/>
                </w:tcPr>
                <w:p w14:paraId="1BEAAB0A">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1119" w:type="dxa"/>
                  <w:noWrap w:val="0"/>
                  <w:vAlign w:val="center"/>
                </w:tcPr>
                <w:p w14:paraId="08D1D197">
                  <w:pPr>
                    <w:pStyle w:val="95"/>
                    <w:bidi w:val="0"/>
                    <w:ind w:firstLine="0" w:firstLineChars="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潘集区人民法院</w:t>
                  </w:r>
                </w:p>
              </w:tc>
              <w:tc>
                <w:tcPr>
                  <w:tcW w:w="660" w:type="dxa"/>
                  <w:noWrap w:val="0"/>
                  <w:vAlign w:val="center"/>
                </w:tcPr>
                <w:p w14:paraId="2A813677">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86</w:t>
                  </w:r>
                </w:p>
              </w:tc>
              <w:tc>
                <w:tcPr>
                  <w:tcW w:w="690" w:type="dxa"/>
                  <w:noWrap w:val="0"/>
                  <w:vAlign w:val="center"/>
                </w:tcPr>
                <w:p w14:paraId="16190EFB">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283</w:t>
                  </w:r>
                </w:p>
              </w:tc>
              <w:tc>
                <w:tcPr>
                  <w:tcW w:w="870" w:type="dxa"/>
                  <w:noWrap w:val="0"/>
                  <w:vAlign w:val="center"/>
                </w:tcPr>
                <w:p w14:paraId="053E9C3B">
                  <w:pPr>
                    <w:pStyle w:val="95"/>
                    <w:bidi w:val="0"/>
                    <w:ind w:firstLine="0" w:firstLineChars="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行政机关</w:t>
                  </w:r>
                </w:p>
              </w:tc>
              <w:tc>
                <w:tcPr>
                  <w:tcW w:w="1215" w:type="dxa"/>
                  <w:noWrap w:val="0"/>
                  <w:vAlign w:val="center"/>
                </w:tcPr>
                <w:p w14:paraId="3624D1E2">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b w:val="0"/>
                      <w:bCs w:val="0"/>
                      <w:color w:val="auto"/>
                      <w:kern w:val="2"/>
                      <w:sz w:val="21"/>
                      <w:szCs w:val="21"/>
                      <w:highlight w:val="none"/>
                      <w:lang w:val="en-US" w:eastAsia="zh-CN" w:bidi="zh-CN"/>
                    </w:rPr>
                    <w:t>约</w:t>
                  </w:r>
                  <w:r>
                    <w:rPr>
                      <w:rFonts w:hint="eastAsia" w:ascii="Times New Roman" w:hAnsi="Times New Roman" w:cs="Times New Roman"/>
                      <w:b w:val="0"/>
                      <w:bCs w:val="0"/>
                      <w:color w:val="auto"/>
                      <w:kern w:val="2"/>
                      <w:sz w:val="21"/>
                      <w:szCs w:val="21"/>
                      <w:highlight w:val="none"/>
                      <w:lang w:val="en-US" w:eastAsia="zh-CN" w:bidi="zh-CN"/>
                    </w:rPr>
                    <w:t>326</w:t>
                  </w:r>
                  <w:r>
                    <w:rPr>
                      <w:rFonts w:hint="default" w:ascii="Times New Roman" w:hAnsi="Times New Roman" w:cs="Times New Roman"/>
                      <w:b w:val="0"/>
                      <w:bCs w:val="0"/>
                      <w:color w:val="auto"/>
                      <w:kern w:val="2"/>
                      <w:sz w:val="21"/>
                      <w:szCs w:val="21"/>
                      <w:highlight w:val="none"/>
                      <w:lang w:val="en-US" w:eastAsia="zh-CN" w:bidi="zh-CN"/>
                    </w:rPr>
                    <w:t>人</w:t>
                  </w:r>
                </w:p>
              </w:tc>
              <w:tc>
                <w:tcPr>
                  <w:tcW w:w="1484" w:type="dxa"/>
                  <w:vMerge w:val="continue"/>
                  <w:noWrap w:val="0"/>
                  <w:vAlign w:val="center"/>
                </w:tcPr>
                <w:p w14:paraId="5937555F">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816" w:type="dxa"/>
                  <w:noWrap w:val="0"/>
                  <w:vAlign w:val="center"/>
                </w:tcPr>
                <w:p w14:paraId="56814F1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default"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NE</w:t>
                  </w:r>
                </w:p>
              </w:tc>
              <w:tc>
                <w:tcPr>
                  <w:tcW w:w="1039" w:type="dxa"/>
                  <w:noWrap w:val="0"/>
                  <w:vAlign w:val="center"/>
                </w:tcPr>
                <w:p w14:paraId="4B183264">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leftChars="0" w:right="0" w:rightChars="0" w:firstLine="0" w:firstLineChars="0"/>
                    <w:jc w:val="center"/>
                    <w:textAlignment w:val="center"/>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217m</w:t>
                  </w:r>
                </w:p>
              </w:tc>
            </w:tr>
            <w:tr w14:paraId="3AAE77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12" w:hRule="atLeast"/>
                <w:jc w:val="center"/>
              </w:trPr>
              <w:tc>
                <w:tcPr>
                  <w:tcW w:w="641" w:type="dxa"/>
                  <w:vMerge w:val="continue"/>
                  <w:noWrap w:val="0"/>
                  <w:vAlign w:val="center"/>
                </w:tcPr>
                <w:p w14:paraId="49B5A67A">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1119" w:type="dxa"/>
                  <w:noWrap w:val="0"/>
                  <w:vAlign w:val="center"/>
                </w:tcPr>
                <w:p w14:paraId="7CF08FB0">
                  <w:pPr>
                    <w:pStyle w:val="95"/>
                    <w:bidi w:val="0"/>
                    <w:ind w:firstLine="0" w:firstLineChars="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庙西</w:t>
                  </w:r>
                </w:p>
              </w:tc>
              <w:tc>
                <w:tcPr>
                  <w:tcW w:w="660" w:type="dxa"/>
                  <w:noWrap w:val="0"/>
                  <w:vAlign w:val="center"/>
                </w:tcPr>
                <w:p w14:paraId="76C54023">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w:t>
                  </w:r>
                </w:p>
              </w:tc>
              <w:tc>
                <w:tcPr>
                  <w:tcW w:w="690" w:type="dxa"/>
                  <w:noWrap w:val="0"/>
                  <w:vAlign w:val="center"/>
                </w:tcPr>
                <w:p w14:paraId="424A99A6">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289</w:t>
                  </w:r>
                </w:p>
              </w:tc>
              <w:tc>
                <w:tcPr>
                  <w:tcW w:w="870" w:type="dxa"/>
                  <w:noWrap w:val="0"/>
                  <w:vAlign w:val="center"/>
                </w:tcPr>
                <w:p w14:paraId="3B826D58">
                  <w:pPr>
                    <w:pStyle w:val="95"/>
                    <w:bidi w:val="0"/>
                    <w:ind w:firstLine="0" w:firstLineChars="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居民</w:t>
                  </w:r>
                </w:p>
              </w:tc>
              <w:tc>
                <w:tcPr>
                  <w:tcW w:w="1215" w:type="dxa"/>
                  <w:noWrap w:val="0"/>
                  <w:vAlign w:val="center"/>
                </w:tcPr>
                <w:p w14:paraId="747F5AD3">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约885人</w:t>
                  </w:r>
                </w:p>
              </w:tc>
              <w:tc>
                <w:tcPr>
                  <w:tcW w:w="1484" w:type="dxa"/>
                  <w:vMerge w:val="continue"/>
                  <w:noWrap w:val="0"/>
                  <w:vAlign w:val="center"/>
                </w:tcPr>
                <w:p w14:paraId="5B150B98">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816" w:type="dxa"/>
                  <w:noWrap w:val="0"/>
                  <w:vAlign w:val="center"/>
                </w:tcPr>
                <w:p w14:paraId="4DE94E7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default"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N</w:t>
                  </w:r>
                </w:p>
              </w:tc>
              <w:tc>
                <w:tcPr>
                  <w:tcW w:w="1039" w:type="dxa"/>
                  <w:noWrap w:val="0"/>
                  <w:vAlign w:val="center"/>
                </w:tcPr>
                <w:p w14:paraId="15D9D7DC">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leftChars="0" w:right="0" w:rightChars="0" w:firstLine="0" w:firstLineChars="0"/>
                    <w:jc w:val="center"/>
                    <w:textAlignment w:val="center"/>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167m</w:t>
                  </w:r>
                </w:p>
              </w:tc>
            </w:tr>
            <w:tr w14:paraId="12F183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41" w:type="dxa"/>
                  <w:vMerge w:val="continue"/>
                  <w:noWrap w:val="0"/>
                  <w:vAlign w:val="center"/>
                </w:tcPr>
                <w:p w14:paraId="6CD48970">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1119" w:type="dxa"/>
                  <w:noWrap w:val="0"/>
                  <w:vAlign w:val="center"/>
                </w:tcPr>
                <w:p w14:paraId="1A8BDFD9">
                  <w:pPr>
                    <w:pStyle w:val="95"/>
                    <w:bidi w:val="0"/>
                    <w:ind w:firstLine="0" w:firstLineChars="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阳光城市</w:t>
                  </w:r>
                </w:p>
              </w:tc>
              <w:tc>
                <w:tcPr>
                  <w:tcW w:w="660" w:type="dxa"/>
                  <w:noWrap w:val="0"/>
                  <w:vAlign w:val="center"/>
                </w:tcPr>
                <w:p w14:paraId="071A4F49">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-197</w:t>
                  </w:r>
                </w:p>
              </w:tc>
              <w:tc>
                <w:tcPr>
                  <w:tcW w:w="690" w:type="dxa"/>
                  <w:noWrap w:val="0"/>
                  <w:vAlign w:val="center"/>
                </w:tcPr>
                <w:p w14:paraId="0CAF0905">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99</w:t>
                  </w:r>
                </w:p>
              </w:tc>
              <w:tc>
                <w:tcPr>
                  <w:tcW w:w="870" w:type="dxa"/>
                  <w:noWrap w:val="0"/>
                  <w:vAlign w:val="center"/>
                </w:tcPr>
                <w:p w14:paraId="7A09A19C">
                  <w:pPr>
                    <w:pStyle w:val="95"/>
                    <w:bidi w:val="0"/>
                    <w:ind w:firstLine="0" w:firstLineChars="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居民</w:t>
                  </w:r>
                </w:p>
              </w:tc>
              <w:tc>
                <w:tcPr>
                  <w:tcW w:w="1215" w:type="dxa"/>
                  <w:noWrap w:val="0"/>
                  <w:vAlign w:val="center"/>
                </w:tcPr>
                <w:p w14:paraId="0C077C13">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约400人</w:t>
                  </w:r>
                </w:p>
              </w:tc>
              <w:tc>
                <w:tcPr>
                  <w:tcW w:w="1484" w:type="dxa"/>
                  <w:vMerge w:val="continue"/>
                  <w:noWrap w:val="0"/>
                  <w:vAlign w:val="center"/>
                </w:tcPr>
                <w:p w14:paraId="48A6AB68">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816" w:type="dxa"/>
                  <w:noWrap w:val="0"/>
                  <w:vAlign w:val="center"/>
                </w:tcPr>
                <w:p w14:paraId="2CDF91E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default"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W</w:t>
                  </w:r>
                </w:p>
              </w:tc>
              <w:tc>
                <w:tcPr>
                  <w:tcW w:w="1039" w:type="dxa"/>
                  <w:noWrap w:val="0"/>
                  <w:vAlign w:val="center"/>
                </w:tcPr>
                <w:p w14:paraId="43C1012B">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leftChars="0" w:right="0" w:rightChars="0" w:firstLine="0" w:firstLineChars="0"/>
                    <w:jc w:val="center"/>
                    <w:textAlignment w:val="center"/>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131m</w:t>
                  </w:r>
                </w:p>
              </w:tc>
            </w:tr>
            <w:tr w14:paraId="11E3D9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41" w:type="dxa"/>
                  <w:vMerge w:val="continue"/>
                  <w:noWrap w:val="0"/>
                  <w:vAlign w:val="center"/>
                </w:tcPr>
                <w:p w14:paraId="355504AE">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1119" w:type="dxa"/>
                  <w:noWrap w:val="0"/>
                  <w:vAlign w:val="center"/>
                </w:tcPr>
                <w:p w14:paraId="0710F9E9">
                  <w:pPr>
                    <w:pStyle w:val="95"/>
                    <w:bidi w:val="0"/>
                    <w:ind w:firstLine="0" w:firstLineChars="0"/>
                    <w:jc w:val="center"/>
                    <w:rPr>
                      <w:rFonts w:hint="eastAsia" w:ascii="Times New Roman" w:hAnsi="Times New Roman" w:eastAsia="宋体" w:cs="Times New Roman"/>
                      <w:color w:val="auto"/>
                      <w:highlight w:val="none"/>
                      <w:lang w:val="en-US" w:eastAsia="zh-CN"/>
                    </w:rPr>
                  </w:pPr>
                  <w:bookmarkStart w:id="10" w:name="_GoBack"/>
                  <w:r>
                    <w:rPr>
                      <w:rFonts w:hint="eastAsia" w:ascii="Times New Roman" w:hAnsi="Times New Roman" w:eastAsia="宋体" w:cs="Times New Roman"/>
                      <w:color w:val="auto"/>
                      <w:highlight w:val="none"/>
                      <w:lang w:val="en-US" w:eastAsia="zh-CN"/>
                    </w:rPr>
                    <w:t>水务大厦小区</w:t>
                  </w:r>
                  <w:bookmarkEnd w:id="10"/>
                </w:p>
              </w:tc>
              <w:tc>
                <w:tcPr>
                  <w:tcW w:w="660" w:type="dxa"/>
                  <w:noWrap w:val="0"/>
                  <w:vAlign w:val="center"/>
                </w:tcPr>
                <w:p w14:paraId="201F0928">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-262</w:t>
                  </w:r>
                </w:p>
              </w:tc>
              <w:tc>
                <w:tcPr>
                  <w:tcW w:w="690" w:type="dxa"/>
                  <w:noWrap w:val="0"/>
                  <w:vAlign w:val="center"/>
                </w:tcPr>
                <w:p w14:paraId="60908F67">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-203</w:t>
                  </w:r>
                </w:p>
              </w:tc>
              <w:tc>
                <w:tcPr>
                  <w:tcW w:w="870" w:type="dxa"/>
                  <w:noWrap w:val="0"/>
                  <w:vAlign w:val="center"/>
                </w:tcPr>
                <w:p w14:paraId="56AB33BA">
                  <w:pPr>
                    <w:pStyle w:val="95"/>
                    <w:bidi w:val="0"/>
                    <w:ind w:firstLine="0" w:firstLineChars="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居民</w:t>
                  </w:r>
                </w:p>
              </w:tc>
              <w:tc>
                <w:tcPr>
                  <w:tcW w:w="1215" w:type="dxa"/>
                  <w:noWrap w:val="0"/>
                  <w:vAlign w:val="center"/>
                </w:tcPr>
                <w:p w14:paraId="1D710419">
                  <w:pPr>
                    <w:pStyle w:val="95"/>
                    <w:bidi w:val="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约</w:t>
                  </w:r>
                  <w:r>
                    <w:rPr>
                      <w:rFonts w:hint="eastAsia" w:ascii="Times New Roman" w:hAnsi="Times New Roman" w:eastAsia="宋体" w:cs="Times New Roman"/>
                      <w:color w:val="auto"/>
                      <w:highlight w:val="none"/>
                      <w:lang w:val="en-US" w:eastAsia="zh-CN"/>
                    </w:rPr>
                    <w:t>847</w:t>
                  </w:r>
                  <w:r>
                    <w:rPr>
                      <w:rFonts w:hint="default" w:ascii="Times New Roman" w:hAnsi="Times New Roman" w:eastAsia="宋体" w:cs="Times New Roman"/>
                      <w:color w:val="auto"/>
                      <w:highlight w:val="none"/>
                      <w:lang w:val="en-US" w:eastAsia="zh-CN"/>
                    </w:rPr>
                    <w:t>人</w:t>
                  </w:r>
                </w:p>
              </w:tc>
              <w:tc>
                <w:tcPr>
                  <w:tcW w:w="1484" w:type="dxa"/>
                  <w:vMerge w:val="continue"/>
                  <w:noWrap w:val="0"/>
                  <w:vAlign w:val="center"/>
                </w:tcPr>
                <w:p w14:paraId="14AED568">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sz w:val="21"/>
                      <w:szCs w:val="21"/>
                      <w:highlight w:val="none"/>
                    </w:rPr>
                  </w:pPr>
                </w:p>
              </w:tc>
              <w:tc>
                <w:tcPr>
                  <w:tcW w:w="816" w:type="dxa"/>
                  <w:noWrap w:val="0"/>
                  <w:vAlign w:val="center"/>
                </w:tcPr>
                <w:p w14:paraId="4172D99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default"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SW</w:t>
                  </w:r>
                </w:p>
              </w:tc>
              <w:tc>
                <w:tcPr>
                  <w:tcW w:w="1039" w:type="dxa"/>
                  <w:noWrap w:val="0"/>
                  <w:vAlign w:val="center"/>
                </w:tcPr>
                <w:p w14:paraId="0B238E5F">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leftChars="0" w:right="0" w:rightChars="0" w:firstLine="0" w:firstLineChars="0"/>
                    <w:jc w:val="center"/>
                    <w:textAlignment w:val="center"/>
                    <w:rPr>
                      <w:rFonts w:hint="default"/>
                      <w:lang w:val="en-US" w:eastAsia="zh-CN"/>
                    </w:rPr>
                  </w:pPr>
                  <w:r>
                    <w:rPr>
                      <w:rFonts w:hint="eastAsia" w:cs="Times New Roman"/>
                      <w:b w:val="0"/>
                      <w:bCs w:val="0"/>
                      <w:color w:val="auto"/>
                      <w:kern w:val="2"/>
                      <w:sz w:val="21"/>
                      <w:szCs w:val="21"/>
                      <w:highlight w:val="none"/>
                      <w:lang w:val="en-US" w:eastAsia="zh-CN" w:bidi="ar-SA"/>
                    </w:rPr>
                    <w:t>173m</w:t>
                  </w:r>
                </w:p>
              </w:tc>
            </w:tr>
          </w:tbl>
          <w:p w14:paraId="1D02029D">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361" w:firstLineChars="200"/>
              <w:jc w:val="both"/>
              <w:textAlignment w:val="auto"/>
              <w:rPr>
                <w:rFonts w:hint="eastAsia" w:eastAsia="宋体" w:cs="Times New Roman"/>
                <w:b/>
                <w:bCs/>
                <w:iCs/>
                <w:color w:val="auto"/>
                <w:sz w:val="24"/>
                <w:lang w:val="en-US" w:eastAsia="zh-CN"/>
              </w:rPr>
            </w:pPr>
            <w:r>
              <w:rPr>
                <w:rFonts w:hint="default" w:ascii="Times New Roman" w:hAnsi="Times New Roman" w:eastAsia="宋体" w:cs="Times New Roman"/>
                <w:b/>
                <w:bCs/>
                <w:iCs/>
                <w:color w:val="auto"/>
                <w:sz w:val="18"/>
                <w:szCs w:val="18"/>
                <w:lang w:val="en-US" w:eastAsia="zh-CN"/>
              </w:rPr>
              <w:t>注：取项目</w:t>
            </w:r>
            <w:r>
              <w:rPr>
                <w:rFonts w:hint="eastAsia" w:cs="Times New Roman"/>
                <w:b/>
                <w:bCs/>
                <w:iCs/>
                <w:color w:val="auto"/>
                <w:sz w:val="18"/>
                <w:szCs w:val="18"/>
                <w:lang w:val="en-US" w:eastAsia="zh-CN"/>
              </w:rPr>
              <w:t>厂区中心</w:t>
            </w:r>
            <w:r>
              <w:rPr>
                <w:rFonts w:hint="default" w:ascii="Times New Roman" w:hAnsi="Times New Roman" w:eastAsia="宋体" w:cs="Times New Roman"/>
                <w:b/>
                <w:bCs/>
                <w:iCs/>
                <w:color w:val="auto"/>
                <w:sz w:val="18"/>
                <w:szCs w:val="18"/>
                <w:lang w:val="en-US" w:eastAsia="zh-CN"/>
              </w:rPr>
              <w:t>为坐标原点。</w:t>
            </w:r>
          </w:p>
          <w:p w14:paraId="22F19A53">
            <w:pPr>
              <w:adjustRightInd w:val="0"/>
              <w:snapToGrid w:val="0"/>
              <w:spacing w:line="360" w:lineRule="auto"/>
              <w:ind w:firstLine="482" w:firstLineChars="200"/>
              <w:rPr>
                <w:rFonts w:hint="default" w:ascii="Times New Roman" w:hAnsi="Times New Roman" w:eastAsia="宋体" w:cs="Times New Roman"/>
                <w:b/>
                <w:bCs/>
                <w:iCs/>
                <w:color w:val="auto"/>
                <w:sz w:val="24"/>
              </w:rPr>
            </w:pPr>
            <w:r>
              <w:rPr>
                <w:rFonts w:hint="eastAsia" w:cs="Times New Roman"/>
                <w:b/>
                <w:bCs/>
                <w:iCs/>
                <w:color w:val="auto"/>
                <w:sz w:val="24"/>
                <w:lang w:val="en-US" w:eastAsia="zh-CN"/>
              </w:rPr>
              <w:t>2</w:t>
            </w:r>
            <w:r>
              <w:rPr>
                <w:rFonts w:hint="default" w:ascii="Times New Roman" w:hAnsi="Times New Roman" w:eastAsia="宋体" w:cs="Times New Roman"/>
                <w:b/>
                <w:bCs/>
                <w:iCs/>
                <w:color w:val="auto"/>
                <w:sz w:val="24"/>
              </w:rPr>
              <w:t>、声环境保护目标</w:t>
            </w:r>
          </w:p>
          <w:p w14:paraId="4561802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 w:val="0"/>
                <w:bCs/>
                <w:color w:val="auto"/>
                <w:kern w:val="0"/>
                <w:sz w:val="24"/>
                <w:szCs w:val="24"/>
                <w:lang w:eastAsia="zh-CN"/>
              </w:rPr>
            </w:pPr>
            <w:r>
              <w:rPr>
                <w:rFonts w:hint="default" w:ascii="Times New Roman" w:hAnsi="Times New Roman" w:eastAsia="宋体" w:cs="Times New Roman"/>
                <w:b w:val="0"/>
                <w:bCs/>
                <w:color w:val="auto"/>
                <w:kern w:val="0"/>
                <w:sz w:val="24"/>
                <w:szCs w:val="24"/>
              </w:rPr>
              <w:t>声环境保护目标</w:t>
            </w:r>
            <w:r>
              <w:rPr>
                <w:rFonts w:hint="eastAsia" w:cs="Times New Roman"/>
                <w:b w:val="0"/>
                <w:bCs/>
                <w:color w:val="auto"/>
                <w:kern w:val="0"/>
                <w:sz w:val="24"/>
                <w:szCs w:val="24"/>
                <w:lang w:eastAsia="zh-CN"/>
              </w:rPr>
              <w:t>为</w:t>
            </w:r>
            <w:r>
              <w:rPr>
                <w:rFonts w:hint="eastAsia" w:cs="Times New Roman"/>
                <w:color w:val="auto"/>
                <w:sz w:val="24"/>
                <w:lang w:eastAsia="zh-CN"/>
              </w:rPr>
              <w:t>潘集区妇幼保健所、泰府名邸</w:t>
            </w:r>
            <w:r>
              <w:rPr>
                <w:rFonts w:hint="eastAsia" w:cs="Times New Roman"/>
                <w:b w:val="0"/>
                <w:bCs/>
                <w:color w:val="auto"/>
                <w:kern w:val="0"/>
                <w:sz w:val="24"/>
                <w:szCs w:val="24"/>
                <w:lang w:eastAsia="zh-CN"/>
              </w:rPr>
              <w:t>。</w:t>
            </w:r>
          </w:p>
          <w:p w14:paraId="4AD8013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color w:val="auto"/>
                <w:kern w:val="0"/>
                <w:sz w:val="24"/>
                <w:szCs w:val="24"/>
              </w:rPr>
            </w:pPr>
            <w:r>
              <w:rPr>
                <w:rFonts w:hint="default" w:ascii="Times New Roman" w:hAnsi="Times New Roman" w:eastAsia="宋体" w:cs="Times New Roman"/>
                <w:b/>
                <w:color w:val="auto"/>
                <w:kern w:val="0"/>
                <w:sz w:val="24"/>
                <w:szCs w:val="24"/>
              </w:rPr>
              <w:t>表3-</w:t>
            </w:r>
            <w:r>
              <w:rPr>
                <w:rFonts w:hint="eastAsia" w:ascii="Times New Roman" w:hAnsi="Times New Roman" w:eastAsia="宋体" w:cs="Times New Roman"/>
                <w:b/>
                <w:color w:val="auto"/>
                <w:kern w:val="0"/>
                <w:sz w:val="24"/>
                <w:szCs w:val="24"/>
                <w:lang w:val="en-US" w:eastAsia="zh-CN"/>
              </w:rPr>
              <w:t>3</w:t>
            </w:r>
            <w:r>
              <w:rPr>
                <w:rFonts w:hint="default" w:ascii="Times New Roman" w:hAnsi="Times New Roman" w:eastAsia="宋体" w:cs="Times New Roman"/>
                <w:b/>
                <w:color w:val="auto"/>
                <w:kern w:val="0"/>
                <w:sz w:val="24"/>
                <w:szCs w:val="24"/>
              </w:rPr>
              <w:t xml:space="preserve"> </w:t>
            </w:r>
            <w:r>
              <w:rPr>
                <w:rFonts w:hint="default" w:ascii="Times New Roman" w:hAnsi="Times New Roman" w:eastAsia="宋体" w:cs="Times New Roman"/>
                <w:b/>
                <w:color w:val="auto"/>
                <w:kern w:val="0"/>
                <w:sz w:val="24"/>
                <w:szCs w:val="24"/>
                <w:lang w:val="en-US" w:eastAsia="zh-CN"/>
              </w:rPr>
              <w:t xml:space="preserve"> </w:t>
            </w:r>
            <w:r>
              <w:rPr>
                <w:rFonts w:hint="default" w:ascii="Times New Roman" w:hAnsi="Times New Roman" w:eastAsia="宋体" w:cs="Times New Roman"/>
                <w:b/>
                <w:color w:val="auto"/>
                <w:kern w:val="0"/>
                <w:sz w:val="24"/>
                <w:szCs w:val="24"/>
              </w:rPr>
              <w:t>项目环境敏感保护目标一览表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1933"/>
              <w:gridCol w:w="688"/>
              <w:gridCol w:w="1019"/>
              <w:gridCol w:w="1233"/>
              <w:gridCol w:w="2546"/>
            </w:tblGrid>
            <w:tr w14:paraId="74C17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1" w:type="pct"/>
                  <w:noWrap w:val="0"/>
                  <w:vAlign w:val="center"/>
                </w:tcPr>
                <w:p w14:paraId="54A095B4">
                  <w:pPr>
                    <w:pStyle w:val="95"/>
                    <w:bidi w:val="0"/>
                    <w:jc w:val="center"/>
                    <w:rPr>
                      <w:rFonts w:hint="default" w:ascii="Times New Roman" w:hAnsi="Times New Roman" w:eastAsia="宋体"/>
                      <w:color w:val="000000" w:themeColor="text1"/>
                      <w:highlight w:val="none"/>
                      <w:lang w:val="en-US" w:eastAsia="zh-CN"/>
                      <w14:textFill>
                        <w14:solidFill>
                          <w14:schemeClr w14:val="tx1"/>
                        </w14:solidFill>
                      </w14:textFill>
                    </w:rPr>
                  </w:pPr>
                  <w:r>
                    <w:rPr>
                      <w:rFonts w:hint="default" w:ascii="Times New Roman" w:hAnsi="Times New Roman" w:eastAsia="宋体"/>
                      <w:color w:val="000000" w:themeColor="text1"/>
                      <w:highlight w:val="none"/>
                      <w:lang w:val="en-US" w:eastAsia="zh-CN"/>
                      <w14:textFill>
                        <w14:solidFill>
                          <w14:schemeClr w14:val="tx1"/>
                        </w14:solidFill>
                      </w14:textFill>
                    </w:rPr>
                    <w:t>环境要素</w:t>
                  </w:r>
                </w:p>
              </w:tc>
              <w:tc>
                <w:tcPr>
                  <w:tcW w:w="1132" w:type="pct"/>
                  <w:noWrap w:val="0"/>
                  <w:vAlign w:val="center"/>
                </w:tcPr>
                <w:p w14:paraId="77D201F5">
                  <w:pPr>
                    <w:pStyle w:val="95"/>
                    <w:bidi w:val="0"/>
                    <w:jc w:val="center"/>
                    <w:rPr>
                      <w:rFonts w:hint="default" w:ascii="Times New Roman" w:hAnsi="Times New Roman" w:eastAsia="宋体"/>
                      <w:color w:val="000000" w:themeColor="text1"/>
                      <w:highlight w:val="none"/>
                      <w:lang w:val="en-US" w:eastAsia="zh-CN"/>
                      <w14:textFill>
                        <w14:solidFill>
                          <w14:schemeClr w14:val="tx1"/>
                        </w14:solidFill>
                      </w14:textFill>
                    </w:rPr>
                  </w:pPr>
                  <w:r>
                    <w:rPr>
                      <w:rFonts w:hint="default" w:ascii="Times New Roman" w:hAnsi="Times New Roman" w:eastAsia="宋体"/>
                      <w:color w:val="000000" w:themeColor="text1"/>
                      <w:highlight w:val="none"/>
                      <w:lang w:val="en-US" w:eastAsia="zh-CN"/>
                      <w14:textFill>
                        <w14:solidFill>
                          <w14:schemeClr w14:val="tx1"/>
                        </w14:solidFill>
                      </w14:textFill>
                    </w:rPr>
                    <w:t>环境保护目标名称</w:t>
                  </w:r>
                </w:p>
              </w:tc>
              <w:tc>
                <w:tcPr>
                  <w:tcW w:w="403" w:type="pct"/>
                  <w:noWrap w:val="0"/>
                  <w:vAlign w:val="center"/>
                </w:tcPr>
                <w:p w14:paraId="51B4E92A">
                  <w:pPr>
                    <w:pStyle w:val="95"/>
                    <w:bidi w:val="0"/>
                    <w:jc w:val="center"/>
                    <w:rPr>
                      <w:rFonts w:hint="default" w:ascii="Times New Roman" w:hAnsi="Times New Roman" w:eastAsia="宋体"/>
                      <w:color w:val="000000" w:themeColor="text1"/>
                      <w:highlight w:val="none"/>
                      <w:lang w:val="en-US" w:eastAsia="zh-CN"/>
                      <w14:textFill>
                        <w14:solidFill>
                          <w14:schemeClr w14:val="tx1"/>
                        </w14:solidFill>
                      </w14:textFill>
                    </w:rPr>
                  </w:pPr>
                  <w:r>
                    <w:rPr>
                      <w:rFonts w:hint="default" w:ascii="Times New Roman" w:hAnsi="Times New Roman" w:eastAsia="宋体"/>
                      <w:color w:val="000000" w:themeColor="text1"/>
                      <w:highlight w:val="none"/>
                      <w:lang w:val="en-US" w:eastAsia="zh-CN"/>
                      <w14:textFill>
                        <w14:solidFill>
                          <w14:schemeClr w14:val="tx1"/>
                        </w14:solidFill>
                      </w14:textFill>
                    </w:rPr>
                    <w:t>方位</w:t>
                  </w:r>
                </w:p>
              </w:tc>
              <w:tc>
                <w:tcPr>
                  <w:tcW w:w="597" w:type="pct"/>
                  <w:noWrap w:val="0"/>
                  <w:vAlign w:val="center"/>
                </w:tcPr>
                <w:p w14:paraId="1D3DE6E1">
                  <w:pPr>
                    <w:pStyle w:val="95"/>
                    <w:bidi w:val="0"/>
                    <w:jc w:val="center"/>
                    <w:rPr>
                      <w:rFonts w:hint="default" w:ascii="Times New Roman" w:hAnsi="Times New Roman" w:eastAsia="宋体"/>
                      <w:color w:val="000000" w:themeColor="text1"/>
                      <w:highlight w:val="none"/>
                      <w:lang w:val="en-US" w:eastAsia="zh-CN"/>
                      <w14:textFill>
                        <w14:solidFill>
                          <w14:schemeClr w14:val="tx1"/>
                        </w14:solidFill>
                      </w14:textFill>
                    </w:rPr>
                  </w:pPr>
                  <w:r>
                    <w:rPr>
                      <w:rFonts w:hint="default" w:ascii="Times New Roman" w:hAnsi="Times New Roman" w:eastAsia="宋体"/>
                      <w:color w:val="000000" w:themeColor="text1"/>
                      <w:highlight w:val="none"/>
                      <w:lang w:val="en-US" w:eastAsia="zh-CN"/>
                      <w14:textFill>
                        <w14:solidFill>
                          <w14:schemeClr w14:val="tx1"/>
                        </w14:solidFill>
                      </w14:textFill>
                    </w:rPr>
                    <w:t>距离（m）</w:t>
                  </w:r>
                </w:p>
              </w:tc>
              <w:tc>
                <w:tcPr>
                  <w:tcW w:w="722" w:type="pct"/>
                  <w:noWrap w:val="0"/>
                  <w:vAlign w:val="center"/>
                </w:tcPr>
                <w:p w14:paraId="3223DBD9">
                  <w:pPr>
                    <w:pStyle w:val="95"/>
                    <w:bidi w:val="0"/>
                    <w:jc w:val="center"/>
                    <w:rPr>
                      <w:rFonts w:hint="default" w:ascii="Times New Roman" w:hAnsi="Times New Roman" w:eastAsia="宋体"/>
                      <w:color w:val="000000" w:themeColor="text1"/>
                      <w:highlight w:val="none"/>
                      <w:lang w:val="en-US" w:eastAsia="zh-CN"/>
                      <w14:textFill>
                        <w14:solidFill>
                          <w14:schemeClr w14:val="tx1"/>
                        </w14:solidFill>
                      </w14:textFill>
                    </w:rPr>
                  </w:pPr>
                  <w:r>
                    <w:rPr>
                      <w:rFonts w:hint="default" w:ascii="Times New Roman" w:hAnsi="Times New Roman" w:eastAsia="宋体"/>
                      <w:color w:val="000000" w:themeColor="text1"/>
                      <w:highlight w:val="none"/>
                      <w:lang w:val="en-US" w:eastAsia="zh-CN"/>
                      <w14:textFill>
                        <w14:solidFill>
                          <w14:schemeClr w14:val="tx1"/>
                        </w14:solidFill>
                      </w14:textFill>
                    </w:rPr>
                    <w:t>规模</w:t>
                  </w:r>
                </w:p>
              </w:tc>
              <w:tc>
                <w:tcPr>
                  <w:tcW w:w="1492" w:type="pct"/>
                  <w:noWrap w:val="0"/>
                  <w:vAlign w:val="center"/>
                </w:tcPr>
                <w:p w14:paraId="260FBB4C">
                  <w:pPr>
                    <w:pStyle w:val="95"/>
                    <w:bidi w:val="0"/>
                    <w:jc w:val="center"/>
                    <w:rPr>
                      <w:rFonts w:hint="default" w:ascii="Times New Roman" w:hAnsi="Times New Roman" w:eastAsia="宋体"/>
                      <w:color w:val="000000" w:themeColor="text1"/>
                      <w:highlight w:val="none"/>
                      <w:lang w:val="en-US" w:eastAsia="zh-CN"/>
                      <w14:textFill>
                        <w14:solidFill>
                          <w14:schemeClr w14:val="tx1"/>
                        </w14:solidFill>
                      </w14:textFill>
                    </w:rPr>
                  </w:pPr>
                  <w:r>
                    <w:rPr>
                      <w:rFonts w:hint="default" w:ascii="Times New Roman" w:hAnsi="Times New Roman" w:eastAsia="宋体"/>
                      <w:color w:val="000000" w:themeColor="text1"/>
                      <w:highlight w:val="none"/>
                      <w:lang w:val="en-US" w:eastAsia="zh-CN"/>
                      <w14:textFill>
                        <w14:solidFill>
                          <w14:schemeClr w14:val="tx1"/>
                        </w14:solidFill>
                      </w14:textFill>
                    </w:rPr>
                    <w:t>环境功能</w:t>
                  </w:r>
                </w:p>
              </w:tc>
            </w:tr>
            <w:tr w14:paraId="472A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1" w:type="pct"/>
                  <w:vMerge w:val="restart"/>
                  <w:noWrap w:val="0"/>
                  <w:vAlign w:val="center"/>
                </w:tcPr>
                <w:p w14:paraId="349883F4">
                  <w:pPr>
                    <w:pStyle w:val="95"/>
                    <w:bidi w:val="0"/>
                    <w:jc w:val="center"/>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声</w:t>
                  </w:r>
                  <w:r>
                    <w:rPr>
                      <w:rFonts w:hint="default" w:ascii="Times New Roman" w:hAnsi="Times New Roman" w:eastAsia="宋体"/>
                      <w:color w:val="000000" w:themeColor="text1"/>
                      <w:highlight w:val="none"/>
                      <w:lang w:val="en-US" w:eastAsia="zh-CN"/>
                      <w14:textFill>
                        <w14:solidFill>
                          <w14:schemeClr w14:val="tx1"/>
                        </w14:solidFill>
                      </w14:textFill>
                    </w:rPr>
                    <w:t>环境</w:t>
                  </w:r>
                </w:p>
              </w:tc>
              <w:tc>
                <w:tcPr>
                  <w:tcW w:w="1948" w:type="dxa"/>
                  <w:noWrap w:val="0"/>
                  <w:vAlign w:val="center"/>
                </w:tcPr>
                <w:p w14:paraId="7A5D9D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bCs/>
                      <w:color w:val="auto"/>
                      <w:highlight w:val="none"/>
                      <w:lang w:val="en-US" w:eastAsia="zh-CN"/>
                    </w:rPr>
                  </w:pPr>
                  <w:r>
                    <w:rPr>
                      <w:rFonts w:hint="eastAsia" w:ascii="Times New Roman" w:hAnsi="Times New Roman" w:eastAsia="宋体" w:cs="Times New Roman"/>
                      <w:b w:val="0"/>
                      <w:bCs/>
                      <w:color w:val="auto"/>
                      <w:sz w:val="21"/>
                      <w:szCs w:val="21"/>
                      <w:lang w:val="en-US" w:eastAsia="zh-CN"/>
                    </w:rPr>
                    <w:t>潘集区妇幼保健所</w:t>
                  </w:r>
                </w:p>
              </w:tc>
              <w:tc>
                <w:tcPr>
                  <w:tcW w:w="403" w:type="pct"/>
                  <w:noWrap w:val="0"/>
                  <w:vAlign w:val="center"/>
                </w:tcPr>
                <w:p w14:paraId="69991A62">
                  <w:pPr>
                    <w:pStyle w:val="95"/>
                    <w:bidi w:val="0"/>
                    <w:jc w:val="center"/>
                    <w:rPr>
                      <w:rFonts w:hint="default" w:ascii="Times New Roman" w:hAnsi="Times New Roman" w:eastAsia="宋体"/>
                      <w:color w:val="auto"/>
                      <w:highlight w:val="none"/>
                      <w:lang w:val="en-US" w:eastAsia="zh-CN"/>
                    </w:rPr>
                  </w:pPr>
                  <w:r>
                    <w:rPr>
                      <w:rFonts w:hint="eastAsia"/>
                      <w:color w:val="auto"/>
                      <w:highlight w:val="none"/>
                      <w:lang w:val="en-US" w:eastAsia="zh-CN"/>
                    </w:rPr>
                    <w:t>N</w:t>
                  </w:r>
                </w:p>
              </w:tc>
              <w:tc>
                <w:tcPr>
                  <w:tcW w:w="597" w:type="pct"/>
                  <w:noWrap w:val="0"/>
                  <w:vAlign w:val="center"/>
                </w:tcPr>
                <w:p w14:paraId="78039FA7">
                  <w:pPr>
                    <w:pStyle w:val="95"/>
                    <w:bidi w:val="0"/>
                    <w:jc w:val="center"/>
                    <w:rPr>
                      <w:rFonts w:hint="default" w:ascii="Times New Roman" w:hAnsi="Times New Roman" w:eastAsia="宋体"/>
                      <w:color w:val="auto"/>
                      <w:highlight w:val="none"/>
                      <w:lang w:val="en-US" w:eastAsia="zh-CN"/>
                    </w:rPr>
                  </w:pPr>
                  <w:r>
                    <w:rPr>
                      <w:rFonts w:hint="eastAsia"/>
                      <w:color w:val="auto"/>
                      <w:highlight w:val="none"/>
                      <w:lang w:val="en-US" w:eastAsia="zh-CN"/>
                    </w:rPr>
                    <w:t>10</w:t>
                  </w:r>
                  <w:r>
                    <w:rPr>
                      <w:rFonts w:hint="eastAsia" w:ascii="Times New Roman" w:hAnsi="Times New Roman" w:eastAsia="宋体"/>
                      <w:color w:val="auto"/>
                      <w:highlight w:val="none"/>
                      <w:lang w:val="en-US" w:eastAsia="zh-CN"/>
                    </w:rPr>
                    <w:t>m</w:t>
                  </w:r>
                </w:p>
              </w:tc>
              <w:tc>
                <w:tcPr>
                  <w:tcW w:w="722" w:type="pct"/>
                  <w:noWrap w:val="0"/>
                  <w:vAlign w:val="center"/>
                </w:tcPr>
                <w:p w14:paraId="4BB8AEC2">
                  <w:pPr>
                    <w:pStyle w:val="95"/>
                    <w:bidi w:val="0"/>
                    <w:jc w:val="center"/>
                    <w:rPr>
                      <w:rFonts w:hint="default" w:ascii="Times New Roman" w:hAnsi="Times New Roman" w:eastAsia="宋体"/>
                      <w:color w:val="auto"/>
                      <w:highlight w:val="none"/>
                      <w:lang w:val="en-US" w:eastAsia="zh-CN"/>
                    </w:rPr>
                  </w:pPr>
                  <w:r>
                    <w:rPr>
                      <w:rFonts w:hint="eastAsia"/>
                      <w:color w:val="auto"/>
                      <w:highlight w:val="none"/>
                      <w:lang w:val="en-US" w:eastAsia="zh-CN"/>
                    </w:rPr>
                    <w:t>约142人</w:t>
                  </w:r>
                </w:p>
              </w:tc>
              <w:tc>
                <w:tcPr>
                  <w:tcW w:w="1492" w:type="pct"/>
                  <w:vMerge w:val="restart"/>
                  <w:noWrap w:val="0"/>
                  <w:vAlign w:val="center"/>
                </w:tcPr>
                <w:p w14:paraId="4146EAE4">
                  <w:pPr>
                    <w:pStyle w:val="95"/>
                    <w:bidi w:val="0"/>
                    <w:jc w:val="center"/>
                    <w:rPr>
                      <w:rFonts w:hint="eastAsia"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《声环境质量标准》（GB3096-2008）</w:t>
                  </w:r>
                  <w:r>
                    <w:rPr>
                      <w:rFonts w:hint="eastAsia" w:ascii="Times New Roman" w:hAnsi="Times New Roman" w:eastAsia="宋体"/>
                      <w:color w:val="auto"/>
                      <w:highlight w:val="none"/>
                      <w:lang w:val="en-US" w:eastAsia="zh-CN"/>
                    </w:rPr>
                    <w:t>2类标准</w:t>
                  </w:r>
                </w:p>
              </w:tc>
            </w:tr>
            <w:tr w14:paraId="725C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651" w:type="pct"/>
                  <w:vMerge w:val="continue"/>
                  <w:noWrap w:val="0"/>
                  <w:vAlign w:val="center"/>
                </w:tcPr>
                <w:p w14:paraId="5AB815C6">
                  <w:pPr>
                    <w:pStyle w:val="95"/>
                    <w:bidi w:val="0"/>
                    <w:jc w:val="center"/>
                  </w:pPr>
                </w:p>
              </w:tc>
              <w:tc>
                <w:tcPr>
                  <w:tcW w:w="1948" w:type="dxa"/>
                  <w:noWrap w:val="0"/>
                  <w:vAlign w:val="center"/>
                </w:tcPr>
                <w:p w14:paraId="6CE47F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val="0"/>
                      <w:bCs/>
                      <w:color w:val="auto"/>
                      <w:highlight w:val="none"/>
                      <w:lang w:val="en-US" w:eastAsia="zh-CN"/>
                    </w:rPr>
                  </w:pPr>
                  <w:r>
                    <w:rPr>
                      <w:rFonts w:hint="eastAsia" w:ascii="Times New Roman" w:hAnsi="Times New Roman" w:eastAsia="宋体" w:cs="Times New Roman"/>
                      <w:b w:val="0"/>
                      <w:bCs/>
                      <w:color w:val="auto"/>
                      <w:sz w:val="21"/>
                      <w:szCs w:val="21"/>
                      <w:lang w:val="en-US" w:eastAsia="zh-CN"/>
                    </w:rPr>
                    <w:t>泰府名邸</w:t>
                  </w:r>
                </w:p>
              </w:tc>
              <w:tc>
                <w:tcPr>
                  <w:tcW w:w="403" w:type="pct"/>
                  <w:noWrap w:val="0"/>
                  <w:vAlign w:val="center"/>
                </w:tcPr>
                <w:p w14:paraId="727D3279">
                  <w:pPr>
                    <w:pStyle w:val="95"/>
                    <w:bidi w:val="0"/>
                    <w:jc w:val="center"/>
                    <w:rPr>
                      <w:rFonts w:hint="default"/>
                      <w:color w:val="auto"/>
                      <w:highlight w:val="none"/>
                      <w:lang w:val="en-US" w:eastAsia="zh-CN"/>
                    </w:rPr>
                  </w:pPr>
                  <w:r>
                    <w:rPr>
                      <w:rFonts w:hint="eastAsia"/>
                      <w:color w:val="auto"/>
                      <w:highlight w:val="none"/>
                      <w:lang w:val="en-US" w:eastAsia="zh-CN"/>
                    </w:rPr>
                    <w:t>E</w:t>
                  </w:r>
                </w:p>
              </w:tc>
              <w:tc>
                <w:tcPr>
                  <w:tcW w:w="597" w:type="pct"/>
                  <w:noWrap w:val="0"/>
                  <w:vAlign w:val="center"/>
                </w:tcPr>
                <w:p w14:paraId="23F851F8">
                  <w:pPr>
                    <w:pStyle w:val="95"/>
                    <w:bidi w:val="0"/>
                    <w:jc w:val="center"/>
                    <w:rPr>
                      <w:rFonts w:hint="default"/>
                      <w:color w:val="auto"/>
                      <w:highlight w:val="none"/>
                      <w:lang w:val="en-US" w:eastAsia="zh-CN"/>
                    </w:rPr>
                  </w:pPr>
                  <w:r>
                    <w:rPr>
                      <w:rFonts w:hint="eastAsia"/>
                      <w:color w:val="auto"/>
                      <w:highlight w:val="none"/>
                      <w:lang w:val="en-US" w:eastAsia="zh-CN"/>
                    </w:rPr>
                    <w:t>21m</w:t>
                  </w:r>
                </w:p>
              </w:tc>
              <w:tc>
                <w:tcPr>
                  <w:tcW w:w="722" w:type="pct"/>
                  <w:noWrap w:val="0"/>
                  <w:vAlign w:val="center"/>
                </w:tcPr>
                <w:p w14:paraId="4B122527">
                  <w:pPr>
                    <w:pStyle w:val="95"/>
                    <w:bidi w:val="0"/>
                    <w:jc w:val="center"/>
                    <w:rPr>
                      <w:rFonts w:hint="default"/>
                      <w:color w:val="auto"/>
                      <w:highlight w:val="none"/>
                      <w:lang w:val="en-US" w:eastAsia="zh-CN"/>
                    </w:rPr>
                  </w:pPr>
                  <w:r>
                    <w:rPr>
                      <w:rFonts w:hint="eastAsia"/>
                      <w:color w:val="auto"/>
                      <w:highlight w:val="none"/>
                      <w:lang w:val="en-US" w:eastAsia="zh-CN"/>
                    </w:rPr>
                    <w:t>约3642人</w:t>
                  </w:r>
                </w:p>
              </w:tc>
              <w:tc>
                <w:tcPr>
                  <w:tcW w:w="1492" w:type="pct"/>
                  <w:vMerge w:val="continue"/>
                  <w:noWrap w:val="0"/>
                  <w:vAlign w:val="center"/>
                </w:tcPr>
                <w:p w14:paraId="29681711">
                  <w:pPr>
                    <w:pStyle w:val="95"/>
                    <w:bidi w:val="0"/>
                    <w:jc w:val="center"/>
                    <w:rPr>
                      <w:rFonts w:hint="eastAsia"/>
                      <w:color w:val="auto"/>
                      <w:highlight w:val="none"/>
                      <w:lang w:val="en-US" w:eastAsia="zh-CN"/>
                    </w:rPr>
                  </w:pPr>
                </w:p>
              </w:tc>
            </w:tr>
          </w:tbl>
          <w:p w14:paraId="04A369C0">
            <w:pPr>
              <w:adjustRightInd w:val="0"/>
              <w:snapToGrid w:val="0"/>
              <w:spacing w:line="360" w:lineRule="auto"/>
              <w:ind w:firstLine="482" w:firstLineChars="200"/>
              <w:rPr>
                <w:rFonts w:hint="eastAsia" w:ascii="Times New Roman" w:hAnsi="Times New Roman" w:eastAsia="宋体" w:cs="Times New Roman"/>
                <w:b/>
                <w:bCs/>
                <w:iCs/>
                <w:color w:val="auto"/>
                <w:sz w:val="24"/>
                <w:lang w:val="en-US" w:eastAsia="zh-CN"/>
              </w:rPr>
            </w:pPr>
            <w:r>
              <w:rPr>
                <w:rFonts w:hint="eastAsia" w:cs="Times New Roman"/>
                <w:b/>
                <w:bCs/>
                <w:iCs/>
                <w:color w:val="auto"/>
                <w:sz w:val="24"/>
                <w:lang w:val="en-US" w:eastAsia="zh-CN"/>
              </w:rPr>
              <w:t>3、地下水环境</w:t>
            </w:r>
          </w:p>
          <w:p w14:paraId="11EAB195">
            <w:pPr>
              <w:adjustRightInd w:val="0"/>
              <w:snapToGrid w:val="0"/>
              <w:spacing w:line="360" w:lineRule="auto"/>
              <w:ind w:firstLine="480" w:firstLineChars="200"/>
              <w:rPr>
                <w:rFonts w:hint="default" w:ascii="Times New Roman" w:hAnsi="Times New Roman" w:eastAsia="宋体" w:cs="Times New Roman"/>
                <w:b/>
                <w:bCs/>
                <w:iCs/>
                <w:color w:val="auto"/>
                <w:sz w:val="24"/>
              </w:rPr>
            </w:pPr>
            <w:r>
              <w:rPr>
                <w:rFonts w:hint="default" w:ascii="Times New Roman" w:hAnsi="Times New Roman" w:cs="Times New Roman"/>
                <w:color w:val="auto"/>
                <w:sz w:val="24"/>
                <w:szCs w:val="24"/>
              </w:rPr>
              <w:t>厂界外500m范围内无地下水集中式使用水水源和热水、矿泉水、温泉等特殊地下水资源</w:t>
            </w:r>
            <w:r>
              <w:rPr>
                <w:rFonts w:hint="eastAsia" w:cs="Times New Roman"/>
                <w:color w:val="auto"/>
                <w:sz w:val="24"/>
                <w:szCs w:val="24"/>
                <w:lang w:eastAsia="zh-CN"/>
              </w:rPr>
              <w:t>。</w:t>
            </w:r>
          </w:p>
          <w:p w14:paraId="5EB0A8E3">
            <w:pPr>
              <w:adjustRightInd w:val="0"/>
              <w:snapToGrid w:val="0"/>
              <w:spacing w:line="360" w:lineRule="auto"/>
              <w:ind w:firstLine="482" w:firstLineChars="200"/>
              <w:rPr>
                <w:rFonts w:hint="default" w:ascii="Times New Roman" w:hAnsi="Times New Roman" w:eastAsia="宋体" w:cs="Times New Roman"/>
                <w:b/>
                <w:bCs/>
                <w:iCs/>
                <w:color w:val="auto"/>
                <w:sz w:val="24"/>
              </w:rPr>
            </w:pPr>
            <w:r>
              <w:rPr>
                <w:rFonts w:hint="default" w:ascii="Times New Roman" w:hAnsi="Times New Roman" w:eastAsia="宋体" w:cs="Times New Roman"/>
                <w:b/>
                <w:bCs/>
                <w:iCs/>
                <w:color w:val="auto"/>
                <w:sz w:val="24"/>
              </w:rPr>
              <w:t>4、</w:t>
            </w:r>
            <w:r>
              <w:rPr>
                <w:rFonts w:hint="eastAsia" w:ascii="Times New Roman" w:hAnsi="Times New Roman" w:eastAsia="宋体" w:cs="Times New Roman"/>
                <w:b/>
                <w:bCs/>
                <w:iCs/>
                <w:color w:val="auto"/>
                <w:sz w:val="24"/>
                <w:lang w:val="en-US" w:eastAsia="zh-CN"/>
              </w:rPr>
              <w:t>生态</w:t>
            </w:r>
            <w:r>
              <w:rPr>
                <w:rFonts w:hint="default" w:ascii="Times New Roman" w:hAnsi="Times New Roman" w:eastAsia="宋体" w:cs="Times New Roman"/>
                <w:b/>
                <w:bCs/>
                <w:iCs/>
                <w:color w:val="auto"/>
                <w:sz w:val="24"/>
                <w:lang w:val="en-US" w:eastAsia="zh-CN"/>
              </w:rPr>
              <w:t>环境保护目标</w:t>
            </w:r>
          </w:p>
          <w:p w14:paraId="263B049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Cs w:val="21"/>
                <w:lang w:val="en-US" w:eastAsia="zh-CN"/>
              </w:rPr>
            </w:pPr>
            <w:r>
              <w:rPr>
                <w:rFonts w:hint="default" w:ascii="Times New Roman" w:hAnsi="Times New Roman" w:cs="Times New Roman"/>
                <w:color w:val="auto"/>
                <w:sz w:val="24"/>
              </w:rPr>
              <w:t>本项目位于</w:t>
            </w:r>
            <w:r>
              <w:rPr>
                <w:rFonts w:hint="eastAsia" w:cs="Times New Roman"/>
                <w:color w:val="auto"/>
                <w:sz w:val="24"/>
                <w:szCs w:val="24"/>
                <w:lang w:val="en-US" w:eastAsia="zh-CN"/>
              </w:rPr>
              <w:t>安徽省淮南市潘集区珠江路北侧、武夷山路西侧</w:t>
            </w:r>
            <w:r>
              <w:rPr>
                <w:rFonts w:hint="default" w:ascii="Times New Roman" w:hAnsi="Times New Roman" w:cs="Times New Roman"/>
                <w:color w:val="auto"/>
                <w:sz w:val="24"/>
              </w:rPr>
              <w:t>，</w:t>
            </w:r>
            <w:r>
              <w:rPr>
                <w:rFonts w:hint="eastAsia"/>
                <w:sz w:val="24"/>
              </w:rPr>
              <w:t>属于</w:t>
            </w:r>
            <w:r>
              <w:rPr>
                <w:sz w:val="24"/>
              </w:rPr>
              <w:t>规划的工业园区内</w:t>
            </w:r>
            <w:r>
              <w:rPr>
                <w:rFonts w:hint="eastAsia"/>
                <w:sz w:val="24"/>
                <w:lang w:eastAsia="zh-CN"/>
              </w:rPr>
              <w:t>，</w:t>
            </w:r>
            <w:r>
              <w:rPr>
                <w:rFonts w:hint="default" w:ascii="Times New Roman" w:hAnsi="Times New Roman" w:cs="Times New Roman"/>
                <w:color w:val="auto"/>
                <w:sz w:val="24"/>
                <w:lang w:val="en-US" w:eastAsia="zh-CN"/>
              </w:rPr>
              <w:t>项目为现状</w:t>
            </w:r>
            <w:r>
              <w:rPr>
                <w:rFonts w:hint="eastAsia" w:cs="Times New Roman"/>
                <w:color w:val="auto"/>
                <w:sz w:val="24"/>
                <w:lang w:val="en-US" w:eastAsia="zh-CN"/>
              </w:rPr>
              <w:t>医卫慈善用地，附近</w:t>
            </w:r>
            <w:r>
              <w:rPr>
                <w:rFonts w:hint="default" w:ascii="Times New Roman" w:hAnsi="Times New Roman" w:cs="Times New Roman"/>
                <w:color w:val="auto"/>
                <w:sz w:val="24"/>
                <w:szCs w:val="24"/>
              </w:rPr>
              <w:t>无生态环境保护目标</w:t>
            </w:r>
            <w:r>
              <w:rPr>
                <w:rFonts w:hint="eastAsia" w:cs="Times New Roman"/>
                <w:color w:val="auto"/>
                <w:sz w:val="24"/>
                <w:szCs w:val="24"/>
                <w:lang w:eastAsia="zh-CN"/>
              </w:rPr>
              <w:t>。</w:t>
            </w:r>
          </w:p>
        </w:tc>
      </w:tr>
      <w:tr w14:paraId="17CCF2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5" w:type="pct"/>
            <w:noWrap w:val="0"/>
            <w:tcMar>
              <w:left w:w="28" w:type="dxa"/>
              <w:right w:w="28" w:type="dxa"/>
            </w:tcMar>
            <w:vAlign w:val="center"/>
          </w:tcPr>
          <w:p w14:paraId="1264FB2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bCs/>
                <w:color w:val="auto"/>
                <w:kern w:val="0"/>
                <w:sz w:val="24"/>
                <w:szCs w:val="24"/>
              </w:rPr>
            </w:pPr>
            <w:r>
              <w:rPr>
                <w:rFonts w:hint="default" w:ascii="Times New Roman" w:hAnsi="Times New Roman" w:cs="Times New Roman"/>
                <w:b/>
                <w:bCs/>
                <w:color w:val="auto"/>
                <w:kern w:val="0"/>
                <w:sz w:val="24"/>
                <w:szCs w:val="24"/>
              </w:rPr>
              <w:t>污染</w:t>
            </w:r>
          </w:p>
          <w:p w14:paraId="670C725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bCs/>
                <w:color w:val="auto"/>
                <w:kern w:val="0"/>
                <w:sz w:val="24"/>
                <w:szCs w:val="24"/>
              </w:rPr>
            </w:pPr>
            <w:r>
              <w:rPr>
                <w:rFonts w:hint="default" w:ascii="Times New Roman" w:hAnsi="Times New Roman" w:cs="Times New Roman"/>
                <w:b/>
                <w:bCs/>
                <w:color w:val="auto"/>
                <w:kern w:val="0"/>
                <w:sz w:val="24"/>
                <w:szCs w:val="24"/>
              </w:rPr>
              <w:t>物排</w:t>
            </w:r>
          </w:p>
          <w:p w14:paraId="187AC5D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bCs/>
                <w:color w:val="auto"/>
                <w:kern w:val="0"/>
                <w:sz w:val="24"/>
                <w:szCs w:val="24"/>
              </w:rPr>
            </w:pPr>
            <w:r>
              <w:rPr>
                <w:rFonts w:hint="default" w:ascii="Times New Roman" w:hAnsi="Times New Roman" w:cs="Times New Roman"/>
                <w:b/>
                <w:bCs/>
                <w:color w:val="auto"/>
                <w:kern w:val="0"/>
                <w:sz w:val="24"/>
                <w:szCs w:val="24"/>
              </w:rPr>
              <w:t>放控</w:t>
            </w:r>
          </w:p>
          <w:p w14:paraId="754A839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bCs/>
                <w:color w:val="auto"/>
                <w:kern w:val="0"/>
                <w:sz w:val="24"/>
                <w:szCs w:val="24"/>
              </w:rPr>
            </w:pPr>
            <w:r>
              <w:rPr>
                <w:rFonts w:hint="default" w:ascii="Times New Roman" w:hAnsi="Times New Roman" w:cs="Times New Roman"/>
                <w:b/>
                <w:bCs/>
                <w:color w:val="auto"/>
                <w:kern w:val="0"/>
                <w:sz w:val="24"/>
                <w:szCs w:val="24"/>
              </w:rPr>
              <w:t>制标</w:t>
            </w:r>
          </w:p>
          <w:p w14:paraId="3CC65F4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auto"/>
                <w:kern w:val="0"/>
                <w:szCs w:val="21"/>
              </w:rPr>
            </w:pPr>
            <w:r>
              <w:rPr>
                <w:rFonts w:hint="default" w:ascii="Times New Roman" w:hAnsi="Times New Roman" w:cs="Times New Roman"/>
                <w:b/>
                <w:bCs/>
                <w:color w:val="auto"/>
                <w:kern w:val="0"/>
                <w:sz w:val="24"/>
                <w:szCs w:val="24"/>
              </w:rPr>
              <w:t>准</w:t>
            </w:r>
          </w:p>
        </w:tc>
        <w:tc>
          <w:tcPr>
            <w:tcW w:w="4714" w:type="pct"/>
            <w:noWrap w:val="0"/>
            <w:vAlign w:val="center"/>
          </w:tcPr>
          <w:p w14:paraId="15739272">
            <w:pPr>
              <w:keepNext w:val="0"/>
              <w:keepLines w:val="0"/>
              <w:pageBreakBefore w:val="0"/>
              <w:kinsoku/>
              <w:wordWrap/>
              <w:overflowPunct/>
              <w:topLinePunct w:val="0"/>
              <w:autoSpaceDE/>
              <w:autoSpaceDN/>
              <w:bidi w:val="0"/>
              <w:adjustRightInd/>
              <w:spacing w:line="360" w:lineRule="auto"/>
              <w:ind w:left="0" w:right="0" w:firstLine="480" w:firstLineChars="200"/>
              <w:jc w:val="both"/>
              <w:textAlignment w:val="auto"/>
              <w:rPr>
                <w:rFonts w:hint="default" w:ascii="Times New Roman" w:hAnsi="Times New Roman" w:cs="Times New Roman"/>
                <w:b/>
                <w:color w:val="auto"/>
                <w:sz w:val="24"/>
                <w:szCs w:val="24"/>
              </w:rPr>
            </w:pPr>
            <w:r>
              <w:rPr>
                <w:rFonts w:hint="default" w:ascii="Times New Roman" w:hAnsi="Times New Roman" w:eastAsia="Times New Roman" w:cs="Times New Roman"/>
                <w:b/>
                <w:color w:val="auto"/>
                <w:sz w:val="24"/>
                <w:szCs w:val="24"/>
              </w:rPr>
              <w:t>1</w:t>
            </w:r>
            <w:r>
              <w:rPr>
                <w:rFonts w:hint="default" w:ascii="Times New Roman" w:hAnsi="Times New Roman" w:cs="Times New Roman"/>
                <w:b/>
                <w:color w:val="auto"/>
                <w:sz w:val="24"/>
                <w:szCs w:val="24"/>
              </w:rPr>
              <w:t>、大气污染物排放标准</w:t>
            </w:r>
          </w:p>
          <w:p w14:paraId="53BC0872">
            <w:pPr>
              <w:spacing w:line="360" w:lineRule="auto"/>
              <w:ind w:firstLine="480" w:firstLineChars="200"/>
              <w:rPr>
                <w:b/>
                <w:bCs/>
                <w:color w:val="auto"/>
                <w:sz w:val="24"/>
                <w:szCs w:val="32"/>
              </w:rPr>
            </w:pPr>
            <w:r>
              <w:rPr>
                <w:sz w:val="24"/>
              </w:rPr>
              <w:t>本项目</w:t>
            </w:r>
            <w:r>
              <w:rPr>
                <w:rFonts w:hint="eastAsia"/>
                <w:sz w:val="24"/>
                <w:lang w:val="en-US" w:eastAsia="zh-CN"/>
              </w:rPr>
              <w:t>污水处理站</w:t>
            </w:r>
            <w:r>
              <w:rPr>
                <w:rFonts w:hint="eastAsia"/>
                <w:sz w:val="24"/>
              </w:rPr>
              <w:t>产生的</w:t>
            </w:r>
            <w:r>
              <w:rPr>
                <w:rFonts w:hint="eastAsia"/>
                <w:sz w:val="24"/>
                <w:lang w:val="en-US" w:eastAsia="zh-CN"/>
              </w:rPr>
              <w:t>恶臭</w:t>
            </w:r>
            <w:r>
              <w:rPr>
                <w:sz w:val="24"/>
                <w:szCs w:val="32"/>
              </w:rPr>
              <w:t>废气</w:t>
            </w:r>
            <w:r>
              <w:rPr>
                <w:rFonts w:hint="eastAsia" w:cs="Times New Roman"/>
                <w:b w:val="0"/>
                <w:bCs w:val="0"/>
                <w:color w:val="auto"/>
                <w:sz w:val="24"/>
                <w:u w:val="none"/>
                <w:lang w:val="en-US" w:eastAsia="zh-CN"/>
              </w:rPr>
              <w:t>氨、</w:t>
            </w:r>
            <w:r>
              <w:rPr>
                <w:rFonts w:hint="eastAsia" w:ascii="宋体" w:hAnsi="宋体" w:cs="宋体"/>
                <w:color w:val="auto"/>
                <w:kern w:val="0"/>
                <w:sz w:val="24"/>
                <w:szCs w:val="24"/>
                <w:lang w:val="en-US" w:eastAsia="zh-CN" w:bidi="ar"/>
              </w:rPr>
              <w:t>硫化氢和臭气浓度有组织排放执行</w:t>
            </w:r>
            <w:r>
              <w:rPr>
                <w:rFonts w:hint="default" w:ascii="Times New Roman" w:hAnsi="Times New Roman" w:eastAsia="宋体" w:cs="Times New Roman"/>
                <w:color w:val="auto"/>
                <w:sz w:val="24"/>
                <w:szCs w:val="24"/>
              </w:rPr>
              <w:t>《恶臭污染物排放标准》（GB14554-93）表2中相关标准</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无组织</w:t>
            </w:r>
            <w:r>
              <w:rPr>
                <w:rFonts w:hint="eastAsia"/>
                <w:color w:val="auto"/>
                <w:sz w:val="24"/>
                <w:szCs w:val="21"/>
              </w:rPr>
              <w:t>排放</w:t>
            </w:r>
            <w:r>
              <w:rPr>
                <w:color w:val="auto"/>
                <w:sz w:val="24"/>
                <w:szCs w:val="21"/>
              </w:rPr>
              <w:t>执行</w:t>
            </w:r>
            <w:r>
              <w:rPr>
                <w:rFonts w:hint="eastAsia"/>
                <w:color w:val="auto"/>
                <w:sz w:val="24"/>
                <w:szCs w:val="24"/>
                <w:highlight w:val="none"/>
                <w:lang w:val="en-US" w:eastAsia="zh-CN"/>
              </w:rPr>
              <w:t>《医疗机构水污染物排放标准》（GB18466-2005）中表3污水处理站周边大气污染物最高允许浓度</w:t>
            </w:r>
            <w:r>
              <w:rPr>
                <w:rFonts w:hint="eastAsia"/>
                <w:color w:val="auto"/>
                <w:sz w:val="24"/>
                <w:szCs w:val="32"/>
              </w:rPr>
              <w:t>。具体标准如下：</w:t>
            </w:r>
          </w:p>
          <w:p w14:paraId="63468838">
            <w:pPr>
              <w:adjustRightInd w:val="0"/>
              <w:snapToGrid w:val="0"/>
              <w:jc w:val="center"/>
              <w:rPr>
                <w:rFonts w:hint="eastAsia" w:eastAsia="宋体"/>
                <w:b/>
                <w:bCs/>
                <w:sz w:val="24"/>
                <w:szCs w:val="32"/>
                <w:lang w:eastAsia="zh-CN"/>
              </w:rPr>
            </w:pPr>
            <w:r>
              <w:rPr>
                <w:b/>
                <w:bCs/>
                <w:sz w:val="24"/>
                <w:szCs w:val="32"/>
              </w:rPr>
              <w:t>表3-</w:t>
            </w:r>
            <w:r>
              <w:rPr>
                <w:rFonts w:hint="eastAsia"/>
                <w:b/>
                <w:bCs/>
                <w:sz w:val="24"/>
                <w:szCs w:val="32"/>
                <w:lang w:val="en-US" w:eastAsia="zh-CN"/>
              </w:rPr>
              <w:t>4</w:t>
            </w:r>
            <w:r>
              <w:rPr>
                <w:b/>
                <w:bCs/>
                <w:sz w:val="24"/>
                <w:szCs w:val="32"/>
              </w:rPr>
              <w:t xml:space="preserve">  废气污染物排放控制标准</w:t>
            </w:r>
            <w:r>
              <w:rPr>
                <w:rFonts w:hint="eastAsia"/>
                <w:b/>
                <w:bCs/>
                <w:sz w:val="24"/>
                <w:szCs w:val="24"/>
                <w:lang w:eastAsia="zh-CN"/>
              </w:rPr>
              <w:t>（单位：</w:t>
            </w:r>
            <w:r>
              <w:rPr>
                <w:rFonts w:hint="eastAsia"/>
                <w:b/>
                <w:bCs/>
                <w:sz w:val="24"/>
                <w:szCs w:val="24"/>
                <w:lang w:val="en-US" w:eastAsia="zh-CN"/>
              </w:rPr>
              <w:t>mg/m</w:t>
            </w:r>
            <w:r>
              <w:rPr>
                <w:rFonts w:hint="eastAsia"/>
                <w:b/>
                <w:bCs/>
                <w:sz w:val="24"/>
                <w:szCs w:val="24"/>
                <w:vertAlign w:val="superscript"/>
                <w:lang w:val="en-US" w:eastAsia="zh-CN"/>
              </w:rPr>
              <w:t>3</w:t>
            </w:r>
            <w:r>
              <w:rPr>
                <w:rFonts w:hint="eastAsia"/>
                <w:b/>
                <w:bCs/>
                <w:sz w:val="24"/>
                <w:szCs w:val="24"/>
                <w:lang w:eastAsia="zh-CN"/>
              </w:rPr>
              <w:t>）</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2384"/>
              <w:gridCol w:w="2206"/>
              <w:gridCol w:w="2731"/>
            </w:tblGrid>
            <w:tr w14:paraId="5D3A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7" w:type="pct"/>
                  <w:vAlign w:val="center"/>
                </w:tcPr>
                <w:p w14:paraId="57CCC03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bCs/>
                      <w:szCs w:val="20"/>
                    </w:rPr>
                  </w:pPr>
                  <w:r>
                    <w:rPr>
                      <w:rFonts w:hint="default" w:ascii="Times New Roman" w:hAnsi="Times New Roman" w:cs="Times New Roman"/>
                      <w:b/>
                      <w:bCs/>
                      <w:szCs w:val="20"/>
                    </w:rPr>
                    <w:t>污染物</w:t>
                  </w:r>
                </w:p>
              </w:tc>
              <w:tc>
                <w:tcPr>
                  <w:tcW w:w="1397" w:type="pct"/>
                  <w:vAlign w:val="center"/>
                </w:tcPr>
                <w:p w14:paraId="6DD43DED">
                  <w:pPr>
                    <w:pStyle w:val="95"/>
                    <w:ind w:firstLine="0" w:firstLineChars="0"/>
                    <w:rPr>
                      <w:rFonts w:hint="default" w:ascii="Times New Roman" w:hAnsi="Times New Roman" w:cs="Times New Roman"/>
                      <w:b/>
                      <w:bCs/>
                      <w:szCs w:val="20"/>
                    </w:rPr>
                  </w:pPr>
                  <w:r>
                    <w:rPr>
                      <w:rFonts w:hint="default"/>
                      <w:b/>
                      <w:bCs/>
                    </w:rPr>
                    <w:t>有组织排放监控浓度限值</w:t>
                  </w:r>
                </w:p>
              </w:tc>
              <w:tc>
                <w:tcPr>
                  <w:tcW w:w="1293" w:type="pct"/>
                  <w:vAlign w:val="center"/>
                </w:tcPr>
                <w:p w14:paraId="54619C27">
                  <w:pPr>
                    <w:pStyle w:val="95"/>
                    <w:ind w:firstLine="0" w:firstLineChars="0"/>
                    <w:rPr>
                      <w:rFonts w:hint="default" w:ascii="Times New Roman" w:hAnsi="Times New Roman" w:cs="Times New Roman"/>
                      <w:b/>
                      <w:bCs/>
                      <w:szCs w:val="20"/>
                    </w:rPr>
                  </w:pPr>
                  <w:r>
                    <w:rPr>
                      <w:rFonts w:hint="default"/>
                      <w:b/>
                      <w:bCs/>
                    </w:rPr>
                    <w:t>无组织排放监控浓度限值</w:t>
                  </w:r>
                </w:p>
              </w:tc>
              <w:tc>
                <w:tcPr>
                  <w:tcW w:w="1600" w:type="pct"/>
                  <w:vAlign w:val="center"/>
                </w:tcPr>
                <w:p w14:paraId="0C35904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bCs/>
                      <w:szCs w:val="20"/>
                    </w:rPr>
                  </w:pPr>
                  <w:r>
                    <w:rPr>
                      <w:rFonts w:hint="default" w:ascii="Times New Roman" w:hAnsi="Times New Roman" w:cs="Times New Roman"/>
                      <w:b/>
                      <w:bCs/>
                      <w:szCs w:val="20"/>
                    </w:rPr>
                    <w:t>标准来源</w:t>
                  </w:r>
                </w:p>
              </w:tc>
            </w:tr>
            <w:tr w14:paraId="276BE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7" w:type="pct"/>
                  <w:vAlign w:val="center"/>
                </w:tcPr>
                <w:p w14:paraId="25F55E33">
                  <w:pPr>
                    <w:keepNext w:val="0"/>
                    <w:keepLines w:val="0"/>
                    <w:suppressLineNumbers w:val="0"/>
                    <w:spacing w:before="0" w:beforeAutospacing="0" w:after="0" w:afterAutospacing="0"/>
                    <w:ind w:left="0" w:leftChars="0" w:right="0" w:rightChars="0"/>
                    <w:jc w:val="center"/>
                    <w:rPr>
                      <w:rFonts w:hint="eastAsia" w:cs="Times New Roman"/>
                      <w:color w:val="auto"/>
                      <w:szCs w:val="20"/>
                      <w:lang w:eastAsia="zh-CN"/>
                    </w:rPr>
                  </w:pPr>
                  <w:r>
                    <w:rPr>
                      <w:rFonts w:hint="eastAsia" w:cs="Times New Roman"/>
                      <w:color w:val="auto"/>
                      <w:szCs w:val="20"/>
                      <w:lang w:eastAsia="zh-CN"/>
                    </w:rPr>
                    <w:t>氨</w:t>
                  </w:r>
                </w:p>
              </w:tc>
              <w:tc>
                <w:tcPr>
                  <w:tcW w:w="1397" w:type="pct"/>
                  <w:vAlign w:val="center"/>
                </w:tcPr>
                <w:p w14:paraId="484CFCFE">
                  <w:pPr>
                    <w:keepNext w:val="0"/>
                    <w:keepLines w:val="0"/>
                    <w:suppressLineNumbers w:val="0"/>
                    <w:spacing w:before="0" w:beforeAutospacing="0" w:after="0" w:afterAutospacing="0"/>
                    <w:ind w:left="0" w:leftChars="0" w:right="0" w:rightChars="0"/>
                    <w:jc w:val="center"/>
                    <w:rPr>
                      <w:rFonts w:hint="default" w:cs="Times New Roman"/>
                      <w:color w:val="auto"/>
                      <w:szCs w:val="20"/>
                      <w:lang w:val="en-US" w:eastAsia="zh-CN"/>
                    </w:rPr>
                  </w:pPr>
                  <w:r>
                    <w:rPr>
                      <w:rFonts w:hint="eastAsia" w:cs="Times New Roman"/>
                      <w:color w:val="auto"/>
                      <w:szCs w:val="20"/>
                      <w:lang w:val="en-US" w:eastAsia="zh-CN"/>
                    </w:rPr>
                    <w:t>4.9kg/h</w:t>
                  </w:r>
                </w:p>
              </w:tc>
              <w:tc>
                <w:tcPr>
                  <w:tcW w:w="1293" w:type="pct"/>
                  <w:vAlign w:val="center"/>
                </w:tcPr>
                <w:p w14:paraId="380003BF">
                  <w:pPr>
                    <w:keepNext w:val="0"/>
                    <w:keepLines w:val="0"/>
                    <w:suppressLineNumbers w:val="0"/>
                    <w:spacing w:before="0" w:beforeAutospacing="0" w:after="0" w:afterAutospacing="0"/>
                    <w:ind w:left="0" w:leftChars="0" w:right="0" w:rightChars="0"/>
                    <w:jc w:val="center"/>
                    <w:rPr>
                      <w:rFonts w:hint="default" w:cs="Times New Roman"/>
                      <w:color w:val="auto"/>
                      <w:sz w:val="21"/>
                      <w:szCs w:val="21"/>
                      <w:lang w:val="en-US" w:eastAsia="zh-CN"/>
                    </w:rPr>
                  </w:pPr>
                  <w:r>
                    <w:rPr>
                      <w:rFonts w:hint="eastAsia" w:cs="Times New Roman"/>
                      <w:color w:val="auto"/>
                      <w:sz w:val="21"/>
                      <w:szCs w:val="21"/>
                      <w:lang w:val="en-US" w:eastAsia="zh-CN"/>
                    </w:rPr>
                    <w:t>1.0</w:t>
                  </w:r>
                </w:p>
              </w:tc>
              <w:tc>
                <w:tcPr>
                  <w:tcW w:w="1600" w:type="pct"/>
                  <w:vMerge w:val="restart"/>
                  <w:vAlign w:val="center"/>
                </w:tcPr>
                <w:p w14:paraId="50FF6A41">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color w:val="auto"/>
                      <w:sz w:val="21"/>
                      <w:szCs w:val="21"/>
                      <w:u w:val="none"/>
                      <w:lang w:val="en-US" w:eastAsia="zh-CN"/>
                    </w:rPr>
                  </w:pPr>
                  <w:r>
                    <w:rPr>
                      <w:rFonts w:hint="eastAsia"/>
                      <w:color w:val="auto"/>
                      <w:sz w:val="21"/>
                      <w:szCs w:val="21"/>
                      <w:highlight w:val="none"/>
                      <w:lang w:val="en-US" w:eastAsia="zh-CN"/>
                    </w:rPr>
                    <w:t>《医疗机构水污染物排放标准》（GB18466-2005）</w:t>
                  </w:r>
                  <w:r>
                    <w:rPr>
                      <w:rFonts w:hint="eastAsia" w:ascii="Times New Roman" w:hAnsi="Times New Roman" w:eastAsia="宋体" w:cs="Times New Roman"/>
                      <w:color w:val="000000"/>
                      <w:sz w:val="21"/>
                      <w:szCs w:val="21"/>
                      <w:highlight w:val="none"/>
                      <w:lang w:eastAsia="zh-CN"/>
                    </w:rPr>
                    <w:t>、</w:t>
                  </w:r>
                  <w:r>
                    <w:rPr>
                      <w:rFonts w:hint="default" w:ascii="Times New Roman" w:hAnsi="Times New Roman" w:eastAsia="宋体" w:cs="Times New Roman"/>
                      <w:color w:val="auto"/>
                      <w:sz w:val="21"/>
                      <w:szCs w:val="21"/>
                    </w:rPr>
                    <w:t>《恶臭污染物排放标准》（GB14554-93）</w:t>
                  </w:r>
                </w:p>
              </w:tc>
            </w:tr>
            <w:tr w14:paraId="5A46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7" w:type="pct"/>
                  <w:vAlign w:val="center"/>
                </w:tcPr>
                <w:p w14:paraId="1E64B533">
                  <w:pPr>
                    <w:keepNext w:val="0"/>
                    <w:keepLines w:val="0"/>
                    <w:suppressLineNumbers w:val="0"/>
                    <w:spacing w:before="0" w:beforeAutospacing="0" w:after="0" w:afterAutospacing="0"/>
                    <w:ind w:left="0" w:leftChars="0" w:right="0" w:rightChars="0"/>
                    <w:jc w:val="center"/>
                    <w:rPr>
                      <w:rFonts w:hint="eastAsia" w:cs="Times New Roman"/>
                      <w:color w:val="auto"/>
                      <w:szCs w:val="20"/>
                      <w:lang w:eastAsia="zh-CN"/>
                    </w:rPr>
                  </w:pPr>
                  <w:r>
                    <w:rPr>
                      <w:rFonts w:hint="eastAsia" w:cs="Times New Roman"/>
                      <w:color w:val="auto"/>
                      <w:szCs w:val="20"/>
                      <w:lang w:eastAsia="zh-CN"/>
                    </w:rPr>
                    <w:t>硫化氢</w:t>
                  </w:r>
                </w:p>
              </w:tc>
              <w:tc>
                <w:tcPr>
                  <w:tcW w:w="1397" w:type="pct"/>
                  <w:vAlign w:val="center"/>
                </w:tcPr>
                <w:p w14:paraId="6ADE892F">
                  <w:pPr>
                    <w:keepNext w:val="0"/>
                    <w:keepLines w:val="0"/>
                    <w:suppressLineNumbers w:val="0"/>
                    <w:spacing w:before="0" w:beforeAutospacing="0" w:after="0" w:afterAutospacing="0"/>
                    <w:ind w:left="0" w:leftChars="0" w:right="0" w:rightChars="0"/>
                    <w:jc w:val="center"/>
                    <w:rPr>
                      <w:rFonts w:hint="default" w:cs="Times New Roman"/>
                      <w:color w:val="auto"/>
                      <w:szCs w:val="20"/>
                      <w:lang w:val="en-US" w:eastAsia="zh-CN"/>
                    </w:rPr>
                  </w:pPr>
                  <w:r>
                    <w:rPr>
                      <w:rFonts w:hint="eastAsia" w:cs="Times New Roman"/>
                      <w:color w:val="auto"/>
                      <w:szCs w:val="20"/>
                      <w:lang w:val="en-US" w:eastAsia="zh-CN"/>
                    </w:rPr>
                    <w:t>0.33kg/h</w:t>
                  </w:r>
                </w:p>
              </w:tc>
              <w:tc>
                <w:tcPr>
                  <w:tcW w:w="1293" w:type="pct"/>
                  <w:vAlign w:val="center"/>
                </w:tcPr>
                <w:p w14:paraId="45BC3123">
                  <w:pPr>
                    <w:keepNext w:val="0"/>
                    <w:keepLines w:val="0"/>
                    <w:suppressLineNumbers w:val="0"/>
                    <w:spacing w:before="0" w:beforeAutospacing="0" w:after="0" w:afterAutospacing="0"/>
                    <w:ind w:left="0" w:leftChars="0" w:right="0" w:rightChars="0"/>
                    <w:jc w:val="center"/>
                    <w:rPr>
                      <w:rFonts w:hint="default" w:cs="Times New Roman"/>
                      <w:color w:val="auto"/>
                      <w:sz w:val="21"/>
                      <w:szCs w:val="21"/>
                      <w:lang w:val="en-US" w:eastAsia="zh-CN"/>
                    </w:rPr>
                  </w:pPr>
                  <w:r>
                    <w:rPr>
                      <w:rFonts w:hint="eastAsia" w:cs="Times New Roman"/>
                      <w:color w:val="auto"/>
                      <w:sz w:val="21"/>
                      <w:szCs w:val="21"/>
                      <w:lang w:val="en-US" w:eastAsia="zh-CN"/>
                    </w:rPr>
                    <w:t>0.03</w:t>
                  </w:r>
                </w:p>
              </w:tc>
              <w:tc>
                <w:tcPr>
                  <w:tcW w:w="1600" w:type="pct"/>
                  <w:vMerge w:val="continue"/>
                  <w:vAlign w:val="center"/>
                </w:tcPr>
                <w:p w14:paraId="25CCCE0F">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auto"/>
                      <w:sz w:val="21"/>
                      <w:szCs w:val="21"/>
                      <w:u w:val="none"/>
                      <w:lang w:val="en-US" w:eastAsia="zh-CN"/>
                    </w:rPr>
                  </w:pPr>
                </w:p>
              </w:tc>
            </w:tr>
            <w:tr w14:paraId="2D33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7" w:type="pct"/>
                  <w:vAlign w:val="center"/>
                </w:tcPr>
                <w:p w14:paraId="67AE1253">
                  <w:pPr>
                    <w:keepNext w:val="0"/>
                    <w:keepLines w:val="0"/>
                    <w:suppressLineNumbers w:val="0"/>
                    <w:spacing w:before="0" w:beforeAutospacing="0" w:after="0" w:afterAutospacing="0"/>
                    <w:ind w:left="0" w:leftChars="0" w:right="0" w:rightChars="0"/>
                    <w:jc w:val="center"/>
                    <w:rPr>
                      <w:rFonts w:hint="eastAsia" w:cs="Times New Roman"/>
                      <w:color w:val="auto"/>
                      <w:szCs w:val="20"/>
                      <w:lang w:eastAsia="zh-CN"/>
                    </w:rPr>
                  </w:pPr>
                  <w:r>
                    <w:rPr>
                      <w:rFonts w:hint="eastAsia" w:cs="Times New Roman"/>
                      <w:color w:val="auto"/>
                      <w:szCs w:val="20"/>
                      <w:lang w:eastAsia="zh-CN"/>
                    </w:rPr>
                    <w:t>臭气浓度</w:t>
                  </w:r>
                </w:p>
              </w:tc>
              <w:tc>
                <w:tcPr>
                  <w:tcW w:w="1397" w:type="pct"/>
                  <w:vAlign w:val="center"/>
                </w:tcPr>
                <w:p w14:paraId="5973CBDB">
                  <w:pPr>
                    <w:keepNext w:val="0"/>
                    <w:keepLines w:val="0"/>
                    <w:suppressLineNumbers w:val="0"/>
                    <w:spacing w:before="0" w:beforeAutospacing="0" w:after="0" w:afterAutospacing="0"/>
                    <w:ind w:left="0" w:leftChars="0" w:right="0" w:rightChars="0"/>
                    <w:jc w:val="center"/>
                    <w:rPr>
                      <w:rFonts w:hint="default" w:cs="Times New Roman"/>
                      <w:color w:val="auto"/>
                      <w:szCs w:val="20"/>
                      <w:lang w:val="en-US" w:eastAsia="zh-CN"/>
                    </w:rPr>
                  </w:pPr>
                  <w:r>
                    <w:rPr>
                      <w:rFonts w:hint="eastAsia" w:cs="Times New Roman"/>
                      <w:color w:val="auto"/>
                      <w:szCs w:val="20"/>
                      <w:lang w:val="en-US" w:eastAsia="zh-CN"/>
                    </w:rPr>
                    <w:t>2000（无量纲）</w:t>
                  </w:r>
                </w:p>
              </w:tc>
              <w:tc>
                <w:tcPr>
                  <w:tcW w:w="1293" w:type="pct"/>
                  <w:vAlign w:val="center"/>
                </w:tcPr>
                <w:p w14:paraId="76FC1228">
                  <w:pPr>
                    <w:keepNext w:val="0"/>
                    <w:keepLines w:val="0"/>
                    <w:suppressLineNumbers w:val="0"/>
                    <w:spacing w:before="0" w:beforeAutospacing="0" w:after="0" w:afterAutospacing="0"/>
                    <w:ind w:left="0" w:leftChars="0" w:right="0" w:rightChars="0"/>
                    <w:jc w:val="center"/>
                    <w:rPr>
                      <w:rFonts w:hint="eastAsia" w:cs="Times New Roman"/>
                      <w:color w:val="auto"/>
                      <w:szCs w:val="20"/>
                      <w:lang w:val="en-US" w:eastAsia="zh-CN"/>
                    </w:rPr>
                  </w:pPr>
                  <w:r>
                    <w:rPr>
                      <w:rFonts w:hint="eastAsia" w:cs="Times New Roman"/>
                      <w:color w:val="auto"/>
                      <w:szCs w:val="20"/>
                      <w:lang w:val="en-US" w:eastAsia="zh-CN"/>
                    </w:rPr>
                    <w:t>10（无量纲）</w:t>
                  </w:r>
                </w:p>
              </w:tc>
              <w:tc>
                <w:tcPr>
                  <w:tcW w:w="1600" w:type="pct"/>
                  <w:vMerge w:val="continue"/>
                  <w:vAlign w:val="center"/>
                </w:tcPr>
                <w:p w14:paraId="25E8EA69">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auto"/>
                      <w:sz w:val="21"/>
                      <w:szCs w:val="21"/>
                      <w:u w:val="none"/>
                      <w:lang w:val="en-US" w:eastAsia="zh-CN"/>
                    </w:rPr>
                  </w:pPr>
                </w:p>
              </w:tc>
            </w:tr>
          </w:tbl>
          <w:p w14:paraId="2D52A7A7">
            <w:pPr>
              <w:spacing w:line="360" w:lineRule="auto"/>
              <w:ind w:firstLine="480" w:firstLineChars="200"/>
              <w:rPr>
                <w:rFonts w:hint="default" w:eastAsia="宋体"/>
                <w:color w:val="auto"/>
                <w:sz w:val="24"/>
                <w:szCs w:val="32"/>
                <w:lang w:val="en-US" w:eastAsia="zh-CN"/>
              </w:rPr>
            </w:pPr>
            <w:r>
              <w:rPr>
                <w:rFonts w:hint="eastAsia" w:eastAsia="宋体"/>
                <w:color w:val="auto"/>
                <w:sz w:val="24"/>
                <w:szCs w:val="32"/>
                <w:lang w:val="en-US" w:eastAsia="zh-CN"/>
              </w:rPr>
              <w:t>项目食堂油烟排放执行《饮食业油烟排放标准（试行）》（GB18483-2001）的中型饮食单位标准。</w:t>
            </w:r>
          </w:p>
          <w:p w14:paraId="5E7B7757">
            <w:pPr>
              <w:adjustRightInd w:val="0"/>
              <w:snapToGrid w:val="0"/>
              <w:jc w:val="center"/>
              <w:rPr>
                <w:rFonts w:hint="default" w:eastAsia="宋体"/>
                <w:b/>
                <w:bCs/>
                <w:sz w:val="24"/>
                <w:szCs w:val="32"/>
                <w:lang w:val="en-US" w:eastAsia="zh-CN"/>
              </w:rPr>
            </w:pPr>
            <w:r>
              <w:rPr>
                <w:rFonts w:hint="eastAsia" w:eastAsia="宋体"/>
                <w:b/>
                <w:bCs/>
                <w:sz w:val="24"/>
                <w:szCs w:val="32"/>
                <w:lang w:val="en-US" w:eastAsia="zh-CN"/>
              </w:rPr>
              <w:t>表3-5  《饮食业油烟排放标准》（GB18483-2001）</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9"/>
              <w:gridCol w:w="1626"/>
              <w:gridCol w:w="2858"/>
              <w:gridCol w:w="2889"/>
            </w:tblGrid>
            <w:tr w14:paraId="5C9A2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46C324C0">
                  <w:pPr>
                    <w:pStyle w:val="95"/>
                    <w:keepNext w:val="0"/>
                    <w:keepLines w:val="0"/>
                    <w:pageBreakBefore w:val="0"/>
                    <w:widowControl w:val="0"/>
                    <w:wordWrap/>
                    <w:topLinePunct w:val="0"/>
                    <w:bidi w:val="0"/>
                    <w:snapToGrid w:val="0"/>
                    <w:ind w:left="0" w:leftChars="0" w:right="0" w:rightChars="0"/>
                    <w:jc w:val="center"/>
                    <w:rPr>
                      <w:rFonts w:hint="eastAsia" w:eastAsia="宋体"/>
                      <w:b/>
                      <w:bCs/>
                      <w:color w:val="auto"/>
                      <w:highlight w:val="none"/>
                      <w:lang w:val="en-US" w:eastAsia="zh-CN"/>
                    </w:rPr>
                  </w:pPr>
                  <w:r>
                    <w:rPr>
                      <w:rFonts w:hint="eastAsia"/>
                      <w:b/>
                      <w:bCs/>
                      <w:color w:val="auto"/>
                      <w:highlight w:val="none"/>
                      <w:lang w:val="en-US" w:eastAsia="zh-CN"/>
                    </w:rPr>
                    <w:t>规模</w:t>
                  </w:r>
                </w:p>
              </w:tc>
              <w:tc>
                <w:tcPr>
                  <w:tcW w:w="1613" w:type="dxa"/>
                  <w:vAlign w:val="center"/>
                </w:tcPr>
                <w:p w14:paraId="69F13392">
                  <w:pPr>
                    <w:pStyle w:val="95"/>
                    <w:keepNext w:val="0"/>
                    <w:keepLines w:val="0"/>
                    <w:pageBreakBefore w:val="0"/>
                    <w:widowControl w:val="0"/>
                    <w:wordWrap/>
                    <w:topLinePunct w:val="0"/>
                    <w:bidi w:val="0"/>
                    <w:snapToGrid w:val="0"/>
                    <w:ind w:left="0" w:leftChars="0" w:right="0" w:rightChars="0"/>
                    <w:jc w:val="center"/>
                    <w:rPr>
                      <w:rFonts w:hint="default" w:eastAsia="宋体"/>
                      <w:b/>
                      <w:bCs/>
                      <w:color w:val="auto"/>
                      <w:highlight w:val="none"/>
                      <w:lang w:val="en-US" w:eastAsia="zh-CN"/>
                    </w:rPr>
                  </w:pPr>
                  <w:r>
                    <w:rPr>
                      <w:rFonts w:hint="eastAsia"/>
                      <w:b/>
                      <w:bCs/>
                      <w:color w:val="auto"/>
                      <w:highlight w:val="none"/>
                      <w:lang w:val="en-US" w:eastAsia="zh-CN"/>
                    </w:rPr>
                    <w:t>基准灶头数</w:t>
                  </w:r>
                </w:p>
              </w:tc>
              <w:tc>
                <w:tcPr>
                  <w:tcW w:w="2837" w:type="dxa"/>
                  <w:vAlign w:val="center"/>
                </w:tcPr>
                <w:p w14:paraId="194DDBB5">
                  <w:pPr>
                    <w:pStyle w:val="95"/>
                    <w:keepNext w:val="0"/>
                    <w:keepLines w:val="0"/>
                    <w:pageBreakBefore w:val="0"/>
                    <w:widowControl w:val="0"/>
                    <w:wordWrap/>
                    <w:topLinePunct w:val="0"/>
                    <w:bidi w:val="0"/>
                    <w:snapToGrid w:val="0"/>
                    <w:ind w:left="0" w:leftChars="0" w:right="0" w:rightChars="0"/>
                    <w:jc w:val="center"/>
                    <w:rPr>
                      <w:rFonts w:hint="default" w:eastAsia="宋体"/>
                      <w:b/>
                      <w:bCs/>
                      <w:color w:val="auto"/>
                      <w:highlight w:val="none"/>
                      <w:lang w:val="en-US" w:eastAsia="zh-CN"/>
                    </w:rPr>
                  </w:pPr>
                  <w:r>
                    <w:rPr>
                      <w:rFonts w:hint="eastAsia"/>
                      <w:b/>
                      <w:bCs/>
                      <w:color w:val="auto"/>
                      <w:highlight w:val="none"/>
                      <w:lang w:val="en-US" w:eastAsia="zh-CN"/>
                    </w:rPr>
                    <w:t>最高允许排放浓度（mg/m</w:t>
                  </w:r>
                  <w:r>
                    <w:rPr>
                      <w:rFonts w:hint="eastAsia"/>
                      <w:b/>
                      <w:bCs/>
                      <w:color w:val="auto"/>
                      <w:highlight w:val="none"/>
                      <w:vertAlign w:val="superscript"/>
                      <w:lang w:val="en-US" w:eastAsia="zh-CN"/>
                    </w:rPr>
                    <w:t>3</w:t>
                  </w:r>
                  <w:r>
                    <w:rPr>
                      <w:rFonts w:hint="eastAsia"/>
                      <w:b/>
                      <w:bCs/>
                      <w:color w:val="auto"/>
                      <w:highlight w:val="none"/>
                      <w:lang w:val="en-US" w:eastAsia="zh-CN"/>
                    </w:rPr>
                    <w:t>）</w:t>
                  </w:r>
                </w:p>
              </w:tc>
              <w:tc>
                <w:tcPr>
                  <w:tcW w:w="2868" w:type="dxa"/>
                  <w:vAlign w:val="center"/>
                </w:tcPr>
                <w:p w14:paraId="286F7481">
                  <w:pPr>
                    <w:pStyle w:val="95"/>
                    <w:keepNext w:val="0"/>
                    <w:keepLines w:val="0"/>
                    <w:pageBreakBefore w:val="0"/>
                    <w:widowControl w:val="0"/>
                    <w:wordWrap/>
                    <w:topLinePunct w:val="0"/>
                    <w:bidi w:val="0"/>
                    <w:snapToGrid w:val="0"/>
                    <w:ind w:left="0" w:leftChars="0" w:right="0" w:rightChars="0"/>
                    <w:jc w:val="center"/>
                    <w:rPr>
                      <w:rFonts w:hint="default" w:eastAsia="宋体"/>
                      <w:b/>
                      <w:bCs/>
                      <w:color w:val="auto"/>
                      <w:highlight w:val="none"/>
                      <w:lang w:val="en-US" w:eastAsia="zh-CN"/>
                    </w:rPr>
                  </w:pPr>
                  <w:r>
                    <w:rPr>
                      <w:rFonts w:hint="eastAsia"/>
                      <w:b/>
                      <w:bCs/>
                      <w:color w:val="auto"/>
                      <w:highlight w:val="none"/>
                      <w:lang w:val="en-US" w:eastAsia="zh-CN"/>
                    </w:rPr>
                    <w:t>净化设施最低去除效率（%）</w:t>
                  </w:r>
                </w:p>
              </w:tc>
            </w:tr>
            <w:tr w14:paraId="1DC84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467B142C">
                  <w:pPr>
                    <w:pStyle w:val="95"/>
                    <w:keepNext w:val="0"/>
                    <w:keepLines w:val="0"/>
                    <w:pageBreakBefore w:val="0"/>
                    <w:widowControl w:val="0"/>
                    <w:wordWrap/>
                    <w:topLinePunct w:val="0"/>
                    <w:bidi w:val="0"/>
                    <w:snapToGrid w:val="0"/>
                    <w:ind w:left="0" w:leftChars="0" w:right="0" w:rightChars="0"/>
                    <w:jc w:val="center"/>
                    <w:rPr>
                      <w:rFonts w:hint="eastAsia"/>
                      <w:color w:val="auto"/>
                      <w:highlight w:val="none"/>
                      <w:lang w:val="en-US" w:eastAsia="zh-CN"/>
                    </w:rPr>
                  </w:pPr>
                  <w:r>
                    <w:rPr>
                      <w:rFonts w:hint="eastAsia"/>
                      <w:color w:val="auto"/>
                      <w:highlight w:val="none"/>
                      <w:lang w:val="en-US" w:eastAsia="zh-CN"/>
                    </w:rPr>
                    <w:t>中型</w:t>
                  </w:r>
                </w:p>
              </w:tc>
              <w:tc>
                <w:tcPr>
                  <w:tcW w:w="1613" w:type="dxa"/>
                  <w:vAlign w:val="center"/>
                </w:tcPr>
                <w:p w14:paraId="4F248EA9">
                  <w:pPr>
                    <w:pStyle w:val="95"/>
                    <w:keepNext w:val="0"/>
                    <w:keepLines w:val="0"/>
                    <w:pageBreakBefore w:val="0"/>
                    <w:widowControl w:val="0"/>
                    <w:wordWrap/>
                    <w:topLinePunct w:val="0"/>
                    <w:bidi w:val="0"/>
                    <w:snapToGrid w:val="0"/>
                    <w:ind w:left="0" w:leftChars="0" w:right="0" w:rightChars="0"/>
                    <w:jc w:val="center"/>
                    <w:rPr>
                      <w:rFonts w:hint="default"/>
                      <w:color w:val="auto"/>
                      <w:highlight w:val="none"/>
                      <w:lang w:val="en-US" w:eastAsia="zh-CN"/>
                    </w:rPr>
                  </w:pPr>
                  <w:r>
                    <w:rPr>
                      <w:rFonts w:hint="default"/>
                      <w:color w:val="auto"/>
                      <w:highlight w:val="none"/>
                    </w:rPr>
                    <w:t>≥</w:t>
                  </w:r>
                  <w:r>
                    <w:rPr>
                      <w:rFonts w:hint="eastAsia"/>
                      <w:color w:val="auto"/>
                      <w:highlight w:val="none"/>
                      <w:lang w:val="en-US" w:eastAsia="zh-CN"/>
                    </w:rPr>
                    <w:t>3，&lt;6</w:t>
                  </w:r>
                </w:p>
              </w:tc>
              <w:tc>
                <w:tcPr>
                  <w:tcW w:w="2837" w:type="dxa"/>
                  <w:vAlign w:val="center"/>
                </w:tcPr>
                <w:p w14:paraId="4D4B41FB">
                  <w:pPr>
                    <w:pStyle w:val="95"/>
                    <w:keepNext w:val="0"/>
                    <w:keepLines w:val="0"/>
                    <w:pageBreakBefore w:val="0"/>
                    <w:widowControl w:val="0"/>
                    <w:wordWrap/>
                    <w:topLinePunct w:val="0"/>
                    <w:bidi w:val="0"/>
                    <w:snapToGrid w:val="0"/>
                    <w:ind w:left="0" w:leftChars="0" w:right="0" w:rightChars="0"/>
                    <w:jc w:val="center"/>
                    <w:rPr>
                      <w:rFonts w:hint="default" w:eastAsia="宋体"/>
                      <w:color w:val="auto"/>
                      <w:highlight w:val="none"/>
                      <w:lang w:val="en-US" w:eastAsia="zh-CN"/>
                    </w:rPr>
                  </w:pPr>
                  <w:r>
                    <w:rPr>
                      <w:rFonts w:hint="eastAsia"/>
                      <w:color w:val="auto"/>
                      <w:highlight w:val="none"/>
                      <w:lang w:val="en-US" w:eastAsia="zh-CN"/>
                    </w:rPr>
                    <w:t>2.0</w:t>
                  </w:r>
                </w:p>
              </w:tc>
              <w:tc>
                <w:tcPr>
                  <w:tcW w:w="2868" w:type="dxa"/>
                  <w:vAlign w:val="center"/>
                </w:tcPr>
                <w:p w14:paraId="28054560">
                  <w:pPr>
                    <w:pStyle w:val="95"/>
                    <w:keepNext w:val="0"/>
                    <w:keepLines w:val="0"/>
                    <w:pageBreakBefore w:val="0"/>
                    <w:widowControl w:val="0"/>
                    <w:wordWrap/>
                    <w:topLinePunct w:val="0"/>
                    <w:bidi w:val="0"/>
                    <w:snapToGrid w:val="0"/>
                    <w:ind w:left="0" w:leftChars="0" w:right="0" w:rightChars="0"/>
                    <w:jc w:val="center"/>
                    <w:rPr>
                      <w:rFonts w:hint="default" w:eastAsia="宋体"/>
                      <w:color w:val="auto"/>
                      <w:highlight w:val="none"/>
                      <w:lang w:val="en-US" w:eastAsia="zh-CN"/>
                    </w:rPr>
                  </w:pPr>
                  <w:r>
                    <w:rPr>
                      <w:rFonts w:hint="eastAsia"/>
                      <w:color w:val="auto"/>
                      <w:highlight w:val="none"/>
                      <w:lang w:val="en-US" w:eastAsia="zh-CN"/>
                    </w:rPr>
                    <w:t>75</w:t>
                  </w:r>
                </w:p>
              </w:tc>
            </w:tr>
          </w:tbl>
          <w:p w14:paraId="61A52C5D">
            <w:pPr>
              <w:keepNext w:val="0"/>
              <w:keepLines w:val="0"/>
              <w:pageBreakBefore w:val="0"/>
              <w:kinsoku/>
              <w:wordWrap/>
              <w:overflowPunct/>
              <w:topLinePunct w:val="0"/>
              <w:autoSpaceDE/>
              <w:autoSpaceDN/>
              <w:bidi w:val="0"/>
              <w:adjustRightInd/>
              <w:spacing w:line="360" w:lineRule="auto"/>
              <w:ind w:right="0" w:firstLine="480" w:firstLineChars="200"/>
              <w:jc w:val="both"/>
              <w:textAlignment w:val="auto"/>
              <w:rPr>
                <w:rFonts w:hint="default" w:ascii="Times New Roman" w:hAnsi="Times New Roman" w:eastAsia="Times New Roman" w:cs="Times New Roman"/>
                <w:b/>
                <w:color w:val="auto"/>
                <w:sz w:val="24"/>
                <w:szCs w:val="24"/>
              </w:rPr>
            </w:pPr>
          </w:p>
          <w:p w14:paraId="30E7EFF7">
            <w:pPr>
              <w:keepNext w:val="0"/>
              <w:keepLines w:val="0"/>
              <w:pageBreakBefore w:val="0"/>
              <w:kinsoku/>
              <w:wordWrap/>
              <w:overflowPunct/>
              <w:topLinePunct w:val="0"/>
              <w:autoSpaceDE/>
              <w:autoSpaceDN/>
              <w:bidi w:val="0"/>
              <w:adjustRightInd/>
              <w:spacing w:line="360" w:lineRule="auto"/>
              <w:ind w:right="0" w:firstLine="480" w:firstLineChars="200"/>
              <w:jc w:val="both"/>
              <w:textAlignment w:val="auto"/>
              <w:rPr>
                <w:rFonts w:hint="default" w:ascii="Times New Roman" w:hAnsi="Times New Roman" w:eastAsia="Times New Roman" w:cs="Times New Roman"/>
                <w:b/>
                <w:color w:val="auto"/>
                <w:sz w:val="24"/>
                <w:szCs w:val="24"/>
              </w:rPr>
            </w:pPr>
            <w:r>
              <w:rPr>
                <w:rFonts w:hint="default" w:ascii="Times New Roman" w:hAnsi="Times New Roman" w:eastAsia="Times New Roman" w:cs="Times New Roman"/>
                <w:b/>
                <w:color w:val="auto"/>
                <w:sz w:val="24"/>
                <w:szCs w:val="24"/>
              </w:rPr>
              <w:t>2、废水排放标准</w:t>
            </w:r>
          </w:p>
          <w:p w14:paraId="79E3CFB7">
            <w:pPr>
              <w:widowControl/>
              <w:adjustRightInd w:val="0"/>
              <w:snapToGrid w:val="0"/>
              <w:spacing w:line="360" w:lineRule="auto"/>
              <w:ind w:firstLine="424" w:firstLineChars="177"/>
              <w:jc w:val="both"/>
              <w:rPr>
                <w:rFonts w:hint="eastAsia" w:ascii="Times New Roman" w:hAnsi="Times New Roman" w:eastAsia="宋体" w:cs="Times New Roman"/>
                <w:color w:val="auto"/>
                <w:kern w:val="0"/>
                <w:sz w:val="24"/>
                <w:szCs w:val="24"/>
                <w:lang w:val="en-US" w:eastAsia="zh-CN" w:bidi="ar-SA"/>
              </w:rPr>
            </w:pPr>
            <w:r>
              <w:rPr>
                <w:rFonts w:hint="eastAsia" w:cs="Times New Roman"/>
                <w:color w:val="auto"/>
                <w:kern w:val="1"/>
                <w:sz w:val="24"/>
                <w:szCs w:val="24"/>
                <w:lang w:eastAsia="zh-CN"/>
              </w:rPr>
              <w:t>项目</w:t>
            </w:r>
            <w:r>
              <w:rPr>
                <w:rFonts w:hint="eastAsia" w:ascii="Times New Roman" w:hAnsi="Times New Roman" w:eastAsia="宋体" w:cs="Times New Roman"/>
                <w:color w:val="auto"/>
                <w:kern w:val="0"/>
                <w:sz w:val="24"/>
                <w:szCs w:val="24"/>
                <w:lang w:val="en-US" w:eastAsia="zh-CN" w:bidi="ar-SA"/>
              </w:rPr>
              <w:t>食堂废水</w:t>
            </w:r>
            <w:r>
              <w:rPr>
                <w:rFonts w:hint="eastAsia" w:cs="Times New Roman"/>
                <w:color w:val="auto"/>
                <w:kern w:val="0"/>
                <w:sz w:val="24"/>
                <w:szCs w:val="24"/>
                <w:lang w:val="en-US" w:eastAsia="zh-CN" w:bidi="ar-SA"/>
              </w:rPr>
              <w:t>经隔油池预处理后汇同</w:t>
            </w:r>
            <w:r>
              <w:rPr>
                <w:rFonts w:hint="eastAsia" w:ascii="Times New Roman" w:hAnsi="Times New Roman" w:eastAsia="宋体" w:cs="Times New Roman"/>
                <w:color w:val="auto"/>
                <w:kern w:val="0"/>
                <w:sz w:val="24"/>
                <w:szCs w:val="24"/>
                <w:lang w:val="en-US" w:eastAsia="zh-CN" w:bidi="ar-SA"/>
              </w:rPr>
              <w:t>生活污水</w:t>
            </w:r>
            <w:r>
              <w:rPr>
                <w:rFonts w:hint="eastAsia" w:cs="Times New Roman"/>
                <w:color w:val="auto"/>
                <w:kern w:val="0"/>
                <w:sz w:val="24"/>
                <w:szCs w:val="24"/>
                <w:lang w:val="en-US" w:eastAsia="zh-CN" w:bidi="ar-SA"/>
              </w:rPr>
              <w:t>一起</w:t>
            </w:r>
            <w:r>
              <w:rPr>
                <w:rFonts w:hint="eastAsia" w:ascii="Times New Roman" w:hAnsi="Times New Roman" w:eastAsia="宋体" w:cs="Times New Roman"/>
                <w:color w:val="auto"/>
                <w:kern w:val="0"/>
                <w:sz w:val="24"/>
                <w:szCs w:val="24"/>
                <w:lang w:val="en-US" w:eastAsia="zh-CN" w:bidi="ar-SA"/>
              </w:rPr>
              <w:t>经化粪池处理后进入厂区</w:t>
            </w:r>
            <w:r>
              <w:rPr>
                <w:rFonts w:hint="eastAsia" w:cs="Times New Roman"/>
                <w:color w:val="auto"/>
                <w:kern w:val="0"/>
                <w:sz w:val="24"/>
                <w:szCs w:val="24"/>
                <w:lang w:val="en-US" w:eastAsia="zh-CN" w:bidi="ar-SA"/>
              </w:rPr>
              <w:t>污水处理站</w:t>
            </w:r>
            <w:r>
              <w:rPr>
                <w:rFonts w:hint="eastAsia" w:ascii="Times New Roman" w:hAnsi="Times New Roman" w:eastAsia="宋体" w:cs="Times New Roman"/>
                <w:color w:val="auto"/>
                <w:kern w:val="0"/>
                <w:sz w:val="24"/>
                <w:szCs w:val="24"/>
                <w:lang w:val="en-US" w:eastAsia="zh-CN" w:bidi="ar-SA"/>
              </w:rPr>
              <w:t>处理后，排入市政污水管网进入</w:t>
            </w:r>
            <w:r>
              <w:rPr>
                <w:rFonts w:hint="eastAsia" w:cs="Times New Roman"/>
                <w:color w:val="auto"/>
                <w:kern w:val="0"/>
                <w:sz w:val="24"/>
                <w:szCs w:val="24"/>
                <w:lang w:val="en-US" w:eastAsia="zh-CN" w:bidi="ar-SA"/>
              </w:rPr>
              <w:t>潘集污水处理厂</w:t>
            </w:r>
            <w:r>
              <w:rPr>
                <w:rFonts w:hint="eastAsia" w:ascii="Times New Roman" w:hAnsi="Times New Roman" w:eastAsia="宋体" w:cs="Times New Roman"/>
                <w:color w:val="auto"/>
                <w:kern w:val="0"/>
                <w:sz w:val="24"/>
                <w:szCs w:val="24"/>
                <w:lang w:val="en-US" w:eastAsia="zh-CN" w:bidi="ar-SA"/>
              </w:rPr>
              <w:t>处理；</w:t>
            </w:r>
            <w:r>
              <w:rPr>
                <w:rFonts w:hint="eastAsia" w:cs="Times New Roman"/>
                <w:color w:val="auto"/>
                <w:kern w:val="0"/>
                <w:sz w:val="24"/>
                <w:szCs w:val="24"/>
                <w:lang w:val="en-US" w:eastAsia="zh-CN" w:bidi="ar-SA"/>
              </w:rPr>
              <w:t>住院病床废水、医疗器械洗消废水直接进入</w:t>
            </w:r>
            <w:r>
              <w:rPr>
                <w:rFonts w:hint="eastAsia" w:ascii="Times New Roman" w:hAnsi="Times New Roman" w:eastAsia="宋体" w:cs="Times New Roman"/>
                <w:color w:val="auto"/>
                <w:kern w:val="0"/>
                <w:sz w:val="24"/>
                <w:szCs w:val="24"/>
                <w:lang w:val="en-US" w:eastAsia="zh-CN" w:bidi="ar-SA"/>
              </w:rPr>
              <w:t>厂区</w:t>
            </w:r>
            <w:r>
              <w:rPr>
                <w:rFonts w:hint="eastAsia" w:cs="Times New Roman"/>
                <w:color w:val="auto"/>
                <w:kern w:val="0"/>
                <w:sz w:val="24"/>
                <w:szCs w:val="24"/>
                <w:lang w:val="en-US" w:eastAsia="zh-CN" w:bidi="ar-SA"/>
              </w:rPr>
              <w:t>污水处理站</w:t>
            </w:r>
            <w:r>
              <w:rPr>
                <w:rFonts w:hint="eastAsia" w:ascii="Times New Roman" w:hAnsi="Times New Roman" w:eastAsia="宋体" w:cs="Times New Roman"/>
                <w:color w:val="auto"/>
                <w:kern w:val="0"/>
                <w:sz w:val="24"/>
                <w:szCs w:val="24"/>
                <w:lang w:val="en-US" w:eastAsia="zh-CN" w:bidi="ar-SA"/>
              </w:rPr>
              <w:t>处理后，排入市政污水管网进入</w:t>
            </w:r>
            <w:r>
              <w:rPr>
                <w:rFonts w:hint="eastAsia" w:cs="Times New Roman"/>
                <w:color w:val="auto"/>
                <w:kern w:val="0"/>
                <w:sz w:val="24"/>
                <w:szCs w:val="24"/>
                <w:lang w:val="en-US" w:eastAsia="zh-CN" w:bidi="ar-SA"/>
              </w:rPr>
              <w:t>潘集污水处理厂</w:t>
            </w:r>
            <w:r>
              <w:rPr>
                <w:rFonts w:hint="eastAsia" w:ascii="Times New Roman" w:hAnsi="Times New Roman" w:eastAsia="宋体" w:cs="Times New Roman"/>
                <w:color w:val="auto"/>
                <w:kern w:val="0"/>
                <w:sz w:val="24"/>
                <w:szCs w:val="24"/>
                <w:lang w:val="en-US" w:eastAsia="zh-CN" w:bidi="ar-SA"/>
              </w:rPr>
              <w:t>处理</w:t>
            </w:r>
            <w:r>
              <w:rPr>
                <w:rFonts w:hint="eastAsia" w:cs="Times New Roman"/>
                <w:color w:val="auto"/>
                <w:kern w:val="0"/>
                <w:sz w:val="24"/>
                <w:szCs w:val="24"/>
                <w:lang w:val="en-US" w:eastAsia="zh-CN" w:bidi="ar-SA"/>
              </w:rPr>
              <w:t>；蒸汽发生器浓水和纯水制备浓水直接由厂区污水总排口</w:t>
            </w:r>
            <w:r>
              <w:rPr>
                <w:rFonts w:hint="eastAsia" w:ascii="Times New Roman" w:hAnsi="Times New Roman" w:eastAsia="宋体" w:cs="Times New Roman"/>
                <w:color w:val="auto"/>
                <w:kern w:val="0"/>
                <w:sz w:val="24"/>
                <w:szCs w:val="24"/>
                <w:lang w:val="en-US" w:eastAsia="zh-CN" w:bidi="ar-SA"/>
              </w:rPr>
              <w:t>排入市政污水管网进入</w:t>
            </w:r>
            <w:r>
              <w:rPr>
                <w:rFonts w:hint="eastAsia" w:cs="Times New Roman"/>
                <w:color w:val="auto"/>
                <w:kern w:val="0"/>
                <w:sz w:val="24"/>
                <w:szCs w:val="24"/>
                <w:lang w:val="en-US" w:eastAsia="zh-CN" w:bidi="ar-SA"/>
              </w:rPr>
              <w:t>潘集污水处理厂</w:t>
            </w:r>
            <w:r>
              <w:rPr>
                <w:rFonts w:hint="eastAsia" w:ascii="Times New Roman" w:hAnsi="Times New Roman" w:eastAsia="宋体" w:cs="Times New Roman"/>
                <w:color w:val="auto"/>
                <w:kern w:val="0"/>
                <w:sz w:val="24"/>
                <w:szCs w:val="24"/>
                <w:lang w:val="en-US" w:eastAsia="zh-CN" w:bidi="ar-SA"/>
              </w:rPr>
              <w:t>处理。废水排入</w:t>
            </w:r>
            <w:r>
              <w:rPr>
                <w:rFonts w:hint="eastAsia" w:cs="Times New Roman"/>
                <w:color w:val="auto"/>
                <w:kern w:val="0"/>
                <w:sz w:val="24"/>
                <w:szCs w:val="24"/>
                <w:lang w:val="en-US" w:eastAsia="zh-CN" w:bidi="ar-SA"/>
              </w:rPr>
              <w:t>潘集污水处理厂</w:t>
            </w:r>
            <w:r>
              <w:rPr>
                <w:rFonts w:hint="eastAsia" w:ascii="Times New Roman" w:hAnsi="Times New Roman" w:eastAsia="宋体" w:cs="Times New Roman"/>
                <w:color w:val="auto"/>
                <w:kern w:val="0"/>
                <w:sz w:val="24"/>
                <w:szCs w:val="24"/>
                <w:lang w:val="en-US" w:eastAsia="zh-CN" w:bidi="ar-SA"/>
              </w:rPr>
              <w:t>前执行</w:t>
            </w:r>
            <w:r>
              <w:rPr>
                <w:rFonts w:hint="default" w:ascii="Times New Roman" w:hAnsi="Times New Roman" w:cs="Times New Roman"/>
                <w:color w:val="auto"/>
                <w:sz w:val="24"/>
                <w:szCs w:val="24"/>
                <w:highlight w:val="none"/>
              </w:rPr>
              <w:t>《医疗机构水污染物排放标准》（GB18466</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2005）表</w:t>
            </w:r>
            <w:r>
              <w:rPr>
                <w:rFonts w:hint="eastAsia"/>
                <w:color w:val="auto"/>
                <w:sz w:val="24"/>
                <w:szCs w:val="24"/>
                <w:highlight w:val="none"/>
              </w:rPr>
              <w:t>2中预处理标准</w:t>
            </w:r>
            <w:r>
              <w:rPr>
                <w:rFonts w:hint="eastAsia"/>
                <w:color w:val="auto"/>
                <w:sz w:val="24"/>
                <w:szCs w:val="24"/>
                <w:highlight w:val="none"/>
                <w:lang w:val="en-US" w:eastAsia="zh-CN"/>
              </w:rPr>
              <w:t>及</w:t>
            </w:r>
            <w:r>
              <w:rPr>
                <w:rFonts w:hint="eastAsia" w:cs="Times New Roman"/>
                <w:color w:val="auto"/>
                <w:kern w:val="0"/>
                <w:sz w:val="24"/>
                <w:szCs w:val="24"/>
                <w:lang w:val="en-US" w:eastAsia="zh-CN" w:bidi="ar-SA"/>
              </w:rPr>
              <w:t>潘集污水处理厂</w:t>
            </w:r>
            <w:r>
              <w:rPr>
                <w:rFonts w:hint="eastAsia" w:ascii="Times New Roman" w:hAnsi="Times New Roman" w:eastAsia="宋体" w:cs="Times New Roman"/>
                <w:color w:val="auto"/>
                <w:kern w:val="0"/>
                <w:sz w:val="24"/>
                <w:szCs w:val="24"/>
                <w:lang w:val="en-US" w:eastAsia="zh-CN" w:bidi="ar-SA"/>
              </w:rPr>
              <w:t>接管标准，污水处理厂尾水执行</w:t>
            </w:r>
            <w:r>
              <w:rPr>
                <w:rFonts w:hint="default" w:ascii="Times New Roman" w:hAnsi="Times New Roman" w:eastAsia="宋体" w:cs="Times New Roman"/>
                <w:color w:val="auto"/>
                <w:kern w:val="0"/>
                <w:sz w:val="24"/>
                <w:szCs w:val="24"/>
                <w:lang w:val="en-US" w:eastAsia="zh-CN" w:bidi="ar-SA"/>
              </w:rPr>
              <w:t>《城镇污水处理厂污染物排放标准》（GB18918-2002）一级A标准</w:t>
            </w:r>
            <w:r>
              <w:rPr>
                <w:rFonts w:hint="eastAsia" w:ascii="Times New Roman" w:hAnsi="Times New Roman" w:eastAsia="宋体" w:cs="Times New Roman"/>
                <w:color w:val="auto"/>
                <w:kern w:val="0"/>
                <w:sz w:val="24"/>
                <w:szCs w:val="24"/>
                <w:lang w:val="en-US" w:eastAsia="zh-CN" w:bidi="ar-SA"/>
              </w:rPr>
              <w:t>。具体标准如下：</w:t>
            </w:r>
          </w:p>
          <w:p w14:paraId="21ED2964">
            <w:pPr>
              <w:adjustRightInd w:val="0"/>
              <w:snapToGrid w:val="0"/>
              <w:jc w:val="center"/>
              <w:rPr>
                <w:rFonts w:hint="eastAsia" w:ascii="Times New Roman" w:hAnsi="Times New Roman" w:eastAsia="宋体" w:cs="Times New Roman"/>
                <w:b/>
                <w:bCs/>
                <w:sz w:val="24"/>
                <w:szCs w:val="32"/>
                <w:lang w:val="en-US" w:eastAsia="zh-CN"/>
              </w:rPr>
            </w:pPr>
            <w:r>
              <w:rPr>
                <w:rFonts w:hint="eastAsia" w:ascii="Times New Roman" w:hAnsi="Times New Roman" w:eastAsia="宋体" w:cs="Times New Roman"/>
                <w:b/>
                <w:bCs/>
                <w:sz w:val="24"/>
                <w:szCs w:val="32"/>
                <w:lang w:val="en-US" w:eastAsia="zh-CN"/>
              </w:rPr>
              <w:t>表3-6  污水排放标准   单位：mg/L</w:t>
            </w:r>
          </w:p>
          <w:tbl>
            <w:tblPr>
              <w:tblStyle w:val="27"/>
              <w:tblW w:w="4994" w:type="pct"/>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191"/>
              <w:gridCol w:w="690"/>
              <w:gridCol w:w="805"/>
              <w:gridCol w:w="805"/>
              <w:gridCol w:w="641"/>
              <w:gridCol w:w="969"/>
              <w:gridCol w:w="653"/>
              <w:gridCol w:w="799"/>
              <w:gridCol w:w="970"/>
            </w:tblGrid>
            <w:tr w14:paraId="365A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1286" w:type="pct"/>
                  <w:tcBorders>
                    <w:tl2br w:val="nil"/>
                    <w:tr2bl w:val="nil"/>
                  </w:tcBorders>
                  <w:shd w:val="clear" w:color="auto" w:fill="auto"/>
                  <w:vAlign w:val="center"/>
                </w:tcPr>
                <w:p w14:paraId="419A0B8C">
                  <w:pPr>
                    <w:pStyle w:val="120"/>
                    <w:bidi w:val="0"/>
                    <w:jc w:val="center"/>
                    <w:rPr>
                      <w:rFonts w:hint="eastAsia"/>
                      <w:b/>
                      <w:bCs/>
                      <w:color w:val="auto"/>
                      <w:highlight w:val="none"/>
                    </w:rPr>
                  </w:pPr>
                  <w:r>
                    <w:rPr>
                      <w:rFonts w:hint="eastAsia"/>
                      <w:b/>
                      <w:bCs/>
                      <w:color w:val="auto"/>
                      <w:highlight w:val="none"/>
                      <w:lang w:val="en-US" w:eastAsia="zh-CN"/>
                    </w:rPr>
                    <w:t>污染因子</w:t>
                  </w:r>
                </w:p>
              </w:tc>
              <w:tc>
                <w:tcPr>
                  <w:tcW w:w="404" w:type="pct"/>
                  <w:tcBorders>
                    <w:tl2br w:val="nil"/>
                    <w:tr2bl w:val="nil"/>
                  </w:tcBorders>
                  <w:shd w:val="clear" w:color="auto" w:fill="auto"/>
                  <w:vAlign w:val="center"/>
                </w:tcPr>
                <w:p w14:paraId="6EE5E82C">
                  <w:pPr>
                    <w:pStyle w:val="120"/>
                    <w:bidi w:val="0"/>
                    <w:jc w:val="center"/>
                    <w:rPr>
                      <w:rFonts w:hint="default"/>
                      <w:b/>
                      <w:bCs/>
                      <w:color w:val="auto"/>
                      <w:highlight w:val="none"/>
                    </w:rPr>
                  </w:pPr>
                  <w:r>
                    <w:rPr>
                      <w:rFonts w:hint="default"/>
                      <w:b/>
                      <w:bCs/>
                      <w:color w:val="auto"/>
                      <w:highlight w:val="none"/>
                      <w:lang w:val="en-US" w:eastAsia="zh-CN"/>
                    </w:rPr>
                    <w:t>pH</w:t>
                  </w:r>
                </w:p>
              </w:tc>
              <w:tc>
                <w:tcPr>
                  <w:tcW w:w="472" w:type="pct"/>
                  <w:tcBorders>
                    <w:tl2br w:val="nil"/>
                    <w:tr2bl w:val="nil"/>
                  </w:tcBorders>
                  <w:shd w:val="clear" w:color="auto" w:fill="auto"/>
                  <w:vAlign w:val="center"/>
                </w:tcPr>
                <w:p w14:paraId="30D0773B">
                  <w:pPr>
                    <w:pStyle w:val="120"/>
                    <w:bidi w:val="0"/>
                    <w:jc w:val="center"/>
                    <w:rPr>
                      <w:rFonts w:hint="default"/>
                      <w:b/>
                      <w:bCs/>
                      <w:color w:val="auto"/>
                      <w:highlight w:val="none"/>
                    </w:rPr>
                  </w:pPr>
                  <w:r>
                    <w:rPr>
                      <w:rFonts w:hint="default"/>
                      <w:b/>
                      <w:bCs/>
                      <w:color w:val="auto"/>
                      <w:highlight w:val="none"/>
                      <w:lang w:val="en-US" w:eastAsia="zh-CN"/>
                    </w:rPr>
                    <w:t>COD</w:t>
                  </w:r>
                </w:p>
              </w:tc>
              <w:tc>
                <w:tcPr>
                  <w:tcW w:w="472" w:type="pct"/>
                  <w:tcBorders>
                    <w:tl2br w:val="nil"/>
                    <w:tr2bl w:val="nil"/>
                  </w:tcBorders>
                  <w:shd w:val="clear" w:color="auto" w:fill="auto"/>
                  <w:vAlign w:val="center"/>
                </w:tcPr>
                <w:p w14:paraId="1BE27412">
                  <w:pPr>
                    <w:pStyle w:val="120"/>
                    <w:bidi w:val="0"/>
                    <w:jc w:val="center"/>
                    <w:rPr>
                      <w:rFonts w:hint="default"/>
                      <w:b/>
                      <w:bCs/>
                      <w:color w:val="auto"/>
                      <w:highlight w:val="none"/>
                    </w:rPr>
                  </w:pPr>
                  <w:r>
                    <w:rPr>
                      <w:rFonts w:hint="default"/>
                      <w:b/>
                      <w:bCs/>
                      <w:color w:val="auto"/>
                      <w:highlight w:val="none"/>
                      <w:lang w:val="en-US" w:eastAsia="zh-CN"/>
                    </w:rPr>
                    <w:t>BOD</w:t>
                  </w:r>
                  <w:r>
                    <w:rPr>
                      <w:rFonts w:hint="default"/>
                      <w:b/>
                      <w:bCs/>
                      <w:color w:val="auto"/>
                      <w:highlight w:val="none"/>
                      <w:vertAlign w:val="subscript"/>
                      <w:lang w:val="en-US" w:eastAsia="zh-CN"/>
                    </w:rPr>
                    <w:t>5</w:t>
                  </w:r>
                </w:p>
              </w:tc>
              <w:tc>
                <w:tcPr>
                  <w:tcW w:w="375" w:type="pct"/>
                  <w:tcBorders>
                    <w:tl2br w:val="nil"/>
                    <w:tr2bl w:val="nil"/>
                  </w:tcBorders>
                  <w:shd w:val="clear" w:color="auto" w:fill="auto"/>
                  <w:vAlign w:val="center"/>
                </w:tcPr>
                <w:p w14:paraId="0D4785E6">
                  <w:pPr>
                    <w:pStyle w:val="120"/>
                    <w:bidi w:val="0"/>
                    <w:jc w:val="center"/>
                    <w:rPr>
                      <w:rFonts w:hint="default"/>
                      <w:b/>
                      <w:bCs/>
                      <w:color w:val="auto"/>
                      <w:highlight w:val="none"/>
                    </w:rPr>
                  </w:pPr>
                  <w:r>
                    <w:rPr>
                      <w:rFonts w:hint="default"/>
                      <w:b/>
                      <w:bCs/>
                      <w:color w:val="auto"/>
                      <w:highlight w:val="none"/>
                      <w:lang w:val="en-US" w:eastAsia="zh-CN"/>
                    </w:rPr>
                    <w:t>SS</w:t>
                  </w:r>
                </w:p>
              </w:tc>
              <w:tc>
                <w:tcPr>
                  <w:tcW w:w="568" w:type="pct"/>
                  <w:tcBorders>
                    <w:tl2br w:val="nil"/>
                    <w:tr2bl w:val="nil"/>
                  </w:tcBorders>
                  <w:shd w:val="clear" w:color="auto" w:fill="auto"/>
                  <w:vAlign w:val="center"/>
                </w:tcPr>
                <w:p w14:paraId="5FA473FB">
                  <w:pPr>
                    <w:pStyle w:val="120"/>
                    <w:bidi w:val="0"/>
                    <w:jc w:val="center"/>
                    <w:rPr>
                      <w:rFonts w:hint="default"/>
                      <w:b/>
                      <w:bCs/>
                      <w:color w:val="auto"/>
                      <w:highlight w:val="none"/>
                    </w:rPr>
                  </w:pPr>
                  <w:r>
                    <w:rPr>
                      <w:rFonts w:hint="default"/>
                      <w:b/>
                      <w:bCs/>
                      <w:color w:val="auto"/>
                      <w:highlight w:val="none"/>
                      <w:lang w:val="en-US" w:eastAsia="zh-CN"/>
                    </w:rPr>
                    <w:t>NH</w:t>
                  </w:r>
                  <w:r>
                    <w:rPr>
                      <w:rFonts w:hint="default"/>
                      <w:b/>
                      <w:bCs/>
                      <w:color w:val="auto"/>
                      <w:highlight w:val="none"/>
                      <w:vertAlign w:val="subscript"/>
                      <w:lang w:val="en-US" w:eastAsia="zh-CN"/>
                    </w:rPr>
                    <w:t>3</w:t>
                  </w:r>
                  <w:r>
                    <w:rPr>
                      <w:rFonts w:hint="default"/>
                      <w:b/>
                      <w:bCs/>
                      <w:color w:val="auto"/>
                      <w:highlight w:val="none"/>
                      <w:lang w:val="en-US" w:eastAsia="zh-CN"/>
                    </w:rPr>
                    <w:t>-N</w:t>
                  </w:r>
                </w:p>
              </w:tc>
              <w:tc>
                <w:tcPr>
                  <w:tcW w:w="382" w:type="pct"/>
                  <w:tcBorders>
                    <w:tl2br w:val="nil"/>
                    <w:tr2bl w:val="nil"/>
                  </w:tcBorders>
                  <w:shd w:val="clear" w:color="auto" w:fill="auto"/>
                  <w:vAlign w:val="center"/>
                </w:tcPr>
                <w:p w14:paraId="156E3F8E">
                  <w:pPr>
                    <w:pStyle w:val="120"/>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b/>
                      <w:bCs/>
                      <w:color w:val="auto"/>
                      <w:highlight w:val="none"/>
                      <w:lang w:val="en-US" w:eastAsia="zh-CN"/>
                    </w:rPr>
                  </w:pPr>
                  <w:r>
                    <w:rPr>
                      <w:rFonts w:hint="eastAsia"/>
                      <w:b/>
                      <w:bCs/>
                      <w:color w:val="auto"/>
                      <w:highlight w:val="none"/>
                      <w:lang w:val="en-US" w:eastAsia="zh-CN"/>
                    </w:rPr>
                    <w:t>LAS</w:t>
                  </w:r>
                </w:p>
              </w:tc>
              <w:tc>
                <w:tcPr>
                  <w:tcW w:w="468" w:type="pct"/>
                  <w:tcBorders>
                    <w:tl2br w:val="nil"/>
                    <w:tr2bl w:val="nil"/>
                  </w:tcBorders>
                  <w:shd w:val="clear" w:color="auto" w:fill="auto"/>
                  <w:vAlign w:val="center"/>
                </w:tcPr>
                <w:p w14:paraId="7BD8BE44">
                  <w:pPr>
                    <w:pStyle w:val="120"/>
                    <w:bidi w:val="0"/>
                    <w:jc w:val="center"/>
                    <w:rPr>
                      <w:rFonts w:hint="eastAsia"/>
                      <w:b/>
                      <w:bCs/>
                      <w:color w:val="auto"/>
                      <w:highlight w:val="none"/>
                      <w:lang w:val="en-US" w:eastAsia="zh-CN"/>
                    </w:rPr>
                  </w:pPr>
                  <w:r>
                    <w:rPr>
                      <w:rFonts w:hint="eastAsia"/>
                      <w:b/>
                      <w:bCs/>
                      <w:color w:val="auto"/>
                      <w:highlight w:val="none"/>
                      <w:lang w:val="en-US" w:eastAsia="zh-CN"/>
                    </w:rPr>
                    <w:t>动植</w:t>
                  </w:r>
                </w:p>
                <w:p w14:paraId="231FD6AC">
                  <w:pPr>
                    <w:pStyle w:val="120"/>
                    <w:bidi w:val="0"/>
                    <w:jc w:val="center"/>
                    <w:rPr>
                      <w:rFonts w:hint="default"/>
                      <w:b/>
                      <w:bCs/>
                      <w:color w:val="auto"/>
                      <w:highlight w:val="none"/>
                      <w:lang w:val="en-US" w:eastAsia="zh-CN"/>
                    </w:rPr>
                  </w:pPr>
                  <w:r>
                    <w:rPr>
                      <w:rFonts w:hint="eastAsia"/>
                      <w:b/>
                      <w:bCs/>
                      <w:color w:val="auto"/>
                      <w:highlight w:val="none"/>
                      <w:lang w:val="en-US" w:eastAsia="zh-CN"/>
                    </w:rPr>
                    <w:t>物油</w:t>
                  </w:r>
                </w:p>
              </w:tc>
              <w:tc>
                <w:tcPr>
                  <w:tcW w:w="568" w:type="pct"/>
                  <w:tcBorders>
                    <w:tl2br w:val="nil"/>
                    <w:tr2bl w:val="nil"/>
                  </w:tcBorders>
                  <w:shd w:val="clear" w:color="auto" w:fill="auto"/>
                  <w:vAlign w:val="center"/>
                </w:tcPr>
                <w:p w14:paraId="52E490F2">
                  <w:pPr>
                    <w:pStyle w:val="120"/>
                    <w:bidi w:val="0"/>
                    <w:jc w:val="center"/>
                    <w:rPr>
                      <w:rFonts w:hint="default"/>
                      <w:b/>
                      <w:bCs/>
                      <w:color w:val="auto"/>
                      <w:highlight w:val="none"/>
                      <w:lang w:val="en-US" w:eastAsia="zh-CN"/>
                    </w:rPr>
                  </w:pPr>
                  <w:r>
                    <w:rPr>
                      <w:rFonts w:hint="eastAsia"/>
                      <w:b/>
                      <w:bCs/>
                      <w:color w:val="auto"/>
                      <w:highlight w:val="none"/>
                      <w:lang w:val="en-US" w:eastAsia="zh-CN"/>
                    </w:rPr>
                    <w:t>粪大肠菌群</w:t>
                  </w:r>
                </w:p>
              </w:tc>
            </w:tr>
            <w:tr w14:paraId="5B44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1286" w:type="pct"/>
                  <w:tcBorders>
                    <w:tl2br w:val="nil"/>
                    <w:tr2bl w:val="nil"/>
                  </w:tcBorders>
                  <w:shd w:val="clear" w:color="auto" w:fill="auto"/>
                  <w:vAlign w:val="center"/>
                </w:tcPr>
                <w:p w14:paraId="58B04293">
                  <w:pPr>
                    <w:pStyle w:val="120"/>
                    <w:bidi w:val="0"/>
                    <w:jc w:val="center"/>
                    <w:rPr>
                      <w:rFonts w:hint="eastAsia"/>
                      <w:color w:val="auto"/>
                      <w:highlight w:val="none"/>
                      <w:lang w:val="en-US" w:eastAsia="en-US"/>
                    </w:rPr>
                  </w:pPr>
                  <w:r>
                    <w:rPr>
                      <w:rFonts w:hint="eastAsia"/>
                      <w:color w:val="auto"/>
                      <w:highlight w:val="none"/>
                      <w:lang w:val="en-US" w:eastAsia="zh-CN"/>
                    </w:rPr>
                    <w:t>潘集</w:t>
                  </w:r>
                  <w:r>
                    <w:rPr>
                      <w:rFonts w:hint="eastAsia"/>
                      <w:color w:val="auto"/>
                      <w:highlight w:val="none"/>
                      <w:lang w:eastAsia="zh-CN"/>
                    </w:rPr>
                    <w:t>污水处理厂</w:t>
                  </w:r>
                  <w:r>
                    <w:rPr>
                      <w:color w:val="auto"/>
                      <w:highlight w:val="none"/>
                    </w:rPr>
                    <w:t>接管要求</w:t>
                  </w:r>
                </w:p>
              </w:tc>
              <w:tc>
                <w:tcPr>
                  <w:tcW w:w="404" w:type="pct"/>
                  <w:tcBorders>
                    <w:tl2br w:val="nil"/>
                    <w:tr2bl w:val="nil"/>
                  </w:tcBorders>
                  <w:shd w:val="clear" w:color="auto" w:fill="auto"/>
                  <w:vAlign w:val="center"/>
                </w:tcPr>
                <w:p w14:paraId="381A2823">
                  <w:pPr>
                    <w:pStyle w:val="120"/>
                    <w:bidi w:val="0"/>
                    <w:ind w:firstLine="0" w:firstLineChars="0"/>
                    <w:rPr>
                      <w:rFonts w:hint="default" w:ascii="Times New Roman" w:hAnsi="Times New Roman" w:eastAsia="宋体" w:cs="Times New Roman"/>
                      <w:color w:val="auto"/>
                      <w:sz w:val="21"/>
                      <w:szCs w:val="21"/>
                      <w:highlight w:val="none"/>
                      <w:lang w:val="en-US" w:eastAsia="en-US" w:bidi="ar-SA"/>
                    </w:rPr>
                  </w:pPr>
                  <w:r>
                    <w:rPr>
                      <w:rFonts w:hint="default"/>
                      <w:color w:val="auto"/>
                      <w:highlight w:val="none"/>
                      <w:lang w:val="en-US" w:eastAsia="zh-CN"/>
                    </w:rPr>
                    <w:t>6</w:t>
                  </w:r>
                  <w:r>
                    <w:rPr>
                      <w:color w:val="auto"/>
                      <w:highlight w:val="none"/>
                      <w:lang w:val="en-US" w:eastAsia="zh-CN"/>
                    </w:rPr>
                    <w:t>～9</w:t>
                  </w:r>
                </w:p>
              </w:tc>
              <w:tc>
                <w:tcPr>
                  <w:tcW w:w="472" w:type="pct"/>
                  <w:tcBorders>
                    <w:tl2br w:val="nil"/>
                    <w:tr2bl w:val="nil"/>
                  </w:tcBorders>
                  <w:shd w:val="clear" w:color="auto" w:fill="auto"/>
                  <w:vAlign w:val="center"/>
                </w:tcPr>
                <w:p w14:paraId="31843BDB">
                  <w:pPr>
                    <w:pStyle w:val="120"/>
                    <w:bidi w:val="0"/>
                    <w:ind w:firstLine="0" w:firstLineChars="0"/>
                    <w:rPr>
                      <w:rFonts w:hint="default" w:ascii="Times New Roman" w:hAnsi="Times New Roman" w:eastAsia="宋体" w:cs="Times New Roman"/>
                      <w:color w:val="auto"/>
                      <w:sz w:val="21"/>
                      <w:szCs w:val="21"/>
                      <w:highlight w:val="none"/>
                      <w:lang w:val="en-US" w:eastAsia="en-US" w:bidi="ar-SA"/>
                    </w:rPr>
                  </w:pPr>
                  <w:r>
                    <w:rPr>
                      <w:rFonts w:hint="default"/>
                      <w:color w:val="auto"/>
                      <w:highlight w:val="none"/>
                      <w:lang w:val="en-US" w:eastAsia="zh-CN"/>
                    </w:rPr>
                    <w:t>3</w:t>
                  </w:r>
                  <w:r>
                    <w:rPr>
                      <w:rFonts w:hint="eastAsia"/>
                      <w:color w:val="auto"/>
                      <w:highlight w:val="none"/>
                      <w:lang w:val="en-US" w:eastAsia="zh-CN"/>
                    </w:rPr>
                    <w:t>60</w:t>
                  </w:r>
                </w:p>
              </w:tc>
              <w:tc>
                <w:tcPr>
                  <w:tcW w:w="472" w:type="pct"/>
                  <w:tcBorders>
                    <w:tl2br w:val="nil"/>
                    <w:tr2bl w:val="nil"/>
                  </w:tcBorders>
                  <w:shd w:val="clear" w:color="auto" w:fill="auto"/>
                  <w:vAlign w:val="center"/>
                </w:tcPr>
                <w:p w14:paraId="5A38A67B">
                  <w:pPr>
                    <w:pStyle w:val="120"/>
                    <w:bidi w:val="0"/>
                    <w:ind w:firstLine="0" w:firstLineChars="0"/>
                    <w:rPr>
                      <w:rFonts w:hint="default" w:ascii="Times New Roman" w:hAnsi="Times New Roman" w:eastAsia="宋体" w:cs="Times New Roman"/>
                      <w:color w:val="auto"/>
                      <w:sz w:val="21"/>
                      <w:szCs w:val="21"/>
                      <w:highlight w:val="none"/>
                      <w:lang w:val="en-US" w:eastAsia="en-US" w:bidi="ar-SA"/>
                    </w:rPr>
                  </w:pPr>
                  <w:r>
                    <w:rPr>
                      <w:rFonts w:hint="default"/>
                      <w:color w:val="auto"/>
                      <w:highlight w:val="none"/>
                      <w:lang w:val="en-US" w:eastAsia="zh-CN"/>
                    </w:rPr>
                    <w:t>1</w:t>
                  </w:r>
                  <w:r>
                    <w:rPr>
                      <w:rFonts w:hint="eastAsia"/>
                      <w:color w:val="auto"/>
                      <w:highlight w:val="none"/>
                      <w:lang w:val="en-US" w:eastAsia="zh-CN"/>
                    </w:rPr>
                    <w:t>8</w:t>
                  </w:r>
                  <w:r>
                    <w:rPr>
                      <w:rFonts w:hint="default"/>
                      <w:color w:val="auto"/>
                      <w:highlight w:val="none"/>
                      <w:lang w:val="en-US" w:eastAsia="zh-CN"/>
                    </w:rPr>
                    <w:t>0</w:t>
                  </w:r>
                </w:p>
              </w:tc>
              <w:tc>
                <w:tcPr>
                  <w:tcW w:w="375" w:type="pct"/>
                  <w:tcBorders>
                    <w:tl2br w:val="nil"/>
                    <w:tr2bl w:val="nil"/>
                  </w:tcBorders>
                  <w:shd w:val="clear" w:color="auto" w:fill="auto"/>
                  <w:vAlign w:val="center"/>
                </w:tcPr>
                <w:p w14:paraId="2F67909E">
                  <w:pPr>
                    <w:pStyle w:val="120"/>
                    <w:bidi w:val="0"/>
                    <w:ind w:firstLine="0" w:firstLineChars="0"/>
                    <w:rPr>
                      <w:rFonts w:hint="default" w:ascii="Times New Roman" w:hAnsi="Times New Roman" w:eastAsia="宋体" w:cs="Times New Roman"/>
                      <w:color w:val="auto"/>
                      <w:sz w:val="21"/>
                      <w:szCs w:val="21"/>
                      <w:highlight w:val="none"/>
                      <w:lang w:val="en-US" w:eastAsia="en-US" w:bidi="ar-SA"/>
                    </w:rPr>
                  </w:pPr>
                  <w:r>
                    <w:rPr>
                      <w:rFonts w:hint="eastAsia"/>
                      <w:color w:val="auto"/>
                      <w:highlight w:val="none"/>
                      <w:lang w:val="en-US" w:eastAsia="zh-CN"/>
                    </w:rPr>
                    <w:t>22</w:t>
                  </w:r>
                  <w:r>
                    <w:rPr>
                      <w:rFonts w:hint="default"/>
                      <w:color w:val="auto"/>
                      <w:highlight w:val="none"/>
                      <w:lang w:val="en-US" w:eastAsia="zh-CN"/>
                    </w:rPr>
                    <w:t>0</w:t>
                  </w:r>
                </w:p>
              </w:tc>
              <w:tc>
                <w:tcPr>
                  <w:tcW w:w="568" w:type="pct"/>
                  <w:tcBorders>
                    <w:tl2br w:val="nil"/>
                    <w:tr2bl w:val="nil"/>
                  </w:tcBorders>
                  <w:shd w:val="clear" w:color="auto" w:fill="auto"/>
                  <w:vAlign w:val="center"/>
                </w:tcPr>
                <w:p w14:paraId="2F046E1F">
                  <w:pPr>
                    <w:pStyle w:val="120"/>
                    <w:bidi w:val="0"/>
                    <w:ind w:firstLine="0" w:firstLineChars="0"/>
                    <w:rPr>
                      <w:rFonts w:hint="default" w:ascii="Times New Roman" w:hAnsi="Times New Roman" w:eastAsia="宋体" w:cs="Times New Roman"/>
                      <w:color w:val="auto"/>
                      <w:sz w:val="21"/>
                      <w:szCs w:val="21"/>
                      <w:highlight w:val="none"/>
                      <w:lang w:val="en-US" w:eastAsia="en-US" w:bidi="ar-SA"/>
                    </w:rPr>
                  </w:pPr>
                  <w:r>
                    <w:rPr>
                      <w:rFonts w:hint="default"/>
                      <w:color w:val="auto"/>
                      <w:highlight w:val="none"/>
                      <w:lang w:val="en-US" w:eastAsia="zh-CN"/>
                    </w:rPr>
                    <w:t>25</w:t>
                  </w:r>
                </w:p>
              </w:tc>
              <w:tc>
                <w:tcPr>
                  <w:tcW w:w="382" w:type="pct"/>
                  <w:tcBorders>
                    <w:tl2br w:val="nil"/>
                    <w:tr2bl w:val="nil"/>
                  </w:tcBorders>
                  <w:shd w:val="clear" w:color="auto" w:fill="auto"/>
                  <w:vAlign w:val="center"/>
                </w:tcPr>
                <w:p w14:paraId="03FFE1B1">
                  <w:pPr>
                    <w:pStyle w:val="120"/>
                    <w:bidi w:val="0"/>
                    <w:jc w:val="center"/>
                    <w:rPr>
                      <w:rFonts w:hint="default"/>
                      <w:color w:val="auto"/>
                      <w:highlight w:val="none"/>
                      <w:lang w:val="en-US" w:eastAsia="zh-CN"/>
                    </w:rPr>
                  </w:pPr>
                  <w:r>
                    <w:rPr>
                      <w:rFonts w:hint="default"/>
                      <w:color w:val="auto"/>
                      <w:highlight w:val="none"/>
                      <w:lang w:val="en-US" w:eastAsia="zh-CN"/>
                    </w:rPr>
                    <w:t>--</w:t>
                  </w:r>
                </w:p>
              </w:tc>
              <w:tc>
                <w:tcPr>
                  <w:tcW w:w="468" w:type="pct"/>
                  <w:tcBorders>
                    <w:tl2br w:val="nil"/>
                    <w:tr2bl w:val="nil"/>
                  </w:tcBorders>
                  <w:shd w:val="clear" w:color="auto" w:fill="auto"/>
                  <w:vAlign w:val="center"/>
                </w:tcPr>
                <w:p w14:paraId="2631756E">
                  <w:pPr>
                    <w:pStyle w:val="120"/>
                    <w:bidi w:val="0"/>
                    <w:jc w:val="center"/>
                    <w:rPr>
                      <w:rFonts w:hint="default"/>
                      <w:color w:val="auto"/>
                      <w:highlight w:val="none"/>
                      <w:lang w:val="en-US" w:eastAsia="zh-CN"/>
                    </w:rPr>
                  </w:pPr>
                  <w:r>
                    <w:rPr>
                      <w:rFonts w:hint="default"/>
                      <w:color w:val="auto"/>
                      <w:highlight w:val="none"/>
                      <w:lang w:val="en-US" w:eastAsia="zh-CN"/>
                    </w:rPr>
                    <w:t>--</w:t>
                  </w:r>
                </w:p>
              </w:tc>
              <w:tc>
                <w:tcPr>
                  <w:tcW w:w="568" w:type="pct"/>
                  <w:tcBorders>
                    <w:tl2br w:val="nil"/>
                    <w:tr2bl w:val="nil"/>
                  </w:tcBorders>
                  <w:shd w:val="clear" w:color="auto" w:fill="auto"/>
                  <w:vAlign w:val="center"/>
                </w:tcPr>
                <w:p w14:paraId="58BB0212">
                  <w:pPr>
                    <w:pStyle w:val="120"/>
                    <w:bidi w:val="0"/>
                    <w:jc w:val="center"/>
                    <w:rPr>
                      <w:rFonts w:hint="default"/>
                      <w:color w:val="auto"/>
                      <w:highlight w:val="none"/>
                      <w:lang w:val="en-US" w:eastAsia="zh-CN"/>
                    </w:rPr>
                  </w:pPr>
                  <w:r>
                    <w:rPr>
                      <w:rFonts w:hint="default"/>
                      <w:color w:val="auto"/>
                      <w:highlight w:val="none"/>
                      <w:lang w:val="en-US" w:eastAsia="zh-CN"/>
                    </w:rPr>
                    <w:t>--</w:t>
                  </w:r>
                </w:p>
              </w:tc>
            </w:tr>
            <w:tr w14:paraId="5D37C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1286" w:type="pct"/>
                  <w:tcBorders>
                    <w:tl2br w:val="nil"/>
                    <w:tr2bl w:val="nil"/>
                  </w:tcBorders>
                  <w:shd w:val="clear" w:color="auto" w:fill="auto"/>
                  <w:vAlign w:val="center"/>
                </w:tcPr>
                <w:p w14:paraId="65CFC7E5">
                  <w:pPr>
                    <w:pStyle w:val="120"/>
                    <w:bidi w:val="0"/>
                    <w:jc w:val="center"/>
                    <w:rPr>
                      <w:rFonts w:hint="eastAsia"/>
                      <w:color w:val="auto"/>
                      <w:highlight w:val="none"/>
                      <w:lang w:val="en-US" w:eastAsia="zh-CN"/>
                    </w:rPr>
                  </w:pPr>
                  <w:r>
                    <w:rPr>
                      <w:color w:val="auto"/>
                      <w:highlight w:val="none"/>
                    </w:rPr>
                    <w:t>《医疗机构水污染物排放标准》（GB18466-2005）</w:t>
                  </w:r>
                </w:p>
              </w:tc>
              <w:tc>
                <w:tcPr>
                  <w:tcW w:w="404" w:type="pct"/>
                  <w:tcBorders>
                    <w:tl2br w:val="nil"/>
                    <w:tr2bl w:val="nil"/>
                  </w:tcBorders>
                  <w:shd w:val="clear" w:color="auto" w:fill="auto"/>
                  <w:vAlign w:val="center"/>
                </w:tcPr>
                <w:p w14:paraId="407F59BE">
                  <w:pPr>
                    <w:pStyle w:val="120"/>
                    <w:bidi w:val="0"/>
                    <w:jc w:val="center"/>
                    <w:rPr>
                      <w:rFonts w:hint="default"/>
                      <w:color w:val="auto"/>
                      <w:highlight w:val="none"/>
                      <w:lang w:val="en-US" w:eastAsia="zh-CN"/>
                    </w:rPr>
                  </w:pPr>
                  <w:r>
                    <w:rPr>
                      <w:color w:val="auto"/>
                      <w:highlight w:val="none"/>
                    </w:rPr>
                    <w:t>6~9</w:t>
                  </w:r>
                </w:p>
              </w:tc>
              <w:tc>
                <w:tcPr>
                  <w:tcW w:w="472" w:type="pct"/>
                  <w:tcBorders>
                    <w:tl2br w:val="nil"/>
                    <w:tr2bl w:val="nil"/>
                  </w:tcBorders>
                  <w:shd w:val="clear" w:color="auto" w:fill="auto"/>
                  <w:vAlign w:val="center"/>
                </w:tcPr>
                <w:p w14:paraId="4F9EE10F">
                  <w:pPr>
                    <w:pStyle w:val="120"/>
                    <w:bidi w:val="0"/>
                    <w:jc w:val="center"/>
                    <w:rPr>
                      <w:rFonts w:hint="default"/>
                      <w:color w:val="auto"/>
                      <w:highlight w:val="none"/>
                      <w:lang w:val="en-US" w:eastAsia="zh-CN"/>
                    </w:rPr>
                  </w:pPr>
                  <w:r>
                    <w:rPr>
                      <w:color w:val="auto"/>
                      <w:highlight w:val="none"/>
                    </w:rPr>
                    <w:t>250</w:t>
                  </w:r>
                </w:p>
              </w:tc>
              <w:tc>
                <w:tcPr>
                  <w:tcW w:w="472" w:type="pct"/>
                  <w:tcBorders>
                    <w:tl2br w:val="nil"/>
                    <w:tr2bl w:val="nil"/>
                  </w:tcBorders>
                  <w:shd w:val="clear" w:color="auto" w:fill="auto"/>
                  <w:vAlign w:val="center"/>
                </w:tcPr>
                <w:p w14:paraId="75222403">
                  <w:pPr>
                    <w:pStyle w:val="120"/>
                    <w:bidi w:val="0"/>
                    <w:jc w:val="center"/>
                    <w:rPr>
                      <w:rFonts w:hint="default"/>
                      <w:color w:val="auto"/>
                      <w:highlight w:val="none"/>
                      <w:lang w:val="en-US" w:eastAsia="zh-CN"/>
                    </w:rPr>
                  </w:pPr>
                  <w:r>
                    <w:rPr>
                      <w:color w:val="auto"/>
                      <w:highlight w:val="none"/>
                    </w:rPr>
                    <w:t>100</w:t>
                  </w:r>
                </w:p>
              </w:tc>
              <w:tc>
                <w:tcPr>
                  <w:tcW w:w="375" w:type="pct"/>
                  <w:tcBorders>
                    <w:tl2br w:val="nil"/>
                    <w:tr2bl w:val="nil"/>
                  </w:tcBorders>
                  <w:shd w:val="clear" w:color="auto" w:fill="auto"/>
                  <w:vAlign w:val="center"/>
                </w:tcPr>
                <w:p w14:paraId="0C9A1929">
                  <w:pPr>
                    <w:pStyle w:val="120"/>
                    <w:bidi w:val="0"/>
                    <w:jc w:val="center"/>
                    <w:rPr>
                      <w:rFonts w:hint="default"/>
                      <w:color w:val="auto"/>
                      <w:highlight w:val="none"/>
                      <w:lang w:val="en-US" w:eastAsia="zh-CN"/>
                    </w:rPr>
                  </w:pPr>
                  <w:r>
                    <w:rPr>
                      <w:color w:val="auto"/>
                      <w:highlight w:val="none"/>
                    </w:rPr>
                    <w:t>60</w:t>
                  </w:r>
                </w:p>
              </w:tc>
              <w:tc>
                <w:tcPr>
                  <w:tcW w:w="568" w:type="pct"/>
                  <w:tcBorders>
                    <w:tl2br w:val="nil"/>
                    <w:tr2bl w:val="nil"/>
                  </w:tcBorders>
                  <w:shd w:val="clear" w:color="auto" w:fill="auto"/>
                  <w:vAlign w:val="center"/>
                </w:tcPr>
                <w:p w14:paraId="3ACC4ED1">
                  <w:pPr>
                    <w:pStyle w:val="120"/>
                    <w:bidi w:val="0"/>
                    <w:jc w:val="center"/>
                    <w:rPr>
                      <w:rFonts w:hint="default"/>
                      <w:color w:val="auto"/>
                      <w:highlight w:val="none"/>
                      <w:lang w:val="en-US" w:eastAsia="zh-CN"/>
                    </w:rPr>
                  </w:pPr>
                  <w:r>
                    <w:rPr>
                      <w:rFonts w:hint="default"/>
                      <w:color w:val="auto"/>
                      <w:highlight w:val="none"/>
                      <w:lang w:val="en-US" w:eastAsia="zh-CN"/>
                    </w:rPr>
                    <w:t>--</w:t>
                  </w:r>
                </w:p>
              </w:tc>
              <w:tc>
                <w:tcPr>
                  <w:tcW w:w="382" w:type="pct"/>
                  <w:tcBorders>
                    <w:tl2br w:val="nil"/>
                    <w:tr2bl w:val="nil"/>
                  </w:tcBorders>
                  <w:shd w:val="clear" w:color="auto" w:fill="auto"/>
                  <w:vAlign w:val="center"/>
                </w:tcPr>
                <w:p w14:paraId="491F1A44">
                  <w:pPr>
                    <w:pStyle w:val="120"/>
                    <w:bidi w:val="0"/>
                    <w:jc w:val="center"/>
                    <w:rPr>
                      <w:rFonts w:hint="default" w:eastAsia="宋体"/>
                      <w:color w:val="auto"/>
                      <w:highlight w:val="none"/>
                      <w:lang w:val="en-US" w:eastAsia="zh-CN"/>
                    </w:rPr>
                  </w:pPr>
                  <w:r>
                    <w:rPr>
                      <w:rFonts w:hint="eastAsia"/>
                      <w:color w:val="auto"/>
                      <w:highlight w:val="none"/>
                      <w:lang w:val="en-US" w:eastAsia="zh-CN"/>
                    </w:rPr>
                    <w:t>10</w:t>
                  </w:r>
                </w:p>
              </w:tc>
              <w:tc>
                <w:tcPr>
                  <w:tcW w:w="468" w:type="pct"/>
                  <w:tcBorders>
                    <w:tl2br w:val="nil"/>
                    <w:tr2bl w:val="nil"/>
                  </w:tcBorders>
                  <w:shd w:val="clear" w:color="auto" w:fill="auto"/>
                  <w:vAlign w:val="center"/>
                </w:tcPr>
                <w:p w14:paraId="53825D45">
                  <w:pPr>
                    <w:pStyle w:val="120"/>
                    <w:bidi w:val="0"/>
                    <w:jc w:val="center"/>
                    <w:rPr>
                      <w:rFonts w:hint="default"/>
                      <w:color w:val="auto"/>
                      <w:highlight w:val="none"/>
                      <w:lang w:val="en-US" w:eastAsia="zh-CN"/>
                    </w:rPr>
                  </w:pPr>
                  <w:r>
                    <w:rPr>
                      <w:color w:val="auto"/>
                      <w:highlight w:val="none"/>
                    </w:rPr>
                    <w:t>20</w:t>
                  </w:r>
                </w:p>
              </w:tc>
              <w:tc>
                <w:tcPr>
                  <w:tcW w:w="568" w:type="pct"/>
                  <w:tcBorders>
                    <w:tl2br w:val="nil"/>
                    <w:tr2bl w:val="nil"/>
                  </w:tcBorders>
                  <w:shd w:val="clear" w:color="auto" w:fill="auto"/>
                  <w:vAlign w:val="center"/>
                </w:tcPr>
                <w:p w14:paraId="067920E3">
                  <w:pPr>
                    <w:pStyle w:val="120"/>
                    <w:bidi w:val="0"/>
                    <w:jc w:val="center"/>
                    <w:rPr>
                      <w:color w:val="auto"/>
                      <w:highlight w:val="none"/>
                    </w:rPr>
                  </w:pPr>
                  <w:r>
                    <w:rPr>
                      <w:color w:val="auto"/>
                      <w:highlight w:val="none"/>
                    </w:rPr>
                    <w:t>5000</w:t>
                  </w:r>
                </w:p>
                <w:p w14:paraId="74B26588">
                  <w:pPr>
                    <w:pStyle w:val="120"/>
                    <w:bidi w:val="0"/>
                    <w:jc w:val="center"/>
                    <w:rPr>
                      <w:rFonts w:hint="eastAsia" w:eastAsia="宋体"/>
                      <w:color w:val="auto"/>
                      <w:highlight w:val="none"/>
                      <w:lang w:val="en-US" w:eastAsia="zh-CN"/>
                    </w:rPr>
                  </w:pPr>
                  <w:r>
                    <w:rPr>
                      <w:rFonts w:hint="eastAsia"/>
                      <w:color w:val="auto"/>
                      <w:highlight w:val="none"/>
                      <w:lang w:eastAsia="zh-CN"/>
                    </w:rPr>
                    <w:t>（</w:t>
                  </w:r>
                  <w:r>
                    <w:rPr>
                      <w:color w:val="auto"/>
                      <w:highlight w:val="none"/>
                    </w:rPr>
                    <w:t>MPN/L</w:t>
                  </w:r>
                  <w:r>
                    <w:rPr>
                      <w:rFonts w:hint="eastAsia"/>
                      <w:color w:val="auto"/>
                      <w:highlight w:val="none"/>
                      <w:lang w:eastAsia="zh-CN"/>
                    </w:rPr>
                    <w:t>）</w:t>
                  </w:r>
                </w:p>
              </w:tc>
            </w:tr>
            <w:tr w14:paraId="59597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1286" w:type="pct"/>
                  <w:tcBorders>
                    <w:tl2br w:val="nil"/>
                    <w:tr2bl w:val="nil"/>
                  </w:tcBorders>
                  <w:shd w:val="clear" w:color="auto" w:fill="auto"/>
                  <w:vAlign w:val="center"/>
                </w:tcPr>
                <w:p w14:paraId="3BAA2A6D">
                  <w:pPr>
                    <w:pStyle w:val="120"/>
                    <w:bidi w:val="0"/>
                    <w:jc w:val="center"/>
                    <w:rPr>
                      <w:rFonts w:hint="eastAsia"/>
                      <w:color w:val="auto"/>
                      <w:highlight w:val="none"/>
                      <w:lang w:val="en-US" w:eastAsia="zh-CN"/>
                    </w:rPr>
                  </w:pPr>
                  <w:r>
                    <w:rPr>
                      <w:color w:val="auto"/>
                      <w:highlight w:val="none"/>
                    </w:rPr>
                    <w:t>最高允许排放负荷（g/床位</w:t>
                  </w:r>
                  <w:r>
                    <w:rPr>
                      <w:rFonts w:hint="eastAsia"/>
                      <w:color w:val="auto"/>
                      <w:highlight w:val="none"/>
                      <w:lang w:val="en-US" w:eastAsia="zh-CN"/>
                    </w:rPr>
                    <w:t>·</w:t>
                  </w:r>
                  <w:r>
                    <w:rPr>
                      <w:color w:val="auto"/>
                      <w:highlight w:val="none"/>
                    </w:rPr>
                    <w:t>天）</w:t>
                  </w:r>
                </w:p>
              </w:tc>
              <w:tc>
                <w:tcPr>
                  <w:tcW w:w="404" w:type="pct"/>
                  <w:tcBorders>
                    <w:tl2br w:val="nil"/>
                    <w:tr2bl w:val="nil"/>
                  </w:tcBorders>
                  <w:shd w:val="clear" w:color="auto" w:fill="auto"/>
                  <w:vAlign w:val="center"/>
                </w:tcPr>
                <w:p w14:paraId="6F90F59A">
                  <w:pPr>
                    <w:pStyle w:val="120"/>
                    <w:bidi w:val="0"/>
                    <w:jc w:val="center"/>
                    <w:rPr>
                      <w:rFonts w:hint="default"/>
                      <w:color w:val="auto"/>
                      <w:highlight w:val="none"/>
                      <w:lang w:val="en-US" w:eastAsia="zh-CN"/>
                    </w:rPr>
                  </w:pPr>
                  <w:r>
                    <w:rPr>
                      <w:rFonts w:hint="default"/>
                      <w:color w:val="auto"/>
                      <w:highlight w:val="none"/>
                      <w:lang w:val="en-US" w:eastAsia="zh-CN"/>
                    </w:rPr>
                    <w:t>--</w:t>
                  </w:r>
                </w:p>
              </w:tc>
              <w:tc>
                <w:tcPr>
                  <w:tcW w:w="472" w:type="pct"/>
                  <w:tcBorders>
                    <w:tl2br w:val="nil"/>
                    <w:tr2bl w:val="nil"/>
                  </w:tcBorders>
                  <w:shd w:val="clear" w:color="auto" w:fill="auto"/>
                  <w:vAlign w:val="center"/>
                </w:tcPr>
                <w:p w14:paraId="108D3FDC">
                  <w:pPr>
                    <w:pStyle w:val="120"/>
                    <w:bidi w:val="0"/>
                    <w:jc w:val="center"/>
                    <w:rPr>
                      <w:rFonts w:hint="default"/>
                      <w:color w:val="auto"/>
                      <w:highlight w:val="none"/>
                      <w:lang w:val="en-US" w:eastAsia="zh-CN"/>
                    </w:rPr>
                  </w:pPr>
                  <w:r>
                    <w:rPr>
                      <w:color w:val="auto"/>
                      <w:highlight w:val="none"/>
                    </w:rPr>
                    <w:t>250</w:t>
                  </w:r>
                </w:p>
              </w:tc>
              <w:tc>
                <w:tcPr>
                  <w:tcW w:w="472" w:type="pct"/>
                  <w:tcBorders>
                    <w:tl2br w:val="nil"/>
                    <w:tr2bl w:val="nil"/>
                  </w:tcBorders>
                  <w:shd w:val="clear" w:color="auto" w:fill="auto"/>
                  <w:vAlign w:val="center"/>
                </w:tcPr>
                <w:p w14:paraId="184B2EE5">
                  <w:pPr>
                    <w:pStyle w:val="120"/>
                    <w:bidi w:val="0"/>
                    <w:jc w:val="center"/>
                    <w:rPr>
                      <w:rFonts w:hint="default"/>
                      <w:color w:val="auto"/>
                      <w:highlight w:val="none"/>
                      <w:lang w:val="en-US" w:eastAsia="zh-CN"/>
                    </w:rPr>
                  </w:pPr>
                  <w:r>
                    <w:rPr>
                      <w:color w:val="auto"/>
                      <w:highlight w:val="none"/>
                    </w:rPr>
                    <w:t>100</w:t>
                  </w:r>
                </w:p>
              </w:tc>
              <w:tc>
                <w:tcPr>
                  <w:tcW w:w="375" w:type="pct"/>
                  <w:tcBorders>
                    <w:tl2br w:val="nil"/>
                    <w:tr2bl w:val="nil"/>
                  </w:tcBorders>
                  <w:shd w:val="clear" w:color="auto" w:fill="auto"/>
                  <w:vAlign w:val="center"/>
                </w:tcPr>
                <w:p w14:paraId="60B5215B">
                  <w:pPr>
                    <w:pStyle w:val="120"/>
                    <w:bidi w:val="0"/>
                    <w:jc w:val="center"/>
                    <w:rPr>
                      <w:rFonts w:hint="default"/>
                      <w:color w:val="auto"/>
                      <w:highlight w:val="none"/>
                      <w:lang w:val="en-US" w:eastAsia="zh-CN"/>
                    </w:rPr>
                  </w:pPr>
                  <w:r>
                    <w:rPr>
                      <w:color w:val="auto"/>
                      <w:highlight w:val="none"/>
                    </w:rPr>
                    <w:t>60</w:t>
                  </w:r>
                </w:p>
              </w:tc>
              <w:tc>
                <w:tcPr>
                  <w:tcW w:w="568" w:type="pct"/>
                  <w:tcBorders>
                    <w:tl2br w:val="nil"/>
                    <w:tr2bl w:val="nil"/>
                  </w:tcBorders>
                  <w:shd w:val="clear" w:color="auto" w:fill="auto"/>
                  <w:vAlign w:val="center"/>
                </w:tcPr>
                <w:p w14:paraId="646856C1">
                  <w:pPr>
                    <w:pStyle w:val="120"/>
                    <w:bidi w:val="0"/>
                    <w:jc w:val="center"/>
                    <w:rPr>
                      <w:rFonts w:hint="default"/>
                      <w:color w:val="auto"/>
                      <w:highlight w:val="none"/>
                      <w:lang w:val="en-US" w:eastAsia="zh-CN"/>
                    </w:rPr>
                  </w:pPr>
                  <w:r>
                    <w:rPr>
                      <w:rFonts w:hint="default"/>
                      <w:color w:val="auto"/>
                      <w:highlight w:val="none"/>
                      <w:lang w:val="en-US" w:eastAsia="zh-CN"/>
                    </w:rPr>
                    <w:t>--</w:t>
                  </w:r>
                </w:p>
              </w:tc>
              <w:tc>
                <w:tcPr>
                  <w:tcW w:w="382" w:type="pct"/>
                  <w:tcBorders>
                    <w:tl2br w:val="nil"/>
                    <w:tr2bl w:val="nil"/>
                  </w:tcBorders>
                  <w:shd w:val="clear" w:color="auto" w:fill="auto"/>
                  <w:vAlign w:val="center"/>
                </w:tcPr>
                <w:p w14:paraId="34FB8BC4">
                  <w:pPr>
                    <w:pStyle w:val="120"/>
                    <w:bidi w:val="0"/>
                    <w:jc w:val="center"/>
                    <w:rPr>
                      <w:rFonts w:hint="default"/>
                      <w:color w:val="auto"/>
                      <w:highlight w:val="none"/>
                      <w:lang w:val="en-US" w:eastAsia="zh-CN"/>
                    </w:rPr>
                  </w:pPr>
                  <w:r>
                    <w:rPr>
                      <w:rFonts w:hint="default"/>
                      <w:color w:val="auto"/>
                      <w:highlight w:val="none"/>
                      <w:lang w:val="en-US" w:eastAsia="zh-CN"/>
                    </w:rPr>
                    <w:t>--</w:t>
                  </w:r>
                </w:p>
              </w:tc>
              <w:tc>
                <w:tcPr>
                  <w:tcW w:w="468" w:type="pct"/>
                  <w:tcBorders>
                    <w:tl2br w:val="nil"/>
                    <w:tr2bl w:val="nil"/>
                  </w:tcBorders>
                  <w:shd w:val="clear" w:color="auto" w:fill="auto"/>
                  <w:vAlign w:val="center"/>
                </w:tcPr>
                <w:p w14:paraId="502BBD7B">
                  <w:pPr>
                    <w:pStyle w:val="120"/>
                    <w:bidi w:val="0"/>
                    <w:jc w:val="center"/>
                    <w:rPr>
                      <w:rFonts w:hint="default"/>
                      <w:color w:val="auto"/>
                      <w:highlight w:val="none"/>
                      <w:lang w:val="en-US" w:eastAsia="zh-CN"/>
                    </w:rPr>
                  </w:pPr>
                  <w:r>
                    <w:rPr>
                      <w:rFonts w:hint="default"/>
                      <w:color w:val="auto"/>
                      <w:highlight w:val="none"/>
                      <w:lang w:val="en-US" w:eastAsia="zh-CN"/>
                    </w:rPr>
                    <w:t>--</w:t>
                  </w:r>
                </w:p>
              </w:tc>
              <w:tc>
                <w:tcPr>
                  <w:tcW w:w="568" w:type="pct"/>
                  <w:tcBorders>
                    <w:tl2br w:val="nil"/>
                    <w:tr2bl w:val="nil"/>
                  </w:tcBorders>
                  <w:shd w:val="clear" w:color="auto" w:fill="auto"/>
                  <w:vAlign w:val="center"/>
                </w:tcPr>
                <w:p w14:paraId="6F15BED7">
                  <w:pPr>
                    <w:pStyle w:val="120"/>
                    <w:bidi w:val="0"/>
                    <w:jc w:val="center"/>
                    <w:rPr>
                      <w:rFonts w:hint="default"/>
                      <w:color w:val="auto"/>
                      <w:highlight w:val="none"/>
                      <w:lang w:val="en-US" w:eastAsia="zh-CN"/>
                    </w:rPr>
                  </w:pPr>
                  <w:r>
                    <w:rPr>
                      <w:rFonts w:hint="default"/>
                      <w:color w:val="auto"/>
                      <w:highlight w:val="none"/>
                      <w:lang w:val="en-US" w:eastAsia="zh-CN"/>
                    </w:rPr>
                    <w:t>--</w:t>
                  </w:r>
                </w:p>
              </w:tc>
            </w:tr>
            <w:tr w14:paraId="0DAF8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1286" w:type="pct"/>
                  <w:tcBorders>
                    <w:tl2br w:val="nil"/>
                    <w:tr2bl w:val="nil"/>
                  </w:tcBorders>
                  <w:shd w:val="clear" w:color="auto" w:fill="auto"/>
                  <w:vAlign w:val="center"/>
                </w:tcPr>
                <w:p w14:paraId="273AD814">
                  <w:pPr>
                    <w:pStyle w:val="120"/>
                    <w:bidi w:val="0"/>
                    <w:jc w:val="center"/>
                    <w:rPr>
                      <w:rFonts w:hint="default"/>
                      <w:b/>
                      <w:bCs/>
                      <w:color w:val="auto"/>
                      <w:highlight w:val="none"/>
                      <w:lang w:val="en-US" w:eastAsia="zh-CN"/>
                    </w:rPr>
                  </w:pPr>
                  <w:r>
                    <w:rPr>
                      <w:rFonts w:hint="eastAsia"/>
                      <w:b/>
                      <w:bCs/>
                      <w:color w:val="auto"/>
                      <w:highlight w:val="none"/>
                      <w:lang w:val="en-US" w:eastAsia="zh-CN"/>
                    </w:rPr>
                    <w:t>本项目执行标准</w:t>
                  </w:r>
                </w:p>
              </w:tc>
              <w:tc>
                <w:tcPr>
                  <w:tcW w:w="404" w:type="pct"/>
                  <w:tcBorders>
                    <w:tl2br w:val="nil"/>
                    <w:tr2bl w:val="nil"/>
                  </w:tcBorders>
                  <w:shd w:val="clear" w:color="auto" w:fill="auto"/>
                  <w:vAlign w:val="center"/>
                </w:tcPr>
                <w:p w14:paraId="6E5F855E">
                  <w:pPr>
                    <w:pStyle w:val="120"/>
                    <w:bidi w:val="0"/>
                    <w:ind w:firstLine="0" w:firstLineChars="0"/>
                    <w:jc w:val="center"/>
                    <w:rPr>
                      <w:rFonts w:hint="default" w:ascii="Times New Roman" w:hAnsi="Times New Roman" w:eastAsia="宋体" w:cs="Times New Roman"/>
                      <w:b/>
                      <w:bCs/>
                      <w:color w:val="auto"/>
                      <w:sz w:val="21"/>
                      <w:szCs w:val="21"/>
                      <w:highlight w:val="none"/>
                      <w:lang w:val="en-US" w:eastAsia="zh-CN" w:bidi="ar-SA"/>
                    </w:rPr>
                  </w:pPr>
                  <w:r>
                    <w:rPr>
                      <w:b/>
                      <w:bCs/>
                      <w:color w:val="auto"/>
                      <w:highlight w:val="none"/>
                    </w:rPr>
                    <w:t>6~9</w:t>
                  </w:r>
                </w:p>
              </w:tc>
              <w:tc>
                <w:tcPr>
                  <w:tcW w:w="472" w:type="pct"/>
                  <w:tcBorders>
                    <w:tl2br w:val="nil"/>
                    <w:tr2bl w:val="nil"/>
                  </w:tcBorders>
                  <w:shd w:val="clear" w:color="auto" w:fill="auto"/>
                  <w:vAlign w:val="center"/>
                </w:tcPr>
                <w:p w14:paraId="4EEFA515">
                  <w:pPr>
                    <w:pStyle w:val="120"/>
                    <w:bidi w:val="0"/>
                    <w:ind w:firstLine="0" w:firstLineChars="0"/>
                    <w:jc w:val="center"/>
                    <w:rPr>
                      <w:rFonts w:hint="default" w:ascii="Times New Roman" w:hAnsi="Times New Roman" w:eastAsia="宋体" w:cs="Times New Roman"/>
                      <w:b/>
                      <w:bCs/>
                      <w:color w:val="auto"/>
                      <w:sz w:val="21"/>
                      <w:szCs w:val="21"/>
                      <w:highlight w:val="none"/>
                      <w:lang w:val="en-US" w:eastAsia="zh-CN" w:bidi="ar-SA"/>
                    </w:rPr>
                  </w:pPr>
                  <w:r>
                    <w:rPr>
                      <w:rFonts w:hint="eastAsia" w:cs="Times New Roman"/>
                      <w:b/>
                      <w:bCs/>
                      <w:color w:val="auto"/>
                      <w:sz w:val="21"/>
                      <w:szCs w:val="21"/>
                      <w:highlight w:val="none"/>
                      <w:lang w:val="en-US" w:eastAsia="zh-CN" w:bidi="ar-SA"/>
                    </w:rPr>
                    <w:t>250</w:t>
                  </w:r>
                </w:p>
              </w:tc>
              <w:tc>
                <w:tcPr>
                  <w:tcW w:w="472" w:type="pct"/>
                  <w:tcBorders>
                    <w:tl2br w:val="nil"/>
                    <w:tr2bl w:val="nil"/>
                  </w:tcBorders>
                  <w:shd w:val="clear" w:color="auto" w:fill="auto"/>
                  <w:vAlign w:val="center"/>
                </w:tcPr>
                <w:p w14:paraId="683074B4">
                  <w:pPr>
                    <w:pStyle w:val="120"/>
                    <w:bidi w:val="0"/>
                    <w:ind w:firstLine="0" w:firstLineChars="0"/>
                    <w:jc w:val="center"/>
                    <w:rPr>
                      <w:rFonts w:hint="default" w:ascii="Times New Roman" w:hAnsi="Times New Roman" w:eastAsia="宋体" w:cs="Times New Roman"/>
                      <w:b/>
                      <w:bCs/>
                      <w:color w:val="auto"/>
                      <w:sz w:val="21"/>
                      <w:szCs w:val="21"/>
                      <w:highlight w:val="none"/>
                      <w:lang w:val="en-US" w:eastAsia="zh-CN" w:bidi="ar-SA"/>
                    </w:rPr>
                  </w:pPr>
                  <w:r>
                    <w:rPr>
                      <w:rFonts w:hint="eastAsia" w:cs="Times New Roman"/>
                      <w:b/>
                      <w:bCs/>
                      <w:color w:val="auto"/>
                      <w:sz w:val="21"/>
                      <w:szCs w:val="21"/>
                      <w:highlight w:val="none"/>
                      <w:lang w:val="en-US" w:eastAsia="zh-CN" w:bidi="ar-SA"/>
                    </w:rPr>
                    <w:t>100</w:t>
                  </w:r>
                </w:p>
              </w:tc>
              <w:tc>
                <w:tcPr>
                  <w:tcW w:w="375" w:type="pct"/>
                  <w:tcBorders>
                    <w:tl2br w:val="nil"/>
                    <w:tr2bl w:val="nil"/>
                  </w:tcBorders>
                  <w:shd w:val="clear" w:color="auto" w:fill="auto"/>
                  <w:vAlign w:val="center"/>
                </w:tcPr>
                <w:p w14:paraId="19A79351">
                  <w:pPr>
                    <w:pStyle w:val="120"/>
                    <w:bidi w:val="0"/>
                    <w:ind w:firstLine="0" w:firstLineChars="0"/>
                    <w:jc w:val="center"/>
                    <w:rPr>
                      <w:rFonts w:hint="default" w:ascii="Times New Roman" w:hAnsi="Times New Roman" w:eastAsia="宋体" w:cs="Times New Roman"/>
                      <w:b/>
                      <w:bCs/>
                      <w:color w:val="auto"/>
                      <w:sz w:val="21"/>
                      <w:szCs w:val="21"/>
                      <w:highlight w:val="none"/>
                      <w:lang w:val="en-US" w:eastAsia="zh-CN" w:bidi="ar-SA"/>
                    </w:rPr>
                  </w:pPr>
                  <w:r>
                    <w:rPr>
                      <w:rFonts w:hint="eastAsia" w:cs="Times New Roman"/>
                      <w:b/>
                      <w:bCs/>
                      <w:color w:val="auto"/>
                      <w:sz w:val="21"/>
                      <w:szCs w:val="21"/>
                      <w:highlight w:val="none"/>
                      <w:lang w:val="en-US" w:eastAsia="zh-CN" w:bidi="ar-SA"/>
                    </w:rPr>
                    <w:t>60</w:t>
                  </w:r>
                </w:p>
              </w:tc>
              <w:tc>
                <w:tcPr>
                  <w:tcW w:w="568" w:type="pct"/>
                  <w:tcBorders>
                    <w:tl2br w:val="nil"/>
                    <w:tr2bl w:val="nil"/>
                  </w:tcBorders>
                  <w:shd w:val="clear" w:color="auto" w:fill="auto"/>
                  <w:vAlign w:val="center"/>
                </w:tcPr>
                <w:p w14:paraId="1F6F48FC">
                  <w:pPr>
                    <w:pStyle w:val="120"/>
                    <w:bidi w:val="0"/>
                    <w:ind w:firstLine="0" w:firstLineChars="0"/>
                    <w:jc w:val="center"/>
                    <w:rPr>
                      <w:rFonts w:hint="default" w:ascii="Times New Roman" w:hAnsi="Times New Roman" w:eastAsia="宋体" w:cs="Times New Roman"/>
                      <w:b/>
                      <w:bCs/>
                      <w:color w:val="auto"/>
                      <w:sz w:val="21"/>
                      <w:szCs w:val="21"/>
                      <w:highlight w:val="none"/>
                      <w:lang w:val="en-US" w:eastAsia="zh-CN" w:bidi="ar-SA"/>
                    </w:rPr>
                  </w:pPr>
                  <w:r>
                    <w:rPr>
                      <w:rFonts w:hint="eastAsia" w:cs="Times New Roman"/>
                      <w:b/>
                      <w:bCs/>
                      <w:color w:val="auto"/>
                      <w:sz w:val="21"/>
                      <w:szCs w:val="21"/>
                      <w:highlight w:val="none"/>
                      <w:lang w:val="en-US" w:eastAsia="zh-CN" w:bidi="ar-SA"/>
                    </w:rPr>
                    <w:t>25</w:t>
                  </w:r>
                </w:p>
              </w:tc>
              <w:tc>
                <w:tcPr>
                  <w:tcW w:w="382" w:type="pct"/>
                  <w:tcBorders>
                    <w:tl2br w:val="nil"/>
                    <w:tr2bl w:val="nil"/>
                  </w:tcBorders>
                  <w:shd w:val="clear" w:color="auto" w:fill="auto"/>
                  <w:vAlign w:val="center"/>
                </w:tcPr>
                <w:p w14:paraId="10D51A64">
                  <w:pPr>
                    <w:pStyle w:val="120"/>
                    <w:bidi w:val="0"/>
                    <w:ind w:firstLine="0" w:firstLineChars="0"/>
                    <w:jc w:val="center"/>
                    <w:rPr>
                      <w:rFonts w:hint="default"/>
                      <w:b/>
                      <w:bCs/>
                      <w:color w:val="auto"/>
                      <w:highlight w:val="none"/>
                      <w:lang w:val="en-US" w:eastAsia="zh-CN"/>
                    </w:rPr>
                  </w:pPr>
                  <w:r>
                    <w:rPr>
                      <w:rFonts w:hint="eastAsia"/>
                      <w:b/>
                      <w:bCs/>
                      <w:color w:val="auto"/>
                      <w:highlight w:val="none"/>
                      <w:lang w:val="en-US" w:eastAsia="zh-CN"/>
                    </w:rPr>
                    <w:t>10</w:t>
                  </w:r>
                </w:p>
              </w:tc>
              <w:tc>
                <w:tcPr>
                  <w:tcW w:w="468" w:type="pct"/>
                  <w:tcBorders>
                    <w:tl2br w:val="nil"/>
                    <w:tr2bl w:val="nil"/>
                  </w:tcBorders>
                  <w:shd w:val="clear" w:color="auto" w:fill="auto"/>
                  <w:vAlign w:val="center"/>
                </w:tcPr>
                <w:p w14:paraId="01EDBD7F">
                  <w:pPr>
                    <w:pStyle w:val="120"/>
                    <w:bidi w:val="0"/>
                    <w:ind w:firstLine="0" w:firstLineChars="0"/>
                    <w:jc w:val="center"/>
                    <w:rPr>
                      <w:rFonts w:hint="default"/>
                      <w:b/>
                      <w:bCs/>
                      <w:color w:val="auto"/>
                      <w:highlight w:val="none"/>
                      <w:lang w:val="en-US" w:eastAsia="zh-CN"/>
                    </w:rPr>
                  </w:pPr>
                  <w:r>
                    <w:rPr>
                      <w:rFonts w:hint="eastAsia"/>
                      <w:b/>
                      <w:bCs/>
                      <w:color w:val="auto"/>
                      <w:highlight w:val="none"/>
                      <w:lang w:val="en-US" w:eastAsia="zh-CN"/>
                    </w:rPr>
                    <w:t>20</w:t>
                  </w:r>
                </w:p>
              </w:tc>
              <w:tc>
                <w:tcPr>
                  <w:tcW w:w="568" w:type="pct"/>
                  <w:tcBorders>
                    <w:tl2br w:val="nil"/>
                    <w:tr2bl w:val="nil"/>
                  </w:tcBorders>
                  <w:shd w:val="clear" w:color="auto" w:fill="auto"/>
                  <w:vAlign w:val="center"/>
                </w:tcPr>
                <w:p w14:paraId="34AD171F">
                  <w:pPr>
                    <w:pStyle w:val="120"/>
                    <w:bidi w:val="0"/>
                    <w:jc w:val="center"/>
                    <w:rPr>
                      <w:b/>
                      <w:bCs/>
                      <w:color w:val="auto"/>
                      <w:highlight w:val="none"/>
                    </w:rPr>
                  </w:pPr>
                  <w:r>
                    <w:rPr>
                      <w:b/>
                      <w:bCs/>
                      <w:color w:val="auto"/>
                      <w:highlight w:val="none"/>
                    </w:rPr>
                    <w:t>5000</w:t>
                  </w:r>
                </w:p>
                <w:p w14:paraId="6DF55ECA">
                  <w:pPr>
                    <w:pStyle w:val="120"/>
                    <w:bidi w:val="0"/>
                    <w:ind w:firstLine="0" w:firstLineChars="0"/>
                    <w:jc w:val="center"/>
                    <w:rPr>
                      <w:rFonts w:hint="default"/>
                      <w:b/>
                      <w:bCs/>
                      <w:color w:val="auto"/>
                      <w:highlight w:val="none"/>
                      <w:lang w:val="en-US" w:eastAsia="zh-CN"/>
                    </w:rPr>
                  </w:pPr>
                  <w:r>
                    <w:rPr>
                      <w:rFonts w:hint="eastAsia"/>
                      <w:b/>
                      <w:bCs/>
                      <w:color w:val="auto"/>
                      <w:highlight w:val="none"/>
                      <w:lang w:eastAsia="zh-CN"/>
                    </w:rPr>
                    <w:t>（</w:t>
                  </w:r>
                  <w:r>
                    <w:rPr>
                      <w:b/>
                      <w:bCs/>
                      <w:color w:val="auto"/>
                      <w:highlight w:val="none"/>
                    </w:rPr>
                    <w:t>MPN/L</w:t>
                  </w:r>
                  <w:r>
                    <w:rPr>
                      <w:rFonts w:hint="eastAsia"/>
                      <w:b/>
                      <w:bCs/>
                      <w:color w:val="auto"/>
                      <w:highlight w:val="none"/>
                      <w:lang w:eastAsia="zh-CN"/>
                    </w:rPr>
                    <w:t>）</w:t>
                  </w:r>
                </w:p>
              </w:tc>
            </w:tr>
            <w:tr w14:paraId="7BFEC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1286" w:type="pct"/>
                  <w:tcBorders>
                    <w:tl2br w:val="nil"/>
                    <w:tr2bl w:val="nil"/>
                  </w:tcBorders>
                  <w:shd w:val="clear" w:color="auto" w:fill="auto"/>
                  <w:vAlign w:val="center"/>
                </w:tcPr>
                <w:p w14:paraId="0EA5D011">
                  <w:pPr>
                    <w:pStyle w:val="120"/>
                    <w:bidi w:val="0"/>
                    <w:jc w:val="center"/>
                    <w:rPr>
                      <w:rFonts w:hint="eastAsia"/>
                      <w:color w:val="auto"/>
                      <w:highlight w:val="none"/>
                    </w:rPr>
                  </w:pPr>
                  <w:r>
                    <w:rPr>
                      <w:rFonts w:hint="default" w:ascii="Times New Roman" w:hAnsi="Times New Roman" w:eastAsia="宋体" w:cs="Times New Roman"/>
                      <w:color w:val="auto"/>
                      <w:kern w:val="0"/>
                      <w:sz w:val="21"/>
                      <w:szCs w:val="21"/>
                      <w:lang w:val="en-US" w:eastAsia="zh-CN"/>
                    </w:rPr>
                    <w:t>《城镇污水处理厂污染物排放标准》（GB18918-2002）一级A标准</w:t>
                  </w:r>
                </w:p>
              </w:tc>
              <w:tc>
                <w:tcPr>
                  <w:tcW w:w="404" w:type="pct"/>
                  <w:tcBorders>
                    <w:tl2br w:val="nil"/>
                    <w:tr2bl w:val="nil"/>
                  </w:tcBorders>
                  <w:shd w:val="clear" w:color="auto" w:fill="auto"/>
                  <w:vAlign w:val="center"/>
                </w:tcPr>
                <w:p w14:paraId="3DE7CA0D">
                  <w:pPr>
                    <w:pStyle w:val="120"/>
                    <w:bidi w:val="0"/>
                    <w:jc w:val="center"/>
                    <w:rPr>
                      <w:rFonts w:hint="default"/>
                      <w:color w:val="auto"/>
                      <w:highlight w:val="none"/>
                    </w:rPr>
                  </w:pPr>
                  <w:r>
                    <w:rPr>
                      <w:rFonts w:hint="default"/>
                      <w:color w:val="auto"/>
                      <w:highlight w:val="none"/>
                      <w:lang w:val="en-US" w:eastAsia="zh-CN"/>
                    </w:rPr>
                    <w:t>6~9</w:t>
                  </w:r>
                </w:p>
              </w:tc>
              <w:tc>
                <w:tcPr>
                  <w:tcW w:w="472" w:type="pct"/>
                  <w:tcBorders>
                    <w:tl2br w:val="nil"/>
                    <w:tr2bl w:val="nil"/>
                  </w:tcBorders>
                  <w:shd w:val="clear" w:color="auto" w:fill="auto"/>
                  <w:vAlign w:val="center"/>
                </w:tcPr>
                <w:p w14:paraId="4F98CA89">
                  <w:pPr>
                    <w:pStyle w:val="120"/>
                    <w:bidi w:val="0"/>
                    <w:jc w:val="center"/>
                    <w:rPr>
                      <w:rFonts w:hint="default"/>
                      <w:color w:val="auto"/>
                      <w:highlight w:val="none"/>
                    </w:rPr>
                  </w:pPr>
                  <w:r>
                    <w:rPr>
                      <w:rFonts w:hint="default"/>
                      <w:color w:val="auto"/>
                      <w:highlight w:val="none"/>
                      <w:lang w:val="en-US" w:eastAsia="zh-CN"/>
                    </w:rPr>
                    <w:t>50</w:t>
                  </w:r>
                </w:p>
              </w:tc>
              <w:tc>
                <w:tcPr>
                  <w:tcW w:w="472" w:type="pct"/>
                  <w:tcBorders>
                    <w:tl2br w:val="nil"/>
                    <w:tr2bl w:val="nil"/>
                  </w:tcBorders>
                  <w:shd w:val="clear" w:color="auto" w:fill="auto"/>
                  <w:vAlign w:val="center"/>
                </w:tcPr>
                <w:p w14:paraId="27CA8982">
                  <w:pPr>
                    <w:pStyle w:val="120"/>
                    <w:bidi w:val="0"/>
                    <w:jc w:val="center"/>
                    <w:rPr>
                      <w:rFonts w:hint="default"/>
                      <w:color w:val="auto"/>
                      <w:highlight w:val="none"/>
                    </w:rPr>
                  </w:pPr>
                  <w:r>
                    <w:rPr>
                      <w:rFonts w:hint="default"/>
                      <w:color w:val="auto"/>
                      <w:highlight w:val="none"/>
                      <w:lang w:val="en-US" w:eastAsia="zh-CN"/>
                    </w:rPr>
                    <w:t>10</w:t>
                  </w:r>
                </w:p>
              </w:tc>
              <w:tc>
                <w:tcPr>
                  <w:tcW w:w="375" w:type="pct"/>
                  <w:tcBorders>
                    <w:tl2br w:val="nil"/>
                    <w:tr2bl w:val="nil"/>
                  </w:tcBorders>
                  <w:shd w:val="clear" w:color="auto" w:fill="auto"/>
                  <w:vAlign w:val="center"/>
                </w:tcPr>
                <w:p w14:paraId="064FC825">
                  <w:pPr>
                    <w:pStyle w:val="120"/>
                    <w:bidi w:val="0"/>
                    <w:jc w:val="center"/>
                    <w:rPr>
                      <w:rFonts w:hint="default"/>
                      <w:color w:val="auto"/>
                      <w:highlight w:val="none"/>
                    </w:rPr>
                  </w:pPr>
                  <w:r>
                    <w:rPr>
                      <w:rFonts w:hint="default"/>
                      <w:color w:val="auto"/>
                      <w:highlight w:val="none"/>
                      <w:lang w:val="en-US" w:eastAsia="zh-CN"/>
                    </w:rPr>
                    <w:t>10</w:t>
                  </w:r>
                </w:p>
              </w:tc>
              <w:tc>
                <w:tcPr>
                  <w:tcW w:w="568" w:type="pct"/>
                  <w:tcBorders>
                    <w:tl2br w:val="nil"/>
                    <w:tr2bl w:val="nil"/>
                  </w:tcBorders>
                  <w:shd w:val="clear" w:color="auto" w:fill="auto"/>
                  <w:vAlign w:val="center"/>
                </w:tcPr>
                <w:p w14:paraId="0ED5DCB3">
                  <w:pPr>
                    <w:pStyle w:val="120"/>
                    <w:bidi w:val="0"/>
                    <w:jc w:val="center"/>
                    <w:rPr>
                      <w:rFonts w:hint="default"/>
                      <w:color w:val="auto"/>
                      <w:highlight w:val="none"/>
                    </w:rPr>
                  </w:pPr>
                  <w:r>
                    <w:rPr>
                      <w:rFonts w:hint="default"/>
                      <w:color w:val="auto"/>
                      <w:highlight w:val="none"/>
                      <w:lang w:val="en-US" w:eastAsia="zh-CN"/>
                    </w:rPr>
                    <w:t>5</w:t>
                  </w:r>
                  <w:r>
                    <w:rPr>
                      <w:color w:val="auto"/>
                      <w:highlight w:val="none"/>
                      <w:lang w:val="en-US" w:eastAsia="zh-CN"/>
                    </w:rPr>
                    <w:t>（8）</w:t>
                  </w:r>
                </w:p>
              </w:tc>
              <w:tc>
                <w:tcPr>
                  <w:tcW w:w="382" w:type="pct"/>
                  <w:tcBorders>
                    <w:tl2br w:val="nil"/>
                    <w:tr2bl w:val="nil"/>
                  </w:tcBorders>
                  <w:shd w:val="clear" w:color="auto" w:fill="auto"/>
                  <w:vAlign w:val="center"/>
                </w:tcPr>
                <w:p w14:paraId="24B75D1D">
                  <w:pPr>
                    <w:pStyle w:val="120"/>
                    <w:bidi w:val="0"/>
                    <w:jc w:val="center"/>
                    <w:rPr>
                      <w:rFonts w:hint="default"/>
                      <w:color w:val="auto"/>
                      <w:highlight w:val="none"/>
                      <w:lang w:val="en-US" w:eastAsia="zh-CN"/>
                    </w:rPr>
                  </w:pPr>
                  <w:r>
                    <w:rPr>
                      <w:rFonts w:hint="eastAsia"/>
                      <w:color w:val="auto"/>
                      <w:highlight w:val="none"/>
                      <w:lang w:val="en-US" w:eastAsia="zh-CN"/>
                    </w:rPr>
                    <w:t>0.5</w:t>
                  </w:r>
                </w:p>
              </w:tc>
              <w:tc>
                <w:tcPr>
                  <w:tcW w:w="468" w:type="pct"/>
                  <w:tcBorders>
                    <w:tl2br w:val="nil"/>
                    <w:tr2bl w:val="nil"/>
                  </w:tcBorders>
                  <w:shd w:val="clear" w:color="auto" w:fill="auto"/>
                  <w:vAlign w:val="center"/>
                </w:tcPr>
                <w:p w14:paraId="485BF6F4">
                  <w:pPr>
                    <w:pStyle w:val="120"/>
                    <w:bidi w:val="0"/>
                    <w:jc w:val="center"/>
                    <w:rPr>
                      <w:rFonts w:hint="default"/>
                      <w:color w:val="auto"/>
                      <w:highlight w:val="none"/>
                      <w:lang w:val="en-US" w:eastAsia="zh-CN"/>
                    </w:rPr>
                  </w:pPr>
                  <w:r>
                    <w:rPr>
                      <w:rFonts w:hint="eastAsia"/>
                      <w:color w:val="auto"/>
                      <w:highlight w:val="none"/>
                      <w:lang w:val="en-US" w:eastAsia="zh-CN"/>
                    </w:rPr>
                    <w:t>1</w:t>
                  </w:r>
                </w:p>
              </w:tc>
              <w:tc>
                <w:tcPr>
                  <w:tcW w:w="568" w:type="pct"/>
                  <w:tcBorders>
                    <w:tl2br w:val="nil"/>
                    <w:tr2bl w:val="nil"/>
                  </w:tcBorders>
                  <w:shd w:val="clear" w:color="auto" w:fill="auto"/>
                  <w:vAlign w:val="center"/>
                </w:tcPr>
                <w:p w14:paraId="6E3AE6D1">
                  <w:pPr>
                    <w:pStyle w:val="120"/>
                    <w:bidi w:val="0"/>
                    <w:jc w:val="center"/>
                    <w:rPr>
                      <w:rFonts w:hint="default"/>
                      <w:color w:val="auto"/>
                      <w:highlight w:val="none"/>
                      <w:lang w:val="en-US" w:eastAsia="zh-CN"/>
                    </w:rPr>
                  </w:pPr>
                  <w:r>
                    <w:rPr>
                      <w:rFonts w:hint="eastAsia"/>
                      <w:color w:val="auto"/>
                      <w:highlight w:val="none"/>
                      <w:lang w:val="en-US" w:eastAsia="zh-CN"/>
                    </w:rPr>
                    <w:t>1000</w:t>
                  </w:r>
                </w:p>
              </w:tc>
            </w:tr>
          </w:tbl>
          <w:p w14:paraId="76D3B3A8">
            <w:pPr>
              <w:keepNext w:val="0"/>
              <w:keepLines w:val="0"/>
              <w:pageBreakBefore w:val="0"/>
              <w:kinsoku/>
              <w:wordWrap/>
              <w:overflowPunct/>
              <w:topLinePunct w:val="0"/>
              <w:autoSpaceDE/>
              <w:autoSpaceDN/>
              <w:bidi w:val="0"/>
              <w:adjustRightInd/>
              <w:spacing w:line="360" w:lineRule="auto"/>
              <w:ind w:left="0" w:right="0" w:firstLine="480" w:firstLineChars="200"/>
              <w:jc w:val="both"/>
              <w:textAlignment w:val="auto"/>
              <w:rPr>
                <w:rFonts w:hint="default" w:ascii="Times New Roman" w:hAnsi="Times New Roman" w:eastAsia="Times New Roman" w:cs="Times New Roman"/>
                <w:b/>
                <w:color w:val="auto"/>
                <w:sz w:val="24"/>
                <w:szCs w:val="24"/>
              </w:rPr>
            </w:pPr>
            <w:r>
              <w:rPr>
                <w:rFonts w:hint="default" w:ascii="Times New Roman" w:hAnsi="Times New Roman" w:eastAsia="Times New Roman" w:cs="Times New Roman"/>
                <w:b/>
                <w:color w:val="auto"/>
                <w:sz w:val="24"/>
                <w:szCs w:val="24"/>
              </w:rPr>
              <w:t>3、噪声排放标准</w:t>
            </w:r>
          </w:p>
          <w:p w14:paraId="71C542C7">
            <w:pPr>
              <w:pStyle w:val="11"/>
              <w:keepNext w:val="0"/>
              <w:keepLines w:val="0"/>
              <w:pageBreakBefore w:val="0"/>
              <w:kinsoku/>
              <w:wordWrap/>
              <w:overflowPunct/>
              <w:topLinePunct w:val="0"/>
              <w:autoSpaceDE/>
              <w:autoSpaceDN/>
              <w:bidi w:val="0"/>
              <w:adjustRightInd/>
              <w:spacing w:before="0" w:after="0" w:line="360" w:lineRule="auto"/>
              <w:ind w:left="0" w:right="0" w:firstLine="464" w:firstLineChars="200"/>
              <w:jc w:val="both"/>
              <w:textAlignment w:val="auto"/>
              <w:rPr>
                <w:rFonts w:hint="default" w:ascii="Times New Roman" w:hAnsi="Times New Roman" w:eastAsia="宋体" w:cs="Times New Roman"/>
                <w:b/>
                <w:bCs w:val="0"/>
                <w:color w:val="auto"/>
                <w:kern w:val="0"/>
                <w:sz w:val="24"/>
                <w:szCs w:val="24"/>
                <w:lang w:val="en-US" w:eastAsia="zh-CN" w:bidi="ar-SA"/>
              </w:rPr>
            </w:pPr>
            <w:r>
              <w:rPr>
                <w:rFonts w:hint="default" w:ascii="Times New Roman" w:hAnsi="Times New Roman" w:eastAsia="宋体" w:cs="Times New Roman"/>
                <w:color w:val="auto"/>
                <w:spacing w:val="-4"/>
                <w:sz w:val="24"/>
                <w:szCs w:val="24"/>
              </w:rPr>
              <w:t>本项目</w:t>
            </w:r>
            <w:r>
              <w:rPr>
                <w:rFonts w:hint="eastAsia" w:cs="Times New Roman"/>
                <w:color w:val="auto"/>
                <w:spacing w:val="-4"/>
                <w:sz w:val="24"/>
                <w:szCs w:val="24"/>
                <w:lang w:eastAsia="zh-CN"/>
              </w:rPr>
              <w:t>厂区厂界</w:t>
            </w:r>
            <w:r>
              <w:rPr>
                <w:rFonts w:hint="default" w:ascii="Times New Roman" w:hAnsi="Times New Roman" w:eastAsia="宋体" w:cs="Times New Roman"/>
                <w:color w:val="auto"/>
                <w:spacing w:val="-4"/>
                <w:sz w:val="24"/>
                <w:szCs w:val="24"/>
              </w:rPr>
              <w:t>噪声执行《工业企业厂界环境噪声排放标准》（GB12348-2008）</w:t>
            </w:r>
            <w:r>
              <w:rPr>
                <w:rFonts w:hint="eastAsia" w:cs="Times New Roman"/>
                <w:color w:val="auto"/>
                <w:spacing w:val="-4"/>
                <w:sz w:val="24"/>
                <w:szCs w:val="24"/>
                <w:lang w:val="en-US" w:eastAsia="zh-CN"/>
              </w:rPr>
              <w:t>2</w:t>
            </w:r>
            <w:r>
              <w:rPr>
                <w:rFonts w:hint="default" w:ascii="Times New Roman" w:hAnsi="Times New Roman" w:eastAsia="宋体" w:cs="Times New Roman"/>
                <w:color w:val="auto"/>
                <w:spacing w:val="-4"/>
                <w:sz w:val="24"/>
                <w:szCs w:val="24"/>
              </w:rPr>
              <w:t>类标准，详见下表：</w:t>
            </w:r>
          </w:p>
          <w:p w14:paraId="63AA4A1B">
            <w:pPr>
              <w:pStyle w:val="5"/>
              <w:keepNext/>
              <w:keepLines/>
              <w:pageBreakBefore w:val="0"/>
              <w:widowControl w:val="0"/>
              <w:tabs>
                <w:tab w:val="left" w:pos="1147"/>
                <w:tab w:val="left" w:pos="3554"/>
              </w:tabs>
              <w:kinsoku/>
              <w:wordWrap/>
              <w:overflowPunct/>
              <w:topLinePunct w:val="0"/>
              <w:autoSpaceDE/>
              <w:autoSpaceDN/>
              <w:bidi w:val="0"/>
              <w:adjustRightInd/>
              <w:snapToGrid/>
              <w:spacing w:before="0" w:beforeLines="0" w:line="240" w:lineRule="auto"/>
              <w:ind w:right="0"/>
              <w:jc w:val="center"/>
              <w:textAlignment w:val="auto"/>
              <w:rPr>
                <w:rFonts w:hint="default" w:ascii="Times New Roman" w:hAnsi="Times New Roman" w:eastAsia="宋体" w:cs="Times New Roman"/>
                <w:b/>
                <w:bCs w:val="0"/>
                <w:color w:val="auto"/>
                <w:kern w:val="0"/>
                <w:sz w:val="24"/>
                <w:szCs w:val="24"/>
                <w:lang w:val="en-US" w:eastAsia="zh-CN" w:bidi="ar-SA"/>
              </w:rPr>
            </w:pPr>
            <w:r>
              <w:rPr>
                <w:rFonts w:hint="default" w:ascii="Times New Roman" w:hAnsi="Times New Roman" w:eastAsia="宋体" w:cs="Times New Roman"/>
                <w:b/>
                <w:bCs w:val="0"/>
                <w:color w:val="auto"/>
                <w:kern w:val="0"/>
                <w:sz w:val="24"/>
                <w:szCs w:val="24"/>
                <w:lang w:val="en-US" w:eastAsia="zh-CN" w:bidi="ar-SA"/>
              </w:rPr>
              <w:t>表3-</w:t>
            </w:r>
            <w:r>
              <w:rPr>
                <w:rFonts w:hint="eastAsia" w:eastAsia="宋体" w:cs="Times New Roman"/>
                <w:b/>
                <w:bCs w:val="0"/>
                <w:color w:val="auto"/>
                <w:kern w:val="0"/>
                <w:sz w:val="24"/>
                <w:szCs w:val="24"/>
                <w:lang w:val="en-US" w:eastAsia="zh-CN" w:bidi="ar-SA"/>
              </w:rPr>
              <w:t>7</w:t>
            </w:r>
            <w:r>
              <w:rPr>
                <w:rFonts w:hint="default" w:ascii="Times New Roman" w:hAnsi="Times New Roman" w:eastAsia="宋体" w:cs="Times New Roman"/>
                <w:b/>
                <w:bCs w:val="0"/>
                <w:color w:val="auto"/>
                <w:kern w:val="0"/>
                <w:sz w:val="24"/>
                <w:szCs w:val="24"/>
                <w:lang w:val="en-US" w:eastAsia="zh-CN" w:bidi="ar-SA"/>
              </w:rPr>
              <w:t xml:space="preserve">  厂界噪声排放限值</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63"/>
              <w:gridCol w:w="2661"/>
              <w:gridCol w:w="2404"/>
            </w:tblGrid>
            <w:tr w14:paraId="0595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2030" w:type="pct"/>
                  <w:vAlign w:val="center"/>
                </w:tcPr>
                <w:p w14:paraId="634A01E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标准</w:t>
                  </w:r>
                </w:p>
              </w:tc>
              <w:tc>
                <w:tcPr>
                  <w:tcW w:w="1560" w:type="pct"/>
                  <w:vAlign w:val="center"/>
                </w:tcPr>
                <w:p w14:paraId="468EFC3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昼间</w:t>
                  </w:r>
                </w:p>
              </w:tc>
              <w:tc>
                <w:tcPr>
                  <w:tcW w:w="1409" w:type="pct"/>
                  <w:vAlign w:val="center"/>
                </w:tcPr>
                <w:p w14:paraId="5708B26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夜间</w:t>
                  </w:r>
                </w:p>
              </w:tc>
            </w:tr>
            <w:tr w14:paraId="0D792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30" w:type="pct"/>
                  <w:vAlign w:val="center"/>
                </w:tcPr>
                <w:p w14:paraId="203DEAC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GB12348-2008中</w:t>
                  </w:r>
                  <w:r>
                    <w:rPr>
                      <w:rFonts w:hint="eastAsia" w:cs="Times New Roman"/>
                      <w:color w:val="auto"/>
                      <w:sz w:val="21"/>
                      <w:szCs w:val="21"/>
                      <w:lang w:val="en-US" w:eastAsia="zh-CN"/>
                    </w:rPr>
                    <w:t>2</w:t>
                  </w:r>
                  <w:r>
                    <w:rPr>
                      <w:rFonts w:hint="default" w:ascii="Times New Roman" w:hAnsi="Times New Roman" w:eastAsia="宋体" w:cs="Times New Roman"/>
                      <w:color w:val="auto"/>
                      <w:sz w:val="21"/>
                      <w:szCs w:val="21"/>
                    </w:rPr>
                    <w:t>类标准</w:t>
                  </w:r>
                </w:p>
              </w:tc>
              <w:tc>
                <w:tcPr>
                  <w:tcW w:w="1560" w:type="pct"/>
                  <w:vAlign w:val="center"/>
                </w:tcPr>
                <w:p w14:paraId="058B1E35">
                  <w:pPr>
                    <w:pStyle w:val="7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w:t>
                  </w:r>
                  <w:r>
                    <w:rPr>
                      <w:rFonts w:hint="eastAsia" w:cs="Times New Roman"/>
                      <w:color w:val="auto"/>
                      <w:sz w:val="21"/>
                      <w:szCs w:val="21"/>
                      <w:lang w:val="en-US" w:eastAsia="zh-CN"/>
                    </w:rPr>
                    <w:t>0</w:t>
                  </w:r>
                  <w:r>
                    <w:rPr>
                      <w:rFonts w:hint="default" w:ascii="Times New Roman" w:hAnsi="Times New Roman" w:eastAsia="宋体" w:cs="Times New Roman"/>
                      <w:b w:val="0"/>
                      <w:bCs/>
                      <w:color w:val="auto"/>
                      <w:sz w:val="21"/>
                      <w:szCs w:val="21"/>
                    </w:rPr>
                    <w:t>dB(A)</w:t>
                  </w:r>
                </w:p>
              </w:tc>
              <w:tc>
                <w:tcPr>
                  <w:tcW w:w="1409" w:type="pct"/>
                  <w:vAlign w:val="center"/>
                </w:tcPr>
                <w:p w14:paraId="5C8C1010">
                  <w:pPr>
                    <w:pStyle w:val="7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w:t>
                  </w:r>
                  <w:r>
                    <w:rPr>
                      <w:rFonts w:hint="eastAsia" w:cs="Times New Roman"/>
                      <w:color w:val="auto"/>
                      <w:sz w:val="21"/>
                      <w:szCs w:val="21"/>
                      <w:lang w:val="en-US" w:eastAsia="zh-CN"/>
                    </w:rPr>
                    <w:t>0</w:t>
                  </w:r>
                  <w:r>
                    <w:rPr>
                      <w:rFonts w:hint="default" w:ascii="Times New Roman" w:hAnsi="Times New Roman" w:eastAsia="宋体" w:cs="Times New Roman"/>
                      <w:color w:val="auto"/>
                      <w:sz w:val="21"/>
                      <w:szCs w:val="21"/>
                    </w:rPr>
                    <w:t>dB(A)</w:t>
                  </w:r>
                </w:p>
              </w:tc>
            </w:tr>
          </w:tbl>
          <w:p w14:paraId="01B8437C">
            <w:pPr>
              <w:keepNext w:val="0"/>
              <w:keepLines w:val="0"/>
              <w:pageBreakBefore w:val="0"/>
              <w:kinsoku/>
              <w:wordWrap/>
              <w:overflowPunct/>
              <w:topLinePunct w:val="0"/>
              <w:autoSpaceDE/>
              <w:autoSpaceDN/>
              <w:bidi w:val="0"/>
              <w:adjustRightInd/>
              <w:spacing w:line="360" w:lineRule="auto"/>
              <w:ind w:left="0" w:right="0" w:firstLine="480" w:firstLineChars="200"/>
              <w:jc w:val="both"/>
              <w:textAlignment w:val="auto"/>
              <w:rPr>
                <w:rFonts w:hint="default" w:ascii="Times New Roman" w:hAnsi="Times New Roman" w:eastAsia="Times New Roman" w:cs="Times New Roman"/>
                <w:b/>
                <w:color w:val="auto"/>
                <w:sz w:val="24"/>
                <w:szCs w:val="24"/>
              </w:rPr>
            </w:pPr>
            <w:r>
              <w:rPr>
                <w:rFonts w:hint="default" w:ascii="Times New Roman" w:hAnsi="Times New Roman" w:eastAsia="Times New Roman" w:cs="Times New Roman"/>
                <w:b/>
                <w:color w:val="auto"/>
                <w:sz w:val="24"/>
                <w:szCs w:val="24"/>
              </w:rPr>
              <w:t>4、固体废物排放标准</w:t>
            </w:r>
          </w:p>
          <w:p w14:paraId="512EBAC3">
            <w:pPr>
              <w:pStyle w:val="11"/>
              <w:keepNext w:val="0"/>
              <w:keepLines w:val="0"/>
              <w:pageBreakBefore w:val="0"/>
              <w:kinsoku/>
              <w:wordWrap/>
              <w:overflowPunct/>
              <w:topLinePunct w:val="0"/>
              <w:autoSpaceDE/>
              <w:autoSpaceDN/>
              <w:bidi w:val="0"/>
              <w:adjustRightInd/>
              <w:spacing w:before="0" w:after="0" w:line="360" w:lineRule="auto"/>
              <w:ind w:left="0" w:right="0" w:firstLine="464" w:firstLineChars="200"/>
              <w:jc w:val="both"/>
              <w:textAlignment w:val="auto"/>
              <w:rPr>
                <w:rFonts w:hint="eastAsia" w:cs="Times New Roman"/>
                <w:color w:val="auto"/>
                <w:spacing w:val="-4"/>
                <w:sz w:val="24"/>
                <w:szCs w:val="24"/>
                <w:lang w:eastAsia="zh-CN"/>
              </w:rPr>
            </w:pPr>
            <w:r>
              <w:rPr>
                <w:rFonts w:hint="default" w:ascii="Times New Roman" w:hAnsi="Times New Roman" w:eastAsia="宋体" w:cs="Times New Roman"/>
                <w:color w:val="auto"/>
                <w:spacing w:val="-4"/>
                <w:sz w:val="24"/>
                <w:szCs w:val="24"/>
              </w:rPr>
              <w:t>本项目固体废物主要是危险废物和一般工业固废，其中一般工业固体废物执行</w:t>
            </w:r>
            <w:r>
              <w:rPr>
                <w:rFonts w:hint="default" w:ascii="Times New Roman" w:hAnsi="Times New Roman" w:eastAsia="宋体" w:cs="Times New Roman"/>
                <w:snapToGrid w:val="0"/>
                <w:color w:val="auto"/>
                <w:kern w:val="0"/>
                <w:sz w:val="24"/>
              </w:rPr>
              <w:t>《一般工业固体废物贮存和填埋污染控制标准》（GB18</w:t>
            </w:r>
            <w:r>
              <w:rPr>
                <w:rFonts w:hint="default" w:ascii="Times New Roman" w:hAnsi="Times New Roman" w:eastAsia="宋体" w:cs="Times New Roman"/>
                <w:snapToGrid w:val="0"/>
                <w:color w:val="auto"/>
                <w:kern w:val="0"/>
                <w:sz w:val="24"/>
                <w:szCs w:val="24"/>
              </w:rPr>
              <w:t>599-2020）的有关规定</w:t>
            </w:r>
            <w:r>
              <w:rPr>
                <w:rFonts w:hint="default" w:ascii="Times New Roman" w:hAnsi="Times New Roman" w:eastAsia="宋体" w:cs="Times New Roman"/>
                <w:color w:val="auto"/>
                <w:spacing w:val="-4"/>
                <w:sz w:val="24"/>
                <w:szCs w:val="24"/>
              </w:rPr>
              <w:t>；危险固废贮存执行《危险废物贮存污染控制标准》（GB18597-20</w:t>
            </w:r>
            <w:r>
              <w:rPr>
                <w:rFonts w:hint="eastAsia"/>
                <w:sz w:val="24"/>
                <w:szCs w:val="24"/>
                <w:lang w:val="en-US" w:eastAsia="zh-CN"/>
              </w:rPr>
              <w:t>23</w:t>
            </w:r>
            <w:r>
              <w:rPr>
                <w:rFonts w:hint="default" w:ascii="Times New Roman" w:hAnsi="Times New Roman" w:eastAsia="宋体" w:cs="Times New Roman"/>
                <w:color w:val="auto"/>
                <w:spacing w:val="-4"/>
                <w:sz w:val="24"/>
                <w:szCs w:val="24"/>
              </w:rPr>
              <w:t>）中的有关规定</w:t>
            </w:r>
            <w:r>
              <w:rPr>
                <w:rFonts w:hint="eastAsia" w:cs="Times New Roman"/>
                <w:color w:val="auto"/>
                <w:spacing w:val="-4"/>
                <w:sz w:val="24"/>
                <w:szCs w:val="24"/>
                <w:lang w:eastAsia="zh-CN"/>
              </w:rPr>
              <w:t>。</w:t>
            </w:r>
          </w:p>
          <w:p w14:paraId="58902BDD">
            <w:pPr>
              <w:pStyle w:val="11"/>
              <w:keepNext w:val="0"/>
              <w:keepLines w:val="0"/>
              <w:pageBreakBefore w:val="0"/>
              <w:kinsoku/>
              <w:wordWrap/>
              <w:overflowPunct/>
              <w:topLinePunct w:val="0"/>
              <w:autoSpaceDE/>
              <w:autoSpaceDN/>
              <w:bidi w:val="0"/>
              <w:adjustRightInd/>
              <w:spacing w:before="0" w:after="0" w:line="360" w:lineRule="auto"/>
              <w:ind w:left="0" w:right="0" w:firstLine="480" w:firstLineChars="200"/>
              <w:jc w:val="both"/>
              <w:textAlignment w:val="auto"/>
              <w:rPr>
                <w:rFonts w:hint="default" w:ascii="Times New Roman" w:hAnsi="Times New Roman" w:cs="Times New Roman"/>
                <w:color w:val="auto"/>
                <w:kern w:val="0"/>
                <w:szCs w:val="21"/>
              </w:rPr>
            </w:pPr>
            <w:r>
              <w:rPr>
                <w:rStyle w:val="33"/>
                <w:rFonts w:hint="eastAsia" w:ascii="Times New Roman" w:cs="Times New Roman"/>
                <w:color w:val="auto"/>
                <w:sz w:val="24"/>
                <w:highlight w:val="none"/>
                <w:lang w:val="en-US" w:eastAsia="zh-CN"/>
              </w:rPr>
              <w:t>医疗废物执行《医疗废物集中处置技术规范（试行）》（环发﹝2003﹞206号）和《危险废物贮存污染控制标准》（GB18597-2023）中要求；污水处理站污泥属于危险废物，执行《医疗机构水污染排放标准》（GB18466-2005）中表4医疗机构污泥控制标准和《危险废物贮存污染控制标准》（GB18597-2023）</w:t>
            </w:r>
            <w:r>
              <w:rPr>
                <w:rFonts w:hint="eastAsia" w:cs="Times New Roman"/>
                <w:color w:val="auto"/>
                <w:spacing w:val="-4"/>
                <w:sz w:val="24"/>
                <w:szCs w:val="24"/>
                <w:lang w:eastAsia="zh-CN"/>
              </w:rPr>
              <w:t>。</w:t>
            </w:r>
          </w:p>
        </w:tc>
      </w:tr>
      <w:tr w14:paraId="1FE433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285" w:type="pct"/>
            <w:noWrap w:val="0"/>
            <w:vAlign w:val="center"/>
          </w:tcPr>
          <w:p w14:paraId="010594F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bCs/>
                <w:color w:val="auto"/>
                <w:kern w:val="0"/>
                <w:sz w:val="24"/>
                <w:szCs w:val="24"/>
              </w:rPr>
            </w:pPr>
            <w:r>
              <w:rPr>
                <w:rFonts w:hint="default" w:ascii="Times New Roman" w:hAnsi="Times New Roman" w:cs="Times New Roman"/>
                <w:b/>
                <w:bCs/>
                <w:color w:val="auto"/>
                <w:kern w:val="0"/>
                <w:sz w:val="24"/>
                <w:szCs w:val="24"/>
              </w:rPr>
              <w:t>总量</w:t>
            </w:r>
          </w:p>
          <w:p w14:paraId="1C46B5C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bCs/>
                <w:color w:val="auto"/>
                <w:kern w:val="0"/>
                <w:sz w:val="24"/>
                <w:szCs w:val="24"/>
              </w:rPr>
            </w:pPr>
            <w:r>
              <w:rPr>
                <w:rFonts w:hint="default" w:ascii="Times New Roman" w:hAnsi="Times New Roman" w:cs="Times New Roman"/>
                <w:b/>
                <w:bCs/>
                <w:color w:val="auto"/>
                <w:kern w:val="0"/>
                <w:sz w:val="24"/>
                <w:szCs w:val="24"/>
              </w:rPr>
              <w:t>控制</w:t>
            </w:r>
          </w:p>
          <w:p w14:paraId="63F7106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auto"/>
                <w:kern w:val="0"/>
                <w:szCs w:val="21"/>
              </w:rPr>
            </w:pPr>
            <w:r>
              <w:rPr>
                <w:rFonts w:hint="default" w:ascii="Times New Roman" w:hAnsi="Times New Roman" w:cs="Times New Roman"/>
                <w:b/>
                <w:bCs/>
                <w:color w:val="auto"/>
                <w:kern w:val="0"/>
                <w:sz w:val="24"/>
                <w:szCs w:val="24"/>
              </w:rPr>
              <w:t>指标</w:t>
            </w:r>
          </w:p>
        </w:tc>
        <w:tc>
          <w:tcPr>
            <w:tcW w:w="4714" w:type="pct"/>
            <w:noWrap w:val="0"/>
            <w:vAlign w:val="center"/>
          </w:tcPr>
          <w:p w14:paraId="42B9DED8">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建设单位应根据本项目废气、废水和固体废物等污染物的排放量，向上级主管部门和环保部门申请各项污染物排放总量控制指标。</w:t>
            </w:r>
          </w:p>
          <w:p w14:paraId="71B26224">
            <w:pPr>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contextualSpacing/>
              <w:textAlignment w:val="auto"/>
              <w:rPr>
                <w:rFonts w:hint="default" w:ascii="Times New Roman" w:hAnsi="Times New Roman" w:cs="Times New Roman"/>
                <w:bCs/>
                <w:color w:val="auto"/>
                <w:kern w:val="0"/>
                <w:sz w:val="24"/>
              </w:rPr>
            </w:pPr>
            <w:r>
              <w:rPr>
                <w:rFonts w:hint="default" w:ascii="Times New Roman" w:hAnsi="Times New Roman" w:cs="Times New Roman"/>
                <w:color w:val="auto"/>
                <w:kern w:val="0"/>
                <w:sz w:val="24"/>
              </w:rPr>
              <w:t>①水污染物排放总量控制指标</w:t>
            </w:r>
          </w:p>
          <w:p w14:paraId="4120D7FA">
            <w:pPr>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textAlignment w:val="auto"/>
              <w:rPr>
                <w:rFonts w:hint="default" w:ascii="Times New Roman" w:hAnsi="Times New Roman" w:cs="Times New Roman"/>
                <w:bCs/>
                <w:color w:val="auto"/>
                <w:kern w:val="0"/>
                <w:sz w:val="24"/>
              </w:rPr>
            </w:pPr>
            <w:r>
              <w:rPr>
                <w:rFonts w:hint="default" w:ascii="Times New Roman" w:hAnsi="Times New Roman" w:cs="Times New Roman"/>
                <w:color w:val="auto"/>
                <w:kern w:val="0"/>
                <w:sz w:val="24"/>
              </w:rPr>
              <w:t>本</w:t>
            </w:r>
            <w:r>
              <w:rPr>
                <w:rFonts w:hint="eastAsia" w:cs="Times New Roman"/>
                <w:color w:val="auto"/>
                <w:kern w:val="1"/>
                <w:sz w:val="24"/>
                <w:szCs w:val="24"/>
                <w:lang w:eastAsia="zh-CN"/>
              </w:rPr>
              <w:t>项目</w:t>
            </w:r>
            <w:r>
              <w:rPr>
                <w:rFonts w:hint="eastAsia" w:ascii="Times New Roman" w:hAnsi="Times New Roman" w:eastAsia="宋体" w:cs="Times New Roman"/>
                <w:color w:val="auto"/>
                <w:kern w:val="0"/>
                <w:sz w:val="24"/>
                <w:szCs w:val="24"/>
                <w:lang w:val="en-US" w:eastAsia="zh-CN" w:bidi="ar-SA"/>
              </w:rPr>
              <w:t>食堂废水</w:t>
            </w:r>
            <w:r>
              <w:rPr>
                <w:rFonts w:hint="eastAsia" w:cs="Times New Roman"/>
                <w:color w:val="auto"/>
                <w:kern w:val="0"/>
                <w:sz w:val="24"/>
                <w:szCs w:val="24"/>
                <w:lang w:val="en-US" w:eastAsia="zh-CN" w:bidi="ar-SA"/>
              </w:rPr>
              <w:t>经隔油池预处理后汇同</w:t>
            </w:r>
            <w:r>
              <w:rPr>
                <w:rFonts w:hint="eastAsia" w:ascii="Times New Roman" w:hAnsi="Times New Roman" w:eastAsia="宋体" w:cs="Times New Roman"/>
                <w:color w:val="auto"/>
                <w:kern w:val="0"/>
                <w:sz w:val="24"/>
                <w:szCs w:val="24"/>
                <w:lang w:val="en-US" w:eastAsia="zh-CN" w:bidi="ar-SA"/>
              </w:rPr>
              <w:t>生活污水</w:t>
            </w:r>
            <w:r>
              <w:rPr>
                <w:rFonts w:hint="eastAsia" w:cs="Times New Roman"/>
                <w:color w:val="auto"/>
                <w:kern w:val="0"/>
                <w:sz w:val="24"/>
                <w:szCs w:val="24"/>
                <w:lang w:val="en-US" w:eastAsia="zh-CN" w:bidi="ar-SA"/>
              </w:rPr>
              <w:t>一起</w:t>
            </w:r>
            <w:r>
              <w:rPr>
                <w:rFonts w:hint="eastAsia" w:ascii="Times New Roman" w:hAnsi="Times New Roman" w:eastAsia="宋体" w:cs="Times New Roman"/>
                <w:color w:val="auto"/>
                <w:kern w:val="0"/>
                <w:sz w:val="24"/>
                <w:szCs w:val="24"/>
                <w:lang w:val="en-US" w:eastAsia="zh-CN" w:bidi="ar-SA"/>
              </w:rPr>
              <w:t>经化粪池处理后进入厂区</w:t>
            </w:r>
            <w:r>
              <w:rPr>
                <w:rFonts w:hint="eastAsia" w:cs="Times New Roman"/>
                <w:color w:val="auto"/>
                <w:kern w:val="0"/>
                <w:sz w:val="24"/>
                <w:szCs w:val="24"/>
                <w:lang w:val="en-US" w:eastAsia="zh-CN" w:bidi="ar-SA"/>
              </w:rPr>
              <w:t>污水处理站</w:t>
            </w:r>
            <w:r>
              <w:rPr>
                <w:rFonts w:hint="eastAsia" w:ascii="Times New Roman" w:hAnsi="Times New Roman" w:eastAsia="宋体" w:cs="Times New Roman"/>
                <w:color w:val="auto"/>
                <w:kern w:val="0"/>
                <w:sz w:val="24"/>
                <w:szCs w:val="24"/>
                <w:lang w:val="en-US" w:eastAsia="zh-CN" w:bidi="ar-SA"/>
              </w:rPr>
              <w:t>处理后，排入市政污水管网进入</w:t>
            </w:r>
            <w:r>
              <w:rPr>
                <w:rFonts w:hint="eastAsia" w:cs="Times New Roman"/>
                <w:color w:val="auto"/>
                <w:kern w:val="0"/>
                <w:sz w:val="24"/>
                <w:szCs w:val="24"/>
                <w:lang w:val="en-US" w:eastAsia="zh-CN" w:bidi="ar-SA"/>
              </w:rPr>
              <w:t>潘集污水处理厂</w:t>
            </w:r>
            <w:r>
              <w:rPr>
                <w:rFonts w:hint="eastAsia" w:ascii="Times New Roman" w:hAnsi="Times New Roman" w:eastAsia="宋体" w:cs="Times New Roman"/>
                <w:color w:val="auto"/>
                <w:kern w:val="0"/>
                <w:sz w:val="24"/>
                <w:szCs w:val="24"/>
                <w:lang w:val="en-US" w:eastAsia="zh-CN" w:bidi="ar-SA"/>
              </w:rPr>
              <w:t>处理；</w:t>
            </w:r>
            <w:r>
              <w:rPr>
                <w:rFonts w:hint="eastAsia" w:cs="Times New Roman"/>
                <w:color w:val="auto"/>
                <w:kern w:val="0"/>
                <w:sz w:val="24"/>
                <w:szCs w:val="24"/>
                <w:lang w:val="en-US" w:eastAsia="zh-CN" w:bidi="ar-SA"/>
              </w:rPr>
              <w:t>住院病床废水、医疗器械洗消废水直接进入</w:t>
            </w:r>
            <w:r>
              <w:rPr>
                <w:rFonts w:hint="eastAsia" w:ascii="Times New Roman" w:hAnsi="Times New Roman" w:eastAsia="宋体" w:cs="Times New Roman"/>
                <w:color w:val="auto"/>
                <w:kern w:val="0"/>
                <w:sz w:val="24"/>
                <w:szCs w:val="24"/>
                <w:lang w:val="en-US" w:eastAsia="zh-CN" w:bidi="ar-SA"/>
              </w:rPr>
              <w:t>厂区</w:t>
            </w:r>
            <w:r>
              <w:rPr>
                <w:rFonts w:hint="eastAsia" w:cs="Times New Roman"/>
                <w:color w:val="auto"/>
                <w:kern w:val="0"/>
                <w:sz w:val="24"/>
                <w:szCs w:val="24"/>
                <w:lang w:val="en-US" w:eastAsia="zh-CN" w:bidi="ar-SA"/>
              </w:rPr>
              <w:t>污水处理站</w:t>
            </w:r>
            <w:r>
              <w:rPr>
                <w:rFonts w:hint="eastAsia" w:ascii="Times New Roman" w:hAnsi="Times New Roman" w:eastAsia="宋体" w:cs="Times New Roman"/>
                <w:color w:val="auto"/>
                <w:kern w:val="0"/>
                <w:sz w:val="24"/>
                <w:szCs w:val="24"/>
                <w:lang w:val="en-US" w:eastAsia="zh-CN" w:bidi="ar-SA"/>
              </w:rPr>
              <w:t>处理后，排入市政污水管网进入</w:t>
            </w:r>
            <w:r>
              <w:rPr>
                <w:rFonts w:hint="eastAsia" w:cs="Times New Roman"/>
                <w:color w:val="auto"/>
                <w:kern w:val="0"/>
                <w:sz w:val="24"/>
                <w:szCs w:val="24"/>
                <w:lang w:val="en-US" w:eastAsia="zh-CN" w:bidi="ar-SA"/>
              </w:rPr>
              <w:t>潘集污水处理厂</w:t>
            </w:r>
            <w:r>
              <w:rPr>
                <w:rFonts w:hint="eastAsia" w:ascii="Times New Roman" w:hAnsi="Times New Roman" w:eastAsia="宋体" w:cs="Times New Roman"/>
                <w:color w:val="auto"/>
                <w:kern w:val="0"/>
                <w:sz w:val="24"/>
                <w:szCs w:val="24"/>
                <w:lang w:val="en-US" w:eastAsia="zh-CN" w:bidi="ar-SA"/>
              </w:rPr>
              <w:t>处理</w:t>
            </w:r>
            <w:r>
              <w:rPr>
                <w:rFonts w:hint="eastAsia" w:cs="Times New Roman"/>
                <w:color w:val="auto"/>
                <w:kern w:val="0"/>
                <w:sz w:val="24"/>
                <w:szCs w:val="24"/>
                <w:lang w:val="en-US" w:eastAsia="zh-CN" w:bidi="ar-SA"/>
              </w:rPr>
              <w:t>；蒸汽发生器浓水和纯水制备浓水直接由厂区污水总排口</w:t>
            </w:r>
            <w:r>
              <w:rPr>
                <w:rFonts w:hint="eastAsia" w:ascii="Times New Roman" w:hAnsi="Times New Roman" w:eastAsia="宋体" w:cs="Times New Roman"/>
                <w:color w:val="auto"/>
                <w:kern w:val="0"/>
                <w:sz w:val="24"/>
                <w:szCs w:val="24"/>
                <w:lang w:val="en-US" w:eastAsia="zh-CN" w:bidi="ar-SA"/>
              </w:rPr>
              <w:t>排入市政污水管网进入</w:t>
            </w:r>
            <w:r>
              <w:rPr>
                <w:rFonts w:hint="eastAsia" w:cs="Times New Roman"/>
                <w:color w:val="auto"/>
                <w:kern w:val="0"/>
                <w:sz w:val="24"/>
                <w:szCs w:val="24"/>
                <w:lang w:val="en-US" w:eastAsia="zh-CN" w:bidi="ar-SA"/>
              </w:rPr>
              <w:t>潘集污水处理厂</w:t>
            </w:r>
            <w:r>
              <w:rPr>
                <w:rFonts w:hint="eastAsia" w:ascii="Times New Roman" w:hAnsi="Times New Roman" w:eastAsia="宋体" w:cs="Times New Roman"/>
                <w:color w:val="auto"/>
                <w:kern w:val="0"/>
                <w:sz w:val="24"/>
                <w:szCs w:val="24"/>
                <w:lang w:val="en-US" w:eastAsia="zh-CN" w:bidi="ar-SA"/>
              </w:rPr>
              <w:t>处理</w:t>
            </w:r>
            <w:r>
              <w:rPr>
                <w:rFonts w:hint="eastAsia" w:cs="Times New Roman"/>
                <w:bCs/>
                <w:color w:val="auto"/>
                <w:sz w:val="24"/>
                <w:szCs w:val="24"/>
                <w:lang w:val="en-US" w:eastAsia="zh-CN"/>
              </w:rPr>
              <w:t>。</w:t>
            </w:r>
            <w:r>
              <w:rPr>
                <w:color w:val="auto"/>
                <w:sz w:val="24"/>
              </w:rPr>
              <w:t>水污染物总量控制因子排放指标在污水处理厂内部平衡</w:t>
            </w:r>
            <w:r>
              <w:rPr>
                <w:color w:val="000000"/>
                <w:sz w:val="24"/>
              </w:rPr>
              <w:t>，</w:t>
            </w:r>
            <w:r>
              <w:rPr>
                <w:rFonts w:hint="eastAsia"/>
                <w:color w:val="000000"/>
                <w:sz w:val="24"/>
                <w:lang w:eastAsia="zh-CN"/>
              </w:rPr>
              <w:t>无需申请</w:t>
            </w:r>
            <w:r>
              <w:rPr>
                <w:rFonts w:hint="default" w:ascii="Times New Roman" w:hAnsi="Times New Roman" w:cs="Times New Roman"/>
                <w:color w:val="auto"/>
                <w:kern w:val="0"/>
                <w:sz w:val="24"/>
              </w:rPr>
              <w:t>水污染物排放总量控制指标；</w:t>
            </w:r>
          </w:p>
          <w:p w14:paraId="68960A75">
            <w:pPr>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contextualSpacing/>
              <w:textAlignment w:val="auto"/>
              <w:rPr>
                <w:rFonts w:hint="default" w:ascii="Times New Roman" w:hAnsi="Times New Roman" w:cs="Times New Roman"/>
                <w:bCs/>
                <w:color w:val="auto"/>
                <w:kern w:val="0"/>
                <w:sz w:val="24"/>
                <w:szCs w:val="24"/>
              </w:rPr>
            </w:pPr>
            <w:r>
              <w:rPr>
                <w:rFonts w:hint="default" w:ascii="Times New Roman" w:hAnsi="Times New Roman" w:cs="Times New Roman"/>
                <w:color w:val="auto"/>
                <w:kern w:val="0"/>
                <w:sz w:val="24"/>
              </w:rPr>
              <w:t>②大气污染物排放总量控制指标</w:t>
            </w:r>
          </w:p>
          <w:p w14:paraId="0843A579">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cs="Times New Roman"/>
                <w:color w:val="auto"/>
                <w:kern w:val="0"/>
                <w:sz w:val="24"/>
                <w:szCs w:val="24"/>
                <w:lang w:val="en-US" w:eastAsia="zh-CN"/>
              </w:rPr>
            </w:pPr>
            <w:r>
              <w:rPr>
                <w:rFonts w:hint="eastAsia" w:cs="Times New Roman"/>
                <w:color w:val="auto"/>
                <w:sz w:val="24"/>
                <w:szCs w:val="24"/>
                <w:highlight w:val="none"/>
                <w:lang w:val="en-US" w:eastAsia="zh-CN"/>
              </w:rPr>
              <w:t>本项目大气污染物主要为恶臭气体（</w:t>
            </w:r>
            <w:r>
              <w:rPr>
                <w:rFonts w:hint="eastAsia" w:cs="Times New Roman"/>
                <w:b w:val="0"/>
                <w:bCs w:val="0"/>
                <w:color w:val="auto"/>
                <w:sz w:val="24"/>
                <w:szCs w:val="24"/>
                <w:u w:val="none"/>
                <w:lang w:val="en-US" w:eastAsia="zh-CN"/>
              </w:rPr>
              <w:t>氨、</w:t>
            </w:r>
            <w:r>
              <w:rPr>
                <w:rFonts w:hint="eastAsia" w:ascii="宋体" w:hAnsi="宋体" w:cs="宋体"/>
                <w:color w:val="auto"/>
                <w:kern w:val="0"/>
                <w:sz w:val="24"/>
                <w:szCs w:val="24"/>
                <w:lang w:val="en-US" w:eastAsia="zh-CN" w:bidi="ar"/>
              </w:rPr>
              <w:t>硫化氢和臭气浓度</w:t>
            </w:r>
            <w:r>
              <w:rPr>
                <w:rFonts w:hint="eastAsia" w:cs="Times New Roman"/>
                <w:color w:val="auto"/>
                <w:sz w:val="24"/>
                <w:szCs w:val="24"/>
                <w:highlight w:val="none"/>
                <w:lang w:val="en-US" w:eastAsia="zh-CN"/>
              </w:rPr>
              <w:t>）</w:t>
            </w:r>
            <w:r>
              <w:rPr>
                <w:rFonts w:hint="eastAsia"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因此本项目无需申请大气污染物总量控制指标</w:t>
            </w:r>
            <w:r>
              <w:rPr>
                <w:rFonts w:hint="eastAsia" w:cs="Times New Roman"/>
                <w:color w:val="auto"/>
                <w:kern w:val="0"/>
                <w:sz w:val="24"/>
                <w:szCs w:val="24"/>
                <w:lang w:val="en-US" w:eastAsia="zh-CN"/>
              </w:rPr>
              <w:t>。</w:t>
            </w:r>
          </w:p>
          <w:p w14:paraId="59A737C9">
            <w:pPr>
              <w:keepNext w:val="0"/>
              <w:keepLines w:val="0"/>
              <w:pageBreakBefore w:val="0"/>
              <w:kinsoku/>
              <w:wordWrap/>
              <w:overflowPunct/>
              <w:topLinePunct w:val="0"/>
              <w:autoSpaceDE/>
              <w:autoSpaceDN/>
              <w:bidi w:val="0"/>
              <w:adjustRightInd w:val="0"/>
              <w:snapToGrid w:val="0"/>
              <w:spacing w:line="360" w:lineRule="auto"/>
              <w:textAlignment w:val="auto"/>
              <w:rPr>
                <w:rFonts w:hint="eastAsia" w:cs="Times New Roman"/>
                <w:color w:val="auto"/>
                <w:kern w:val="0"/>
                <w:szCs w:val="21"/>
                <w:lang w:eastAsia="zh-CN"/>
              </w:rPr>
            </w:pPr>
          </w:p>
          <w:p w14:paraId="373649BD">
            <w:pPr>
              <w:keepNext w:val="0"/>
              <w:keepLines w:val="0"/>
              <w:pageBreakBefore w:val="0"/>
              <w:kinsoku/>
              <w:wordWrap/>
              <w:overflowPunct/>
              <w:topLinePunct w:val="0"/>
              <w:autoSpaceDE/>
              <w:autoSpaceDN/>
              <w:bidi w:val="0"/>
              <w:adjustRightInd w:val="0"/>
              <w:snapToGrid w:val="0"/>
              <w:spacing w:line="360" w:lineRule="auto"/>
              <w:textAlignment w:val="auto"/>
              <w:rPr>
                <w:rFonts w:hint="eastAsia" w:cs="Times New Roman"/>
                <w:color w:val="auto"/>
                <w:kern w:val="0"/>
                <w:szCs w:val="21"/>
                <w:lang w:eastAsia="zh-CN"/>
              </w:rPr>
            </w:pPr>
          </w:p>
          <w:p w14:paraId="246BBF09">
            <w:pPr>
              <w:keepNext w:val="0"/>
              <w:keepLines w:val="0"/>
              <w:pageBreakBefore w:val="0"/>
              <w:kinsoku/>
              <w:wordWrap/>
              <w:overflowPunct/>
              <w:topLinePunct w:val="0"/>
              <w:autoSpaceDE/>
              <w:autoSpaceDN/>
              <w:bidi w:val="0"/>
              <w:adjustRightInd w:val="0"/>
              <w:snapToGrid w:val="0"/>
              <w:spacing w:line="360" w:lineRule="auto"/>
              <w:textAlignment w:val="auto"/>
              <w:rPr>
                <w:rFonts w:hint="eastAsia" w:cs="Times New Roman"/>
                <w:color w:val="auto"/>
                <w:kern w:val="0"/>
                <w:szCs w:val="21"/>
                <w:lang w:eastAsia="zh-CN"/>
              </w:rPr>
            </w:pPr>
          </w:p>
          <w:p w14:paraId="03CD88A6">
            <w:pPr>
              <w:keepNext w:val="0"/>
              <w:keepLines w:val="0"/>
              <w:pageBreakBefore w:val="0"/>
              <w:kinsoku/>
              <w:wordWrap/>
              <w:overflowPunct/>
              <w:topLinePunct w:val="0"/>
              <w:autoSpaceDE/>
              <w:autoSpaceDN/>
              <w:bidi w:val="0"/>
              <w:adjustRightInd w:val="0"/>
              <w:snapToGrid w:val="0"/>
              <w:spacing w:line="360" w:lineRule="auto"/>
              <w:textAlignment w:val="auto"/>
              <w:rPr>
                <w:rFonts w:hint="eastAsia" w:cs="Times New Roman"/>
                <w:color w:val="auto"/>
                <w:kern w:val="0"/>
                <w:szCs w:val="21"/>
                <w:lang w:eastAsia="zh-CN"/>
              </w:rPr>
            </w:pPr>
          </w:p>
          <w:p w14:paraId="3724D1BF">
            <w:pPr>
              <w:keepNext w:val="0"/>
              <w:keepLines w:val="0"/>
              <w:pageBreakBefore w:val="0"/>
              <w:kinsoku/>
              <w:wordWrap/>
              <w:overflowPunct/>
              <w:topLinePunct w:val="0"/>
              <w:autoSpaceDE/>
              <w:autoSpaceDN/>
              <w:bidi w:val="0"/>
              <w:adjustRightInd w:val="0"/>
              <w:snapToGrid w:val="0"/>
              <w:spacing w:line="360" w:lineRule="auto"/>
              <w:textAlignment w:val="auto"/>
              <w:rPr>
                <w:rFonts w:hint="eastAsia" w:cs="Times New Roman"/>
                <w:color w:val="auto"/>
                <w:kern w:val="0"/>
                <w:szCs w:val="21"/>
                <w:lang w:eastAsia="zh-CN"/>
              </w:rPr>
            </w:pPr>
          </w:p>
          <w:p w14:paraId="2F15F17B">
            <w:pPr>
              <w:keepNext w:val="0"/>
              <w:keepLines w:val="0"/>
              <w:pageBreakBefore w:val="0"/>
              <w:kinsoku/>
              <w:wordWrap/>
              <w:overflowPunct/>
              <w:topLinePunct w:val="0"/>
              <w:autoSpaceDE/>
              <w:autoSpaceDN/>
              <w:bidi w:val="0"/>
              <w:adjustRightInd w:val="0"/>
              <w:snapToGrid w:val="0"/>
              <w:spacing w:line="360" w:lineRule="auto"/>
              <w:textAlignment w:val="auto"/>
              <w:rPr>
                <w:rFonts w:hint="eastAsia" w:cs="Times New Roman"/>
                <w:color w:val="auto"/>
                <w:kern w:val="0"/>
                <w:szCs w:val="21"/>
                <w:lang w:eastAsia="zh-CN"/>
              </w:rPr>
            </w:pPr>
          </w:p>
          <w:p w14:paraId="49319834">
            <w:pPr>
              <w:keepNext w:val="0"/>
              <w:keepLines w:val="0"/>
              <w:pageBreakBefore w:val="0"/>
              <w:kinsoku/>
              <w:wordWrap/>
              <w:overflowPunct/>
              <w:topLinePunct w:val="0"/>
              <w:autoSpaceDE/>
              <w:autoSpaceDN/>
              <w:bidi w:val="0"/>
              <w:adjustRightInd w:val="0"/>
              <w:snapToGrid w:val="0"/>
              <w:spacing w:line="360" w:lineRule="auto"/>
              <w:textAlignment w:val="auto"/>
              <w:rPr>
                <w:rFonts w:hint="eastAsia" w:cs="Times New Roman"/>
                <w:color w:val="auto"/>
                <w:kern w:val="0"/>
                <w:szCs w:val="21"/>
                <w:lang w:eastAsia="zh-CN"/>
              </w:rPr>
            </w:pPr>
          </w:p>
          <w:p w14:paraId="05194151">
            <w:pPr>
              <w:keepNext w:val="0"/>
              <w:keepLines w:val="0"/>
              <w:pageBreakBefore w:val="0"/>
              <w:kinsoku/>
              <w:wordWrap/>
              <w:overflowPunct/>
              <w:topLinePunct w:val="0"/>
              <w:autoSpaceDE/>
              <w:autoSpaceDN/>
              <w:bidi w:val="0"/>
              <w:adjustRightInd w:val="0"/>
              <w:snapToGrid w:val="0"/>
              <w:spacing w:line="360" w:lineRule="auto"/>
              <w:textAlignment w:val="auto"/>
              <w:rPr>
                <w:rFonts w:hint="eastAsia" w:cs="Times New Roman"/>
                <w:color w:val="auto"/>
                <w:kern w:val="0"/>
                <w:szCs w:val="21"/>
                <w:lang w:eastAsia="zh-CN"/>
              </w:rPr>
            </w:pPr>
          </w:p>
          <w:p w14:paraId="258B6A2D">
            <w:pPr>
              <w:keepNext w:val="0"/>
              <w:keepLines w:val="0"/>
              <w:pageBreakBefore w:val="0"/>
              <w:kinsoku/>
              <w:wordWrap/>
              <w:overflowPunct/>
              <w:topLinePunct w:val="0"/>
              <w:autoSpaceDE/>
              <w:autoSpaceDN/>
              <w:bidi w:val="0"/>
              <w:adjustRightInd w:val="0"/>
              <w:snapToGrid w:val="0"/>
              <w:spacing w:line="360" w:lineRule="auto"/>
              <w:textAlignment w:val="auto"/>
              <w:rPr>
                <w:rFonts w:hint="eastAsia" w:cs="Times New Roman"/>
                <w:color w:val="auto"/>
                <w:kern w:val="0"/>
                <w:szCs w:val="21"/>
                <w:lang w:eastAsia="zh-CN"/>
              </w:rPr>
            </w:pPr>
          </w:p>
          <w:p w14:paraId="28CCFFE4">
            <w:pPr>
              <w:keepNext w:val="0"/>
              <w:keepLines w:val="0"/>
              <w:pageBreakBefore w:val="0"/>
              <w:kinsoku/>
              <w:wordWrap/>
              <w:overflowPunct/>
              <w:topLinePunct w:val="0"/>
              <w:autoSpaceDE/>
              <w:autoSpaceDN/>
              <w:bidi w:val="0"/>
              <w:adjustRightInd w:val="0"/>
              <w:snapToGrid w:val="0"/>
              <w:spacing w:line="360" w:lineRule="auto"/>
              <w:textAlignment w:val="auto"/>
              <w:rPr>
                <w:rFonts w:hint="eastAsia" w:cs="Times New Roman"/>
                <w:color w:val="auto"/>
                <w:kern w:val="0"/>
                <w:szCs w:val="21"/>
                <w:lang w:eastAsia="zh-CN"/>
              </w:rPr>
            </w:pPr>
          </w:p>
          <w:p w14:paraId="2A19F877">
            <w:pPr>
              <w:keepNext w:val="0"/>
              <w:keepLines w:val="0"/>
              <w:pageBreakBefore w:val="0"/>
              <w:kinsoku/>
              <w:wordWrap/>
              <w:overflowPunct/>
              <w:topLinePunct w:val="0"/>
              <w:autoSpaceDE/>
              <w:autoSpaceDN/>
              <w:bidi w:val="0"/>
              <w:adjustRightInd w:val="0"/>
              <w:snapToGrid w:val="0"/>
              <w:spacing w:line="360" w:lineRule="auto"/>
              <w:textAlignment w:val="auto"/>
              <w:rPr>
                <w:rFonts w:hint="eastAsia" w:cs="Times New Roman"/>
                <w:color w:val="auto"/>
                <w:kern w:val="0"/>
                <w:szCs w:val="21"/>
                <w:lang w:eastAsia="zh-CN"/>
              </w:rPr>
            </w:pPr>
          </w:p>
          <w:p w14:paraId="06956A34">
            <w:pPr>
              <w:keepNext w:val="0"/>
              <w:keepLines w:val="0"/>
              <w:pageBreakBefore w:val="0"/>
              <w:kinsoku/>
              <w:wordWrap/>
              <w:overflowPunct/>
              <w:topLinePunct w:val="0"/>
              <w:autoSpaceDE/>
              <w:autoSpaceDN/>
              <w:bidi w:val="0"/>
              <w:adjustRightInd w:val="0"/>
              <w:snapToGrid w:val="0"/>
              <w:spacing w:line="360" w:lineRule="auto"/>
              <w:textAlignment w:val="auto"/>
              <w:rPr>
                <w:rFonts w:hint="eastAsia" w:cs="Times New Roman"/>
                <w:color w:val="auto"/>
                <w:kern w:val="0"/>
                <w:szCs w:val="21"/>
                <w:lang w:eastAsia="zh-CN"/>
              </w:rPr>
            </w:pPr>
          </w:p>
          <w:p w14:paraId="44314950">
            <w:pPr>
              <w:keepNext w:val="0"/>
              <w:keepLines w:val="0"/>
              <w:pageBreakBefore w:val="0"/>
              <w:kinsoku/>
              <w:wordWrap/>
              <w:overflowPunct/>
              <w:topLinePunct w:val="0"/>
              <w:autoSpaceDE/>
              <w:autoSpaceDN/>
              <w:bidi w:val="0"/>
              <w:adjustRightInd w:val="0"/>
              <w:snapToGrid w:val="0"/>
              <w:spacing w:line="360" w:lineRule="auto"/>
              <w:textAlignment w:val="auto"/>
              <w:rPr>
                <w:rFonts w:hint="eastAsia" w:cs="Times New Roman"/>
                <w:color w:val="auto"/>
                <w:kern w:val="0"/>
                <w:szCs w:val="21"/>
                <w:lang w:eastAsia="zh-CN"/>
              </w:rPr>
            </w:pPr>
          </w:p>
          <w:p w14:paraId="7E247025">
            <w:pPr>
              <w:keepNext w:val="0"/>
              <w:keepLines w:val="0"/>
              <w:pageBreakBefore w:val="0"/>
              <w:kinsoku/>
              <w:wordWrap/>
              <w:overflowPunct/>
              <w:topLinePunct w:val="0"/>
              <w:autoSpaceDE/>
              <w:autoSpaceDN/>
              <w:bidi w:val="0"/>
              <w:adjustRightInd w:val="0"/>
              <w:snapToGrid w:val="0"/>
              <w:spacing w:line="360" w:lineRule="auto"/>
              <w:textAlignment w:val="auto"/>
              <w:rPr>
                <w:rFonts w:hint="eastAsia" w:cs="Times New Roman"/>
                <w:color w:val="auto"/>
                <w:kern w:val="0"/>
                <w:szCs w:val="21"/>
                <w:lang w:eastAsia="zh-CN"/>
              </w:rPr>
            </w:pPr>
          </w:p>
          <w:p w14:paraId="1CE6B9C5">
            <w:pPr>
              <w:keepNext w:val="0"/>
              <w:keepLines w:val="0"/>
              <w:pageBreakBefore w:val="0"/>
              <w:kinsoku/>
              <w:wordWrap/>
              <w:overflowPunct/>
              <w:topLinePunct w:val="0"/>
              <w:autoSpaceDE/>
              <w:autoSpaceDN/>
              <w:bidi w:val="0"/>
              <w:adjustRightInd w:val="0"/>
              <w:snapToGrid w:val="0"/>
              <w:spacing w:line="360" w:lineRule="auto"/>
              <w:textAlignment w:val="auto"/>
              <w:rPr>
                <w:rFonts w:hint="eastAsia" w:cs="Times New Roman"/>
                <w:color w:val="auto"/>
                <w:kern w:val="0"/>
                <w:szCs w:val="21"/>
                <w:lang w:eastAsia="zh-CN"/>
              </w:rPr>
            </w:pPr>
          </w:p>
          <w:p w14:paraId="613114A5">
            <w:pPr>
              <w:keepNext w:val="0"/>
              <w:keepLines w:val="0"/>
              <w:pageBreakBefore w:val="0"/>
              <w:kinsoku/>
              <w:wordWrap/>
              <w:overflowPunct/>
              <w:topLinePunct w:val="0"/>
              <w:autoSpaceDE/>
              <w:autoSpaceDN/>
              <w:bidi w:val="0"/>
              <w:adjustRightInd w:val="0"/>
              <w:snapToGrid w:val="0"/>
              <w:spacing w:line="360" w:lineRule="auto"/>
              <w:textAlignment w:val="auto"/>
              <w:rPr>
                <w:rFonts w:hint="eastAsia" w:cs="Times New Roman"/>
                <w:color w:val="auto"/>
                <w:kern w:val="0"/>
                <w:szCs w:val="21"/>
                <w:lang w:eastAsia="zh-CN"/>
              </w:rPr>
            </w:pPr>
          </w:p>
          <w:p w14:paraId="69D4D3BA">
            <w:pPr>
              <w:keepNext w:val="0"/>
              <w:keepLines w:val="0"/>
              <w:pageBreakBefore w:val="0"/>
              <w:kinsoku/>
              <w:wordWrap/>
              <w:overflowPunct/>
              <w:topLinePunct w:val="0"/>
              <w:autoSpaceDE/>
              <w:autoSpaceDN/>
              <w:bidi w:val="0"/>
              <w:adjustRightInd w:val="0"/>
              <w:snapToGrid w:val="0"/>
              <w:spacing w:line="360" w:lineRule="auto"/>
              <w:textAlignment w:val="auto"/>
              <w:rPr>
                <w:rFonts w:hint="eastAsia" w:cs="Times New Roman"/>
                <w:color w:val="auto"/>
                <w:kern w:val="0"/>
                <w:szCs w:val="21"/>
                <w:lang w:eastAsia="zh-CN"/>
              </w:rPr>
            </w:pPr>
          </w:p>
          <w:p w14:paraId="69EE1388">
            <w:pPr>
              <w:keepNext w:val="0"/>
              <w:keepLines w:val="0"/>
              <w:pageBreakBefore w:val="0"/>
              <w:kinsoku/>
              <w:wordWrap/>
              <w:overflowPunct/>
              <w:topLinePunct w:val="0"/>
              <w:autoSpaceDE/>
              <w:autoSpaceDN/>
              <w:bidi w:val="0"/>
              <w:adjustRightInd w:val="0"/>
              <w:snapToGrid w:val="0"/>
              <w:spacing w:line="360" w:lineRule="auto"/>
              <w:textAlignment w:val="auto"/>
              <w:rPr>
                <w:rFonts w:hint="eastAsia" w:cs="Times New Roman"/>
                <w:color w:val="auto"/>
                <w:kern w:val="0"/>
                <w:szCs w:val="21"/>
                <w:lang w:eastAsia="zh-CN"/>
              </w:rPr>
            </w:pPr>
          </w:p>
          <w:p w14:paraId="5E110663">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color w:val="auto"/>
                <w:kern w:val="0"/>
                <w:szCs w:val="21"/>
                <w:lang w:eastAsia="zh-CN"/>
              </w:rPr>
            </w:pPr>
          </w:p>
        </w:tc>
      </w:tr>
    </w:tbl>
    <w:p w14:paraId="7084B0A8">
      <w:pPr>
        <w:pStyle w:val="2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default" w:ascii="Times New Roman" w:hAnsi="Times New Roman" w:eastAsia="宋体" w:cs="Times New Roman"/>
          <w:b/>
          <w:bCs/>
          <w:snapToGrid w:val="0"/>
          <w:color w:val="auto"/>
          <w:sz w:val="30"/>
          <w:szCs w:val="30"/>
        </w:rPr>
      </w:pPr>
      <w:r>
        <w:rPr>
          <w:rFonts w:hint="default" w:ascii="Times New Roman" w:hAnsi="Times New Roman" w:eastAsia="宋体" w:cs="Times New Roman"/>
          <w:b/>
          <w:bCs/>
          <w:snapToGrid w:val="0"/>
          <w:color w:val="auto"/>
          <w:sz w:val="30"/>
          <w:szCs w:val="30"/>
        </w:rPr>
        <w:t>四、主要环境影响和保护措施</w:t>
      </w:r>
    </w:p>
    <w:tbl>
      <w:tblPr>
        <w:tblStyle w:val="27"/>
        <w:tblW w:w="504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70"/>
        <w:gridCol w:w="8816"/>
      </w:tblGrid>
      <w:tr w14:paraId="327FC4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53" w:type="pct"/>
            <w:noWrap w:val="0"/>
            <w:tcMar>
              <w:left w:w="28" w:type="dxa"/>
              <w:right w:w="28" w:type="dxa"/>
            </w:tcMar>
            <w:vAlign w:val="center"/>
          </w:tcPr>
          <w:p w14:paraId="2641DC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rPr>
            </w:pPr>
            <w:r>
              <w:rPr>
                <w:rFonts w:hint="default" w:ascii="Times New Roman" w:hAnsi="Times New Roman" w:cs="Times New Roman"/>
                <w:b/>
                <w:bCs/>
                <w:color w:val="auto"/>
                <w:sz w:val="24"/>
                <w:szCs w:val="32"/>
              </w:rPr>
              <w:t>施工期环境保护措施</w:t>
            </w:r>
          </w:p>
        </w:tc>
        <w:tc>
          <w:tcPr>
            <w:tcW w:w="4746" w:type="pct"/>
            <w:noWrap w:val="0"/>
            <w:vAlign w:val="center"/>
          </w:tcPr>
          <w:p w14:paraId="7770416F">
            <w:pPr>
              <w:keepNext w:val="0"/>
              <w:keepLines w:val="0"/>
              <w:suppressLineNumbers w:val="0"/>
              <w:spacing w:before="0" w:beforeAutospacing="0" w:after="0" w:afterAutospacing="0" w:line="360" w:lineRule="auto"/>
              <w:ind w:left="0" w:right="0" w:firstLine="480" w:firstLineChars="200"/>
              <w:textAlignment w:val="baseline"/>
              <w:rPr>
                <w:rFonts w:hint="eastAsia"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本项目</w:t>
            </w:r>
            <w:r>
              <w:rPr>
                <w:rFonts w:hint="default" w:ascii="Times New Roman" w:hAnsi="Times New Roman" w:eastAsia="宋体" w:cs="Times New Roman"/>
                <w:color w:val="auto"/>
                <w:sz w:val="24"/>
              </w:rPr>
              <w:t>施工过程</w:t>
            </w:r>
            <w:r>
              <w:rPr>
                <w:rFonts w:hint="default" w:ascii="Times New Roman" w:hAnsi="Times New Roman" w:eastAsia="宋体" w:cs="Times New Roman"/>
                <w:color w:val="auto"/>
                <w:sz w:val="24"/>
                <w:lang w:val="en-US" w:eastAsia="zh-CN"/>
              </w:rPr>
              <w:t>主要为</w:t>
            </w:r>
            <w:r>
              <w:rPr>
                <w:rFonts w:hint="eastAsia" w:ascii="Times New Roman" w:hAnsi="Times New Roman" w:eastAsia="宋体" w:cs="Times New Roman"/>
                <w:color w:val="auto"/>
                <w:sz w:val="24"/>
                <w:lang w:val="en-US" w:eastAsia="zh-CN"/>
              </w:rPr>
              <w:t>主体</w:t>
            </w:r>
            <w:r>
              <w:rPr>
                <w:rFonts w:hint="default" w:ascii="Times New Roman" w:hAnsi="Times New Roman" w:eastAsia="宋体" w:cs="Times New Roman"/>
                <w:color w:val="auto"/>
                <w:sz w:val="24"/>
                <w:lang w:val="en-US" w:eastAsia="zh-CN"/>
              </w:rPr>
              <w:t>工程</w:t>
            </w:r>
            <w:r>
              <w:rPr>
                <w:rFonts w:hint="eastAsia" w:ascii="Times New Roman" w:hAnsi="Times New Roman" w:eastAsia="宋体" w:cs="Times New Roman"/>
                <w:color w:val="auto"/>
                <w:sz w:val="24"/>
                <w:lang w:val="en-US" w:eastAsia="zh-CN"/>
              </w:rPr>
              <w:t>建设</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装修</w:t>
            </w:r>
            <w:r>
              <w:rPr>
                <w:rFonts w:hint="default" w:ascii="Times New Roman" w:hAnsi="Times New Roman" w:eastAsia="宋体" w:cs="Times New Roman"/>
                <w:color w:val="auto"/>
                <w:sz w:val="24"/>
              </w:rPr>
              <w:t>等。</w:t>
            </w:r>
            <w:r>
              <w:rPr>
                <w:rFonts w:hint="eastAsia" w:ascii="Times New Roman" w:hAnsi="Times New Roman" w:eastAsia="宋体" w:cs="Times New Roman"/>
                <w:color w:val="auto"/>
                <w:sz w:val="24"/>
                <w:lang w:val="en-US" w:eastAsia="zh-CN"/>
              </w:rPr>
              <w:t>项目实施后院区采用水泥硬化措施。施工期土地开挖会造成一定量的水土流失。为保护生态环境，减缓施工期的各种不利影响，本评价建议：</w:t>
            </w:r>
          </w:p>
          <w:p w14:paraId="35B30039">
            <w:pPr>
              <w:keepNext w:val="0"/>
              <w:keepLines w:val="0"/>
              <w:suppressLineNumbers w:val="0"/>
              <w:spacing w:before="0" w:beforeAutospacing="0" w:after="0" w:afterAutospacing="0" w:line="360" w:lineRule="auto"/>
              <w:ind w:left="0" w:right="0" w:firstLine="480" w:firstLineChars="200"/>
              <w:textAlignment w:val="baseline"/>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（1）工程施工中要做好土石方平衡工作，开挖的土方应尽量作为施工场地平整回填之用。对于地表建筑及井筒施工过程中产生的弃土，施工单位将其用于工业场地平整。</w:t>
            </w:r>
          </w:p>
          <w:p w14:paraId="7CA2AB26">
            <w:pPr>
              <w:keepNext w:val="0"/>
              <w:keepLines w:val="0"/>
              <w:suppressLineNumbers w:val="0"/>
              <w:spacing w:before="0" w:beforeAutospacing="0" w:after="0" w:afterAutospacing="0" w:line="360" w:lineRule="auto"/>
              <w:ind w:left="0" w:right="0" w:firstLine="480" w:firstLineChars="200"/>
              <w:textAlignment w:val="baseline"/>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（2）工程施工应分期分区进行，不要在全矿全面铺开，以缩短单项工期。开挖裸露面要有防治措施，尽量缩短暴露时间，减少水土流失。</w:t>
            </w:r>
          </w:p>
          <w:p w14:paraId="55C78F93">
            <w:pPr>
              <w:keepNext w:val="0"/>
              <w:keepLines w:val="0"/>
              <w:suppressLineNumbers w:val="0"/>
              <w:spacing w:before="0" w:beforeAutospacing="0" w:after="0" w:afterAutospacing="0" w:line="360" w:lineRule="auto"/>
              <w:ind w:left="0" w:right="0" w:firstLine="480" w:firstLineChars="200"/>
              <w:textAlignment w:val="baseline"/>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（3）弃土或借土的临时堆放场地中，若有相对比较集中的地方，其周边应挖好排水沟，避免雨季时的水土流失。堆土的边坡要小，尽量压实，使其少占地且不易被雨水冲刷造成流失。</w:t>
            </w:r>
          </w:p>
          <w:p w14:paraId="1108D8D3">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（4）加强施工管理，加强对工人关于水土保持的教育，暴雨时不施工，减少水土流失量。</w:t>
            </w:r>
          </w:p>
          <w:p w14:paraId="45B6A902">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项目施工期产生的污染物较少，由于施工期较短，产生的影响随装修的结束而结束，对环境产生的影响较小。</w:t>
            </w:r>
            <w:r>
              <w:rPr>
                <w:rFonts w:hint="default" w:ascii="Times New Roman" w:hAnsi="Times New Roman" w:eastAsia="宋体" w:cs="Times New Roman"/>
                <w:color w:val="auto"/>
                <w:sz w:val="24"/>
                <w:lang w:eastAsia="zh-CN"/>
              </w:rPr>
              <w:t>施工过程中会产生</w:t>
            </w:r>
            <w:r>
              <w:rPr>
                <w:rFonts w:hint="default" w:ascii="Times New Roman" w:hAnsi="Times New Roman" w:eastAsia="宋体" w:cs="Times New Roman"/>
                <w:color w:val="auto"/>
                <w:sz w:val="24"/>
              </w:rPr>
              <w:t>施工噪声、施工废气、施工废水</w:t>
            </w:r>
            <w:r>
              <w:rPr>
                <w:rFonts w:hint="default" w:ascii="Times New Roman" w:hAnsi="Times New Roman" w:eastAsia="宋体" w:cs="Times New Roman"/>
                <w:color w:val="auto"/>
                <w:sz w:val="24"/>
                <w:lang w:eastAsia="zh-CN"/>
              </w:rPr>
              <w:t>、固体废物</w:t>
            </w:r>
            <w:r>
              <w:rPr>
                <w:rFonts w:hint="default" w:ascii="Times New Roman" w:hAnsi="Times New Roman" w:eastAsia="宋体" w:cs="Times New Roman"/>
                <w:color w:val="auto"/>
                <w:sz w:val="24"/>
              </w:rPr>
              <w:t>。</w:t>
            </w:r>
          </w:p>
          <w:p w14:paraId="5C722E9C">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kern w:val="0"/>
                <w:sz w:val="24"/>
                <w:szCs w:val="24"/>
                <w:lang w:val="en-US" w:eastAsia="zh-CN"/>
              </w:rPr>
            </w:pPr>
            <w:r>
              <w:rPr>
                <w:rFonts w:hint="default" w:ascii="Times New Roman" w:hAnsi="Times New Roman" w:eastAsia="宋体" w:cs="Times New Roman"/>
                <w:b/>
                <w:bCs/>
                <w:color w:val="auto"/>
                <w:kern w:val="0"/>
                <w:sz w:val="24"/>
                <w:szCs w:val="24"/>
                <w:lang w:val="en-US" w:eastAsia="zh-CN"/>
              </w:rPr>
              <w:t>1、施工期废气</w:t>
            </w:r>
          </w:p>
          <w:p w14:paraId="4B695654">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施工期废气污染源主要来自施工机械尾气</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来往运输引起的道路扬尘</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厂房</w:t>
            </w:r>
            <w:r>
              <w:rPr>
                <w:rFonts w:hint="default" w:ascii="Times New Roman" w:hAnsi="Times New Roman" w:eastAsia="宋体" w:cs="Times New Roman"/>
                <w:color w:val="auto"/>
                <w:sz w:val="24"/>
              </w:rPr>
              <w:t>装修废气。建设单位须采取有效的防治措施，将上述影响减至最低。具体如下：</w:t>
            </w:r>
          </w:p>
          <w:p w14:paraId="74AA862E">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（1）道路扬尘</w:t>
            </w:r>
          </w:p>
          <w:p w14:paraId="5AA55DC1">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粉尘的产生量与天气、温度、风速、施工队文明作业程度和管理水平等因素有关，类比一般土建工程现场扬尘实地TSP监测值，施工期项目区TSP源强约为0.05~0.1mg/m·s。项目厂界四周设置围挡，制定严格的洒水降尘制度（定时、定点、定人），干燥天气加密喷洒的次数；汽车运输砂土、水泥、碎石等易起尘的物料要</w:t>
            </w:r>
            <w:r>
              <w:rPr>
                <w:rFonts w:hint="eastAsia" w:ascii="Times New Roman" w:hAnsi="Times New Roman" w:eastAsia="宋体" w:cs="Times New Roman"/>
                <w:color w:val="auto"/>
                <w:sz w:val="24"/>
                <w:lang w:eastAsia="zh-CN"/>
              </w:rPr>
              <w:t>加盖篷布</w:t>
            </w:r>
            <w:r>
              <w:rPr>
                <w:rFonts w:hint="default" w:ascii="Times New Roman" w:hAnsi="Times New Roman" w:eastAsia="宋体" w:cs="Times New Roman"/>
                <w:color w:val="auto"/>
                <w:sz w:val="24"/>
              </w:rPr>
              <w:t>、控制车速，防止物料洒落和产生扬尘。</w:t>
            </w:r>
          </w:p>
          <w:p w14:paraId="57BC8DC3">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（2）施工机械尾气</w:t>
            </w:r>
          </w:p>
          <w:p w14:paraId="24F6DFD6">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项目施工过程使用的施工机械以柴油为燃料，都会产生一定量的尾气，主要污染物为CO、NO</w:t>
            </w:r>
            <w:r>
              <w:rPr>
                <w:rFonts w:hint="eastAsia" w:ascii="Times New Roman" w:hAnsi="Times New Roman" w:eastAsia="宋体" w:cs="Times New Roman"/>
                <w:color w:val="auto"/>
                <w:sz w:val="24"/>
                <w:lang w:val="en-US" w:eastAsia="zh-CN"/>
              </w:rPr>
              <w:t>X</w:t>
            </w:r>
            <w:r>
              <w:rPr>
                <w:rFonts w:hint="default" w:ascii="Times New Roman" w:hAnsi="Times New Roman" w:eastAsia="宋体" w:cs="Times New Roman"/>
                <w:color w:val="auto"/>
                <w:sz w:val="24"/>
              </w:rPr>
              <w:t>和烃类等。项目施工周期较长、施工机械相对较分散，尾气排放源强不大，表现为间歇性排放特征，且是流动无组织排放。</w:t>
            </w:r>
          </w:p>
          <w:p w14:paraId="7F9631CE">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建设单位拟对施工期粉尘和尾气根据《安徽省生态环境厅、安徽省住房城乡建设厅关于印发&lt;安徽省建筑工程施工和预拌混凝土生产扬尘污染防治标准（试行）&gt;的通知</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安徽省建筑工程施工扬尘污染防治规定》等有关文件，加强施工期环境管理，施工现场实行围挡，物料堆放覆盖，采取洒水降尘、封闭运输等措施，施工场地出入口道路实施混凝土硬化并配备车辆冲洗设施，严格做到</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六个百分百</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w:t>
            </w:r>
          </w:p>
          <w:p w14:paraId="40FF2AA0">
            <w:pPr>
              <w:keepNext w:val="0"/>
              <w:keepLines w:val="0"/>
              <w:suppressLineNumbers w:val="0"/>
              <w:spacing w:before="0" w:beforeAutospacing="0" w:after="0" w:afterAutospacing="0" w:line="360" w:lineRule="auto"/>
              <w:ind w:left="0" w:right="0" w:firstLine="480" w:firstLineChars="200"/>
              <w:textAlignment w:val="baseline"/>
              <w:rPr>
                <w:rFonts w:hint="eastAsia" w:ascii="Times New Roman" w:hAnsi="Times New Roman" w:eastAsia="宋体" w:cs="Times New Roman"/>
                <w:color w:val="auto"/>
                <w:sz w:val="24"/>
                <w:lang w:eastAsia="zh-CN"/>
              </w:rPr>
            </w:pPr>
            <w:r>
              <w:rPr>
                <w:rFonts w:hint="default" w:ascii="Times New Roman" w:hAnsi="Times New Roman" w:eastAsia="宋体" w:cs="Times New Roman"/>
                <w:color w:val="auto"/>
                <w:sz w:val="24"/>
              </w:rPr>
              <w:t>施工期为了减少扬尘对周围环境敏感点的影响，施工期可采取如下防治措施</w:t>
            </w:r>
            <w:r>
              <w:rPr>
                <w:rFonts w:hint="eastAsia" w:ascii="Times New Roman" w:hAnsi="Times New Roman" w:eastAsia="宋体" w:cs="Times New Roman"/>
                <w:color w:val="auto"/>
                <w:sz w:val="24"/>
                <w:lang w:eastAsia="zh-CN"/>
              </w:rPr>
              <w:t>：</w:t>
            </w:r>
          </w:p>
          <w:p w14:paraId="3EBF703A">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①</w:t>
            </w:r>
            <w:r>
              <w:rPr>
                <w:rFonts w:hint="default" w:ascii="Times New Roman" w:hAnsi="Times New Roman" w:eastAsia="宋体" w:cs="Times New Roman"/>
                <w:color w:val="auto"/>
                <w:sz w:val="24"/>
              </w:rPr>
              <w:t>在易产生扬尘的作业时段、作业环节采用洒水的办法减轻总悬浮颗粒的污染，增加洒水次数，可大大减少空气中总悬浮颗粒的浓度。同时禁止在大风天气进行土方开挖、回填等作业。</w:t>
            </w:r>
          </w:p>
          <w:p w14:paraId="19A2397E">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②</w:t>
            </w:r>
            <w:r>
              <w:rPr>
                <w:rFonts w:hint="default" w:ascii="Times New Roman" w:hAnsi="Times New Roman" w:eastAsia="宋体" w:cs="Times New Roman"/>
                <w:color w:val="auto"/>
                <w:sz w:val="24"/>
              </w:rPr>
              <w:t>禁止露天堆放建筑材料，细颗粒散料要入库保存，搬运时要轻拿轻放，防止包装袋破裂。</w:t>
            </w:r>
          </w:p>
          <w:p w14:paraId="2D621707">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③</w:t>
            </w:r>
            <w:r>
              <w:rPr>
                <w:rFonts w:hint="default" w:ascii="Times New Roman" w:hAnsi="Times New Roman" w:eastAsia="宋体" w:cs="Times New Roman"/>
                <w:color w:val="auto"/>
                <w:sz w:val="24"/>
              </w:rPr>
              <w:t>施工现场要设置围挡或部分围挡，以减少施工扬尘的扩散范围，减轻施工扬尘对周围保护目标的影响。</w:t>
            </w:r>
          </w:p>
          <w:p w14:paraId="7A1D8446">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④</w:t>
            </w:r>
            <w:r>
              <w:rPr>
                <w:rFonts w:hint="default" w:ascii="Times New Roman" w:hAnsi="Times New Roman" w:eastAsia="宋体" w:cs="Times New Roman"/>
                <w:color w:val="auto"/>
                <w:sz w:val="24"/>
              </w:rPr>
              <w:t>运输砂、石等建筑材料的车辆，不得装载过满，防止沿途洒落，造成二次扬尘。</w:t>
            </w:r>
          </w:p>
          <w:p w14:paraId="215B45DF">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⑤</w:t>
            </w:r>
            <w:r>
              <w:rPr>
                <w:rFonts w:hint="default" w:ascii="Times New Roman" w:hAnsi="Times New Roman" w:eastAsia="宋体" w:cs="Times New Roman"/>
                <w:color w:val="auto"/>
                <w:sz w:val="24"/>
              </w:rPr>
              <w:t>如遇大风，应在运输过程中将易起尘的建筑材料进行遮盖。</w:t>
            </w:r>
          </w:p>
          <w:p w14:paraId="4C720E4F">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⑥</w:t>
            </w:r>
            <w:r>
              <w:rPr>
                <w:rFonts w:hint="default" w:ascii="Times New Roman" w:hAnsi="Times New Roman" w:eastAsia="宋体" w:cs="Times New Roman"/>
                <w:color w:val="auto"/>
                <w:sz w:val="24"/>
              </w:rPr>
              <w:t>材料运输车辆必须定期检查，破损的车厢应及时修补，严禁车辆在行驶途中泄漏建筑材料。</w:t>
            </w:r>
          </w:p>
          <w:p w14:paraId="362FF092">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⑦</w:t>
            </w:r>
            <w:r>
              <w:rPr>
                <w:rFonts w:hint="default" w:ascii="Times New Roman" w:hAnsi="Times New Roman" w:eastAsia="宋体" w:cs="Times New Roman"/>
                <w:color w:val="auto"/>
                <w:sz w:val="24"/>
              </w:rPr>
              <w:t>车辆</w:t>
            </w:r>
            <w:r>
              <w:rPr>
                <w:rFonts w:hint="eastAsia" w:ascii="Times New Roman" w:hAnsi="Times New Roman" w:eastAsia="宋体" w:cs="Times New Roman"/>
                <w:color w:val="auto"/>
                <w:sz w:val="24"/>
                <w:lang w:eastAsia="zh-CN"/>
              </w:rPr>
              <w:t>驶出</w:t>
            </w:r>
            <w:r>
              <w:rPr>
                <w:rFonts w:hint="default" w:ascii="Times New Roman" w:hAnsi="Times New Roman" w:eastAsia="宋体" w:cs="Times New Roman"/>
                <w:color w:val="auto"/>
                <w:sz w:val="24"/>
              </w:rPr>
              <w:t>工地时，应将车身特别是轮胎上的泥土洗净，可建造一个浅水池，车辆</w:t>
            </w:r>
            <w:r>
              <w:rPr>
                <w:rFonts w:hint="eastAsia" w:ascii="Times New Roman" w:hAnsi="Times New Roman" w:eastAsia="宋体" w:cs="Times New Roman"/>
                <w:color w:val="auto"/>
                <w:sz w:val="24"/>
                <w:lang w:eastAsia="zh-CN"/>
              </w:rPr>
              <w:t>驶出</w:t>
            </w:r>
            <w:r>
              <w:rPr>
                <w:rFonts w:hint="default" w:ascii="Times New Roman" w:hAnsi="Times New Roman" w:eastAsia="宋体" w:cs="Times New Roman"/>
                <w:color w:val="auto"/>
                <w:sz w:val="24"/>
              </w:rPr>
              <w:t>工地时慢车驶过该浅水池，可将轮胎上的泥土洗去大部分，再根据情况采用高压水喷洗的办法，将车身及轮胎上的剩余泥土冲洗干净，可有效地防止工地的泥土带到城市道路上，避免造成局部地方严重的二次扬尘污染。</w:t>
            </w:r>
          </w:p>
          <w:p w14:paraId="5B0957AC">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⑧</w:t>
            </w:r>
            <w:r>
              <w:rPr>
                <w:rFonts w:hint="default" w:ascii="Times New Roman" w:hAnsi="Times New Roman" w:eastAsia="宋体" w:cs="Times New Roman"/>
                <w:color w:val="auto"/>
                <w:sz w:val="24"/>
              </w:rPr>
              <w:t>建筑垃圾和生活垃圾及时清运，场地及时平整，对于干燥作业面适当</w:t>
            </w:r>
            <w:r>
              <w:rPr>
                <w:rFonts w:hint="eastAsia" w:ascii="Times New Roman" w:hAnsi="Times New Roman" w:eastAsia="宋体" w:cs="Times New Roman"/>
                <w:color w:val="auto"/>
                <w:sz w:val="24"/>
                <w:lang w:eastAsia="zh-CN"/>
              </w:rPr>
              <w:t>洒水</w:t>
            </w:r>
            <w:r>
              <w:rPr>
                <w:rFonts w:hint="default" w:ascii="Times New Roman" w:hAnsi="Times New Roman" w:eastAsia="宋体" w:cs="Times New Roman"/>
                <w:color w:val="auto"/>
                <w:sz w:val="24"/>
              </w:rPr>
              <w:t>，以防二次扬尘。</w:t>
            </w:r>
          </w:p>
          <w:p w14:paraId="1AECCFCB">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本项目施工场所将按照《安徽省大气污染防治条例</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安徽省建筑工程施工和预拌混凝土生产扬尘污染防治标准》（试行）等相关规定，施工场地全面推行</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六个百分百</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标准，即施工区域100%围挡、裸土及物料堆放100%覆盖、施工场地100%洒水清扫、出入车辆100%冲洗、施工道路100%硬化、渣土车辆100%密闭运输。在采取以上施工扬尘的防治措施后，可</w:t>
            </w:r>
            <w:r>
              <w:rPr>
                <w:rFonts w:hint="eastAsia" w:ascii="Times New Roman" w:hAnsi="Times New Roman" w:eastAsia="宋体" w:cs="Times New Roman"/>
                <w:color w:val="auto"/>
                <w:sz w:val="24"/>
                <w:lang w:eastAsia="zh-CN"/>
              </w:rPr>
              <w:t>有效地减轻</w:t>
            </w:r>
            <w:r>
              <w:rPr>
                <w:rFonts w:hint="default" w:ascii="Times New Roman" w:hAnsi="Times New Roman" w:eastAsia="宋体" w:cs="Times New Roman"/>
                <w:color w:val="auto"/>
                <w:sz w:val="24"/>
              </w:rPr>
              <w:t>扬尘污染。</w:t>
            </w:r>
          </w:p>
          <w:p w14:paraId="2DF4F32C">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同时，施工场地安装扬尘</w:t>
            </w:r>
            <w:r>
              <w:rPr>
                <w:rFonts w:hint="eastAsia" w:ascii="Times New Roman" w:hAnsi="Times New Roman" w:eastAsia="宋体" w:cs="Times New Roman"/>
                <w:color w:val="auto"/>
                <w:sz w:val="24"/>
                <w:lang w:eastAsia="zh-CN"/>
              </w:rPr>
              <w:t>噪声</w:t>
            </w:r>
            <w:r>
              <w:rPr>
                <w:rFonts w:hint="default" w:ascii="Times New Roman" w:hAnsi="Times New Roman" w:eastAsia="宋体" w:cs="Times New Roman"/>
                <w:color w:val="auto"/>
                <w:sz w:val="24"/>
              </w:rPr>
              <w:t>监测和视频监控设备，加强施工现场噪声、扬尘污染情况监测。施工现场接受建设主管部门的管理，杜绝散、乱、差，改善施工现场的作业环境。</w:t>
            </w:r>
          </w:p>
          <w:p w14:paraId="4DBD1BD3">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在施工中还要合理规划布局，及时绿化以减少地表的裸露程度，将建设地点用围栏与周围隔离起来，在营造良好景观效果的同时，可以减轻扬尘对周围环境的影响。</w:t>
            </w:r>
          </w:p>
          <w:p w14:paraId="19B2152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kern w:val="0"/>
                <w:sz w:val="24"/>
                <w:szCs w:val="24"/>
                <w:lang w:val="en-US" w:eastAsia="zh-CN"/>
              </w:rPr>
            </w:pPr>
            <w:r>
              <w:rPr>
                <w:rFonts w:hint="default" w:ascii="Times New Roman" w:hAnsi="Times New Roman" w:eastAsia="宋体" w:cs="Times New Roman"/>
                <w:b/>
                <w:bCs/>
                <w:color w:val="auto"/>
                <w:kern w:val="0"/>
                <w:sz w:val="24"/>
                <w:szCs w:val="24"/>
                <w:lang w:val="en-US" w:eastAsia="zh-CN"/>
              </w:rPr>
              <w:t>2、施工期废水</w:t>
            </w:r>
          </w:p>
          <w:p w14:paraId="7E4D9006">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w:t>
            </w:r>
            <w:r>
              <w:rPr>
                <w:rFonts w:hint="default" w:ascii="Times New Roman" w:hAnsi="Times New Roman" w:eastAsia="宋体" w:cs="Times New Roman"/>
                <w:color w:val="auto"/>
                <w:sz w:val="24"/>
                <w:lang w:val="en-US" w:eastAsia="zh-CN"/>
              </w:rPr>
              <w:t>不设施工</w:t>
            </w:r>
            <w:r>
              <w:rPr>
                <w:rFonts w:hint="default" w:ascii="Times New Roman" w:hAnsi="Times New Roman" w:eastAsia="宋体" w:cs="Times New Roman"/>
                <w:color w:val="auto"/>
                <w:sz w:val="24"/>
              </w:rPr>
              <w:t>营地</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施工人员不在施工场地就餐，施工场地</w:t>
            </w:r>
            <w:r>
              <w:rPr>
                <w:rFonts w:hint="eastAsia" w:ascii="Times New Roman" w:hAnsi="Times New Roman" w:eastAsia="宋体" w:cs="Times New Roman"/>
                <w:color w:val="auto"/>
                <w:sz w:val="24"/>
                <w:lang w:val="en-US" w:eastAsia="zh-CN"/>
              </w:rPr>
              <w:t>院区</w:t>
            </w:r>
            <w:r>
              <w:rPr>
                <w:rFonts w:hint="default" w:ascii="Times New Roman" w:hAnsi="Times New Roman" w:eastAsia="宋体" w:cs="Times New Roman"/>
                <w:color w:val="auto"/>
                <w:sz w:val="24"/>
                <w:lang w:val="en-US" w:eastAsia="zh-CN"/>
              </w:rPr>
              <w:t>有化粪池，废水</w:t>
            </w:r>
            <w:r>
              <w:rPr>
                <w:rFonts w:hint="eastAsia" w:ascii="Times New Roman" w:hAnsi="Times New Roman" w:eastAsia="宋体" w:cs="Times New Roman"/>
                <w:color w:val="auto"/>
                <w:sz w:val="24"/>
                <w:lang w:val="en-US" w:eastAsia="zh-CN"/>
              </w:rPr>
              <w:t>依托现有</w:t>
            </w:r>
            <w:r>
              <w:rPr>
                <w:rFonts w:hint="default" w:ascii="Times New Roman" w:hAnsi="Times New Roman" w:eastAsia="宋体" w:cs="Times New Roman"/>
                <w:color w:val="auto"/>
                <w:sz w:val="24"/>
                <w:lang w:val="en-US" w:eastAsia="zh-CN"/>
              </w:rPr>
              <w:t>化粪池处理后</w:t>
            </w:r>
            <w:r>
              <w:rPr>
                <w:rFonts w:hint="eastAsia" w:ascii="Times New Roman" w:hAnsi="Times New Roman" w:eastAsia="宋体" w:cs="Times New Roman"/>
                <w:color w:val="auto"/>
                <w:sz w:val="24"/>
                <w:lang w:val="en-US" w:eastAsia="zh-CN"/>
              </w:rPr>
              <w:t>排入潘集污水处理厂</w:t>
            </w:r>
            <w:r>
              <w:rPr>
                <w:rFonts w:hint="default"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rPr>
              <w:t>施工</w:t>
            </w:r>
            <w:r>
              <w:rPr>
                <w:rFonts w:hint="default" w:ascii="Times New Roman" w:hAnsi="Times New Roman" w:eastAsia="宋体" w:cs="Times New Roman"/>
                <w:color w:val="auto"/>
                <w:sz w:val="24"/>
                <w:lang w:val="en-US" w:eastAsia="zh-CN"/>
              </w:rPr>
              <w:t>过程由于清洗搅拌机和砼罐等施工设备产生的废水量较</w:t>
            </w:r>
            <w:r>
              <w:rPr>
                <w:rFonts w:hint="eastAsia" w:ascii="Times New Roman" w:hAnsi="Times New Roman" w:eastAsia="宋体" w:cs="Times New Roman"/>
                <w:color w:val="auto"/>
                <w:sz w:val="24"/>
                <w:lang w:val="en-US" w:eastAsia="zh-CN"/>
              </w:rPr>
              <w:t>少</w:t>
            </w:r>
            <w:r>
              <w:rPr>
                <w:rFonts w:hint="default" w:ascii="Times New Roman" w:hAnsi="Times New Roman" w:eastAsia="宋体" w:cs="Times New Roman"/>
                <w:color w:val="auto"/>
                <w:sz w:val="24"/>
                <w:lang w:val="en-US" w:eastAsia="zh-CN"/>
              </w:rPr>
              <w:t>，主要为泥沙，施工前建设沉淀池，生产废水经沉淀池沉淀后，回用于砼搅拌。</w:t>
            </w:r>
            <w:r>
              <w:rPr>
                <w:rFonts w:hint="default" w:ascii="Times New Roman" w:hAnsi="Times New Roman" w:eastAsia="宋体" w:cs="Times New Roman"/>
                <w:color w:val="auto"/>
                <w:sz w:val="24"/>
                <w:lang w:eastAsia="zh-CN"/>
              </w:rPr>
              <w:t>临时堆土场</w:t>
            </w:r>
            <w:r>
              <w:rPr>
                <w:rFonts w:hint="default" w:ascii="Times New Roman" w:hAnsi="Times New Roman" w:eastAsia="宋体" w:cs="Times New Roman"/>
                <w:color w:val="auto"/>
                <w:sz w:val="24"/>
              </w:rPr>
              <w:t>应采取覆盖防尘布网</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散料堆场四周用水泥砌块围出高50cm的防冲墙，防止散料被雨水冲刷</w:t>
            </w:r>
            <w:r>
              <w:rPr>
                <w:rFonts w:hint="default"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rPr>
              <w:t>四周同时设置排水沟，</w:t>
            </w:r>
            <w:r>
              <w:rPr>
                <w:rFonts w:hint="default" w:ascii="Times New Roman" w:hAnsi="Times New Roman" w:eastAsia="宋体" w:cs="Times New Roman"/>
                <w:color w:val="auto"/>
                <w:sz w:val="24"/>
                <w:lang w:val="en-US" w:eastAsia="zh-CN"/>
              </w:rPr>
              <w:t>雨天冲刷水进入沉淀池，</w:t>
            </w:r>
            <w:r>
              <w:rPr>
                <w:rFonts w:hint="default" w:ascii="Times New Roman" w:hAnsi="Times New Roman" w:eastAsia="宋体" w:cs="Times New Roman"/>
                <w:color w:val="auto"/>
                <w:sz w:val="24"/>
              </w:rPr>
              <w:t>冲洗车、混凝土养护水等不得随意漫流，</w:t>
            </w:r>
            <w:r>
              <w:rPr>
                <w:rFonts w:hint="default" w:ascii="Times New Roman" w:hAnsi="Times New Roman" w:eastAsia="宋体" w:cs="Times New Roman"/>
                <w:color w:val="auto"/>
                <w:sz w:val="24"/>
                <w:lang w:val="en-US" w:eastAsia="zh-CN"/>
              </w:rPr>
              <w:t>引入</w:t>
            </w:r>
            <w:r>
              <w:rPr>
                <w:rFonts w:hint="default" w:ascii="Times New Roman" w:hAnsi="Times New Roman" w:eastAsia="宋体" w:cs="Times New Roman"/>
                <w:color w:val="auto"/>
                <w:sz w:val="24"/>
              </w:rPr>
              <w:t>沉淀池，经沉淀后</w:t>
            </w:r>
            <w:r>
              <w:rPr>
                <w:rFonts w:hint="default" w:ascii="Times New Roman" w:hAnsi="Times New Roman" w:eastAsia="宋体" w:cs="Times New Roman"/>
                <w:color w:val="auto"/>
                <w:sz w:val="24"/>
                <w:lang w:val="en-US" w:eastAsia="zh-CN"/>
              </w:rPr>
              <w:t>用于场地洒水抑尘。沉淀池采取做地基防尘、防断裂、防渗漏处理措施，池体底部基础夯实，并且上铺500mm厚黏土夯实，然后再在池体底部及四周采用内衬1.0mm厚土工膜防渗，使渗透系数达到≤10</w:t>
            </w:r>
            <w:r>
              <w:rPr>
                <w:rFonts w:hint="default" w:ascii="Times New Roman" w:hAnsi="Times New Roman" w:eastAsia="宋体" w:cs="Times New Roman"/>
                <w:color w:val="auto"/>
                <w:sz w:val="24"/>
                <w:vertAlign w:val="superscript"/>
                <w:lang w:val="en-US" w:eastAsia="zh-CN"/>
              </w:rPr>
              <w:t>-7</w:t>
            </w:r>
            <w:r>
              <w:rPr>
                <w:rFonts w:hint="default" w:ascii="Times New Roman" w:hAnsi="Times New Roman" w:eastAsia="宋体" w:cs="Times New Roman"/>
                <w:color w:val="auto"/>
                <w:sz w:val="24"/>
                <w:lang w:val="en-US" w:eastAsia="zh-CN"/>
              </w:rPr>
              <w:t>cm/s，施工期废水</w:t>
            </w:r>
            <w:r>
              <w:rPr>
                <w:rFonts w:hint="default" w:ascii="Times New Roman" w:hAnsi="Times New Roman" w:eastAsia="宋体" w:cs="Times New Roman"/>
                <w:color w:val="auto"/>
                <w:sz w:val="24"/>
              </w:rPr>
              <w:t>不会对周围水环境产生不利影响。</w:t>
            </w:r>
          </w:p>
          <w:p w14:paraId="5F71A1C3">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本项目施工期排水量较小，排水水质简单，施工生产废水不外排，并且当施工活动结束后，污染源及其影响即随之消失。经采取以上措施后，项目施工期间废水不会对区域地表水造成影响。</w:t>
            </w:r>
          </w:p>
          <w:p w14:paraId="22890F7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kern w:val="0"/>
                <w:sz w:val="24"/>
                <w:szCs w:val="24"/>
                <w:lang w:val="en-US" w:eastAsia="zh-CN"/>
              </w:rPr>
            </w:pPr>
            <w:r>
              <w:rPr>
                <w:rFonts w:hint="default" w:ascii="Times New Roman" w:hAnsi="Times New Roman" w:eastAsia="宋体" w:cs="Times New Roman"/>
                <w:b/>
                <w:bCs/>
                <w:color w:val="auto"/>
                <w:kern w:val="0"/>
                <w:sz w:val="24"/>
                <w:szCs w:val="24"/>
                <w:lang w:val="en-US" w:eastAsia="zh-CN"/>
              </w:rPr>
              <w:t>3、施工期噪声</w:t>
            </w:r>
          </w:p>
          <w:p w14:paraId="0A78F28D">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施工期噪声主要来源于施工现场的各类机械设备运行产生的噪声和物料运输的交通噪声。为了尽量减少因本项目施工而给周围人们生活等活动带来的不利影响，建议采取以下控制措施：</w:t>
            </w:r>
          </w:p>
          <w:p w14:paraId="44354183">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1</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管理措施</w:t>
            </w:r>
          </w:p>
          <w:p w14:paraId="7555EDA1">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①</w:t>
            </w:r>
            <w:r>
              <w:rPr>
                <w:rFonts w:hint="default" w:ascii="Times New Roman" w:hAnsi="Times New Roman" w:eastAsia="宋体" w:cs="Times New Roman"/>
                <w:color w:val="auto"/>
                <w:sz w:val="24"/>
              </w:rPr>
              <w:t>设立环境管理监督小组，定期对施工人员进行环保法规和污染控制技术培训。</w:t>
            </w:r>
          </w:p>
          <w:p w14:paraId="00789B56">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②</w:t>
            </w:r>
            <w:r>
              <w:rPr>
                <w:rFonts w:hint="default" w:ascii="Times New Roman" w:hAnsi="Times New Roman" w:eastAsia="宋体" w:cs="Times New Roman"/>
                <w:color w:val="auto"/>
                <w:sz w:val="24"/>
              </w:rPr>
              <w:t>施工期间张贴公示，告知周围居民施工阶段的噪声影响，提醒附近居民自行采取一定隔音准备，关紧门窗。</w:t>
            </w:r>
          </w:p>
          <w:p w14:paraId="59DFBE43">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③</w:t>
            </w:r>
            <w:r>
              <w:rPr>
                <w:rFonts w:hint="default" w:ascii="Times New Roman" w:hAnsi="Times New Roman" w:eastAsia="宋体" w:cs="Times New Roman"/>
                <w:color w:val="auto"/>
                <w:sz w:val="24"/>
              </w:rPr>
              <w:t>施工过程中严格执行《建筑施工场界环境噪声排放标准》（GB12523-2011）有关规定，运输材料的车辆进入施工现场，严禁鸣笛，装卸材料应做到轻拿轻放。</w:t>
            </w:r>
          </w:p>
          <w:p w14:paraId="7998F283">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④</w:t>
            </w:r>
            <w:r>
              <w:rPr>
                <w:rFonts w:hint="default" w:ascii="Times New Roman" w:hAnsi="Times New Roman" w:eastAsia="宋体" w:cs="Times New Roman"/>
                <w:color w:val="auto"/>
                <w:sz w:val="24"/>
              </w:rPr>
              <w:t>合理安排施工时间，禁止夜间（当日22时至次日6时）施工作业。</w:t>
            </w:r>
          </w:p>
          <w:p w14:paraId="70D4CC0C">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2</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工程措施</w:t>
            </w:r>
          </w:p>
          <w:p w14:paraId="57FFEF0E">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①</w:t>
            </w:r>
            <w:r>
              <w:rPr>
                <w:rFonts w:hint="default" w:ascii="Times New Roman" w:hAnsi="Times New Roman" w:eastAsia="宋体" w:cs="Times New Roman"/>
                <w:color w:val="auto"/>
                <w:sz w:val="24"/>
              </w:rPr>
              <w:t>尽量选用低噪声机械设备，施工过程中应经常对设备进行维修保养，避免由于设备故障而导致噪声增强现象的发生。</w:t>
            </w:r>
          </w:p>
          <w:p w14:paraId="315DC548">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②</w:t>
            </w:r>
            <w:r>
              <w:rPr>
                <w:rFonts w:hint="default" w:ascii="Times New Roman" w:hAnsi="Times New Roman" w:eastAsia="宋体" w:cs="Times New Roman"/>
                <w:color w:val="auto"/>
                <w:sz w:val="24"/>
              </w:rPr>
              <w:t>优化施工方案，合理布置施工现场，高噪设备布置在距声环境敏感点较远的地方，同时尽量避免多台高噪音施工机械同时作业。</w:t>
            </w:r>
          </w:p>
          <w:p w14:paraId="0967368A">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③</w:t>
            </w:r>
            <w:r>
              <w:rPr>
                <w:rFonts w:hint="default" w:ascii="Times New Roman" w:hAnsi="Times New Roman" w:eastAsia="宋体" w:cs="Times New Roman"/>
                <w:color w:val="auto"/>
                <w:sz w:val="24"/>
              </w:rPr>
              <w:t>采用商品混凝土，</w:t>
            </w:r>
            <w:r>
              <w:rPr>
                <w:rFonts w:hint="eastAsia" w:ascii="Times New Roman" w:hAnsi="Times New Roman" w:eastAsia="宋体" w:cs="Times New Roman"/>
                <w:color w:val="auto"/>
                <w:sz w:val="24"/>
                <w:lang w:val="en-US" w:eastAsia="zh-CN"/>
              </w:rPr>
              <w:t>不在厂区进行</w:t>
            </w:r>
            <w:r>
              <w:rPr>
                <w:rFonts w:hint="default" w:ascii="Times New Roman" w:hAnsi="Times New Roman" w:eastAsia="宋体" w:cs="Times New Roman"/>
                <w:color w:val="auto"/>
                <w:sz w:val="24"/>
              </w:rPr>
              <w:t>混凝土搅拌</w:t>
            </w:r>
            <w:r>
              <w:rPr>
                <w:rFonts w:hint="eastAsia" w:ascii="Times New Roman" w:hAnsi="Times New Roman" w:eastAsia="宋体" w:cs="Times New Roman"/>
                <w:color w:val="auto"/>
                <w:sz w:val="24"/>
                <w:lang w:val="en-US" w:eastAsia="zh-CN"/>
              </w:rPr>
              <w:t>等</w:t>
            </w:r>
            <w:r>
              <w:rPr>
                <w:rFonts w:hint="default" w:ascii="Times New Roman" w:hAnsi="Times New Roman" w:eastAsia="宋体" w:cs="Times New Roman"/>
                <w:color w:val="auto"/>
                <w:sz w:val="24"/>
              </w:rPr>
              <w:t>。</w:t>
            </w:r>
          </w:p>
          <w:p w14:paraId="2B491E89">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④</w:t>
            </w:r>
            <w:r>
              <w:rPr>
                <w:rFonts w:hint="default" w:ascii="Times New Roman" w:hAnsi="Times New Roman" w:eastAsia="宋体" w:cs="Times New Roman"/>
                <w:color w:val="auto"/>
                <w:sz w:val="24"/>
              </w:rPr>
              <w:t>施工物料运输过程合理选择行车路线，</w:t>
            </w:r>
            <w:r>
              <w:rPr>
                <w:rFonts w:hint="eastAsia" w:ascii="Times New Roman" w:hAnsi="Times New Roman" w:eastAsia="宋体" w:cs="Times New Roman"/>
                <w:color w:val="auto"/>
                <w:sz w:val="24"/>
                <w:lang w:eastAsia="zh-CN"/>
              </w:rPr>
              <w:t>在途经</w:t>
            </w:r>
            <w:r>
              <w:rPr>
                <w:rFonts w:hint="default" w:ascii="Times New Roman" w:hAnsi="Times New Roman" w:eastAsia="宋体" w:cs="Times New Roman"/>
                <w:color w:val="auto"/>
                <w:sz w:val="24"/>
              </w:rPr>
              <w:t>居民集中区时，应减速慢行，禁止鸣笛。</w:t>
            </w:r>
          </w:p>
          <w:p w14:paraId="1F49D31D">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⑤</w:t>
            </w:r>
            <w:r>
              <w:rPr>
                <w:rFonts w:hint="default" w:ascii="Times New Roman" w:hAnsi="Times New Roman" w:eastAsia="宋体" w:cs="Times New Roman"/>
                <w:color w:val="auto"/>
                <w:sz w:val="24"/>
              </w:rPr>
              <w:t>在施工场地四周建设围墙，或在施工场地四周建立临时性移动隔声屏障，以减少对项目周边敏感点的影响。</w:t>
            </w:r>
          </w:p>
          <w:p w14:paraId="5A3D9711">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⑥</w:t>
            </w:r>
            <w:r>
              <w:rPr>
                <w:rFonts w:hint="default" w:ascii="Times New Roman" w:hAnsi="Times New Roman" w:eastAsia="宋体" w:cs="Times New Roman"/>
                <w:color w:val="auto"/>
                <w:sz w:val="24"/>
              </w:rPr>
              <w:t>除因施工工艺要求必须连续作业外，禁止夜间施工作业。项目如因工程需要确需进行夜间施工的，需向有关管理部门提出夜间施工申请，在获得夜间施工许可后，方可开展规定时间和区域内的夜间施工作业，并在施工前向附近居民公告施工时间。</w:t>
            </w:r>
          </w:p>
          <w:p w14:paraId="414C8BE3">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⑦</w:t>
            </w:r>
            <w:r>
              <w:rPr>
                <w:rFonts w:hint="default" w:ascii="Times New Roman" w:hAnsi="Times New Roman" w:eastAsia="宋体" w:cs="Times New Roman"/>
                <w:color w:val="auto"/>
                <w:sz w:val="24"/>
              </w:rPr>
              <w:t>加强施工期噪声监测，发现施工噪声超标并对附近居民点产生影响应及时采取有效的噪声污染防治措施。</w:t>
            </w:r>
          </w:p>
          <w:p w14:paraId="74D239BC">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kern w:val="0"/>
                <w:sz w:val="24"/>
                <w:szCs w:val="24"/>
                <w:lang w:val="en-US" w:eastAsia="zh-CN"/>
              </w:rPr>
            </w:pPr>
            <w:r>
              <w:rPr>
                <w:rFonts w:hint="default" w:ascii="Times New Roman" w:hAnsi="Times New Roman" w:eastAsia="宋体" w:cs="Times New Roman"/>
                <w:b/>
                <w:bCs/>
                <w:color w:val="auto"/>
                <w:kern w:val="0"/>
                <w:sz w:val="24"/>
                <w:szCs w:val="24"/>
                <w:lang w:val="en-US" w:eastAsia="zh-CN"/>
              </w:rPr>
              <w:t>4、施工期固废</w:t>
            </w:r>
          </w:p>
          <w:p w14:paraId="2B01B924">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施工期主要固废为施工人员的生活垃圾、施工废料。</w:t>
            </w:r>
          </w:p>
          <w:p w14:paraId="3762CF89">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1）</w:t>
            </w:r>
            <w:r>
              <w:rPr>
                <w:rFonts w:hint="default" w:ascii="Times New Roman" w:hAnsi="Times New Roman" w:eastAsia="宋体" w:cs="Times New Roman"/>
                <w:color w:val="auto"/>
                <w:sz w:val="24"/>
              </w:rPr>
              <w:t>施工人员生活垃圾</w:t>
            </w:r>
          </w:p>
          <w:p w14:paraId="42793C06">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bookmarkStart w:id="5" w:name="_Toc163553459"/>
            <w:bookmarkStart w:id="6" w:name="_Toc307908827"/>
            <w:bookmarkStart w:id="7" w:name="_Toc163553673"/>
            <w:r>
              <w:rPr>
                <w:rFonts w:hint="default" w:ascii="Times New Roman" w:hAnsi="Times New Roman" w:eastAsia="宋体" w:cs="Times New Roman"/>
                <w:color w:val="auto"/>
                <w:sz w:val="24"/>
              </w:rPr>
              <w:t>施工人员的生活垃圾每人每天按0.5kg计算，施工人员以</w:t>
            </w:r>
            <w:r>
              <w:rPr>
                <w:rFonts w:hint="eastAsia" w:ascii="Times New Roman" w:hAnsi="Times New Roman" w:eastAsia="宋体" w:cs="Times New Roman"/>
                <w:color w:val="auto"/>
                <w:sz w:val="24"/>
                <w:lang w:val="en-US" w:eastAsia="zh-CN"/>
              </w:rPr>
              <w:t>4</w:t>
            </w:r>
            <w:r>
              <w:rPr>
                <w:rFonts w:hint="default" w:ascii="Times New Roman" w:hAnsi="Times New Roman" w:eastAsia="宋体" w:cs="Times New Roman"/>
                <w:color w:val="auto"/>
                <w:sz w:val="24"/>
              </w:rPr>
              <w:t>0</w:t>
            </w:r>
            <w:r>
              <w:rPr>
                <w:rFonts w:hint="default" w:ascii="Times New Roman" w:hAnsi="Times New Roman" w:eastAsia="宋体" w:cs="Times New Roman"/>
                <w:color w:val="auto"/>
                <w:sz w:val="24"/>
                <w:lang w:val="en-US" w:eastAsia="zh-CN"/>
              </w:rPr>
              <w:t>人</w:t>
            </w:r>
            <w:r>
              <w:rPr>
                <w:rFonts w:hint="default" w:ascii="Times New Roman" w:hAnsi="Times New Roman" w:eastAsia="宋体" w:cs="Times New Roman"/>
                <w:color w:val="auto"/>
                <w:sz w:val="24"/>
              </w:rPr>
              <w:t>计，则日产生垃圾0.0</w:t>
            </w:r>
            <w:r>
              <w:rPr>
                <w:rFonts w:hint="eastAsia"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rPr>
              <w:t>吨，</w:t>
            </w:r>
            <w:r>
              <w:rPr>
                <w:rFonts w:hint="default" w:ascii="Times New Roman" w:hAnsi="Times New Roman" w:eastAsia="宋体" w:cs="Times New Roman"/>
                <w:color w:val="auto"/>
                <w:sz w:val="24"/>
                <w:lang w:val="en-US" w:eastAsia="zh-CN"/>
              </w:rPr>
              <w:t>现场设置密闭垃圾桶，</w:t>
            </w:r>
            <w:r>
              <w:rPr>
                <w:rFonts w:hint="default" w:ascii="Times New Roman" w:hAnsi="Times New Roman" w:eastAsia="宋体" w:cs="Times New Roman"/>
                <w:color w:val="auto"/>
                <w:sz w:val="24"/>
                <w:lang w:eastAsia="zh-CN"/>
              </w:rPr>
              <w:t>施工单位应与当地环卫部门联系，及时处置施工现场生活垃圾，</w:t>
            </w:r>
            <w:r>
              <w:rPr>
                <w:rFonts w:hint="default" w:ascii="Times New Roman" w:hAnsi="Times New Roman" w:eastAsia="宋体" w:cs="Times New Roman"/>
                <w:color w:val="auto"/>
                <w:sz w:val="24"/>
                <w:lang w:val="en-US" w:eastAsia="zh-CN"/>
              </w:rPr>
              <w:t>日产日清，不在施工场地内堆存</w:t>
            </w:r>
            <w:r>
              <w:rPr>
                <w:rFonts w:hint="default" w:ascii="Times New Roman" w:hAnsi="Times New Roman" w:eastAsia="宋体" w:cs="Times New Roman"/>
                <w:color w:val="auto"/>
                <w:sz w:val="24"/>
              </w:rPr>
              <w:t>。</w:t>
            </w:r>
          </w:p>
          <w:p w14:paraId="7DD81450">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rPr>
              <w:t>施工废料</w:t>
            </w:r>
          </w:p>
          <w:p w14:paraId="4EDB2250">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施工废料主要为砂土、石块、钢结构件、装修过程中产生的板材等，其中钢结构件、废板材等可外售给废品回收站；沙土、石块等回收利用作厂区内道路建设；剩下部分建筑物垃圾经收集后送至附近的垃圾收集点，由环卫部门统一处理。因此，施工期固废对环境影响很小。</w:t>
            </w:r>
          </w:p>
          <w:bookmarkEnd w:id="5"/>
          <w:bookmarkEnd w:id="6"/>
          <w:bookmarkEnd w:id="7"/>
          <w:p w14:paraId="3A3B68A2">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施工现场产生的固体废物以建筑垃圾为主。大量的建筑垃圾及弃土的堆放不仅影响城市景观，而且还容易引起扬尘等环境问题，为避免这些问题的出现，对施工中产生的固体废物必须及时处理。施工期的建筑垃圾应随时外运，运至建筑垃圾填埋场统一处理或用于筑路、填坑。本项目的弃土拟与挖方一样，由施工单位或承建单位和市容局渣土办联系外运。</w:t>
            </w:r>
          </w:p>
          <w:p w14:paraId="78F80971">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施工期的施工人员生活垃圾量很少，主要为工人用餐后的废弃饭盒、塑料袋等，如不及时清理，在气温适宜的条件下会滋生蚊虫、产生恶臭、传播疾病。本项目场地放置带盖垃圾桶，垃圾日产日清，收集的生活垃圾交由市政部门统一收集处理。可以消除其影响。禁止向附近河道水系倾倒建筑垃圾及生活垃圾。</w:t>
            </w:r>
          </w:p>
          <w:p w14:paraId="2ECC2AEA">
            <w:pPr>
              <w:keepNext w:val="0"/>
              <w:keepLines w:val="0"/>
              <w:suppressLineNumbers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sz w:val="24"/>
              </w:rPr>
              <w:t>随着施工的结束，上述影响将停止</w:t>
            </w:r>
            <w:r>
              <w:rPr>
                <w:rFonts w:hint="eastAsia" w:ascii="Times New Roman" w:hAnsi="Times New Roman" w:eastAsia="宋体" w:cs="Times New Roman"/>
                <w:color w:val="auto"/>
                <w:sz w:val="24"/>
              </w:rPr>
              <w:t>。</w:t>
            </w:r>
          </w:p>
        </w:tc>
      </w:tr>
      <w:tr w14:paraId="78B5F3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31" w:hRule="atLeast"/>
          <w:jc w:val="center"/>
        </w:trPr>
        <w:tc>
          <w:tcPr>
            <w:tcW w:w="253" w:type="pct"/>
            <w:noWrap w:val="0"/>
            <w:tcMar>
              <w:left w:w="28" w:type="dxa"/>
              <w:right w:w="28" w:type="dxa"/>
            </w:tcMar>
            <w:vAlign w:val="center"/>
          </w:tcPr>
          <w:p w14:paraId="3C1E53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auto"/>
                <w:sz w:val="24"/>
                <w:szCs w:val="32"/>
              </w:rPr>
            </w:pPr>
            <w:r>
              <w:rPr>
                <w:rFonts w:hint="default" w:ascii="Times New Roman" w:hAnsi="Times New Roman" w:cs="Times New Roman"/>
                <w:b/>
                <w:bCs/>
                <w:color w:val="auto"/>
                <w:sz w:val="24"/>
                <w:szCs w:val="32"/>
              </w:rPr>
              <w:t>运营期环境影响和保护措施</w:t>
            </w:r>
          </w:p>
        </w:tc>
        <w:tc>
          <w:tcPr>
            <w:tcW w:w="4746" w:type="pct"/>
            <w:noWrap w:val="0"/>
            <w:vAlign w:val="center"/>
          </w:tcPr>
          <w:p w14:paraId="1FDA5CE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cs="Times New Roman"/>
                <w:b/>
                <w:bCs/>
                <w:color w:val="auto"/>
                <w:kern w:val="0"/>
                <w:sz w:val="24"/>
                <w:szCs w:val="24"/>
              </w:rPr>
            </w:pPr>
            <w:r>
              <w:rPr>
                <w:rFonts w:hint="default" w:ascii="Times New Roman" w:hAnsi="Times New Roman" w:cs="Times New Roman"/>
                <w:b/>
                <w:bCs/>
                <w:color w:val="auto"/>
                <w:kern w:val="0"/>
                <w:sz w:val="24"/>
                <w:szCs w:val="24"/>
              </w:rPr>
              <w:t>一、营运期大气污染源分析</w:t>
            </w:r>
          </w:p>
          <w:p w14:paraId="5D68BEF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cs="Times New Roman"/>
                <w:bCs/>
                <w:color w:val="auto"/>
                <w:sz w:val="24"/>
              </w:rPr>
            </w:pPr>
            <w:r>
              <w:rPr>
                <w:rFonts w:hint="eastAsia" w:cs="Times New Roman"/>
                <w:b/>
                <w:bCs/>
                <w:color w:val="auto"/>
                <w:kern w:val="0"/>
                <w:sz w:val="24"/>
                <w:szCs w:val="24"/>
                <w:lang w:val="en-US" w:eastAsia="zh-CN"/>
              </w:rPr>
              <w:t>1、产污环节及污染物产生量</w:t>
            </w:r>
          </w:p>
          <w:p w14:paraId="0589CB1A">
            <w:pPr>
              <w:pStyle w:val="23"/>
              <w:keepNext w:val="0"/>
              <w:keepLines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kern w:val="2"/>
                <w:sz w:val="24"/>
                <w:szCs w:val="24"/>
                <w:lang w:val="en-US" w:eastAsia="zh-CN" w:bidi="ar"/>
              </w:rPr>
              <w:t>（</w:t>
            </w:r>
            <w:r>
              <w:rPr>
                <w:rFonts w:hint="eastAsia" w:ascii="Times New Roman" w:hAnsi="Times New Roman" w:cs="Times New Roman"/>
                <w:color w:val="auto"/>
                <w:kern w:val="2"/>
                <w:sz w:val="24"/>
                <w:szCs w:val="24"/>
                <w:lang w:val="en-US" w:eastAsia="zh-CN" w:bidi="ar"/>
              </w:rPr>
              <w:t>1</w:t>
            </w:r>
            <w:r>
              <w:rPr>
                <w:rFonts w:hint="default" w:ascii="Times New Roman" w:hAnsi="Times New Roman" w:eastAsia="宋体" w:cs="Times New Roman"/>
                <w:color w:val="auto"/>
                <w:kern w:val="2"/>
                <w:sz w:val="24"/>
                <w:szCs w:val="24"/>
                <w:lang w:val="en-US" w:eastAsia="zh-CN" w:bidi="ar"/>
              </w:rPr>
              <w:t>）</w:t>
            </w:r>
            <w:r>
              <w:rPr>
                <w:rFonts w:hint="eastAsia" w:ascii="Times New Roman" w:hAnsi="Times New Roman" w:cs="Times New Roman"/>
                <w:color w:val="auto"/>
                <w:kern w:val="2"/>
                <w:sz w:val="24"/>
                <w:szCs w:val="24"/>
                <w:lang w:val="en-US" w:eastAsia="zh-CN" w:bidi="ar"/>
              </w:rPr>
              <w:t>消毒液异味</w:t>
            </w:r>
          </w:p>
          <w:p w14:paraId="60C8485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kern w:val="0"/>
                <w:sz w:val="24"/>
                <w:szCs w:val="20"/>
                <w:lang w:val="en-US" w:eastAsia="zh-CN" w:bidi="ar-SA"/>
              </w:rPr>
            </w:pPr>
            <w:r>
              <w:rPr>
                <w:rFonts w:hint="eastAsia" w:ascii="Times New Roman" w:hAnsi="Times New Roman" w:eastAsia="宋体" w:cs="Times New Roman"/>
                <w:kern w:val="0"/>
                <w:sz w:val="24"/>
                <w:szCs w:val="20"/>
                <w:lang w:val="en-US" w:eastAsia="zh-CN" w:bidi="ar-SA"/>
              </w:rPr>
              <w:t>院区各诊室定期消毒产生的消毒液异味通过开窗通风的方式无组织排放，以臭气浓度为评价因子，不定量核算</w:t>
            </w:r>
            <w:r>
              <w:rPr>
                <w:rFonts w:hint="default" w:ascii="Times New Roman" w:hAnsi="Times New Roman" w:eastAsia="宋体" w:cs="Times New Roman"/>
                <w:kern w:val="0"/>
                <w:sz w:val="24"/>
                <w:szCs w:val="20"/>
                <w:lang w:val="en-US" w:eastAsia="zh-CN" w:bidi="ar-SA"/>
              </w:rPr>
              <w:t>。</w:t>
            </w:r>
          </w:p>
          <w:p w14:paraId="54F0AB8A">
            <w:pPr>
              <w:pStyle w:val="23"/>
              <w:keepNext w:val="0"/>
              <w:keepLines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
              </w:rPr>
            </w:pPr>
            <w:r>
              <w:rPr>
                <w:rFonts w:hint="eastAsia" w:ascii="Times New Roman" w:hAnsi="Times New Roman" w:cs="Times New Roman"/>
                <w:color w:val="auto"/>
                <w:kern w:val="2"/>
                <w:sz w:val="24"/>
                <w:szCs w:val="24"/>
                <w:lang w:val="en-US" w:eastAsia="zh-CN" w:bidi="ar"/>
              </w:rPr>
              <w:t>（2）污水处理站臭气</w:t>
            </w:r>
          </w:p>
          <w:p w14:paraId="19801FC4">
            <w:pPr>
              <w:pStyle w:val="121"/>
              <w:bidi w:val="0"/>
              <w:rPr>
                <w:rFonts w:hint="default"/>
                <w:color w:val="auto"/>
                <w:highlight w:val="none"/>
                <w:lang w:val="en-US" w:eastAsia="zh-CN"/>
              </w:rPr>
            </w:pPr>
            <w:r>
              <w:rPr>
                <w:rFonts w:hint="eastAsia"/>
                <w:color w:val="auto"/>
                <w:highlight w:val="none"/>
                <w:lang w:val="en-US" w:eastAsia="zh-CN"/>
              </w:rPr>
              <w:t>污水处理站废水处理过程中会有少量恶臭废气产生，产生的臭气主要为</w:t>
            </w:r>
            <w:r>
              <w:rPr>
                <w:rFonts w:hint="eastAsia" w:ascii="Times New Roman" w:hAnsi="Times New Roman" w:eastAsia="宋体" w:cs="Times New Roman"/>
                <w:kern w:val="2"/>
                <w:sz w:val="24"/>
                <w:szCs w:val="24"/>
                <w:lang w:val="en-US" w:eastAsia="zh-CN"/>
              </w:rPr>
              <w:t>NH</w:t>
            </w:r>
            <w:r>
              <w:rPr>
                <w:rFonts w:hint="eastAsia" w:ascii="Times New Roman" w:hAnsi="Times New Roman" w:eastAsia="宋体" w:cs="Times New Roman"/>
                <w:kern w:val="2"/>
                <w:sz w:val="24"/>
                <w:szCs w:val="24"/>
                <w:vertAlign w:val="subscript"/>
                <w:lang w:val="en-US" w:eastAsia="zh-CN"/>
              </w:rPr>
              <w:t>3</w:t>
            </w:r>
            <w:r>
              <w:rPr>
                <w:rFonts w:hint="eastAsia" w:ascii="Times New Roman" w:hAnsi="Times New Roman" w:eastAsia="宋体" w:cs="Times New Roman"/>
                <w:kern w:val="2"/>
                <w:sz w:val="24"/>
                <w:szCs w:val="24"/>
                <w:lang w:val="en-US" w:eastAsia="zh-CN"/>
              </w:rPr>
              <w:t>、H</w:t>
            </w:r>
            <w:r>
              <w:rPr>
                <w:rFonts w:hint="eastAsia" w:ascii="Times New Roman" w:hAnsi="Times New Roman" w:eastAsia="宋体" w:cs="Times New Roman"/>
                <w:kern w:val="2"/>
                <w:sz w:val="24"/>
                <w:szCs w:val="24"/>
                <w:vertAlign w:val="subscript"/>
                <w:lang w:val="en-US" w:eastAsia="zh-CN"/>
              </w:rPr>
              <w:t>2</w:t>
            </w:r>
            <w:r>
              <w:rPr>
                <w:rFonts w:hint="eastAsia" w:ascii="Times New Roman" w:hAnsi="Times New Roman" w:eastAsia="宋体" w:cs="Times New Roman"/>
                <w:kern w:val="2"/>
                <w:sz w:val="24"/>
                <w:szCs w:val="24"/>
                <w:lang w:val="en-US" w:eastAsia="zh-CN"/>
              </w:rPr>
              <w:t>S</w:t>
            </w:r>
            <w:r>
              <w:rPr>
                <w:rFonts w:hint="eastAsia"/>
                <w:color w:val="auto"/>
                <w:highlight w:val="none"/>
                <w:lang w:val="en-US" w:eastAsia="zh-CN"/>
              </w:rPr>
              <w:t>。根据美国EPA对城市污水处理厂恶臭污染物产生情况的研究，按每处理1g的BOD产生0.0031g的NH</w:t>
            </w:r>
            <w:r>
              <w:rPr>
                <w:rFonts w:hint="eastAsia"/>
                <w:color w:val="auto"/>
                <w:highlight w:val="none"/>
                <w:vertAlign w:val="subscript"/>
                <w:lang w:val="en-US" w:eastAsia="zh-CN"/>
              </w:rPr>
              <w:t>3</w:t>
            </w:r>
            <w:r>
              <w:rPr>
                <w:rFonts w:hint="eastAsia"/>
                <w:color w:val="auto"/>
                <w:highlight w:val="none"/>
                <w:lang w:val="en-US" w:eastAsia="zh-CN"/>
              </w:rPr>
              <w:t>和0.00012g的H</w:t>
            </w:r>
            <w:r>
              <w:rPr>
                <w:rFonts w:hint="eastAsia"/>
                <w:color w:val="auto"/>
                <w:highlight w:val="none"/>
                <w:vertAlign w:val="subscript"/>
                <w:lang w:val="en-US" w:eastAsia="zh-CN"/>
              </w:rPr>
              <w:t>2</w:t>
            </w:r>
            <w:r>
              <w:rPr>
                <w:rFonts w:hint="eastAsia"/>
                <w:color w:val="auto"/>
                <w:highlight w:val="none"/>
                <w:lang w:val="en-US" w:eastAsia="zh-CN"/>
              </w:rPr>
              <w:t>S进行估算，根据下文“废水产排放分析”内容可知，院区污水处理站处理废水中的BOD</w:t>
            </w:r>
            <w:r>
              <w:rPr>
                <w:rFonts w:hint="eastAsia"/>
                <w:color w:val="auto"/>
                <w:highlight w:val="none"/>
                <w:vertAlign w:val="subscript"/>
                <w:lang w:val="en-US" w:eastAsia="zh-CN"/>
              </w:rPr>
              <w:t>5</w:t>
            </w:r>
            <w:r>
              <w:rPr>
                <w:rFonts w:hint="eastAsia"/>
                <w:color w:val="auto"/>
                <w:highlight w:val="none"/>
                <w:lang w:val="en-US" w:eastAsia="zh-CN"/>
              </w:rPr>
              <w:t>的量为1.633t/a。则污水处理站废气产生情况如下：</w:t>
            </w:r>
          </w:p>
          <w:p w14:paraId="79BB02F3">
            <w:pPr>
              <w:pStyle w:val="125"/>
              <w:keepNext w:val="0"/>
              <w:keepLines w:val="0"/>
              <w:pageBreakBefore w:val="0"/>
              <w:widowControl/>
              <w:numPr>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lang w:val="en-US" w:eastAsia="zh-CN" w:bidi="ar-SA"/>
              </w:rPr>
              <w:t>表4-1  污水处理站废气产生情况一览表</w:t>
            </w:r>
          </w:p>
          <w:tbl>
            <w:tblPr>
              <w:tblStyle w:val="27"/>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2707"/>
              <w:gridCol w:w="1553"/>
              <w:gridCol w:w="2110"/>
              <w:gridCol w:w="2197"/>
            </w:tblGrid>
            <w:tr w14:paraId="51080D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1580" w:type="pct"/>
                  <w:vMerge w:val="restart"/>
                  <w:tcBorders>
                    <w:top w:val="single" w:color="auto" w:sz="4" w:space="0"/>
                    <w:bottom w:val="single" w:color="auto" w:sz="4" w:space="0"/>
                    <w:right w:val="single" w:color="auto" w:sz="4" w:space="0"/>
                    <w:tl2br w:val="nil"/>
                    <w:tr2bl w:val="nil"/>
                  </w:tcBorders>
                  <w:shd w:val="clear" w:color="auto" w:fill="auto"/>
                  <w:vAlign w:val="center"/>
                </w:tcPr>
                <w:p w14:paraId="423F13B2">
                  <w:pPr>
                    <w:pStyle w:val="120"/>
                    <w:bidi w:val="0"/>
                    <w:rPr>
                      <w:b/>
                      <w:bCs/>
                      <w:color w:val="auto"/>
                      <w:sz w:val="21"/>
                      <w:szCs w:val="21"/>
                      <w:highlight w:val="none"/>
                    </w:rPr>
                  </w:pPr>
                  <w:r>
                    <w:rPr>
                      <w:rFonts w:hint="eastAsia"/>
                      <w:b/>
                      <w:bCs/>
                      <w:color w:val="auto"/>
                      <w:sz w:val="21"/>
                      <w:szCs w:val="21"/>
                      <w:highlight w:val="none"/>
                      <w:lang w:val="en-US" w:eastAsia="zh-CN"/>
                    </w:rPr>
                    <w:t>污</w:t>
                  </w:r>
                  <w:r>
                    <w:rPr>
                      <w:b/>
                      <w:bCs/>
                      <w:color w:val="auto"/>
                      <w:sz w:val="21"/>
                      <w:szCs w:val="21"/>
                      <w:highlight w:val="none"/>
                      <w:lang w:val="en-US" w:eastAsia="zh-CN"/>
                    </w:rPr>
                    <w:t>染源</w:t>
                  </w:r>
                </w:p>
              </w:tc>
              <w:tc>
                <w:tcPr>
                  <w:tcW w:w="906" w:type="pct"/>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7D36FB5">
                  <w:pPr>
                    <w:pStyle w:val="120"/>
                    <w:bidi w:val="0"/>
                    <w:rPr>
                      <w:b/>
                      <w:bCs/>
                      <w:color w:val="auto"/>
                      <w:sz w:val="21"/>
                      <w:szCs w:val="21"/>
                      <w:highlight w:val="none"/>
                    </w:rPr>
                  </w:pPr>
                  <w:r>
                    <w:rPr>
                      <w:rFonts w:hint="eastAsia"/>
                      <w:b/>
                      <w:bCs/>
                      <w:color w:val="auto"/>
                      <w:sz w:val="21"/>
                      <w:szCs w:val="21"/>
                      <w:highlight w:val="none"/>
                      <w:lang w:val="en-US" w:eastAsia="zh-CN"/>
                    </w:rPr>
                    <w:t>污</w:t>
                  </w:r>
                  <w:r>
                    <w:rPr>
                      <w:b/>
                      <w:bCs/>
                      <w:color w:val="auto"/>
                      <w:sz w:val="21"/>
                      <w:szCs w:val="21"/>
                      <w:highlight w:val="none"/>
                      <w:lang w:val="en-US" w:eastAsia="zh-CN"/>
                    </w:rPr>
                    <w:t>染物</w:t>
                  </w:r>
                </w:p>
              </w:tc>
              <w:tc>
                <w:tcPr>
                  <w:tcW w:w="2513" w:type="pct"/>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AD8A27B">
                  <w:pPr>
                    <w:pStyle w:val="120"/>
                    <w:bidi w:val="0"/>
                    <w:rPr>
                      <w:b/>
                      <w:bCs/>
                      <w:color w:val="auto"/>
                      <w:sz w:val="21"/>
                      <w:szCs w:val="21"/>
                      <w:highlight w:val="none"/>
                    </w:rPr>
                  </w:pPr>
                  <w:r>
                    <w:rPr>
                      <w:b/>
                      <w:bCs/>
                      <w:color w:val="auto"/>
                      <w:sz w:val="21"/>
                      <w:szCs w:val="21"/>
                      <w:highlight w:val="none"/>
                      <w:lang w:val="en-US" w:eastAsia="zh-CN"/>
                    </w:rPr>
                    <w:t>产生情况</w:t>
                  </w:r>
                </w:p>
              </w:tc>
            </w:tr>
            <w:tr w14:paraId="155AABF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1580"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0DAA69C">
                  <w:pPr>
                    <w:pStyle w:val="120"/>
                    <w:bidi w:val="0"/>
                    <w:rPr>
                      <w:rFonts w:hint="eastAsia"/>
                      <w:b/>
                      <w:bCs/>
                      <w:color w:val="auto"/>
                      <w:sz w:val="21"/>
                      <w:szCs w:val="21"/>
                      <w:highlight w:val="none"/>
                    </w:rPr>
                  </w:pPr>
                </w:p>
              </w:tc>
              <w:tc>
                <w:tcPr>
                  <w:tcW w:w="906"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245BE23">
                  <w:pPr>
                    <w:pStyle w:val="120"/>
                    <w:bidi w:val="0"/>
                    <w:rPr>
                      <w:rFonts w:hint="eastAsia"/>
                      <w:b/>
                      <w:bCs/>
                      <w:color w:val="auto"/>
                      <w:sz w:val="21"/>
                      <w:szCs w:val="21"/>
                      <w:highlight w:val="none"/>
                    </w:rPr>
                  </w:pPr>
                </w:p>
              </w:tc>
              <w:tc>
                <w:tcPr>
                  <w:tcW w:w="12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9BF5783">
                  <w:pPr>
                    <w:pStyle w:val="120"/>
                    <w:bidi w:val="0"/>
                    <w:rPr>
                      <w:b/>
                      <w:bCs/>
                      <w:color w:val="auto"/>
                      <w:sz w:val="21"/>
                      <w:szCs w:val="21"/>
                      <w:highlight w:val="none"/>
                    </w:rPr>
                  </w:pPr>
                  <w:r>
                    <w:rPr>
                      <w:rFonts w:hint="eastAsia"/>
                      <w:b/>
                      <w:bCs/>
                      <w:color w:val="auto"/>
                      <w:sz w:val="21"/>
                      <w:szCs w:val="21"/>
                      <w:highlight w:val="none"/>
                      <w:lang w:val="en-US" w:eastAsia="zh-CN"/>
                    </w:rPr>
                    <w:t>速率</w:t>
                  </w:r>
                  <w:r>
                    <w:rPr>
                      <w:b/>
                      <w:bCs/>
                      <w:color w:val="auto"/>
                      <w:sz w:val="21"/>
                      <w:szCs w:val="21"/>
                      <w:highlight w:val="none"/>
                      <w:lang w:val="en-US" w:eastAsia="zh-CN"/>
                    </w:rPr>
                    <w:t>(kg</w:t>
                  </w:r>
                  <w:r>
                    <w:rPr>
                      <w:rFonts w:hint="eastAsia"/>
                      <w:b/>
                      <w:bCs/>
                      <w:color w:val="auto"/>
                      <w:sz w:val="21"/>
                      <w:szCs w:val="21"/>
                      <w:highlight w:val="none"/>
                      <w:lang w:val="en-US" w:eastAsia="zh-CN"/>
                    </w:rPr>
                    <w:t>/</w:t>
                  </w:r>
                  <w:r>
                    <w:rPr>
                      <w:b/>
                      <w:bCs/>
                      <w:color w:val="auto"/>
                      <w:sz w:val="21"/>
                      <w:szCs w:val="21"/>
                      <w:highlight w:val="none"/>
                      <w:lang w:val="en-US" w:eastAsia="zh-CN"/>
                    </w:rPr>
                    <w:t>h)</w:t>
                  </w:r>
                </w:p>
              </w:tc>
              <w:tc>
                <w:tcPr>
                  <w:tcW w:w="128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6243874">
                  <w:pPr>
                    <w:pStyle w:val="120"/>
                    <w:bidi w:val="0"/>
                    <w:rPr>
                      <w:b/>
                      <w:bCs/>
                      <w:color w:val="auto"/>
                      <w:sz w:val="21"/>
                      <w:szCs w:val="21"/>
                      <w:highlight w:val="none"/>
                    </w:rPr>
                  </w:pPr>
                  <w:r>
                    <w:rPr>
                      <w:b/>
                      <w:bCs/>
                      <w:color w:val="auto"/>
                      <w:sz w:val="21"/>
                      <w:szCs w:val="21"/>
                      <w:highlight w:val="none"/>
                      <w:lang w:val="en-US" w:eastAsia="zh-CN"/>
                    </w:rPr>
                    <w:t>产生量(t/a)</w:t>
                  </w:r>
                </w:p>
              </w:tc>
            </w:tr>
            <w:tr w14:paraId="6C9D6A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1580" w:type="pct"/>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6F9C6BE">
                  <w:pPr>
                    <w:pStyle w:val="120"/>
                    <w:bidi w:val="0"/>
                    <w:rPr>
                      <w:rFonts w:hint="default"/>
                      <w:color w:val="auto"/>
                      <w:sz w:val="21"/>
                      <w:szCs w:val="21"/>
                      <w:highlight w:val="none"/>
                      <w:lang w:val="en-US" w:eastAsia="zh-CN"/>
                    </w:rPr>
                  </w:pPr>
                  <w:r>
                    <w:rPr>
                      <w:rFonts w:hint="eastAsia"/>
                      <w:color w:val="auto"/>
                      <w:sz w:val="21"/>
                      <w:szCs w:val="21"/>
                      <w:highlight w:val="none"/>
                      <w:lang w:val="en-US" w:eastAsia="zh-CN"/>
                    </w:rPr>
                    <w:t>废水处理设施</w:t>
                  </w:r>
                </w:p>
              </w:tc>
              <w:tc>
                <w:tcPr>
                  <w:tcW w:w="906"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2EEE71C">
                  <w:pPr>
                    <w:pStyle w:val="120"/>
                    <w:bidi w:val="0"/>
                    <w:rPr>
                      <w:rFonts w:hint="default"/>
                      <w:color w:val="auto"/>
                      <w:sz w:val="21"/>
                      <w:szCs w:val="21"/>
                      <w:highlight w:val="none"/>
                      <w:lang w:val="en-US"/>
                    </w:rPr>
                  </w:pPr>
                  <w:r>
                    <w:rPr>
                      <w:color w:val="auto"/>
                      <w:sz w:val="21"/>
                      <w:szCs w:val="21"/>
                      <w:highlight w:val="none"/>
                      <w:lang w:val="en-US" w:eastAsia="zh-CN"/>
                    </w:rPr>
                    <w:t>NH</w:t>
                  </w:r>
                  <w:r>
                    <w:rPr>
                      <w:rFonts w:hint="eastAsia"/>
                      <w:color w:val="auto"/>
                      <w:sz w:val="21"/>
                      <w:szCs w:val="21"/>
                      <w:highlight w:val="none"/>
                      <w:vertAlign w:val="subscript"/>
                      <w:lang w:val="en-US" w:eastAsia="zh-CN"/>
                    </w:rPr>
                    <w:t>3</w:t>
                  </w:r>
                </w:p>
              </w:tc>
              <w:tc>
                <w:tcPr>
                  <w:tcW w:w="192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C90052B">
                  <w:pPr>
                    <w:pStyle w:val="120"/>
                    <w:bidi w:val="0"/>
                    <w:rPr>
                      <w:rFonts w:hint="default"/>
                      <w:color w:val="auto"/>
                      <w:sz w:val="21"/>
                      <w:szCs w:val="21"/>
                      <w:lang w:val="en-US"/>
                    </w:rPr>
                  </w:pPr>
                  <w:r>
                    <w:rPr>
                      <w:rFonts w:hint="default"/>
                      <w:color w:val="auto"/>
                      <w:sz w:val="21"/>
                      <w:szCs w:val="21"/>
                      <w:lang w:val="en-US" w:eastAsia="zh-CN"/>
                    </w:rPr>
                    <w:t>0.00</w:t>
                  </w:r>
                  <w:r>
                    <w:rPr>
                      <w:rFonts w:hint="eastAsia"/>
                      <w:color w:val="auto"/>
                      <w:sz w:val="21"/>
                      <w:szCs w:val="21"/>
                      <w:lang w:val="en-US" w:eastAsia="zh-CN"/>
                    </w:rPr>
                    <w:t>0582</w:t>
                  </w:r>
                </w:p>
              </w:tc>
              <w:tc>
                <w:tcPr>
                  <w:tcW w:w="200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868401D">
                  <w:pPr>
                    <w:pStyle w:val="120"/>
                    <w:bidi w:val="0"/>
                    <w:rPr>
                      <w:rFonts w:hint="default"/>
                      <w:color w:val="auto"/>
                      <w:sz w:val="21"/>
                      <w:szCs w:val="21"/>
                      <w:lang w:val="en-US"/>
                    </w:rPr>
                  </w:pPr>
                  <w:r>
                    <w:rPr>
                      <w:rFonts w:hint="default"/>
                      <w:color w:val="auto"/>
                      <w:sz w:val="21"/>
                      <w:szCs w:val="21"/>
                      <w:lang w:val="en-US" w:eastAsia="zh-CN"/>
                    </w:rPr>
                    <w:t>0.00</w:t>
                  </w:r>
                  <w:r>
                    <w:rPr>
                      <w:rFonts w:hint="eastAsia"/>
                      <w:color w:val="auto"/>
                      <w:sz w:val="21"/>
                      <w:szCs w:val="21"/>
                      <w:lang w:val="en-US" w:eastAsia="zh-CN"/>
                    </w:rPr>
                    <w:t>51</w:t>
                  </w:r>
                </w:p>
              </w:tc>
            </w:tr>
            <w:tr w14:paraId="368817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1580"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9BA5387">
                  <w:pPr>
                    <w:pStyle w:val="120"/>
                    <w:bidi w:val="0"/>
                    <w:rPr>
                      <w:rFonts w:hint="eastAsia"/>
                      <w:color w:val="auto"/>
                      <w:sz w:val="21"/>
                      <w:szCs w:val="21"/>
                      <w:highlight w:val="none"/>
                    </w:rPr>
                  </w:pPr>
                </w:p>
              </w:tc>
              <w:tc>
                <w:tcPr>
                  <w:tcW w:w="906"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11D0CCE">
                  <w:pPr>
                    <w:pStyle w:val="120"/>
                    <w:bidi w:val="0"/>
                    <w:rPr>
                      <w:color w:val="auto"/>
                      <w:sz w:val="21"/>
                      <w:szCs w:val="21"/>
                      <w:highlight w:val="none"/>
                    </w:rPr>
                  </w:pPr>
                  <w:r>
                    <w:rPr>
                      <w:color w:val="auto"/>
                      <w:sz w:val="21"/>
                      <w:szCs w:val="21"/>
                      <w:highlight w:val="none"/>
                      <w:lang w:val="en-US" w:eastAsia="zh-CN"/>
                    </w:rPr>
                    <w:t>H</w:t>
                  </w:r>
                  <w:r>
                    <w:rPr>
                      <w:rFonts w:hint="eastAsia"/>
                      <w:color w:val="auto"/>
                      <w:sz w:val="21"/>
                      <w:szCs w:val="21"/>
                      <w:highlight w:val="none"/>
                      <w:vertAlign w:val="subscript"/>
                      <w:lang w:val="en-US" w:eastAsia="zh-CN"/>
                    </w:rPr>
                    <w:t>2</w:t>
                  </w:r>
                  <w:r>
                    <w:rPr>
                      <w:color w:val="auto"/>
                      <w:sz w:val="21"/>
                      <w:szCs w:val="21"/>
                      <w:highlight w:val="none"/>
                      <w:lang w:val="en-US" w:eastAsia="zh-CN"/>
                    </w:rPr>
                    <w:t>S</w:t>
                  </w:r>
                </w:p>
              </w:tc>
              <w:tc>
                <w:tcPr>
                  <w:tcW w:w="192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28EBD71">
                  <w:pPr>
                    <w:pStyle w:val="120"/>
                    <w:bidi w:val="0"/>
                    <w:rPr>
                      <w:rFonts w:hint="default"/>
                      <w:color w:val="auto"/>
                      <w:sz w:val="21"/>
                      <w:szCs w:val="21"/>
                      <w:lang w:val="en-US"/>
                    </w:rPr>
                  </w:pPr>
                  <w:r>
                    <w:rPr>
                      <w:rFonts w:hint="default"/>
                      <w:color w:val="auto"/>
                      <w:sz w:val="21"/>
                      <w:szCs w:val="21"/>
                      <w:lang w:val="en-US" w:eastAsia="zh-CN"/>
                    </w:rPr>
                    <w:t>0.000</w:t>
                  </w:r>
                  <w:r>
                    <w:rPr>
                      <w:rFonts w:hint="eastAsia"/>
                      <w:color w:val="auto"/>
                      <w:sz w:val="21"/>
                      <w:szCs w:val="21"/>
                      <w:lang w:val="en-US" w:eastAsia="zh-CN"/>
                    </w:rPr>
                    <w:t>023</w:t>
                  </w:r>
                </w:p>
              </w:tc>
              <w:tc>
                <w:tcPr>
                  <w:tcW w:w="200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4348F6E">
                  <w:pPr>
                    <w:pStyle w:val="120"/>
                    <w:bidi w:val="0"/>
                    <w:rPr>
                      <w:rFonts w:hint="default"/>
                      <w:color w:val="auto"/>
                      <w:sz w:val="21"/>
                      <w:szCs w:val="21"/>
                      <w:lang w:val="en-US"/>
                    </w:rPr>
                  </w:pPr>
                  <w:r>
                    <w:rPr>
                      <w:rFonts w:hint="default"/>
                      <w:color w:val="auto"/>
                      <w:sz w:val="21"/>
                      <w:szCs w:val="21"/>
                      <w:lang w:val="en-US" w:eastAsia="zh-CN"/>
                    </w:rPr>
                    <w:t>0.00</w:t>
                  </w:r>
                  <w:r>
                    <w:rPr>
                      <w:rFonts w:hint="eastAsia"/>
                      <w:color w:val="auto"/>
                      <w:sz w:val="21"/>
                      <w:szCs w:val="21"/>
                      <w:lang w:val="en-US" w:eastAsia="zh-CN"/>
                    </w:rPr>
                    <w:t>02</w:t>
                  </w:r>
                </w:p>
              </w:tc>
            </w:tr>
          </w:tbl>
          <w:p w14:paraId="79502608">
            <w:pPr>
              <w:pStyle w:val="23"/>
              <w:keepNext w:val="0"/>
              <w:keepLines w:val="0"/>
              <w:suppressLineNumbers w:val="0"/>
              <w:spacing w:before="0" w:beforeAutospacing="0" w:after="0" w:afterAutospacing="0" w:line="360" w:lineRule="auto"/>
              <w:ind w:left="0" w:right="0" w:firstLine="480" w:firstLineChars="200"/>
              <w:jc w:val="both"/>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highlight w:val="none"/>
                <w:lang w:val="en-US" w:eastAsia="zh-CN"/>
              </w:rPr>
              <w:t>本项目</w:t>
            </w:r>
            <w:r>
              <w:rPr>
                <w:rFonts w:hint="default" w:ascii="Times New Roman" w:hAnsi="Times New Roman" w:cs="Times New Roman"/>
                <w:color w:val="auto"/>
                <w:highlight w:val="none"/>
                <w:lang w:val="en-US" w:eastAsia="zh-CN"/>
              </w:rPr>
              <w:t>的污水输送采用密闭管道，且对污水处理站加盖</w:t>
            </w:r>
            <w:r>
              <w:rPr>
                <w:rFonts w:hint="eastAsia" w:ascii="Times New Roman" w:hAnsi="Times New Roman" w:cs="Times New Roman"/>
                <w:color w:val="auto"/>
                <w:highlight w:val="none"/>
                <w:lang w:val="en-US" w:eastAsia="zh-CN"/>
              </w:rPr>
              <w:t>密闭通过管道</w:t>
            </w:r>
            <w:r>
              <w:rPr>
                <w:rFonts w:hint="eastAsia"/>
                <w:color w:val="auto"/>
                <w:highlight w:val="none"/>
                <w:lang w:val="en-US" w:eastAsia="zh-CN"/>
              </w:rPr>
              <w:t>收集产生的废气</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收集后</w:t>
            </w:r>
            <w:r>
              <w:rPr>
                <w:rFonts w:hint="eastAsia" w:ascii="Times New Roman" w:hAnsi="Times New Roman" w:cs="Times New Roman"/>
                <w:color w:val="auto"/>
                <w:highlight w:val="none"/>
                <w:lang w:val="en-US" w:eastAsia="zh-CN"/>
              </w:rPr>
              <w:t>依托现有一套UV光氧装置</w:t>
            </w:r>
            <w:r>
              <w:rPr>
                <w:rFonts w:hint="default" w:ascii="Times New Roman" w:hAnsi="Times New Roman" w:cs="Times New Roman"/>
                <w:color w:val="auto"/>
                <w:highlight w:val="none"/>
                <w:lang w:val="en-US" w:eastAsia="zh-CN"/>
              </w:rPr>
              <w:t>处理</w:t>
            </w:r>
            <w:r>
              <w:rPr>
                <w:rFonts w:hint="default" w:ascii="Times New Roman" w:hAnsi="Times New Roman" w:cs="Times New Roman"/>
                <w:color w:val="auto"/>
                <w:highlight w:val="none"/>
                <w:lang w:val="en-US" w:eastAsia="zh-CN"/>
              </w:rPr>
              <w:t>，收集效率为95%，风机设计风量为</w:t>
            </w:r>
            <w:r>
              <w:rPr>
                <w:rFonts w:hint="eastAsia" w:ascii="Times New Roman" w:hAnsi="Times New Roman" w:cs="Times New Roman"/>
                <w:color w:val="auto"/>
                <w:highlight w:val="none"/>
                <w:lang w:val="en-US" w:eastAsia="zh-CN"/>
              </w:rPr>
              <w:t>45</w:t>
            </w:r>
            <w:r>
              <w:rPr>
                <w:rFonts w:hint="default" w:ascii="Times New Roman" w:hAnsi="Times New Roman" w:cs="Times New Roman"/>
                <w:color w:val="auto"/>
                <w:highlight w:val="none"/>
                <w:lang w:val="en-US" w:eastAsia="zh-CN"/>
              </w:rPr>
              <w:t>00m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lang w:val="en-US" w:eastAsia="zh-CN"/>
              </w:rPr>
              <w:t>/h，处理后经一根15m高排气筒（DA00</w:t>
            </w:r>
            <w:r>
              <w:rPr>
                <w:rFonts w:hint="eastAsia" w:ascii="Times New Roman" w:hAnsi="Times New Roman" w:cs="Times New Roman"/>
                <w:color w:val="auto"/>
                <w:highlight w:val="none"/>
                <w:lang w:val="en-US" w:eastAsia="zh-CN"/>
              </w:rPr>
              <w:t>1</w:t>
            </w:r>
            <w:r>
              <w:rPr>
                <w:rFonts w:hint="default" w:ascii="Times New Roman" w:hAnsi="Times New Roman" w:cs="Times New Roman"/>
                <w:color w:val="auto"/>
                <w:highlight w:val="none"/>
                <w:lang w:val="en-US" w:eastAsia="zh-CN"/>
              </w:rPr>
              <w:t>）排放，</w:t>
            </w:r>
            <w:r>
              <w:rPr>
                <w:rFonts w:hint="eastAsia" w:ascii="Times New Roman" w:hAnsi="Times New Roman" w:cs="Times New Roman"/>
                <w:color w:val="auto"/>
                <w:highlight w:val="none"/>
                <w:lang w:val="en-US" w:eastAsia="zh-CN"/>
              </w:rPr>
              <w:t>UV光氧装置</w:t>
            </w:r>
            <w:r>
              <w:rPr>
                <w:rFonts w:hint="default" w:ascii="Times New Roman" w:hAnsi="Times New Roman" w:cs="Times New Roman"/>
                <w:color w:val="auto"/>
                <w:highlight w:val="none"/>
                <w:lang w:val="en-US" w:eastAsia="zh-CN"/>
              </w:rPr>
              <w:t>对恶臭气体的处理效率按</w:t>
            </w:r>
            <w:r>
              <w:rPr>
                <w:rFonts w:hint="eastAsia" w:ascii="Times New Roman" w:hAnsi="Times New Roman" w:cs="Times New Roman"/>
                <w:color w:val="auto"/>
                <w:highlight w:val="none"/>
                <w:lang w:val="en-US" w:eastAsia="zh-CN"/>
              </w:rPr>
              <w:t>7</w:t>
            </w:r>
            <w:r>
              <w:rPr>
                <w:rFonts w:hint="default" w:ascii="Times New Roman" w:hAnsi="Times New Roman" w:cs="Times New Roman"/>
                <w:color w:val="auto"/>
                <w:highlight w:val="none"/>
                <w:lang w:val="en-US" w:eastAsia="zh-CN"/>
              </w:rPr>
              <w:t>0%计，则</w:t>
            </w:r>
            <w:r>
              <w:rPr>
                <w:rFonts w:hint="default" w:ascii="Times New Roman" w:hAnsi="Times New Roman" w:cs="Times New Roman"/>
                <w:color w:val="auto"/>
                <w:highlight w:val="none"/>
                <w:lang w:val="en-US"/>
              </w:rPr>
              <w:t>NH</w:t>
            </w:r>
            <w:r>
              <w:rPr>
                <w:rFonts w:hint="default" w:ascii="Times New Roman" w:hAnsi="Times New Roman" w:cs="Times New Roman"/>
                <w:color w:val="auto"/>
                <w:highlight w:val="none"/>
                <w:vertAlign w:val="subscript"/>
                <w:lang w:val="en-US"/>
              </w:rPr>
              <w:t>3</w:t>
            </w:r>
            <w:r>
              <w:rPr>
                <w:rFonts w:hint="default" w:ascii="Times New Roman" w:hAnsi="Times New Roman" w:cs="Times New Roman"/>
                <w:color w:val="auto"/>
                <w:highlight w:val="none"/>
                <w:lang w:val="en-US"/>
              </w:rPr>
              <w:t>和H</w:t>
            </w:r>
            <w:r>
              <w:rPr>
                <w:rFonts w:hint="default" w:ascii="Times New Roman" w:hAnsi="Times New Roman" w:cs="Times New Roman"/>
                <w:color w:val="auto"/>
                <w:highlight w:val="none"/>
                <w:vertAlign w:val="subscript"/>
                <w:lang w:val="en-US"/>
              </w:rPr>
              <w:t>2</w:t>
            </w:r>
            <w:r>
              <w:rPr>
                <w:rFonts w:hint="default" w:ascii="Times New Roman" w:hAnsi="Times New Roman" w:cs="Times New Roman"/>
                <w:color w:val="auto"/>
                <w:highlight w:val="none"/>
                <w:lang w:val="en-US"/>
              </w:rPr>
              <w:t>S的</w:t>
            </w:r>
            <w:r>
              <w:rPr>
                <w:rFonts w:hint="default" w:ascii="Times New Roman" w:hAnsi="Times New Roman" w:cs="Times New Roman"/>
                <w:color w:val="auto"/>
                <w:highlight w:val="none"/>
                <w:lang w:val="en-US" w:eastAsia="zh-CN"/>
              </w:rPr>
              <w:t>有组织</w:t>
            </w:r>
            <w:r>
              <w:rPr>
                <w:rFonts w:hint="eastAsia" w:ascii="Times New Roman" w:hAnsi="Times New Roman" w:cs="Times New Roman"/>
                <w:color w:val="auto"/>
                <w:highlight w:val="none"/>
                <w:lang w:val="en-US" w:eastAsia="zh-CN"/>
              </w:rPr>
              <w:t>收集</w:t>
            </w:r>
            <w:r>
              <w:rPr>
                <w:rFonts w:hint="default" w:ascii="Times New Roman" w:hAnsi="Times New Roman" w:cs="Times New Roman"/>
                <w:color w:val="auto"/>
                <w:highlight w:val="none"/>
                <w:lang w:val="en-US" w:eastAsia="zh-CN"/>
              </w:rPr>
              <w:t>量为0.0</w:t>
            </w:r>
            <w:r>
              <w:rPr>
                <w:rFonts w:hint="eastAsia" w:ascii="Times New Roman" w:hAnsi="Times New Roman" w:cs="Times New Roman"/>
                <w:color w:val="auto"/>
                <w:highlight w:val="none"/>
                <w:lang w:val="en-US" w:eastAsia="zh-CN"/>
              </w:rPr>
              <w:t>0485</w:t>
            </w:r>
            <w:r>
              <w:rPr>
                <w:rFonts w:hint="default" w:ascii="Times New Roman" w:hAnsi="Times New Roman" w:cs="Times New Roman"/>
                <w:color w:val="auto"/>
                <w:highlight w:val="none"/>
                <w:lang w:val="en-US" w:eastAsia="zh-CN"/>
              </w:rPr>
              <w:t>t/a、0.000</w:t>
            </w:r>
            <w:r>
              <w:rPr>
                <w:rFonts w:hint="eastAsia" w:ascii="Times New Roman" w:hAnsi="Times New Roman" w:cs="Times New Roman"/>
                <w:color w:val="auto"/>
                <w:highlight w:val="none"/>
                <w:lang w:val="en-US" w:eastAsia="zh-CN"/>
              </w:rPr>
              <w:t>19</w:t>
            </w:r>
            <w:r>
              <w:rPr>
                <w:rFonts w:hint="default" w:ascii="Times New Roman" w:hAnsi="Times New Roman" w:cs="Times New Roman"/>
                <w:color w:val="auto"/>
                <w:highlight w:val="none"/>
                <w:lang w:val="en-US" w:eastAsia="zh-CN"/>
              </w:rPr>
              <w:t>t/a</w:t>
            </w:r>
            <w:r>
              <w:rPr>
                <w:rFonts w:hint="eastAsia" w:ascii="Times New Roman" w:hAnsi="Times New Roman" w:cs="Times New Roman"/>
                <w:color w:val="auto"/>
                <w:highlight w:val="none"/>
                <w:lang w:val="en-US" w:eastAsia="zh-CN"/>
              </w:rPr>
              <w:t>，有组织</w:t>
            </w:r>
            <w:r>
              <w:rPr>
                <w:rFonts w:hint="default" w:ascii="Times New Roman" w:hAnsi="Times New Roman" w:cs="Times New Roman"/>
                <w:color w:val="auto"/>
                <w:highlight w:val="none"/>
                <w:lang w:val="en-US" w:eastAsia="zh-CN"/>
              </w:rPr>
              <w:t>排放</w:t>
            </w:r>
            <w:r>
              <w:rPr>
                <w:rFonts w:hint="default" w:ascii="Times New Roman" w:hAnsi="Times New Roman" w:cs="Times New Roman"/>
                <w:color w:val="auto"/>
                <w:highlight w:val="none"/>
                <w:lang w:val="en-US"/>
              </w:rPr>
              <w:t>量为</w:t>
            </w:r>
            <w:r>
              <w:rPr>
                <w:rFonts w:hint="default" w:ascii="Times New Roman" w:hAnsi="Times New Roman" w:cs="Times New Roman"/>
                <w:color w:val="auto"/>
                <w:highlight w:val="none"/>
                <w:lang w:val="en-US" w:eastAsia="zh-CN"/>
              </w:rPr>
              <w:t>0.00</w:t>
            </w:r>
            <w:r>
              <w:rPr>
                <w:rFonts w:hint="eastAsia" w:ascii="Times New Roman" w:hAnsi="Times New Roman" w:cs="Times New Roman"/>
                <w:color w:val="auto"/>
                <w:highlight w:val="none"/>
                <w:lang w:val="en-US" w:eastAsia="zh-CN"/>
              </w:rPr>
              <w:t>146</w:t>
            </w:r>
            <w:r>
              <w:rPr>
                <w:rFonts w:hint="default" w:ascii="Times New Roman" w:hAnsi="Times New Roman" w:cs="Times New Roman"/>
                <w:color w:val="auto"/>
                <w:highlight w:val="none"/>
                <w:lang w:val="en-US"/>
              </w:rPr>
              <w:t>t/a、</w:t>
            </w:r>
            <w:r>
              <w:rPr>
                <w:rFonts w:hint="default" w:ascii="Times New Roman" w:hAnsi="Times New Roman" w:cs="Times New Roman"/>
                <w:color w:val="auto"/>
                <w:highlight w:val="none"/>
                <w:lang w:val="en-US" w:eastAsia="zh-CN"/>
              </w:rPr>
              <w:t>0.000</w:t>
            </w:r>
            <w:r>
              <w:rPr>
                <w:rFonts w:hint="eastAsia" w:ascii="Times New Roman" w:hAnsi="Times New Roman" w:cs="Times New Roman"/>
                <w:color w:val="auto"/>
                <w:highlight w:val="none"/>
                <w:lang w:val="en-US" w:eastAsia="zh-CN"/>
              </w:rPr>
              <w:t>06</w:t>
            </w:r>
            <w:r>
              <w:rPr>
                <w:rFonts w:hint="default" w:ascii="Times New Roman" w:hAnsi="Times New Roman" w:cs="Times New Roman"/>
                <w:color w:val="auto"/>
                <w:highlight w:val="none"/>
                <w:lang w:val="en-US"/>
              </w:rPr>
              <w:t>t/a</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rPr>
              <w:t>NH</w:t>
            </w:r>
            <w:r>
              <w:rPr>
                <w:rFonts w:hint="default" w:ascii="Times New Roman" w:hAnsi="Times New Roman" w:cs="Times New Roman"/>
                <w:color w:val="auto"/>
                <w:highlight w:val="none"/>
                <w:vertAlign w:val="subscript"/>
                <w:lang w:val="en-US"/>
              </w:rPr>
              <w:t>3</w:t>
            </w:r>
            <w:r>
              <w:rPr>
                <w:rFonts w:hint="default" w:ascii="Times New Roman" w:hAnsi="Times New Roman" w:cs="Times New Roman"/>
                <w:color w:val="auto"/>
                <w:highlight w:val="none"/>
                <w:lang w:val="en-US"/>
              </w:rPr>
              <w:t>和H</w:t>
            </w:r>
            <w:r>
              <w:rPr>
                <w:rFonts w:hint="default" w:ascii="Times New Roman" w:hAnsi="Times New Roman" w:cs="Times New Roman"/>
                <w:color w:val="auto"/>
                <w:highlight w:val="none"/>
                <w:vertAlign w:val="subscript"/>
                <w:lang w:val="en-US"/>
              </w:rPr>
              <w:t>2</w:t>
            </w:r>
            <w:r>
              <w:rPr>
                <w:rFonts w:hint="default" w:ascii="Times New Roman" w:hAnsi="Times New Roman" w:cs="Times New Roman"/>
                <w:color w:val="auto"/>
                <w:highlight w:val="none"/>
                <w:lang w:val="en-US"/>
              </w:rPr>
              <w:t>S</w:t>
            </w:r>
            <w:r>
              <w:rPr>
                <w:rFonts w:hint="default" w:ascii="Times New Roman" w:hAnsi="Times New Roman" w:cs="Times New Roman"/>
                <w:color w:val="auto"/>
                <w:highlight w:val="none"/>
                <w:lang w:val="en-US" w:eastAsia="zh-CN"/>
              </w:rPr>
              <w:t>无组织排放量为0.000</w:t>
            </w:r>
            <w:r>
              <w:rPr>
                <w:rFonts w:hint="eastAsia" w:ascii="Times New Roman" w:hAnsi="Times New Roman" w:cs="Times New Roman"/>
                <w:color w:val="auto"/>
                <w:highlight w:val="none"/>
                <w:lang w:val="en-US" w:eastAsia="zh-CN"/>
              </w:rPr>
              <w:t>26</w:t>
            </w:r>
            <w:r>
              <w:rPr>
                <w:rFonts w:hint="default" w:ascii="Times New Roman" w:hAnsi="Times New Roman" w:cs="Times New Roman"/>
                <w:color w:val="auto"/>
                <w:highlight w:val="none"/>
                <w:lang w:val="en-US" w:eastAsia="zh-CN"/>
              </w:rPr>
              <w:t>t/a、0.0000</w:t>
            </w:r>
            <w:r>
              <w:rPr>
                <w:rFonts w:hint="eastAsia" w:ascii="Times New Roman" w:hAnsi="Times New Roman" w:cs="Times New Roman"/>
                <w:color w:val="auto"/>
                <w:highlight w:val="none"/>
                <w:lang w:val="en-US" w:eastAsia="zh-CN"/>
              </w:rPr>
              <w:t>1</w:t>
            </w:r>
            <w:r>
              <w:rPr>
                <w:rFonts w:hint="default" w:ascii="Times New Roman" w:hAnsi="Times New Roman" w:cs="Times New Roman"/>
                <w:color w:val="auto"/>
                <w:highlight w:val="none"/>
                <w:lang w:val="en-US" w:eastAsia="zh-CN"/>
              </w:rPr>
              <w:t>t/a</w:t>
            </w:r>
            <w:r>
              <w:rPr>
                <w:rFonts w:hint="default" w:ascii="Times New Roman" w:hAnsi="Times New Roman" w:cs="Times New Roman"/>
                <w:color w:val="auto"/>
                <w:sz w:val="24"/>
                <w:szCs w:val="24"/>
                <w:highlight w:val="none"/>
                <w:lang w:val="en-US" w:eastAsia="zh-CN"/>
              </w:rPr>
              <w:t>。</w:t>
            </w:r>
          </w:p>
          <w:p w14:paraId="604B9A80">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firstLine="480" w:firstLineChars="200"/>
              <w:textAlignment w:val="auto"/>
              <w:rPr>
                <w:rFonts w:hint="default"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（3）食堂油烟</w:t>
            </w:r>
          </w:p>
          <w:p w14:paraId="13F8111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sz w:val="24"/>
              </w:rPr>
            </w:pPr>
            <w:r>
              <w:rPr>
                <w:sz w:val="24"/>
              </w:rPr>
              <w:t>根据类比调查和有关资料显示，每人每天耗食油量为30克，根据不同的烹饪方法，食用油的挥发量不同，平均约占耗油量的2%-4%，本项目以3%计。</w:t>
            </w:r>
            <w:r>
              <w:rPr>
                <w:rFonts w:hint="eastAsia"/>
                <w:sz w:val="24"/>
              </w:rPr>
              <w:t>本项目</w:t>
            </w:r>
            <w:r>
              <w:rPr>
                <w:rFonts w:hint="eastAsia"/>
                <w:sz w:val="24"/>
                <w:lang w:eastAsia="zh-CN"/>
              </w:rPr>
              <w:t>新增员工</w:t>
            </w:r>
            <w:r>
              <w:rPr>
                <w:rFonts w:hint="eastAsia"/>
                <w:sz w:val="24"/>
                <w:lang w:val="en-US" w:eastAsia="zh-CN"/>
              </w:rPr>
              <w:t>545</w:t>
            </w:r>
            <w:r>
              <w:rPr>
                <w:sz w:val="24"/>
              </w:rPr>
              <w:t>人，餐饮工作时间</w:t>
            </w:r>
            <w:r>
              <w:rPr>
                <w:rFonts w:hint="eastAsia"/>
                <w:sz w:val="24"/>
                <w:lang w:eastAsia="zh-CN"/>
              </w:rPr>
              <w:t>按</w:t>
            </w:r>
            <w:r>
              <w:rPr>
                <w:sz w:val="24"/>
              </w:rPr>
              <w:t>3</w:t>
            </w:r>
            <w:r>
              <w:rPr>
                <w:rFonts w:hint="eastAsia"/>
                <w:sz w:val="24"/>
                <w:lang w:val="en-US" w:eastAsia="zh-CN"/>
              </w:rPr>
              <w:t>65</w:t>
            </w:r>
            <w:r>
              <w:rPr>
                <w:sz w:val="24"/>
              </w:rPr>
              <w:t>天，每天</w:t>
            </w:r>
            <w:r>
              <w:rPr>
                <w:rFonts w:hint="eastAsia"/>
                <w:sz w:val="24"/>
                <w:lang w:val="en-US" w:eastAsia="zh-CN"/>
              </w:rPr>
              <w:t>6</w:t>
            </w:r>
            <w:r>
              <w:rPr>
                <w:sz w:val="24"/>
              </w:rPr>
              <w:t>小时</w:t>
            </w:r>
            <w:r>
              <w:rPr>
                <w:rFonts w:hint="eastAsia"/>
                <w:sz w:val="24"/>
                <w:lang w:eastAsia="zh-CN"/>
              </w:rPr>
              <w:t>计</w:t>
            </w:r>
            <w:r>
              <w:rPr>
                <w:sz w:val="24"/>
              </w:rPr>
              <w:t>，</w:t>
            </w:r>
            <w:r>
              <w:rPr>
                <w:rFonts w:hint="eastAsia"/>
                <w:sz w:val="24"/>
                <w:lang w:eastAsia="zh-CN"/>
              </w:rPr>
              <w:t>共计</w:t>
            </w:r>
            <w:r>
              <w:rPr>
                <w:rFonts w:hint="eastAsia"/>
                <w:sz w:val="24"/>
                <w:lang w:val="en-US" w:eastAsia="zh-CN"/>
              </w:rPr>
              <w:t>2190h/a</w:t>
            </w:r>
            <w:r>
              <w:rPr>
                <w:rFonts w:hint="eastAsia"/>
                <w:sz w:val="24"/>
                <w:lang w:eastAsia="zh-CN"/>
              </w:rPr>
              <w:t>，</w:t>
            </w:r>
            <w:r>
              <w:rPr>
                <w:rFonts w:hint="default" w:ascii="Times New Roman" w:hAnsi="Times New Roman" w:cs="Times New Roman"/>
                <w:sz w:val="24"/>
                <w:szCs w:val="24"/>
              </w:rPr>
              <w:t>项目食堂油烟经油烟净化器处理后通过烟道引至顶部排放</w:t>
            </w:r>
            <w:r>
              <w:rPr>
                <w:rFonts w:hint="eastAsia" w:cs="Times New Roman"/>
                <w:sz w:val="24"/>
                <w:szCs w:val="24"/>
                <w:lang w:eastAsia="zh-CN"/>
              </w:rPr>
              <w:t>，</w:t>
            </w:r>
            <w:r>
              <w:rPr>
                <w:sz w:val="24"/>
              </w:rPr>
              <w:t>油烟净化器风量为</w:t>
            </w:r>
            <w:r>
              <w:rPr>
                <w:rFonts w:hint="eastAsia"/>
                <w:sz w:val="24"/>
                <w:lang w:val="en-US" w:eastAsia="zh-CN"/>
              </w:rPr>
              <w:t>9</w:t>
            </w:r>
            <w:r>
              <w:rPr>
                <w:sz w:val="24"/>
              </w:rPr>
              <w:t>000m</w:t>
            </w:r>
            <w:r>
              <w:rPr>
                <w:sz w:val="24"/>
                <w:vertAlign w:val="superscript"/>
              </w:rPr>
              <w:t>3</w:t>
            </w:r>
            <w:r>
              <w:rPr>
                <w:sz w:val="24"/>
              </w:rPr>
              <w:t>/h，则</w:t>
            </w:r>
            <w:r>
              <w:rPr>
                <w:rFonts w:hint="eastAsia"/>
                <w:sz w:val="24"/>
                <w:lang w:eastAsia="zh-CN"/>
              </w:rPr>
              <w:t>项目</w:t>
            </w:r>
            <w:r>
              <w:rPr>
                <w:sz w:val="24"/>
              </w:rPr>
              <w:t>食用油消耗量为</w:t>
            </w:r>
            <w:r>
              <w:rPr>
                <w:rFonts w:hint="eastAsia"/>
                <w:sz w:val="24"/>
                <w:lang w:val="en-US" w:eastAsia="zh-CN"/>
              </w:rPr>
              <w:t>16.35kg</w:t>
            </w:r>
            <w:r>
              <w:rPr>
                <w:sz w:val="24"/>
              </w:rPr>
              <w:t>/d，食堂油烟产生量为0.</w:t>
            </w:r>
            <w:r>
              <w:rPr>
                <w:rFonts w:hint="eastAsia"/>
                <w:sz w:val="24"/>
                <w:lang w:val="en-US" w:eastAsia="zh-CN"/>
              </w:rPr>
              <w:t>4905</w:t>
            </w:r>
            <w:r>
              <w:rPr>
                <w:sz w:val="24"/>
              </w:rPr>
              <w:t>kg/d(</w:t>
            </w:r>
            <w:r>
              <w:rPr>
                <w:rFonts w:hint="eastAsia"/>
                <w:sz w:val="24"/>
                <w:lang w:val="en-US" w:eastAsia="zh-CN"/>
              </w:rPr>
              <w:t>179.0325</w:t>
            </w:r>
            <w:r>
              <w:rPr>
                <w:sz w:val="24"/>
              </w:rPr>
              <w:t>kg/a)。</w:t>
            </w:r>
          </w:p>
          <w:p w14:paraId="4E36B586">
            <w:pPr>
              <w:keepNext w:val="0"/>
              <w:keepLines w:val="0"/>
              <w:pageBreakBefore w:val="0"/>
              <w:widowControl w:val="0"/>
              <w:kinsoku/>
              <w:wordWrap/>
              <w:overflowPunct/>
              <w:topLinePunct w:val="0"/>
              <w:autoSpaceDE/>
              <w:autoSpaceDN/>
              <w:bidi w:val="0"/>
              <w:spacing w:line="360" w:lineRule="auto"/>
              <w:ind w:firstLine="480" w:firstLineChars="200"/>
              <w:textAlignment w:val="auto"/>
              <w:rPr>
                <w:b/>
                <w:sz w:val="24"/>
              </w:rPr>
            </w:pPr>
            <w:r>
              <w:rPr>
                <w:sz w:val="24"/>
              </w:rPr>
              <w:t>根据《饮食业油烟排放标准》（GB18483-2001）的规定：食堂有</w:t>
            </w:r>
            <w:r>
              <w:rPr>
                <w:rFonts w:hint="eastAsia"/>
                <w:sz w:val="24"/>
                <w:lang w:val="en-US" w:eastAsia="zh-CN"/>
              </w:rPr>
              <w:t>3</w:t>
            </w:r>
            <w:r>
              <w:rPr>
                <w:sz w:val="24"/>
              </w:rPr>
              <w:t>个灶头，属</w:t>
            </w:r>
            <w:r>
              <w:rPr>
                <w:rFonts w:hint="eastAsia"/>
                <w:sz w:val="24"/>
                <w:lang w:val="en-US" w:eastAsia="zh-CN"/>
              </w:rPr>
              <w:t>中</w:t>
            </w:r>
            <w:r>
              <w:rPr>
                <w:sz w:val="24"/>
              </w:rPr>
              <w:t>型规模，油烟的最高允许排放浓度为2.0mg/m</w:t>
            </w:r>
            <w:r>
              <w:rPr>
                <w:sz w:val="24"/>
                <w:vertAlign w:val="superscript"/>
              </w:rPr>
              <w:t>3</w:t>
            </w:r>
            <w:r>
              <w:rPr>
                <w:sz w:val="24"/>
              </w:rPr>
              <w:t>，净化设施最低去除效率应达到</w:t>
            </w:r>
            <w:r>
              <w:rPr>
                <w:rFonts w:hint="eastAsia"/>
                <w:sz w:val="24"/>
                <w:lang w:val="en-US" w:eastAsia="zh-CN"/>
              </w:rPr>
              <w:t>75</w:t>
            </w:r>
            <w:r>
              <w:rPr>
                <w:sz w:val="24"/>
              </w:rPr>
              <w:t>%。因此本项目必须配备去除效率高效的油烟净化装置，按去除效率</w:t>
            </w:r>
            <w:r>
              <w:rPr>
                <w:rFonts w:hint="eastAsia"/>
                <w:sz w:val="24"/>
                <w:lang w:val="en-US" w:eastAsia="zh-CN"/>
              </w:rPr>
              <w:t>90</w:t>
            </w:r>
            <w:r>
              <w:rPr>
                <w:sz w:val="24"/>
              </w:rPr>
              <w:t>%计，则本项目油烟废气的产生量和排放量见</w:t>
            </w:r>
            <w:r>
              <w:rPr>
                <w:rFonts w:hint="eastAsia"/>
                <w:sz w:val="24"/>
                <w:lang w:val="en-US" w:eastAsia="zh-CN"/>
              </w:rPr>
              <w:t>下表：</w:t>
            </w:r>
          </w:p>
          <w:p w14:paraId="37720756">
            <w:pPr>
              <w:jc w:val="center"/>
              <w:rPr>
                <w:b/>
                <w:sz w:val="24"/>
              </w:rPr>
            </w:pPr>
            <w:r>
              <w:rPr>
                <w:b/>
                <w:sz w:val="24"/>
              </w:rPr>
              <w:t>表</w:t>
            </w:r>
            <w:r>
              <w:rPr>
                <w:rFonts w:hint="eastAsia"/>
                <w:b/>
                <w:sz w:val="24"/>
                <w:lang w:val="en-US" w:eastAsia="zh-CN"/>
              </w:rPr>
              <w:t>4</w:t>
            </w:r>
            <w:r>
              <w:rPr>
                <w:b/>
                <w:sz w:val="24"/>
              </w:rPr>
              <w:t>-</w:t>
            </w:r>
            <w:r>
              <w:rPr>
                <w:rFonts w:hint="eastAsia"/>
                <w:b/>
                <w:sz w:val="24"/>
                <w:lang w:val="en-US" w:eastAsia="zh-CN"/>
              </w:rPr>
              <w:t>2</w:t>
            </w:r>
            <w:r>
              <w:rPr>
                <w:b/>
                <w:sz w:val="24"/>
              </w:rPr>
              <w:t xml:space="preserve">  </w:t>
            </w:r>
            <w:r>
              <w:rPr>
                <w:rFonts w:hint="eastAsia"/>
                <w:b/>
                <w:sz w:val="24"/>
                <w:lang w:val="en-US" w:eastAsia="zh-CN"/>
              </w:rPr>
              <w:t>本项目</w:t>
            </w:r>
            <w:r>
              <w:rPr>
                <w:b/>
                <w:sz w:val="24"/>
              </w:rPr>
              <w:t>油烟废气排放情况汇总表</w:t>
            </w:r>
          </w:p>
          <w:tbl>
            <w:tblPr>
              <w:tblStyle w:val="27"/>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350"/>
              <w:gridCol w:w="1095"/>
              <w:gridCol w:w="1291"/>
              <w:gridCol w:w="1496"/>
              <w:gridCol w:w="1202"/>
              <w:gridCol w:w="1398"/>
            </w:tblGrid>
            <w:tr w14:paraId="5D4C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41" w:type="pct"/>
                  <w:noWrap w:val="0"/>
                  <w:vAlign w:val="center"/>
                </w:tcPr>
                <w:p w14:paraId="17358B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bCs/>
                      <w:szCs w:val="21"/>
                    </w:rPr>
                  </w:pPr>
                  <w:r>
                    <w:rPr>
                      <w:b/>
                      <w:bCs/>
                      <w:szCs w:val="21"/>
                    </w:rPr>
                    <w:t>人数</w:t>
                  </w:r>
                </w:p>
              </w:tc>
              <w:tc>
                <w:tcPr>
                  <w:tcW w:w="785" w:type="pct"/>
                  <w:noWrap w:val="0"/>
                  <w:vAlign w:val="center"/>
                </w:tcPr>
                <w:p w14:paraId="7E6AF6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bCs/>
                      <w:szCs w:val="21"/>
                    </w:rPr>
                  </w:pPr>
                  <w:r>
                    <w:rPr>
                      <w:b/>
                      <w:bCs/>
                      <w:szCs w:val="21"/>
                    </w:rPr>
                    <w:t>用油指标</w:t>
                  </w:r>
                </w:p>
                <w:p w14:paraId="7C63E0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bCs/>
                      <w:szCs w:val="21"/>
                    </w:rPr>
                  </w:pPr>
                  <w:r>
                    <w:rPr>
                      <w:b/>
                      <w:bCs/>
                      <w:szCs w:val="21"/>
                    </w:rPr>
                    <w:t>（g/人·d）</w:t>
                  </w:r>
                </w:p>
              </w:tc>
              <w:tc>
                <w:tcPr>
                  <w:tcW w:w="637" w:type="pct"/>
                  <w:noWrap w:val="0"/>
                  <w:vAlign w:val="center"/>
                </w:tcPr>
                <w:p w14:paraId="2A3E86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bCs/>
                      <w:szCs w:val="21"/>
                    </w:rPr>
                  </w:pPr>
                  <w:r>
                    <w:rPr>
                      <w:b/>
                      <w:bCs/>
                      <w:szCs w:val="21"/>
                    </w:rPr>
                    <w:t>耗油量（t/a）</w:t>
                  </w:r>
                </w:p>
              </w:tc>
              <w:tc>
                <w:tcPr>
                  <w:tcW w:w="751" w:type="pct"/>
                  <w:noWrap w:val="0"/>
                  <w:vAlign w:val="center"/>
                </w:tcPr>
                <w:p w14:paraId="6E4DE2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bCs/>
                      <w:szCs w:val="21"/>
                    </w:rPr>
                  </w:pPr>
                  <w:r>
                    <w:rPr>
                      <w:b/>
                      <w:bCs/>
                      <w:szCs w:val="21"/>
                    </w:rPr>
                    <w:t>油烟产生量（t/a）</w:t>
                  </w:r>
                </w:p>
              </w:tc>
              <w:tc>
                <w:tcPr>
                  <w:tcW w:w="870" w:type="pct"/>
                  <w:noWrap w:val="0"/>
                  <w:vAlign w:val="center"/>
                </w:tcPr>
                <w:p w14:paraId="240719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bCs/>
                      <w:szCs w:val="21"/>
                    </w:rPr>
                  </w:pPr>
                  <w:r>
                    <w:rPr>
                      <w:b/>
                      <w:bCs/>
                      <w:szCs w:val="21"/>
                    </w:rPr>
                    <w:t>油烟产生浓度（mg/m</w:t>
                  </w:r>
                  <w:r>
                    <w:rPr>
                      <w:b/>
                      <w:bCs/>
                      <w:szCs w:val="21"/>
                      <w:vertAlign w:val="superscript"/>
                    </w:rPr>
                    <w:t>3</w:t>
                  </w:r>
                  <w:r>
                    <w:rPr>
                      <w:b/>
                      <w:bCs/>
                      <w:szCs w:val="21"/>
                    </w:rPr>
                    <w:t>）</w:t>
                  </w:r>
                </w:p>
              </w:tc>
              <w:tc>
                <w:tcPr>
                  <w:tcW w:w="699" w:type="pct"/>
                  <w:noWrap w:val="0"/>
                  <w:vAlign w:val="center"/>
                </w:tcPr>
                <w:p w14:paraId="3423B0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bCs/>
                      <w:szCs w:val="21"/>
                    </w:rPr>
                  </w:pPr>
                  <w:r>
                    <w:rPr>
                      <w:b/>
                      <w:bCs/>
                      <w:szCs w:val="21"/>
                    </w:rPr>
                    <w:t>油烟排放量（t/a）</w:t>
                  </w:r>
                </w:p>
              </w:tc>
              <w:tc>
                <w:tcPr>
                  <w:tcW w:w="813" w:type="pct"/>
                  <w:noWrap w:val="0"/>
                  <w:vAlign w:val="center"/>
                </w:tcPr>
                <w:p w14:paraId="12847F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bCs/>
                      <w:szCs w:val="21"/>
                    </w:rPr>
                  </w:pPr>
                  <w:r>
                    <w:rPr>
                      <w:b/>
                      <w:bCs/>
                      <w:szCs w:val="21"/>
                    </w:rPr>
                    <w:t>油烟排放浓度（mg/m</w:t>
                  </w:r>
                  <w:r>
                    <w:rPr>
                      <w:b/>
                      <w:bCs/>
                      <w:szCs w:val="21"/>
                      <w:vertAlign w:val="superscript"/>
                    </w:rPr>
                    <w:t>3</w:t>
                  </w:r>
                  <w:r>
                    <w:rPr>
                      <w:b/>
                      <w:bCs/>
                      <w:szCs w:val="21"/>
                    </w:rPr>
                    <w:t>）</w:t>
                  </w:r>
                </w:p>
              </w:tc>
            </w:tr>
            <w:tr w14:paraId="530E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41" w:type="pct"/>
                  <w:noWrap w:val="0"/>
                  <w:vAlign w:val="bottom"/>
                </w:tcPr>
                <w:p w14:paraId="0A2805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szCs w:val="21"/>
                      <w:lang w:val="en-US" w:eastAsia="zh-CN"/>
                    </w:rPr>
                  </w:pPr>
                  <w:r>
                    <w:rPr>
                      <w:rFonts w:hint="eastAsia" w:eastAsia="宋体"/>
                      <w:szCs w:val="21"/>
                      <w:lang w:val="en-US" w:eastAsia="zh-CN"/>
                    </w:rPr>
                    <w:t>545</w:t>
                  </w:r>
                </w:p>
              </w:tc>
              <w:tc>
                <w:tcPr>
                  <w:tcW w:w="785" w:type="pct"/>
                  <w:noWrap w:val="0"/>
                  <w:vAlign w:val="bottom"/>
                </w:tcPr>
                <w:p w14:paraId="0C16FD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zCs w:val="21"/>
                    </w:rPr>
                  </w:pPr>
                  <w:r>
                    <w:rPr>
                      <w:szCs w:val="21"/>
                    </w:rPr>
                    <w:t>30</w:t>
                  </w:r>
                </w:p>
              </w:tc>
              <w:tc>
                <w:tcPr>
                  <w:tcW w:w="637" w:type="pct"/>
                  <w:noWrap w:val="0"/>
                  <w:vAlign w:val="bottom"/>
                </w:tcPr>
                <w:p w14:paraId="3D7BE0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szCs w:val="21"/>
                      <w:lang w:val="en-US" w:eastAsia="zh-CN"/>
                    </w:rPr>
                  </w:pPr>
                  <w:r>
                    <w:rPr>
                      <w:rFonts w:hint="eastAsia" w:eastAsia="宋体"/>
                      <w:szCs w:val="21"/>
                      <w:lang w:val="en-US" w:eastAsia="zh-CN"/>
                    </w:rPr>
                    <w:t>5.968</w:t>
                  </w:r>
                </w:p>
              </w:tc>
              <w:tc>
                <w:tcPr>
                  <w:tcW w:w="751" w:type="pct"/>
                  <w:noWrap w:val="0"/>
                  <w:vAlign w:val="bottom"/>
                </w:tcPr>
                <w:p w14:paraId="4DE5AC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szCs w:val="21"/>
                      <w:lang w:val="en-US" w:eastAsia="zh-CN"/>
                    </w:rPr>
                  </w:pPr>
                  <w:r>
                    <w:rPr>
                      <w:szCs w:val="21"/>
                    </w:rPr>
                    <w:t>0.</w:t>
                  </w:r>
                  <w:r>
                    <w:rPr>
                      <w:rFonts w:hint="eastAsia"/>
                      <w:szCs w:val="21"/>
                      <w:lang w:val="en-US" w:eastAsia="zh-CN"/>
                    </w:rPr>
                    <w:t>179</w:t>
                  </w:r>
                </w:p>
              </w:tc>
              <w:tc>
                <w:tcPr>
                  <w:tcW w:w="870" w:type="pct"/>
                  <w:noWrap w:val="0"/>
                  <w:vAlign w:val="bottom"/>
                </w:tcPr>
                <w:p w14:paraId="6659AB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szCs w:val="21"/>
                      <w:highlight w:val="none"/>
                      <w:lang w:val="en-US" w:eastAsia="zh-CN"/>
                    </w:rPr>
                  </w:pPr>
                  <w:r>
                    <w:rPr>
                      <w:rFonts w:hint="eastAsia" w:eastAsia="宋体"/>
                      <w:szCs w:val="21"/>
                      <w:highlight w:val="none"/>
                      <w:lang w:val="en-US" w:eastAsia="zh-CN"/>
                    </w:rPr>
                    <w:t>9.1</w:t>
                  </w:r>
                </w:p>
              </w:tc>
              <w:tc>
                <w:tcPr>
                  <w:tcW w:w="699" w:type="pct"/>
                  <w:noWrap w:val="0"/>
                  <w:vAlign w:val="bottom"/>
                </w:tcPr>
                <w:p w14:paraId="1A68B4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szCs w:val="21"/>
                      <w:highlight w:val="none"/>
                      <w:lang w:val="en-US" w:eastAsia="zh-CN"/>
                    </w:rPr>
                  </w:pPr>
                  <w:r>
                    <w:rPr>
                      <w:rFonts w:hint="eastAsia"/>
                      <w:szCs w:val="21"/>
                      <w:highlight w:val="none"/>
                    </w:rPr>
                    <w:t>0.0</w:t>
                  </w:r>
                  <w:r>
                    <w:rPr>
                      <w:rFonts w:hint="eastAsia"/>
                      <w:szCs w:val="21"/>
                      <w:highlight w:val="none"/>
                      <w:lang w:val="en-US" w:eastAsia="zh-CN"/>
                    </w:rPr>
                    <w:t>18</w:t>
                  </w:r>
                </w:p>
              </w:tc>
              <w:tc>
                <w:tcPr>
                  <w:tcW w:w="813" w:type="pct"/>
                  <w:noWrap w:val="0"/>
                  <w:vAlign w:val="bottom"/>
                </w:tcPr>
                <w:p w14:paraId="2B5082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szCs w:val="21"/>
                      <w:highlight w:val="none"/>
                      <w:lang w:val="en-US" w:eastAsia="zh-CN"/>
                    </w:rPr>
                  </w:pPr>
                  <w:r>
                    <w:rPr>
                      <w:rFonts w:hint="eastAsia"/>
                      <w:szCs w:val="21"/>
                      <w:highlight w:val="none"/>
                      <w:lang w:val="en-US" w:eastAsia="zh-CN"/>
                    </w:rPr>
                    <w:t>0.9</w:t>
                  </w:r>
                </w:p>
              </w:tc>
            </w:tr>
          </w:tbl>
          <w:p w14:paraId="42E741DD">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firstLine="480" w:firstLineChars="200"/>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综上所述，本项目废气产生及排放情况如下：</w:t>
            </w:r>
          </w:p>
          <w:p w14:paraId="7B14C20D">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rPr>
                <w:rFonts w:hint="eastAsia" w:cs="Times New Roman"/>
                <w:color w:val="auto"/>
                <w:sz w:val="24"/>
                <w:lang w:val="en-US" w:eastAsia="zh-CN"/>
              </w:rPr>
            </w:pPr>
          </w:p>
          <w:p w14:paraId="0C49BBAC">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rPr>
                <w:rFonts w:hint="eastAsia" w:cs="Times New Roman"/>
                <w:color w:val="auto"/>
                <w:kern w:val="0"/>
                <w:szCs w:val="21"/>
                <w:lang w:eastAsia="zh-CN"/>
              </w:rPr>
            </w:pPr>
          </w:p>
          <w:p w14:paraId="4FF93B13">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rPr>
                <w:rFonts w:hint="eastAsia" w:cs="Times New Roman"/>
                <w:color w:val="auto"/>
                <w:kern w:val="0"/>
                <w:szCs w:val="21"/>
                <w:lang w:eastAsia="zh-CN"/>
              </w:rPr>
            </w:pPr>
          </w:p>
          <w:p w14:paraId="2F638602">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rPr>
                <w:rFonts w:hint="eastAsia" w:cs="Times New Roman"/>
                <w:color w:val="auto"/>
                <w:kern w:val="0"/>
                <w:szCs w:val="21"/>
                <w:lang w:eastAsia="zh-CN"/>
              </w:rPr>
            </w:pPr>
          </w:p>
          <w:p w14:paraId="4350369C">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rPr>
                <w:rFonts w:hint="eastAsia" w:cs="Times New Roman"/>
                <w:color w:val="auto"/>
                <w:kern w:val="0"/>
                <w:szCs w:val="21"/>
                <w:lang w:eastAsia="zh-CN"/>
              </w:rPr>
            </w:pPr>
          </w:p>
          <w:p w14:paraId="642B9149">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rPr>
                <w:rFonts w:hint="eastAsia" w:cs="Times New Roman"/>
                <w:color w:val="auto"/>
                <w:kern w:val="0"/>
                <w:szCs w:val="21"/>
                <w:lang w:eastAsia="zh-CN"/>
              </w:rPr>
            </w:pPr>
          </w:p>
          <w:p w14:paraId="3C42D4D1">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rPr>
                <w:rFonts w:hint="eastAsia" w:cs="Times New Roman"/>
                <w:color w:val="auto"/>
                <w:kern w:val="0"/>
                <w:szCs w:val="21"/>
                <w:lang w:eastAsia="zh-CN"/>
              </w:rPr>
            </w:pPr>
          </w:p>
          <w:p w14:paraId="01B2762C">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rPr>
                <w:rFonts w:hint="eastAsia" w:cs="Times New Roman"/>
                <w:color w:val="auto"/>
                <w:kern w:val="0"/>
                <w:szCs w:val="21"/>
                <w:lang w:eastAsia="zh-CN"/>
              </w:rPr>
            </w:pPr>
          </w:p>
          <w:p w14:paraId="70B23857">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rPr>
                <w:rFonts w:hint="eastAsia" w:cs="Times New Roman"/>
                <w:color w:val="auto"/>
                <w:kern w:val="0"/>
                <w:szCs w:val="21"/>
                <w:lang w:eastAsia="zh-CN"/>
              </w:rPr>
            </w:pPr>
          </w:p>
          <w:p w14:paraId="6A8AFE6D">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rPr>
                <w:rFonts w:hint="eastAsia" w:cs="Times New Roman"/>
                <w:color w:val="auto"/>
                <w:kern w:val="0"/>
                <w:szCs w:val="21"/>
                <w:lang w:eastAsia="zh-CN"/>
              </w:rPr>
            </w:pPr>
          </w:p>
          <w:p w14:paraId="3DED40A7">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rPr>
                <w:rFonts w:hint="eastAsia" w:cs="Times New Roman"/>
                <w:color w:val="auto"/>
                <w:kern w:val="0"/>
                <w:szCs w:val="21"/>
                <w:lang w:eastAsia="zh-CN"/>
              </w:rPr>
            </w:pPr>
          </w:p>
          <w:p w14:paraId="47F4C44C">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rPr>
                <w:rFonts w:hint="eastAsia" w:cs="Times New Roman"/>
                <w:color w:val="auto"/>
                <w:kern w:val="0"/>
                <w:szCs w:val="21"/>
                <w:lang w:eastAsia="zh-CN"/>
              </w:rPr>
            </w:pPr>
          </w:p>
          <w:p w14:paraId="7D37E632">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rPr>
                <w:rFonts w:hint="eastAsia" w:cs="Times New Roman"/>
                <w:color w:val="auto"/>
                <w:kern w:val="0"/>
                <w:szCs w:val="21"/>
                <w:lang w:eastAsia="zh-CN"/>
              </w:rPr>
            </w:pPr>
          </w:p>
          <w:p w14:paraId="310A7CF8">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rPr>
                <w:rFonts w:hint="eastAsia" w:cs="Times New Roman"/>
                <w:color w:val="auto"/>
                <w:kern w:val="0"/>
                <w:szCs w:val="21"/>
                <w:lang w:eastAsia="zh-CN"/>
              </w:rPr>
            </w:pPr>
          </w:p>
          <w:p w14:paraId="4EBB8327">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rPr>
                <w:rFonts w:hint="eastAsia" w:cs="Times New Roman"/>
                <w:color w:val="auto"/>
                <w:kern w:val="0"/>
                <w:szCs w:val="21"/>
                <w:lang w:eastAsia="zh-CN"/>
              </w:rPr>
            </w:pPr>
          </w:p>
          <w:p w14:paraId="62B9E7DE">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rPr>
                <w:rFonts w:hint="eastAsia" w:cs="Times New Roman"/>
                <w:color w:val="auto"/>
                <w:kern w:val="0"/>
                <w:szCs w:val="21"/>
                <w:lang w:eastAsia="zh-CN"/>
              </w:rPr>
            </w:pPr>
          </w:p>
          <w:p w14:paraId="45B94081">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rPr>
                <w:rFonts w:hint="eastAsia" w:cs="Times New Roman"/>
                <w:color w:val="auto"/>
                <w:kern w:val="0"/>
                <w:szCs w:val="21"/>
                <w:lang w:eastAsia="zh-CN"/>
              </w:rPr>
            </w:pPr>
          </w:p>
          <w:p w14:paraId="6257B492">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rPr>
                <w:rFonts w:hint="eastAsia" w:cs="Times New Roman"/>
                <w:color w:val="auto"/>
                <w:kern w:val="0"/>
                <w:szCs w:val="21"/>
                <w:lang w:eastAsia="zh-CN"/>
              </w:rPr>
            </w:pPr>
          </w:p>
          <w:p w14:paraId="41E37AF9">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rPr>
                <w:rFonts w:hint="eastAsia" w:ascii="Times New Roman" w:hAnsi="Times New Roman" w:eastAsia="宋体" w:cs="Times New Roman"/>
                <w:color w:val="auto"/>
                <w:kern w:val="0"/>
                <w:szCs w:val="21"/>
                <w:lang w:eastAsia="zh-CN"/>
              </w:rPr>
            </w:pPr>
          </w:p>
        </w:tc>
      </w:tr>
    </w:tbl>
    <w:p w14:paraId="1CF27DFF">
      <w:pPr>
        <w:adjustRightInd w:val="0"/>
        <w:snapToGrid w:val="0"/>
        <w:spacing w:line="360" w:lineRule="auto"/>
        <w:rPr>
          <w:rFonts w:hint="default" w:ascii="Times New Roman" w:hAnsi="Times New Roman" w:cs="Times New Roman"/>
          <w:b/>
          <w:color w:val="FF0000"/>
          <w:kern w:val="0"/>
          <w:sz w:val="28"/>
          <w:szCs w:val="28"/>
        </w:rPr>
        <w:sectPr>
          <w:pgSz w:w="11905" w:h="16838"/>
          <w:pgMar w:top="1417" w:right="1417" w:bottom="1417" w:left="1417" w:header="851" w:footer="850" w:gutter="0"/>
          <w:pgNumType w:fmt="decimal"/>
          <w:cols w:space="0" w:num="1"/>
          <w:rtlGutter w:val="0"/>
          <w:docGrid w:linePitch="312" w:charSpace="0"/>
        </w:sectPr>
      </w:pP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
        <w:gridCol w:w="13577"/>
      </w:tblGrid>
      <w:tr w14:paraId="18D96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5" w:hRule="atLeast"/>
          <w:jc w:val="center"/>
        </w:trPr>
        <w:tc>
          <w:tcPr>
            <w:tcW w:w="454" w:type="dxa"/>
            <w:vAlign w:val="center"/>
          </w:tcPr>
          <w:p w14:paraId="5F96AE1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color w:val="auto"/>
                <w:kern w:val="0"/>
                <w:sz w:val="28"/>
                <w:szCs w:val="28"/>
                <w:vertAlign w:val="baseline"/>
              </w:rPr>
            </w:pPr>
            <w:r>
              <w:rPr>
                <w:rFonts w:hint="default" w:ascii="Times New Roman" w:hAnsi="Times New Roman" w:cs="Times New Roman"/>
                <w:b/>
                <w:bCs/>
                <w:color w:val="auto"/>
                <w:sz w:val="24"/>
                <w:szCs w:val="32"/>
              </w:rPr>
              <w:t>运营期环境影响和保护措施</w:t>
            </w:r>
          </w:p>
        </w:tc>
        <w:tc>
          <w:tcPr>
            <w:tcW w:w="13577" w:type="dxa"/>
          </w:tcPr>
          <w:p w14:paraId="0DA4CC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3"/>
              <w:rPr>
                <w:b/>
                <w:sz w:val="24"/>
              </w:rPr>
            </w:pPr>
            <w:r>
              <w:rPr>
                <w:b/>
                <w:sz w:val="24"/>
              </w:rPr>
              <w:t>表4</w:t>
            </w:r>
            <w:r>
              <w:rPr>
                <w:rFonts w:hint="eastAsia"/>
                <w:b/>
                <w:sz w:val="24"/>
              </w:rPr>
              <w:t>-</w:t>
            </w:r>
            <w:r>
              <w:rPr>
                <w:rFonts w:hint="eastAsia"/>
                <w:b/>
                <w:sz w:val="24"/>
                <w:lang w:val="en-US" w:eastAsia="zh-CN"/>
              </w:rPr>
              <w:t>3</w:t>
            </w:r>
            <w:r>
              <w:rPr>
                <w:b/>
                <w:sz w:val="24"/>
              </w:rPr>
              <w:t xml:space="preserve">  </w:t>
            </w:r>
            <w:r>
              <w:rPr>
                <w:rFonts w:hint="eastAsia"/>
                <w:b/>
                <w:sz w:val="24"/>
              </w:rPr>
              <w:t>项目有组织</w:t>
            </w:r>
            <w:r>
              <w:rPr>
                <w:b/>
                <w:sz w:val="24"/>
              </w:rPr>
              <w:t>大气污染物</w:t>
            </w:r>
            <w:r>
              <w:rPr>
                <w:rFonts w:hint="eastAsia"/>
                <w:b/>
                <w:sz w:val="24"/>
              </w:rPr>
              <w:t>产生及排放情况一览表</w:t>
            </w:r>
          </w:p>
          <w:tbl>
            <w:tblPr>
              <w:tblStyle w:val="2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932"/>
              <w:gridCol w:w="855"/>
              <w:gridCol w:w="960"/>
              <w:gridCol w:w="435"/>
              <w:gridCol w:w="1320"/>
              <w:gridCol w:w="750"/>
              <w:gridCol w:w="765"/>
              <w:gridCol w:w="645"/>
              <w:gridCol w:w="855"/>
              <w:gridCol w:w="855"/>
              <w:gridCol w:w="965"/>
              <w:gridCol w:w="797"/>
              <w:gridCol w:w="803"/>
              <w:gridCol w:w="771"/>
              <w:gridCol w:w="957"/>
            </w:tblGrid>
            <w:tr w14:paraId="6CDF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6" w:type="pct"/>
                  <w:vMerge w:val="restart"/>
                  <w:shd w:val="clear" w:color="000000" w:fill="FFFFFF"/>
                  <w:noWrap w:val="0"/>
                  <w:vAlign w:val="center"/>
                </w:tcPr>
                <w:p w14:paraId="3DFD91B7">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产污环节</w:t>
                  </w:r>
                </w:p>
              </w:tc>
              <w:tc>
                <w:tcPr>
                  <w:tcW w:w="349" w:type="pct"/>
                  <w:vMerge w:val="restart"/>
                  <w:shd w:val="clear" w:color="000000" w:fill="FFFFFF"/>
                  <w:noWrap w:val="0"/>
                  <w:vAlign w:val="center"/>
                </w:tcPr>
                <w:p w14:paraId="69C16D6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污染物种类</w:t>
                  </w:r>
                </w:p>
              </w:tc>
              <w:tc>
                <w:tcPr>
                  <w:tcW w:w="679" w:type="pct"/>
                  <w:gridSpan w:val="2"/>
                  <w:shd w:val="clear" w:color="000000" w:fill="FFFFFF"/>
                  <w:noWrap w:val="0"/>
                  <w:vAlign w:val="center"/>
                </w:tcPr>
                <w:p w14:paraId="3697109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污染物产生情况</w:t>
                  </w:r>
                </w:p>
              </w:tc>
              <w:tc>
                <w:tcPr>
                  <w:tcW w:w="162" w:type="pct"/>
                  <w:vMerge w:val="restart"/>
                  <w:shd w:val="clear" w:color="000000" w:fill="FFFFFF"/>
                  <w:noWrap w:val="0"/>
                  <w:vAlign w:val="center"/>
                </w:tcPr>
                <w:p w14:paraId="5472C578">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排放形式</w:t>
                  </w:r>
                </w:p>
              </w:tc>
              <w:tc>
                <w:tcPr>
                  <w:tcW w:w="1623" w:type="pct"/>
                  <w:gridSpan w:val="5"/>
                  <w:shd w:val="clear" w:color="000000" w:fill="FFFFFF"/>
                  <w:noWrap w:val="0"/>
                  <w:vAlign w:val="center"/>
                </w:tcPr>
                <w:p w14:paraId="1C16B88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主要污染治理设施</w:t>
                  </w:r>
                </w:p>
              </w:tc>
              <w:tc>
                <w:tcPr>
                  <w:tcW w:w="980" w:type="pct"/>
                  <w:gridSpan w:val="3"/>
                  <w:shd w:val="clear" w:color="000000" w:fill="FFFFFF"/>
                  <w:noWrap w:val="0"/>
                  <w:vAlign w:val="center"/>
                </w:tcPr>
                <w:p w14:paraId="726FFCCB">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污染物排放情况</w:t>
                  </w:r>
                </w:p>
              </w:tc>
              <w:tc>
                <w:tcPr>
                  <w:tcW w:w="300" w:type="pct"/>
                  <w:vMerge w:val="restart"/>
                  <w:shd w:val="clear" w:color="000000" w:fill="FFFFFF"/>
                  <w:noWrap w:val="0"/>
                  <w:vAlign w:val="center"/>
                </w:tcPr>
                <w:p w14:paraId="0927B0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eastAsia="zh-CN"/>
                    </w:rPr>
                    <w:t>年运行时间</w:t>
                  </w:r>
                </w:p>
              </w:tc>
              <w:tc>
                <w:tcPr>
                  <w:tcW w:w="288" w:type="pct"/>
                  <w:vMerge w:val="restart"/>
                  <w:shd w:val="clear" w:color="000000" w:fill="FFFFFF"/>
                  <w:noWrap w:val="0"/>
                  <w:vAlign w:val="center"/>
                </w:tcPr>
                <w:p w14:paraId="3ED1465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排污口编号</w:t>
                  </w:r>
                </w:p>
              </w:tc>
              <w:tc>
                <w:tcPr>
                  <w:tcW w:w="358" w:type="pct"/>
                  <w:vMerge w:val="restart"/>
                  <w:shd w:val="clear" w:color="000000" w:fill="FFFFFF"/>
                  <w:noWrap w:val="0"/>
                  <w:vAlign w:val="center"/>
                </w:tcPr>
                <w:p w14:paraId="7D7E6067">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标准</w:t>
                  </w:r>
                </w:p>
                <w:p w14:paraId="5FCEBC88">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限值mg/m</w:t>
                  </w:r>
                  <w:r>
                    <w:rPr>
                      <w:rFonts w:hint="default" w:ascii="Times New Roman" w:hAnsi="Times New Roman" w:eastAsia="宋体" w:cs="Times New Roman"/>
                      <w:color w:val="auto"/>
                      <w:sz w:val="21"/>
                      <w:szCs w:val="21"/>
                      <w:vertAlign w:val="superscript"/>
                    </w:rPr>
                    <w:t>3</w:t>
                  </w:r>
                </w:p>
              </w:tc>
            </w:tr>
            <w:tr w14:paraId="62C60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6" w:type="pct"/>
                  <w:vMerge w:val="continue"/>
                  <w:shd w:val="clear" w:color="auto" w:fill="FFFFFF"/>
                  <w:noWrap w:val="0"/>
                  <w:vAlign w:val="center"/>
                </w:tcPr>
                <w:p w14:paraId="3D922A8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349" w:type="pct"/>
                  <w:vMerge w:val="continue"/>
                  <w:shd w:val="clear" w:color="auto" w:fill="FFFFFF"/>
                  <w:noWrap w:val="0"/>
                  <w:vAlign w:val="center"/>
                </w:tcPr>
                <w:p w14:paraId="5F38401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320" w:type="pct"/>
                  <w:shd w:val="clear" w:color="000000" w:fill="FFFFFF"/>
                  <w:noWrap w:val="0"/>
                  <w:vAlign w:val="center"/>
                </w:tcPr>
                <w:p w14:paraId="6C20FB8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产生浓度mg/m</w:t>
                  </w:r>
                  <w:r>
                    <w:rPr>
                      <w:rFonts w:hint="default" w:ascii="Times New Roman" w:hAnsi="Times New Roman" w:eastAsia="宋体" w:cs="Times New Roman"/>
                      <w:color w:val="auto"/>
                      <w:sz w:val="21"/>
                      <w:szCs w:val="21"/>
                      <w:vertAlign w:val="superscript"/>
                    </w:rPr>
                    <w:t>3</w:t>
                  </w:r>
                </w:p>
              </w:tc>
              <w:tc>
                <w:tcPr>
                  <w:tcW w:w="359" w:type="pct"/>
                  <w:shd w:val="clear" w:color="000000" w:fill="FFFFFF"/>
                  <w:noWrap w:val="0"/>
                  <w:vAlign w:val="center"/>
                </w:tcPr>
                <w:p w14:paraId="6822A0B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产生量t/a</w:t>
                  </w:r>
                </w:p>
              </w:tc>
              <w:tc>
                <w:tcPr>
                  <w:tcW w:w="162" w:type="pct"/>
                  <w:vMerge w:val="continue"/>
                  <w:shd w:val="clear" w:color="auto" w:fill="FFFFFF"/>
                  <w:noWrap w:val="0"/>
                  <w:vAlign w:val="center"/>
                </w:tcPr>
                <w:p w14:paraId="116CAA8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494" w:type="pct"/>
                  <w:shd w:val="clear" w:color="000000" w:fill="FFFFFF"/>
                  <w:noWrap w:val="0"/>
                  <w:vAlign w:val="center"/>
                </w:tcPr>
                <w:p w14:paraId="172C6D9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治理措施</w:t>
                  </w:r>
                </w:p>
              </w:tc>
              <w:tc>
                <w:tcPr>
                  <w:tcW w:w="280" w:type="pct"/>
                  <w:shd w:val="clear" w:color="000000" w:fill="FFFFFF"/>
                  <w:noWrap w:val="0"/>
                  <w:vAlign w:val="center"/>
                </w:tcPr>
                <w:p w14:paraId="18D0E6CB">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处理能力m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/h</w:t>
                  </w:r>
                </w:p>
              </w:tc>
              <w:tc>
                <w:tcPr>
                  <w:tcW w:w="286" w:type="pct"/>
                  <w:shd w:val="clear" w:color="000000" w:fill="FFFFFF"/>
                  <w:noWrap w:val="0"/>
                  <w:vAlign w:val="center"/>
                </w:tcPr>
                <w:p w14:paraId="116FFC2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收集效率</w:t>
                  </w:r>
                </w:p>
              </w:tc>
              <w:tc>
                <w:tcPr>
                  <w:tcW w:w="241" w:type="pct"/>
                  <w:shd w:val="clear" w:color="000000" w:fill="FFFFFF"/>
                  <w:noWrap w:val="0"/>
                  <w:vAlign w:val="center"/>
                </w:tcPr>
                <w:p w14:paraId="1B997A3C">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去除效率</w:t>
                  </w:r>
                </w:p>
              </w:tc>
              <w:tc>
                <w:tcPr>
                  <w:tcW w:w="320" w:type="pct"/>
                  <w:shd w:val="clear" w:color="000000" w:fill="FFFFFF"/>
                  <w:noWrap w:val="0"/>
                  <w:vAlign w:val="center"/>
                </w:tcPr>
                <w:p w14:paraId="2F99029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是否为可行技术</w:t>
                  </w:r>
                </w:p>
              </w:tc>
              <w:tc>
                <w:tcPr>
                  <w:tcW w:w="320" w:type="pct"/>
                  <w:shd w:val="clear" w:color="000000" w:fill="FFFFFF"/>
                  <w:noWrap w:val="0"/>
                  <w:vAlign w:val="center"/>
                </w:tcPr>
                <w:p w14:paraId="3F2E568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排放浓度mg/m</w:t>
                  </w:r>
                  <w:r>
                    <w:rPr>
                      <w:rFonts w:hint="default" w:ascii="Times New Roman" w:hAnsi="Times New Roman" w:eastAsia="宋体" w:cs="Times New Roman"/>
                      <w:color w:val="auto"/>
                      <w:sz w:val="21"/>
                      <w:szCs w:val="21"/>
                      <w:vertAlign w:val="superscript"/>
                    </w:rPr>
                    <w:t>3</w:t>
                  </w:r>
                </w:p>
              </w:tc>
              <w:tc>
                <w:tcPr>
                  <w:tcW w:w="361" w:type="pct"/>
                  <w:shd w:val="clear" w:color="000000" w:fill="FFFFFF"/>
                  <w:noWrap w:val="0"/>
                  <w:vAlign w:val="center"/>
                </w:tcPr>
                <w:p w14:paraId="774D3822">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排放速率kg/h</w:t>
                  </w:r>
                </w:p>
              </w:tc>
              <w:tc>
                <w:tcPr>
                  <w:tcW w:w="298" w:type="pct"/>
                  <w:shd w:val="clear" w:color="000000" w:fill="FFFFFF"/>
                  <w:noWrap w:val="0"/>
                  <w:vAlign w:val="center"/>
                </w:tcPr>
                <w:p w14:paraId="189A58D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排放量t/a</w:t>
                  </w:r>
                </w:p>
              </w:tc>
              <w:tc>
                <w:tcPr>
                  <w:tcW w:w="300" w:type="pct"/>
                  <w:vMerge w:val="continue"/>
                  <w:shd w:val="clear" w:color="auto" w:fill="FFFFFF"/>
                  <w:noWrap w:val="0"/>
                  <w:vAlign w:val="center"/>
                </w:tcPr>
                <w:p w14:paraId="444D61A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288" w:type="pct"/>
                  <w:vMerge w:val="continue"/>
                  <w:shd w:val="clear" w:color="auto" w:fill="FFFFFF"/>
                  <w:noWrap w:val="0"/>
                  <w:vAlign w:val="center"/>
                </w:tcPr>
                <w:p w14:paraId="530D6B6B">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358" w:type="pct"/>
                  <w:vMerge w:val="continue"/>
                  <w:shd w:val="clear" w:color="000000" w:fill="FFFFFF"/>
                  <w:noWrap w:val="0"/>
                  <w:vAlign w:val="center"/>
                </w:tcPr>
                <w:p w14:paraId="4F1B8CF7">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p>
              </w:tc>
            </w:tr>
            <w:tr w14:paraId="00D1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6" w:type="pct"/>
                  <w:vMerge w:val="restart"/>
                  <w:shd w:val="clear" w:color="auto" w:fill="FFFFFF"/>
                  <w:noWrap w:val="0"/>
                  <w:vAlign w:val="center"/>
                </w:tcPr>
                <w:p w14:paraId="5FDC5C8B">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污水处理站</w:t>
                  </w:r>
                </w:p>
              </w:tc>
              <w:tc>
                <w:tcPr>
                  <w:tcW w:w="349" w:type="pct"/>
                  <w:shd w:val="clear" w:color="auto" w:fill="FFFFFF"/>
                  <w:noWrap/>
                  <w:vAlign w:val="center"/>
                </w:tcPr>
                <w:p w14:paraId="1D35DE87">
                  <w:pPr>
                    <w:pStyle w:val="95"/>
                    <w:keepNext w:val="0"/>
                    <w:keepLines w:val="0"/>
                    <w:pageBreakBefore w:val="0"/>
                    <w:widowControl w:val="0"/>
                    <w:wordWrap/>
                    <w:topLinePunct w:val="0"/>
                    <w:bidi w:val="0"/>
                    <w:snapToGrid w:val="0"/>
                    <w:ind w:left="0" w:leftChars="0" w:right="0" w:rightChars="0" w:firstLine="0" w:firstLineChars="0"/>
                    <w:jc w:val="center"/>
                    <w:rPr>
                      <w:rFonts w:hint="eastAsia" w:cs="Times New Roman"/>
                      <w:color w:val="auto"/>
                      <w:sz w:val="21"/>
                      <w:szCs w:val="21"/>
                      <w:lang w:val="en-US" w:eastAsia="zh-CN"/>
                    </w:rPr>
                  </w:pPr>
                  <w:r>
                    <w:rPr>
                      <w:rFonts w:hint="eastAsia"/>
                      <w:b w:val="0"/>
                      <w:bCs w:val="0"/>
                      <w:color w:val="auto"/>
                      <w:highlight w:val="none"/>
                      <w:lang w:val="en-US" w:eastAsia="zh-CN"/>
                    </w:rPr>
                    <w:t>NH</w:t>
                  </w:r>
                  <w:r>
                    <w:rPr>
                      <w:rFonts w:hint="eastAsia"/>
                      <w:b w:val="0"/>
                      <w:bCs w:val="0"/>
                      <w:color w:val="auto"/>
                      <w:highlight w:val="none"/>
                      <w:vertAlign w:val="subscript"/>
                      <w:lang w:val="en-US" w:eastAsia="zh-CN"/>
                    </w:rPr>
                    <w:t>3</w:t>
                  </w:r>
                </w:p>
              </w:tc>
              <w:tc>
                <w:tcPr>
                  <w:tcW w:w="320" w:type="pct"/>
                  <w:shd w:val="clear" w:color="auto" w:fill="FFFFFF"/>
                  <w:noWrap/>
                  <w:vAlign w:val="center"/>
                </w:tcPr>
                <w:p w14:paraId="2772A3E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0.123</w:t>
                  </w:r>
                </w:p>
              </w:tc>
              <w:tc>
                <w:tcPr>
                  <w:tcW w:w="359" w:type="pct"/>
                  <w:shd w:val="clear" w:color="auto" w:fill="FFFFFF"/>
                  <w:noWrap/>
                  <w:vAlign w:val="center"/>
                </w:tcPr>
                <w:p w14:paraId="02EE3A02">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0.00485</w:t>
                  </w:r>
                </w:p>
              </w:tc>
              <w:tc>
                <w:tcPr>
                  <w:tcW w:w="162" w:type="pct"/>
                  <w:vMerge w:val="restart"/>
                  <w:shd w:val="clear" w:color="auto" w:fill="FFFFFF"/>
                  <w:noWrap/>
                  <w:vAlign w:val="center"/>
                </w:tcPr>
                <w:p w14:paraId="294EB30C">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有组织</w:t>
                  </w:r>
                </w:p>
              </w:tc>
              <w:tc>
                <w:tcPr>
                  <w:tcW w:w="494" w:type="pct"/>
                  <w:vMerge w:val="restart"/>
                  <w:shd w:val="clear" w:color="auto" w:fill="FFFFFF"/>
                  <w:noWrap w:val="0"/>
                  <w:vAlign w:val="center"/>
                </w:tcPr>
                <w:p w14:paraId="0C0D67AC">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UV光氧装置</w:t>
                  </w:r>
                </w:p>
              </w:tc>
              <w:tc>
                <w:tcPr>
                  <w:tcW w:w="280" w:type="pct"/>
                  <w:vMerge w:val="restart"/>
                  <w:shd w:val="clear" w:color="auto" w:fill="FFFFFF"/>
                  <w:noWrap/>
                  <w:vAlign w:val="center"/>
                </w:tcPr>
                <w:p w14:paraId="71A62EA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4500</w:t>
                  </w:r>
                </w:p>
              </w:tc>
              <w:tc>
                <w:tcPr>
                  <w:tcW w:w="286" w:type="pct"/>
                  <w:shd w:val="clear" w:color="auto" w:fill="FFFFFF"/>
                  <w:noWrap/>
                  <w:vAlign w:val="center"/>
                </w:tcPr>
                <w:p w14:paraId="7268076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95%</w:t>
                  </w:r>
                </w:p>
              </w:tc>
              <w:tc>
                <w:tcPr>
                  <w:tcW w:w="241" w:type="pct"/>
                  <w:shd w:val="clear" w:color="auto" w:fill="FFFFFF"/>
                  <w:noWrap/>
                  <w:vAlign w:val="center"/>
                </w:tcPr>
                <w:p w14:paraId="64BE789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70%</w:t>
                  </w:r>
                </w:p>
              </w:tc>
              <w:tc>
                <w:tcPr>
                  <w:tcW w:w="320" w:type="pct"/>
                  <w:shd w:val="clear" w:color="auto" w:fill="FFFFFF"/>
                  <w:noWrap/>
                  <w:vAlign w:val="center"/>
                </w:tcPr>
                <w:p w14:paraId="1F83BD6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是</w:t>
                  </w:r>
                </w:p>
              </w:tc>
              <w:tc>
                <w:tcPr>
                  <w:tcW w:w="320" w:type="pct"/>
                  <w:shd w:val="clear" w:color="auto" w:fill="FFFFFF"/>
                  <w:noWrap/>
                  <w:vAlign w:val="center"/>
                </w:tcPr>
                <w:p w14:paraId="132CD26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0.038</w:t>
                  </w:r>
                </w:p>
              </w:tc>
              <w:tc>
                <w:tcPr>
                  <w:tcW w:w="361" w:type="pct"/>
                  <w:shd w:val="clear" w:color="auto" w:fill="FFFFFF"/>
                  <w:noWrap/>
                  <w:vAlign w:val="center"/>
                </w:tcPr>
                <w:p w14:paraId="4FB1716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0.00017</w:t>
                  </w:r>
                </w:p>
              </w:tc>
              <w:tc>
                <w:tcPr>
                  <w:tcW w:w="298" w:type="pct"/>
                  <w:shd w:val="clear" w:color="auto" w:fill="FFFFFF"/>
                  <w:noWrap/>
                  <w:vAlign w:val="center"/>
                </w:tcPr>
                <w:p w14:paraId="3E9A0F0B">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0.00146</w:t>
                  </w:r>
                </w:p>
              </w:tc>
              <w:tc>
                <w:tcPr>
                  <w:tcW w:w="300" w:type="pct"/>
                  <w:vMerge w:val="restart"/>
                  <w:shd w:val="clear" w:color="auto" w:fill="FFFFFF"/>
                  <w:noWrap/>
                  <w:vAlign w:val="center"/>
                </w:tcPr>
                <w:p w14:paraId="4992C6E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8760h</w:t>
                  </w:r>
                </w:p>
              </w:tc>
              <w:tc>
                <w:tcPr>
                  <w:tcW w:w="288" w:type="pct"/>
                  <w:vMerge w:val="restart"/>
                  <w:shd w:val="clear" w:color="auto" w:fill="FFFFFF"/>
                  <w:noWrap/>
                  <w:vAlign w:val="center"/>
                </w:tcPr>
                <w:p w14:paraId="33125AF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DA00</w:t>
                  </w:r>
                  <w:r>
                    <w:rPr>
                      <w:rFonts w:hint="eastAsia" w:cs="Times New Roman"/>
                      <w:color w:val="auto"/>
                      <w:sz w:val="21"/>
                      <w:szCs w:val="21"/>
                      <w:lang w:val="en-US" w:eastAsia="zh-CN"/>
                    </w:rPr>
                    <w:t>1</w:t>
                  </w:r>
                </w:p>
              </w:tc>
              <w:tc>
                <w:tcPr>
                  <w:tcW w:w="358" w:type="pct"/>
                  <w:shd w:val="clear" w:color="auto" w:fill="FFFFFF"/>
                  <w:noWrap/>
                  <w:vAlign w:val="center"/>
                </w:tcPr>
                <w:p w14:paraId="119541FF">
                  <w:pPr>
                    <w:keepNext w:val="0"/>
                    <w:keepLines w:val="0"/>
                    <w:suppressLineNumbers w:val="0"/>
                    <w:spacing w:before="0" w:beforeAutospacing="0" w:after="0" w:afterAutospacing="0"/>
                    <w:ind w:left="0" w:leftChars="0" w:right="0" w:rightChars="0"/>
                    <w:jc w:val="center"/>
                    <w:rPr>
                      <w:rFonts w:hint="default" w:cs="Times New Roman"/>
                      <w:color w:val="auto"/>
                      <w:sz w:val="21"/>
                      <w:szCs w:val="21"/>
                      <w:lang w:val="en-US" w:eastAsia="zh-CN"/>
                    </w:rPr>
                  </w:pPr>
                  <w:r>
                    <w:rPr>
                      <w:rFonts w:hint="eastAsia" w:cs="Times New Roman"/>
                      <w:color w:val="auto"/>
                      <w:szCs w:val="20"/>
                      <w:lang w:val="en-US" w:eastAsia="zh-CN"/>
                    </w:rPr>
                    <w:t>4.9kg/h</w:t>
                  </w:r>
                </w:p>
              </w:tc>
            </w:tr>
            <w:tr w14:paraId="44DB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6" w:type="pct"/>
                  <w:vMerge w:val="continue"/>
                  <w:shd w:val="clear" w:color="auto" w:fill="FFFFFF"/>
                  <w:noWrap w:val="0"/>
                  <w:vAlign w:val="center"/>
                </w:tcPr>
                <w:p w14:paraId="5D830A2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349" w:type="pct"/>
                  <w:shd w:val="clear" w:color="auto" w:fill="FFFFFF"/>
                  <w:noWrap/>
                  <w:vAlign w:val="center"/>
                </w:tcPr>
                <w:p w14:paraId="40A3179E">
                  <w:pPr>
                    <w:pStyle w:val="95"/>
                    <w:keepNext w:val="0"/>
                    <w:keepLines w:val="0"/>
                    <w:pageBreakBefore w:val="0"/>
                    <w:widowControl w:val="0"/>
                    <w:wordWrap/>
                    <w:topLinePunct w:val="0"/>
                    <w:bidi w:val="0"/>
                    <w:snapToGrid w:val="0"/>
                    <w:ind w:left="0" w:leftChars="0" w:right="0" w:rightChars="0" w:firstLine="0" w:firstLineChars="0"/>
                    <w:jc w:val="center"/>
                    <w:rPr>
                      <w:rFonts w:hint="eastAsia" w:ascii="Times New Roman" w:hAnsi="Times New Roman" w:eastAsia="宋体" w:cs="Times New Roman"/>
                      <w:color w:val="auto"/>
                      <w:sz w:val="21"/>
                      <w:szCs w:val="21"/>
                      <w:lang w:val="en-US" w:eastAsia="zh-CN"/>
                    </w:rPr>
                  </w:pPr>
                  <w:r>
                    <w:rPr>
                      <w:rFonts w:hint="eastAsia"/>
                      <w:b w:val="0"/>
                      <w:bCs w:val="0"/>
                      <w:color w:val="auto"/>
                      <w:highlight w:val="none"/>
                      <w:lang w:val="en-US" w:eastAsia="zh-CN"/>
                    </w:rPr>
                    <w:t>H</w:t>
                  </w:r>
                  <w:r>
                    <w:rPr>
                      <w:rFonts w:hint="eastAsia"/>
                      <w:b w:val="0"/>
                      <w:bCs w:val="0"/>
                      <w:color w:val="auto"/>
                      <w:highlight w:val="none"/>
                      <w:vertAlign w:val="subscript"/>
                      <w:lang w:val="en-US" w:eastAsia="zh-CN"/>
                    </w:rPr>
                    <w:t>2</w:t>
                  </w:r>
                  <w:r>
                    <w:rPr>
                      <w:rFonts w:hint="eastAsia"/>
                      <w:b w:val="0"/>
                      <w:bCs w:val="0"/>
                      <w:color w:val="auto"/>
                      <w:highlight w:val="none"/>
                      <w:lang w:val="en-US" w:eastAsia="zh-CN"/>
                    </w:rPr>
                    <w:t>S</w:t>
                  </w:r>
                </w:p>
              </w:tc>
              <w:tc>
                <w:tcPr>
                  <w:tcW w:w="320" w:type="pct"/>
                  <w:shd w:val="clear" w:color="auto" w:fill="FFFFFF"/>
                  <w:noWrap/>
                  <w:vAlign w:val="center"/>
                </w:tcPr>
                <w:p w14:paraId="635E297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0.005</w:t>
                  </w:r>
                </w:p>
              </w:tc>
              <w:tc>
                <w:tcPr>
                  <w:tcW w:w="359" w:type="pct"/>
                  <w:shd w:val="clear" w:color="auto" w:fill="FFFFFF"/>
                  <w:noWrap/>
                  <w:vAlign w:val="center"/>
                </w:tcPr>
                <w:p w14:paraId="091EED3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0.00019</w:t>
                  </w:r>
                </w:p>
              </w:tc>
              <w:tc>
                <w:tcPr>
                  <w:tcW w:w="162" w:type="pct"/>
                  <w:vMerge w:val="continue"/>
                  <w:shd w:val="clear" w:color="auto" w:fill="FFFFFF"/>
                  <w:noWrap/>
                  <w:vAlign w:val="center"/>
                </w:tcPr>
                <w:p w14:paraId="5AAFE5BC">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494" w:type="pct"/>
                  <w:vMerge w:val="continue"/>
                  <w:tcBorders/>
                  <w:shd w:val="clear" w:color="auto" w:fill="FFFFFF"/>
                  <w:noWrap w:val="0"/>
                  <w:vAlign w:val="center"/>
                </w:tcPr>
                <w:p w14:paraId="4430550B">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cs="Times New Roman"/>
                      <w:color w:val="auto"/>
                      <w:sz w:val="21"/>
                      <w:szCs w:val="21"/>
                      <w:lang w:val="en-US" w:eastAsia="zh-CN"/>
                    </w:rPr>
                  </w:pPr>
                </w:p>
              </w:tc>
              <w:tc>
                <w:tcPr>
                  <w:tcW w:w="280" w:type="pct"/>
                  <w:vMerge w:val="continue"/>
                  <w:shd w:val="clear" w:color="auto" w:fill="FFFFFF"/>
                  <w:noWrap/>
                  <w:vAlign w:val="center"/>
                </w:tcPr>
                <w:p w14:paraId="4F1EAB9B">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286" w:type="pct"/>
                  <w:shd w:val="clear" w:color="auto" w:fill="FFFFFF"/>
                  <w:noWrap/>
                  <w:vAlign w:val="center"/>
                </w:tcPr>
                <w:p w14:paraId="4DEF7CF2">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95%</w:t>
                  </w:r>
                </w:p>
              </w:tc>
              <w:tc>
                <w:tcPr>
                  <w:tcW w:w="241" w:type="pct"/>
                  <w:shd w:val="clear" w:color="auto" w:fill="FFFFFF"/>
                  <w:noWrap/>
                  <w:vAlign w:val="center"/>
                </w:tcPr>
                <w:p w14:paraId="77763B7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70%</w:t>
                  </w:r>
                </w:p>
              </w:tc>
              <w:tc>
                <w:tcPr>
                  <w:tcW w:w="320" w:type="pct"/>
                  <w:shd w:val="clear" w:color="auto" w:fill="FFFFFF"/>
                  <w:noWrap/>
                  <w:vAlign w:val="center"/>
                </w:tcPr>
                <w:p w14:paraId="4F837D9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是</w:t>
                  </w:r>
                </w:p>
              </w:tc>
              <w:tc>
                <w:tcPr>
                  <w:tcW w:w="320" w:type="pct"/>
                  <w:shd w:val="clear" w:color="auto" w:fill="FFFFFF"/>
                  <w:noWrap/>
                  <w:vAlign w:val="center"/>
                </w:tcPr>
                <w:p w14:paraId="6FE117B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0.002</w:t>
                  </w:r>
                </w:p>
              </w:tc>
              <w:tc>
                <w:tcPr>
                  <w:tcW w:w="361" w:type="pct"/>
                  <w:shd w:val="clear" w:color="auto" w:fill="FFFFFF"/>
                  <w:noWrap/>
                  <w:vAlign w:val="center"/>
                </w:tcPr>
                <w:p w14:paraId="1CE04B3F">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0.00001</w:t>
                  </w:r>
                </w:p>
              </w:tc>
              <w:tc>
                <w:tcPr>
                  <w:tcW w:w="298" w:type="pct"/>
                  <w:shd w:val="clear" w:color="auto" w:fill="FFFFFF"/>
                  <w:noWrap/>
                  <w:vAlign w:val="center"/>
                </w:tcPr>
                <w:p w14:paraId="685A480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0.00006</w:t>
                  </w:r>
                </w:p>
              </w:tc>
              <w:tc>
                <w:tcPr>
                  <w:tcW w:w="300" w:type="pct"/>
                  <w:vMerge w:val="continue"/>
                  <w:shd w:val="clear" w:color="auto" w:fill="FFFFFF"/>
                  <w:noWrap/>
                  <w:vAlign w:val="center"/>
                </w:tcPr>
                <w:p w14:paraId="593BC66C">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288" w:type="pct"/>
                  <w:vMerge w:val="continue"/>
                  <w:shd w:val="clear" w:color="auto" w:fill="FFFFFF"/>
                  <w:noWrap/>
                  <w:vAlign w:val="center"/>
                </w:tcPr>
                <w:p w14:paraId="56D61C2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p>
              </w:tc>
              <w:tc>
                <w:tcPr>
                  <w:tcW w:w="358" w:type="pct"/>
                  <w:shd w:val="clear" w:color="auto" w:fill="FFFFFF"/>
                  <w:noWrap/>
                  <w:vAlign w:val="center"/>
                </w:tcPr>
                <w:p w14:paraId="098A409F">
                  <w:pPr>
                    <w:keepNext w:val="0"/>
                    <w:keepLines w:val="0"/>
                    <w:suppressLineNumbers w:val="0"/>
                    <w:spacing w:before="0" w:beforeAutospacing="0" w:after="0" w:afterAutospacing="0"/>
                    <w:ind w:left="0" w:leftChars="0" w:right="0" w:rightChars="0"/>
                    <w:jc w:val="center"/>
                    <w:rPr>
                      <w:rFonts w:hint="default" w:cs="Times New Roman"/>
                      <w:color w:val="auto"/>
                      <w:sz w:val="21"/>
                      <w:szCs w:val="21"/>
                      <w:lang w:val="en-US" w:eastAsia="zh-CN"/>
                    </w:rPr>
                  </w:pPr>
                  <w:r>
                    <w:rPr>
                      <w:rFonts w:hint="eastAsia" w:cs="Times New Roman"/>
                      <w:color w:val="auto"/>
                      <w:szCs w:val="20"/>
                      <w:lang w:val="en-US" w:eastAsia="zh-CN"/>
                    </w:rPr>
                    <w:t>0.33kg/h</w:t>
                  </w:r>
                </w:p>
              </w:tc>
            </w:tr>
            <w:tr w14:paraId="4615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6" w:type="pct"/>
                  <w:vMerge w:val="continue"/>
                  <w:shd w:val="clear" w:color="auto" w:fill="FFFFFF"/>
                  <w:noWrap w:val="0"/>
                  <w:vAlign w:val="center"/>
                </w:tcPr>
                <w:p w14:paraId="47AF4D4F">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349" w:type="pct"/>
                  <w:shd w:val="clear" w:color="auto" w:fill="FFFFFF"/>
                  <w:noWrap/>
                  <w:vAlign w:val="center"/>
                </w:tcPr>
                <w:p w14:paraId="24A87EA8">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臭气浓度</w:t>
                  </w:r>
                </w:p>
              </w:tc>
              <w:tc>
                <w:tcPr>
                  <w:tcW w:w="320" w:type="pct"/>
                  <w:shd w:val="clear" w:color="auto" w:fill="FFFFFF"/>
                  <w:noWrap/>
                  <w:vAlign w:val="center"/>
                </w:tcPr>
                <w:p w14:paraId="56653EF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359" w:type="pct"/>
                  <w:shd w:val="clear" w:color="auto" w:fill="FFFFFF"/>
                  <w:noWrap/>
                  <w:vAlign w:val="center"/>
                </w:tcPr>
                <w:p w14:paraId="379FDEC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162" w:type="pct"/>
                  <w:vMerge w:val="continue"/>
                  <w:shd w:val="clear" w:color="auto" w:fill="FFFFFF"/>
                  <w:noWrap/>
                  <w:vAlign w:val="center"/>
                </w:tcPr>
                <w:p w14:paraId="2F3C2B6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494" w:type="pct"/>
                  <w:vMerge w:val="continue"/>
                  <w:tcBorders/>
                  <w:shd w:val="clear" w:color="auto" w:fill="FFFFFF"/>
                  <w:noWrap w:val="0"/>
                  <w:vAlign w:val="center"/>
                </w:tcPr>
                <w:p w14:paraId="3758451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cs="Times New Roman"/>
                      <w:color w:val="auto"/>
                      <w:sz w:val="21"/>
                      <w:szCs w:val="21"/>
                      <w:lang w:val="en-US" w:eastAsia="zh-CN"/>
                    </w:rPr>
                  </w:pPr>
                </w:p>
              </w:tc>
              <w:tc>
                <w:tcPr>
                  <w:tcW w:w="280" w:type="pct"/>
                  <w:vMerge w:val="continue"/>
                  <w:shd w:val="clear" w:color="auto" w:fill="FFFFFF"/>
                  <w:noWrap/>
                  <w:vAlign w:val="center"/>
                </w:tcPr>
                <w:p w14:paraId="3D94B0D2">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286" w:type="pct"/>
                  <w:shd w:val="clear" w:color="auto" w:fill="FFFFFF"/>
                  <w:noWrap/>
                  <w:vAlign w:val="center"/>
                </w:tcPr>
                <w:p w14:paraId="30D30818">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95%</w:t>
                  </w:r>
                </w:p>
              </w:tc>
              <w:tc>
                <w:tcPr>
                  <w:tcW w:w="241" w:type="pct"/>
                  <w:shd w:val="clear" w:color="auto" w:fill="FFFFFF"/>
                  <w:noWrap/>
                  <w:vAlign w:val="center"/>
                </w:tcPr>
                <w:p w14:paraId="3597626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w:t>
                  </w:r>
                </w:p>
              </w:tc>
              <w:tc>
                <w:tcPr>
                  <w:tcW w:w="320" w:type="pct"/>
                  <w:shd w:val="clear" w:color="auto" w:fill="FFFFFF"/>
                  <w:noWrap/>
                  <w:vAlign w:val="center"/>
                </w:tcPr>
                <w:p w14:paraId="6334B8E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320" w:type="pct"/>
                  <w:shd w:val="clear" w:color="auto" w:fill="FFFFFF"/>
                  <w:noWrap/>
                  <w:vAlign w:val="center"/>
                </w:tcPr>
                <w:p w14:paraId="60C2928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361" w:type="pct"/>
                  <w:shd w:val="clear" w:color="auto" w:fill="FFFFFF"/>
                  <w:noWrap/>
                  <w:vAlign w:val="center"/>
                </w:tcPr>
                <w:p w14:paraId="4DC2007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298" w:type="pct"/>
                  <w:shd w:val="clear" w:color="auto" w:fill="FFFFFF"/>
                  <w:noWrap/>
                  <w:vAlign w:val="center"/>
                </w:tcPr>
                <w:p w14:paraId="1744C5C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w:t>
                  </w:r>
                </w:p>
              </w:tc>
              <w:tc>
                <w:tcPr>
                  <w:tcW w:w="300" w:type="pct"/>
                  <w:vMerge w:val="continue"/>
                  <w:shd w:val="clear" w:color="auto" w:fill="FFFFFF"/>
                  <w:noWrap/>
                  <w:vAlign w:val="center"/>
                </w:tcPr>
                <w:p w14:paraId="2CFDFD0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288" w:type="pct"/>
                  <w:vMerge w:val="continue"/>
                  <w:shd w:val="clear" w:color="auto" w:fill="FFFFFF"/>
                  <w:noWrap/>
                  <w:vAlign w:val="center"/>
                </w:tcPr>
                <w:p w14:paraId="7E0ADD08">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p>
              </w:tc>
              <w:tc>
                <w:tcPr>
                  <w:tcW w:w="358" w:type="pct"/>
                  <w:shd w:val="clear" w:color="auto" w:fill="FFFFFF"/>
                  <w:noWrap/>
                  <w:vAlign w:val="center"/>
                </w:tcPr>
                <w:p w14:paraId="374B09F2">
                  <w:pPr>
                    <w:keepNext w:val="0"/>
                    <w:keepLines w:val="0"/>
                    <w:suppressLineNumbers w:val="0"/>
                    <w:spacing w:before="0" w:beforeAutospacing="0" w:after="0" w:afterAutospacing="0"/>
                    <w:ind w:left="0" w:leftChars="0" w:right="0" w:rightChars="0"/>
                    <w:jc w:val="center"/>
                    <w:rPr>
                      <w:rFonts w:hint="default" w:cs="Times New Roman"/>
                      <w:color w:val="auto"/>
                      <w:sz w:val="21"/>
                      <w:szCs w:val="21"/>
                      <w:lang w:val="en-US" w:eastAsia="zh-CN"/>
                    </w:rPr>
                  </w:pPr>
                  <w:r>
                    <w:rPr>
                      <w:rFonts w:hint="eastAsia" w:cs="Times New Roman"/>
                      <w:color w:val="auto"/>
                      <w:szCs w:val="20"/>
                      <w:lang w:val="en-US" w:eastAsia="zh-CN"/>
                    </w:rPr>
                    <w:t>2000（无量纲）</w:t>
                  </w:r>
                </w:p>
              </w:tc>
            </w:tr>
          </w:tbl>
          <w:p w14:paraId="16C441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3"/>
              <w:rPr>
                <w:b/>
                <w:sz w:val="24"/>
              </w:rPr>
            </w:pPr>
            <w:r>
              <w:rPr>
                <w:b/>
                <w:sz w:val="24"/>
              </w:rPr>
              <w:t>表4</w:t>
            </w:r>
            <w:r>
              <w:rPr>
                <w:rFonts w:hint="eastAsia"/>
                <w:b/>
                <w:sz w:val="24"/>
              </w:rPr>
              <w:t>-</w:t>
            </w:r>
            <w:r>
              <w:rPr>
                <w:rFonts w:hint="eastAsia"/>
                <w:b/>
                <w:sz w:val="24"/>
                <w:lang w:val="en-US" w:eastAsia="zh-CN"/>
              </w:rPr>
              <w:t>4</w:t>
            </w:r>
            <w:r>
              <w:rPr>
                <w:b/>
                <w:sz w:val="24"/>
              </w:rPr>
              <w:t xml:space="preserve">  </w:t>
            </w:r>
            <w:r>
              <w:rPr>
                <w:rFonts w:hint="eastAsia"/>
                <w:b/>
                <w:sz w:val="24"/>
              </w:rPr>
              <w:t>项目无组织</w:t>
            </w:r>
            <w:r>
              <w:rPr>
                <w:b/>
                <w:sz w:val="24"/>
              </w:rPr>
              <w:t>大气污染物</w:t>
            </w:r>
            <w:r>
              <w:rPr>
                <w:rFonts w:hint="eastAsia"/>
                <w:b/>
                <w:sz w:val="24"/>
              </w:rPr>
              <w:t>产生及排放情况一览表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7"/>
              <w:gridCol w:w="1377"/>
              <w:gridCol w:w="1102"/>
              <w:gridCol w:w="915"/>
              <w:gridCol w:w="766"/>
              <w:gridCol w:w="843"/>
              <w:gridCol w:w="768"/>
              <w:gridCol w:w="649"/>
              <w:gridCol w:w="1085"/>
              <w:gridCol w:w="1069"/>
              <w:gridCol w:w="946"/>
              <w:gridCol w:w="1007"/>
              <w:gridCol w:w="1525"/>
            </w:tblGrid>
            <w:tr w14:paraId="1C3FB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5" w:type="pct"/>
                  <w:vMerge w:val="restart"/>
                  <w:shd w:val="clear" w:color="000000" w:fill="FFFFFF"/>
                  <w:noWrap w:val="0"/>
                  <w:vAlign w:val="center"/>
                </w:tcPr>
                <w:p w14:paraId="3C8E87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产污环节</w:t>
                  </w:r>
                </w:p>
              </w:tc>
              <w:tc>
                <w:tcPr>
                  <w:tcW w:w="515" w:type="pct"/>
                  <w:vMerge w:val="restart"/>
                  <w:shd w:val="clear" w:color="000000" w:fill="FFFFFF"/>
                  <w:noWrap w:val="0"/>
                  <w:vAlign w:val="center"/>
                </w:tcPr>
                <w:p w14:paraId="24AD40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污染物种类</w:t>
                  </w:r>
                </w:p>
              </w:tc>
              <w:tc>
                <w:tcPr>
                  <w:tcW w:w="755" w:type="pct"/>
                  <w:gridSpan w:val="2"/>
                  <w:shd w:val="clear" w:color="000000" w:fill="FFFFFF"/>
                  <w:noWrap w:val="0"/>
                  <w:vAlign w:val="center"/>
                </w:tcPr>
                <w:p w14:paraId="278EB6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污染物产生情况</w:t>
                  </w:r>
                </w:p>
              </w:tc>
              <w:tc>
                <w:tcPr>
                  <w:tcW w:w="286" w:type="pct"/>
                  <w:vMerge w:val="restart"/>
                  <w:shd w:val="clear" w:color="000000" w:fill="FFFFFF"/>
                  <w:noWrap w:val="0"/>
                  <w:vAlign w:val="center"/>
                </w:tcPr>
                <w:p w14:paraId="4D03E1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排放形式</w:t>
                  </w:r>
                </w:p>
              </w:tc>
              <w:tc>
                <w:tcPr>
                  <w:tcW w:w="846" w:type="pct"/>
                  <w:gridSpan w:val="3"/>
                  <w:shd w:val="clear" w:color="000000" w:fill="FFFFFF"/>
                  <w:noWrap w:val="0"/>
                  <w:vAlign w:val="center"/>
                </w:tcPr>
                <w:p w14:paraId="3F6432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面源/体源参数</w:t>
                  </w:r>
                </w:p>
              </w:tc>
              <w:tc>
                <w:tcPr>
                  <w:tcW w:w="1161" w:type="pct"/>
                  <w:gridSpan w:val="3"/>
                  <w:shd w:val="clear" w:color="000000" w:fill="FFFFFF"/>
                  <w:noWrap w:val="0"/>
                  <w:vAlign w:val="center"/>
                </w:tcPr>
                <w:p w14:paraId="1C7B49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污染物排放情况</w:t>
                  </w:r>
                </w:p>
              </w:tc>
              <w:tc>
                <w:tcPr>
                  <w:tcW w:w="377" w:type="pct"/>
                  <w:vMerge w:val="restart"/>
                  <w:shd w:val="clear" w:color="000000" w:fill="FFFFFF"/>
                  <w:noWrap w:val="0"/>
                  <w:vAlign w:val="center"/>
                </w:tcPr>
                <w:p w14:paraId="37F23F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排污口编号</w:t>
                  </w:r>
                </w:p>
              </w:tc>
              <w:tc>
                <w:tcPr>
                  <w:tcW w:w="571" w:type="pct"/>
                  <w:vMerge w:val="restart"/>
                  <w:shd w:val="clear" w:color="000000" w:fill="FFFFFF"/>
                  <w:noWrap w:val="0"/>
                  <w:vAlign w:val="center"/>
                </w:tcPr>
                <w:p w14:paraId="2987D5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排放标准浓度</w:t>
                  </w:r>
                </w:p>
                <w:p w14:paraId="5C7DF1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限值mg/m</w:t>
                  </w:r>
                  <w:r>
                    <w:rPr>
                      <w:rFonts w:hint="default" w:ascii="Times New Roman" w:hAnsi="Times New Roman" w:eastAsia="宋体" w:cs="Times New Roman"/>
                      <w:color w:val="auto"/>
                      <w:sz w:val="21"/>
                      <w:szCs w:val="21"/>
                      <w:vertAlign w:val="superscript"/>
                    </w:rPr>
                    <w:t>3</w:t>
                  </w:r>
                </w:p>
              </w:tc>
            </w:tr>
            <w:tr w14:paraId="461B5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5" w:type="pct"/>
                  <w:vMerge w:val="continue"/>
                  <w:shd w:val="clear" w:color="auto" w:fill="FFFFFF"/>
                  <w:noWrap w:val="0"/>
                  <w:vAlign w:val="center"/>
                </w:tcPr>
                <w:p w14:paraId="476741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515" w:type="pct"/>
                  <w:vMerge w:val="continue"/>
                  <w:shd w:val="clear" w:color="auto" w:fill="FFFFFF"/>
                  <w:noWrap w:val="0"/>
                  <w:vAlign w:val="center"/>
                </w:tcPr>
                <w:p w14:paraId="2A8DF7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412" w:type="pct"/>
                  <w:shd w:val="clear" w:color="000000" w:fill="FFFFFF"/>
                  <w:noWrap w:val="0"/>
                  <w:vAlign w:val="center"/>
                </w:tcPr>
                <w:p w14:paraId="29517C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产生浓度mg/m</w:t>
                  </w:r>
                  <w:r>
                    <w:rPr>
                      <w:rFonts w:hint="default" w:ascii="Times New Roman" w:hAnsi="Times New Roman" w:eastAsia="宋体" w:cs="Times New Roman"/>
                      <w:color w:val="auto"/>
                      <w:sz w:val="21"/>
                      <w:szCs w:val="21"/>
                      <w:vertAlign w:val="superscript"/>
                    </w:rPr>
                    <w:t>3</w:t>
                  </w:r>
                </w:p>
              </w:tc>
              <w:tc>
                <w:tcPr>
                  <w:tcW w:w="342" w:type="pct"/>
                  <w:shd w:val="clear" w:color="000000" w:fill="FFFFFF"/>
                  <w:noWrap w:val="0"/>
                  <w:vAlign w:val="center"/>
                </w:tcPr>
                <w:p w14:paraId="4F5386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产生量t/a</w:t>
                  </w:r>
                </w:p>
              </w:tc>
              <w:tc>
                <w:tcPr>
                  <w:tcW w:w="286" w:type="pct"/>
                  <w:vMerge w:val="continue"/>
                  <w:shd w:val="clear" w:color="auto" w:fill="FFFFFF"/>
                  <w:noWrap w:val="0"/>
                  <w:vAlign w:val="center"/>
                </w:tcPr>
                <w:p w14:paraId="57DF5C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315" w:type="pct"/>
                  <w:shd w:val="clear" w:color="000000" w:fill="FFFFFF"/>
                  <w:noWrap w:val="0"/>
                  <w:vAlign w:val="center"/>
                </w:tcPr>
                <w:p w14:paraId="0C1875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长</w:t>
                  </w:r>
                </w:p>
              </w:tc>
              <w:tc>
                <w:tcPr>
                  <w:tcW w:w="287" w:type="pct"/>
                  <w:shd w:val="clear" w:color="000000" w:fill="FFFFFF"/>
                  <w:noWrap w:val="0"/>
                  <w:vAlign w:val="center"/>
                </w:tcPr>
                <w:p w14:paraId="48144E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rPr>
                      <w:rFonts w:hint="eastAsia" w:cs="Times New Roman"/>
                      <w:color w:val="auto"/>
                      <w:sz w:val="21"/>
                      <w:szCs w:val="21"/>
                      <w:lang w:eastAsia="zh-CN"/>
                    </w:rPr>
                    <w:t>宽</w:t>
                  </w:r>
                </w:p>
              </w:tc>
              <w:tc>
                <w:tcPr>
                  <w:tcW w:w="243" w:type="pct"/>
                  <w:shd w:val="clear" w:color="000000" w:fill="FFFFFF"/>
                  <w:noWrap w:val="0"/>
                  <w:vAlign w:val="center"/>
                </w:tcPr>
                <w:p w14:paraId="2BE89A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eastAsia="zh-CN"/>
                    </w:rPr>
                    <w:t>高</w:t>
                  </w:r>
                </w:p>
              </w:tc>
              <w:tc>
                <w:tcPr>
                  <w:tcW w:w="406" w:type="pct"/>
                  <w:shd w:val="clear" w:color="000000" w:fill="FFFFFF"/>
                  <w:noWrap w:val="0"/>
                  <w:vAlign w:val="center"/>
                </w:tcPr>
                <w:p w14:paraId="4F9F71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排放浓度mg/m</w:t>
                  </w:r>
                  <w:r>
                    <w:rPr>
                      <w:rFonts w:hint="default" w:ascii="Times New Roman" w:hAnsi="Times New Roman" w:eastAsia="宋体" w:cs="Times New Roman"/>
                      <w:color w:val="auto"/>
                      <w:sz w:val="21"/>
                      <w:szCs w:val="21"/>
                      <w:vertAlign w:val="superscript"/>
                    </w:rPr>
                    <w:t>3</w:t>
                  </w:r>
                </w:p>
              </w:tc>
              <w:tc>
                <w:tcPr>
                  <w:tcW w:w="400" w:type="pct"/>
                  <w:shd w:val="clear" w:color="000000" w:fill="FFFFFF"/>
                  <w:noWrap w:val="0"/>
                  <w:vAlign w:val="center"/>
                </w:tcPr>
                <w:p w14:paraId="3A9244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排放速率kg/h</w:t>
                  </w:r>
                </w:p>
              </w:tc>
              <w:tc>
                <w:tcPr>
                  <w:tcW w:w="354" w:type="pct"/>
                  <w:shd w:val="clear" w:color="000000" w:fill="FFFFFF"/>
                  <w:noWrap w:val="0"/>
                  <w:vAlign w:val="center"/>
                </w:tcPr>
                <w:p w14:paraId="52FA3C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排放量t/a</w:t>
                  </w:r>
                </w:p>
              </w:tc>
              <w:tc>
                <w:tcPr>
                  <w:tcW w:w="377" w:type="pct"/>
                  <w:vMerge w:val="continue"/>
                  <w:shd w:val="clear" w:color="auto" w:fill="FFFFFF"/>
                  <w:noWrap w:val="0"/>
                  <w:vAlign w:val="center"/>
                </w:tcPr>
                <w:p w14:paraId="4C02B2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571" w:type="pct"/>
                  <w:vMerge w:val="continue"/>
                  <w:shd w:val="clear" w:color="000000" w:fill="FFFFFF"/>
                  <w:noWrap w:val="0"/>
                  <w:vAlign w:val="center"/>
                </w:tcPr>
                <w:p w14:paraId="3B49ED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4FC00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5" w:type="pct"/>
                  <w:vMerge w:val="restart"/>
                  <w:shd w:val="clear" w:color="auto" w:fill="FFFFFF"/>
                  <w:noWrap w:val="0"/>
                  <w:vAlign w:val="center"/>
                </w:tcPr>
                <w:p w14:paraId="31E75A48">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污水处理站</w:t>
                  </w:r>
                </w:p>
              </w:tc>
              <w:tc>
                <w:tcPr>
                  <w:tcW w:w="515" w:type="pct"/>
                  <w:shd w:val="clear" w:color="auto" w:fill="FFFFFF"/>
                  <w:noWrap/>
                  <w:vAlign w:val="center"/>
                </w:tcPr>
                <w:p w14:paraId="1120FA67">
                  <w:pPr>
                    <w:pStyle w:val="95"/>
                    <w:keepNext w:val="0"/>
                    <w:keepLines w:val="0"/>
                    <w:pageBreakBefore w:val="0"/>
                    <w:widowControl w:val="0"/>
                    <w:wordWrap/>
                    <w:topLinePunct w:val="0"/>
                    <w:bidi w:val="0"/>
                    <w:snapToGrid w:val="0"/>
                    <w:ind w:left="0" w:leftChars="0" w:right="0" w:rightChars="0" w:firstLine="0" w:firstLineChars="0"/>
                    <w:jc w:val="center"/>
                    <w:rPr>
                      <w:rFonts w:hint="default" w:ascii="Times New Roman" w:hAnsi="Times New Roman" w:eastAsia="宋体" w:cs="Times New Roman"/>
                      <w:color w:val="auto"/>
                      <w:sz w:val="21"/>
                      <w:szCs w:val="21"/>
                      <w:lang w:val="en-US" w:eastAsia="zh-CN"/>
                    </w:rPr>
                  </w:pPr>
                  <w:r>
                    <w:rPr>
                      <w:rFonts w:hint="eastAsia"/>
                      <w:b w:val="0"/>
                      <w:bCs w:val="0"/>
                      <w:color w:val="auto"/>
                      <w:highlight w:val="none"/>
                      <w:lang w:val="en-US" w:eastAsia="zh-CN"/>
                    </w:rPr>
                    <w:t>NH</w:t>
                  </w:r>
                  <w:r>
                    <w:rPr>
                      <w:rFonts w:hint="eastAsia"/>
                      <w:b w:val="0"/>
                      <w:bCs w:val="0"/>
                      <w:color w:val="auto"/>
                      <w:highlight w:val="none"/>
                      <w:vertAlign w:val="subscript"/>
                      <w:lang w:val="en-US" w:eastAsia="zh-CN"/>
                    </w:rPr>
                    <w:t>3</w:t>
                  </w:r>
                </w:p>
              </w:tc>
              <w:tc>
                <w:tcPr>
                  <w:tcW w:w="412" w:type="pct"/>
                  <w:shd w:val="clear" w:color="auto" w:fill="FFFFFF"/>
                  <w:noWrap/>
                  <w:vAlign w:val="center"/>
                </w:tcPr>
                <w:p w14:paraId="79D2EB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342" w:type="pct"/>
                  <w:shd w:val="clear" w:color="auto" w:fill="FFFFFF"/>
                  <w:noWrap/>
                  <w:vAlign w:val="center"/>
                </w:tcPr>
                <w:p w14:paraId="515F94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0.00026</w:t>
                  </w:r>
                </w:p>
              </w:tc>
              <w:tc>
                <w:tcPr>
                  <w:tcW w:w="286" w:type="pct"/>
                  <w:vMerge w:val="restart"/>
                  <w:shd w:val="clear" w:color="auto" w:fill="FFFFFF"/>
                  <w:noWrap/>
                  <w:vAlign w:val="center"/>
                </w:tcPr>
                <w:p w14:paraId="0B651B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无</w:t>
                  </w:r>
                  <w:r>
                    <w:rPr>
                      <w:rFonts w:hint="default" w:ascii="Times New Roman" w:hAnsi="Times New Roman" w:eastAsia="宋体" w:cs="Times New Roman"/>
                      <w:color w:val="auto"/>
                      <w:sz w:val="21"/>
                      <w:szCs w:val="21"/>
                    </w:rPr>
                    <w:t>组织</w:t>
                  </w:r>
                </w:p>
              </w:tc>
              <w:tc>
                <w:tcPr>
                  <w:tcW w:w="315" w:type="pct"/>
                  <w:vMerge w:val="restart"/>
                  <w:shd w:val="clear" w:color="auto" w:fill="FFFFFF"/>
                  <w:noWrap w:val="0"/>
                  <w:vAlign w:val="center"/>
                </w:tcPr>
                <w:p w14:paraId="62DE5E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11m</w:t>
                  </w:r>
                </w:p>
              </w:tc>
              <w:tc>
                <w:tcPr>
                  <w:tcW w:w="287" w:type="pct"/>
                  <w:vMerge w:val="restart"/>
                  <w:shd w:val="clear" w:color="auto" w:fill="FFFFFF"/>
                  <w:noWrap/>
                  <w:vAlign w:val="center"/>
                </w:tcPr>
                <w:p w14:paraId="00CBF7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5m</w:t>
                  </w:r>
                </w:p>
              </w:tc>
              <w:tc>
                <w:tcPr>
                  <w:tcW w:w="243" w:type="pct"/>
                  <w:vMerge w:val="restart"/>
                  <w:shd w:val="clear" w:color="auto" w:fill="FFFFFF"/>
                  <w:noWrap/>
                  <w:vAlign w:val="center"/>
                </w:tcPr>
                <w:p w14:paraId="0AA775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3m</w:t>
                  </w:r>
                </w:p>
              </w:tc>
              <w:tc>
                <w:tcPr>
                  <w:tcW w:w="406" w:type="pct"/>
                  <w:shd w:val="clear" w:color="auto" w:fill="FFFFFF"/>
                  <w:noWrap/>
                  <w:vAlign w:val="center"/>
                </w:tcPr>
                <w:p w14:paraId="5E8D95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400" w:type="pct"/>
                  <w:shd w:val="clear" w:color="auto" w:fill="FFFFFF"/>
                  <w:noWrap/>
                  <w:vAlign w:val="center"/>
                </w:tcPr>
                <w:p w14:paraId="5666A8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0.</w:t>
                  </w:r>
                  <w:r>
                    <w:rPr>
                      <w:rFonts w:hint="eastAsia" w:ascii="Times New Roman" w:hAnsi="Times New Roman" w:cs="Times New Roman"/>
                      <w:color w:val="auto"/>
                      <w:sz w:val="21"/>
                      <w:szCs w:val="21"/>
                      <w:lang w:val="en-US" w:eastAsia="zh-CN"/>
                    </w:rPr>
                    <w:t>00</w:t>
                  </w:r>
                  <w:r>
                    <w:rPr>
                      <w:rFonts w:hint="eastAsia" w:cs="Times New Roman"/>
                      <w:color w:val="auto"/>
                      <w:sz w:val="21"/>
                      <w:szCs w:val="21"/>
                      <w:lang w:val="en-US" w:eastAsia="zh-CN"/>
                    </w:rPr>
                    <w:t>003</w:t>
                  </w:r>
                </w:p>
              </w:tc>
              <w:tc>
                <w:tcPr>
                  <w:tcW w:w="946" w:type="dxa"/>
                  <w:shd w:val="clear" w:color="auto" w:fill="FFFFFF"/>
                  <w:noWrap/>
                  <w:vAlign w:val="center"/>
                </w:tcPr>
                <w:p w14:paraId="771953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0.00026</w:t>
                  </w:r>
                </w:p>
              </w:tc>
              <w:tc>
                <w:tcPr>
                  <w:tcW w:w="377" w:type="pct"/>
                  <w:shd w:val="clear" w:color="auto" w:fill="FFFFFF"/>
                  <w:noWrap/>
                  <w:vAlign w:val="center"/>
                </w:tcPr>
                <w:p w14:paraId="34FA84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71" w:type="pct"/>
                  <w:shd w:val="clear" w:color="auto" w:fill="FFFFFF"/>
                  <w:noWrap/>
                  <w:vAlign w:val="center"/>
                </w:tcPr>
                <w:p w14:paraId="1EAC8FF6">
                  <w:pPr>
                    <w:pStyle w:val="95"/>
                    <w:keepNext w:val="0"/>
                    <w:keepLines w:val="0"/>
                    <w:pageBreakBefore w:val="0"/>
                    <w:widowControl w:val="0"/>
                    <w:wordWrap/>
                    <w:topLinePunct w:val="0"/>
                    <w:bidi w:val="0"/>
                    <w:snapToGrid w:val="0"/>
                    <w:ind w:left="0" w:leftChars="0" w:right="0" w:rightChars="0" w:firstLine="0" w:firstLineChars="0"/>
                    <w:jc w:val="center"/>
                    <w:rPr>
                      <w:rFonts w:hint="default" w:ascii="Times New Roman" w:hAnsi="Times New Roman" w:eastAsia="宋体" w:cs="Times New Roman"/>
                      <w:color w:val="auto"/>
                      <w:sz w:val="21"/>
                      <w:szCs w:val="21"/>
                      <w:lang w:val="en-US" w:eastAsia="zh-CN"/>
                    </w:rPr>
                  </w:pPr>
                  <w:r>
                    <w:rPr>
                      <w:rFonts w:hint="eastAsia"/>
                      <w:b w:val="0"/>
                      <w:bCs w:val="0"/>
                      <w:color w:val="auto"/>
                      <w:highlight w:val="none"/>
                      <w:lang w:val="en-US" w:eastAsia="zh-CN"/>
                    </w:rPr>
                    <w:t>1.0</w:t>
                  </w:r>
                </w:p>
              </w:tc>
            </w:tr>
            <w:tr w14:paraId="15FE4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5" w:type="pct"/>
                  <w:vMerge w:val="continue"/>
                  <w:shd w:val="clear" w:color="auto" w:fill="FFFFFF"/>
                  <w:noWrap w:val="0"/>
                  <w:vAlign w:val="center"/>
                </w:tcPr>
                <w:p w14:paraId="26A2C6C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515" w:type="pct"/>
                  <w:shd w:val="clear" w:color="auto" w:fill="FFFFFF"/>
                  <w:noWrap/>
                  <w:vAlign w:val="center"/>
                </w:tcPr>
                <w:p w14:paraId="499A9462">
                  <w:pPr>
                    <w:pStyle w:val="95"/>
                    <w:keepNext w:val="0"/>
                    <w:keepLines w:val="0"/>
                    <w:pageBreakBefore w:val="0"/>
                    <w:widowControl w:val="0"/>
                    <w:wordWrap/>
                    <w:topLinePunct w:val="0"/>
                    <w:bidi w:val="0"/>
                    <w:snapToGrid w:val="0"/>
                    <w:ind w:left="0" w:leftChars="0" w:right="0" w:rightChars="0" w:firstLine="0" w:firstLineChars="0"/>
                    <w:jc w:val="center"/>
                    <w:rPr>
                      <w:rFonts w:hint="eastAsia" w:cs="Times New Roman"/>
                      <w:color w:val="auto"/>
                      <w:sz w:val="21"/>
                      <w:szCs w:val="21"/>
                      <w:lang w:val="en-US" w:eastAsia="zh-CN"/>
                    </w:rPr>
                  </w:pPr>
                  <w:r>
                    <w:rPr>
                      <w:rFonts w:hint="eastAsia"/>
                      <w:b w:val="0"/>
                      <w:bCs w:val="0"/>
                      <w:color w:val="auto"/>
                      <w:highlight w:val="none"/>
                      <w:lang w:val="en-US" w:eastAsia="zh-CN"/>
                    </w:rPr>
                    <w:t>H</w:t>
                  </w:r>
                  <w:r>
                    <w:rPr>
                      <w:rFonts w:hint="eastAsia"/>
                      <w:b w:val="0"/>
                      <w:bCs w:val="0"/>
                      <w:color w:val="auto"/>
                      <w:highlight w:val="none"/>
                      <w:vertAlign w:val="subscript"/>
                      <w:lang w:val="en-US" w:eastAsia="zh-CN"/>
                    </w:rPr>
                    <w:t>2</w:t>
                  </w:r>
                  <w:r>
                    <w:rPr>
                      <w:rFonts w:hint="eastAsia"/>
                      <w:b w:val="0"/>
                      <w:bCs w:val="0"/>
                      <w:color w:val="auto"/>
                      <w:highlight w:val="none"/>
                      <w:lang w:val="en-US" w:eastAsia="zh-CN"/>
                    </w:rPr>
                    <w:t>S</w:t>
                  </w:r>
                </w:p>
              </w:tc>
              <w:tc>
                <w:tcPr>
                  <w:tcW w:w="412" w:type="pct"/>
                  <w:shd w:val="clear" w:color="auto" w:fill="FFFFFF"/>
                  <w:noWrap/>
                  <w:vAlign w:val="center"/>
                </w:tcPr>
                <w:p w14:paraId="56BA2C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342" w:type="pct"/>
                  <w:shd w:val="clear" w:color="auto" w:fill="FFFFFF"/>
                  <w:noWrap/>
                  <w:vAlign w:val="center"/>
                </w:tcPr>
                <w:p w14:paraId="41483E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0.00001</w:t>
                  </w:r>
                </w:p>
              </w:tc>
              <w:tc>
                <w:tcPr>
                  <w:tcW w:w="286" w:type="pct"/>
                  <w:vMerge w:val="continue"/>
                  <w:shd w:val="clear" w:color="auto" w:fill="FFFFFF"/>
                  <w:noWrap/>
                  <w:vAlign w:val="center"/>
                </w:tcPr>
                <w:p w14:paraId="3D09D6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315" w:type="pct"/>
                  <w:vMerge w:val="continue"/>
                  <w:shd w:val="clear" w:color="auto" w:fill="FFFFFF"/>
                  <w:noWrap w:val="0"/>
                  <w:vAlign w:val="center"/>
                </w:tcPr>
                <w:p w14:paraId="35A4CC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p>
              </w:tc>
              <w:tc>
                <w:tcPr>
                  <w:tcW w:w="287" w:type="pct"/>
                  <w:vMerge w:val="continue"/>
                  <w:shd w:val="clear" w:color="auto" w:fill="FFFFFF"/>
                  <w:noWrap/>
                  <w:vAlign w:val="center"/>
                </w:tcPr>
                <w:p w14:paraId="024A36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p>
              </w:tc>
              <w:tc>
                <w:tcPr>
                  <w:tcW w:w="243" w:type="pct"/>
                  <w:vMerge w:val="continue"/>
                  <w:shd w:val="clear" w:color="auto" w:fill="FFFFFF"/>
                  <w:noWrap/>
                  <w:vAlign w:val="center"/>
                </w:tcPr>
                <w:p w14:paraId="414688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p>
              </w:tc>
              <w:tc>
                <w:tcPr>
                  <w:tcW w:w="406" w:type="pct"/>
                  <w:shd w:val="clear" w:color="auto" w:fill="FFFFFF"/>
                  <w:noWrap/>
                  <w:vAlign w:val="center"/>
                </w:tcPr>
                <w:p w14:paraId="78D47B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400" w:type="pct"/>
                  <w:shd w:val="clear" w:color="auto" w:fill="FFFFFF"/>
                  <w:noWrap/>
                  <w:vAlign w:val="center"/>
                </w:tcPr>
                <w:p w14:paraId="327E9C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0.000001</w:t>
                  </w:r>
                </w:p>
              </w:tc>
              <w:tc>
                <w:tcPr>
                  <w:tcW w:w="946" w:type="dxa"/>
                  <w:shd w:val="clear" w:color="auto" w:fill="FFFFFF"/>
                  <w:noWrap/>
                  <w:vAlign w:val="center"/>
                </w:tcPr>
                <w:p w14:paraId="171A7F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0.00001</w:t>
                  </w:r>
                </w:p>
              </w:tc>
              <w:tc>
                <w:tcPr>
                  <w:tcW w:w="377" w:type="pct"/>
                  <w:shd w:val="clear" w:color="auto" w:fill="FFFFFF"/>
                  <w:noWrap/>
                  <w:vAlign w:val="center"/>
                </w:tcPr>
                <w:p w14:paraId="33895B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71" w:type="pct"/>
                  <w:shd w:val="clear" w:color="auto" w:fill="FFFFFF"/>
                  <w:noWrap/>
                  <w:vAlign w:val="center"/>
                </w:tcPr>
                <w:p w14:paraId="6CB3B0ED">
                  <w:pPr>
                    <w:pStyle w:val="95"/>
                    <w:keepNext w:val="0"/>
                    <w:keepLines w:val="0"/>
                    <w:pageBreakBefore w:val="0"/>
                    <w:widowControl w:val="0"/>
                    <w:wordWrap/>
                    <w:topLinePunct w:val="0"/>
                    <w:bidi w:val="0"/>
                    <w:snapToGrid w:val="0"/>
                    <w:ind w:left="0" w:leftChars="0" w:right="0" w:rightChars="0" w:firstLine="0" w:firstLineChars="0"/>
                    <w:jc w:val="center"/>
                    <w:rPr>
                      <w:rFonts w:hint="default" w:cs="Times New Roman"/>
                      <w:color w:val="FF0000"/>
                      <w:sz w:val="21"/>
                      <w:szCs w:val="21"/>
                      <w:lang w:val="en-US" w:eastAsia="zh-CN"/>
                    </w:rPr>
                  </w:pPr>
                  <w:r>
                    <w:rPr>
                      <w:rFonts w:hint="eastAsia"/>
                      <w:b w:val="0"/>
                      <w:bCs w:val="0"/>
                      <w:color w:val="auto"/>
                      <w:highlight w:val="none"/>
                      <w:lang w:val="en-US" w:eastAsia="zh-CN"/>
                    </w:rPr>
                    <w:t>0.03</w:t>
                  </w:r>
                </w:p>
              </w:tc>
            </w:tr>
            <w:tr w14:paraId="69F2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5" w:type="pct"/>
                  <w:vMerge w:val="continue"/>
                  <w:shd w:val="clear" w:color="auto" w:fill="FFFFFF"/>
                  <w:noWrap w:val="0"/>
                  <w:vAlign w:val="center"/>
                </w:tcPr>
                <w:p w14:paraId="0E327B42">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515" w:type="pct"/>
                  <w:shd w:val="clear" w:color="auto" w:fill="FFFFFF"/>
                  <w:noWrap/>
                  <w:vAlign w:val="center"/>
                </w:tcPr>
                <w:p w14:paraId="1F2A9F6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臭气浓度</w:t>
                  </w:r>
                </w:p>
              </w:tc>
              <w:tc>
                <w:tcPr>
                  <w:tcW w:w="412" w:type="pct"/>
                  <w:shd w:val="clear" w:color="auto" w:fill="FFFFFF"/>
                  <w:noWrap/>
                  <w:vAlign w:val="center"/>
                </w:tcPr>
                <w:p w14:paraId="7B3DA1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342" w:type="pct"/>
                  <w:shd w:val="clear" w:color="auto" w:fill="FFFFFF"/>
                  <w:noWrap/>
                  <w:vAlign w:val="center"/>
                </w:tcPr>
                <w:p w14:paraId="28907D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286" w:type="pct"/>
                  <w:vMerge w:val="continue"/>
                  <w:shd w:val="clear" w:color="auto" w:fill="FFFFFF"/>
                  <w:noWrap/>
                  <w:vAlign w:val="center"/>
                </w:tcPr>
                <w:p w14:paraId="2441BB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315" w:type="pct"/>
                  <w:vMerge w:val="continue"/>
                  <w:shd w:val="clear" w:color="auto" w:fill="FFFFFF"/>
                  <w:noWrap w:val="0"/>
                  <w:vAlign w:val="center"/>
                </w:tcPr>
                <w:p w14:paraId="4A7706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p>
              </w:tc>
              <w:tc>
                <w:tcPr>
                  <w:tcW w:w="287" w:type="pct"/>
                  <w:vMerge w:val="continue"/>
                  <w:shd w:val="clear" w:color="auto" w:fill="FFFFFF"/>
                  <w:noWrap/>
                  <w:vAlign w:val="center"/>
                </w:tcPr>
                <w:p w14:paraId="42E278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p>
              </w:tc>
              <w:tc>
                <w:tcPr>
                  <w:tcW w:w="243" w:type="pct"/>
                  <w:vMerge w:val="continue"/>
                  <w:shd w:val="clear" w:color="auto" w:fill="FFFFFF"/>
                  <w:noWrap/>
                  <w:vAlign w:val="center"/>
                </w:tcPr>
                <w:p w14:paraId="7E5BB0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p>
              </w:tc>
              <w:tc>
                <w:tcPr>
                  <w:tcW w:w="406" w:type="pct"/>
                  <w:shd w:val="clear" w:color="auto" w:fill="FFFFFF"/>
                  <w:noWrap/>
                  <w:vAlign w:val="center"/>
                </w:tcPr>
                <w:p w14:paraId="25CC41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400" w:type="pct"/>
                  <w:shd w:val="clear" w:color="auto" w:fill="FFFFFF"/>
                  <w:noWrap/>
                  <w:vAlign w:val="center"/>
                </w:tcPr>
                <w:p w14:paraId="464F23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354" w:type="pct"/>
                  <w:shd w:val="clear" w:color="auto" w:fill="FFFFFF"/>
                  <w:noWrap/>
                  <w:vAlign w:val="center"/>
                </w:tcPr>
                <w:p w14:paraId="1FE517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377" w:type="pct"/>
                  <w:shd w:val="clear" w:color="auto" w:fill="FFFFFF"/>
                  <w:noWrap/>
                  <w:vAlign w:val="center"/>
                </w:tcPr>
                <w:p w14:paraId="49654B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571" w:type="pct"/>
                  <w:shd w:val="clear" w:color="auto" w:fill="FFFFFF"/>
                  <w:noWrap/>
                  <w:vAlign w:val="center"/>
                </w:tcPr>
                <w:p w14:paraId="147A2E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FF0000"/>
                      <w:sz w:val="21"/>
                      <w:szCs w:val="21"/>
                      <w:lang w:val="en-US" w:eastAsia="zh-CN"/>
                    </w:rPr>
                  </w:pPr>
                  <w:r>
                    <w:rPr>
                      <w:rFonts w:hint="eastAsia" w:cs="Times New Roman"/>
                      <w:color w:val="auto"/>
                      <w:sz w:val="21"/>
                      <w:szCs w:val="21"/>
                      <w:lang w:val="en-US" w:eastAsia="zh-CN"/>
                    </w:rPr>
                    <w:t>10（无量纲）</w:t>
                  </w:r>
                </w:p>
              </w:tc>
            </w:tr>
          </w:tbl>
          <w:p w14:paraId="546F108A">
            <w:pPr>
              <w:adjustRightInd w:val="0"/>
              <w:snapToGrid w:val="0"/>
              <w:spacing w:line="360" w:lineRule="auto"/>
              <w:ind w:firstLine="442" w:firstLineChars="200"/>
              <w:rPr>
                <w:b/>
                <w:bCs/>
                <w:spacing w:val="-10"/>
                <w:sz w:val="24"/>
              </w:rPr>
            </w:pPr>
            <w:r>
              <w:rPr>
                <w:rFonts w:hint="eastAsia"/>
                <w:b/>
                <w:bCs/>
                <w:spacing w:val="-10"/>
                <w:sz w:val="24"/>
              </w:rPr>
              <w:t>2</w:t>
            </w:r>
            <w:r>
              <w:rPr>
                <w:b/>
                <w:bCs/>
                <w:spacing w:val="-10"/>
                <w:sz w:val="24"/>
              </w:rPr>
              <w:t>、排气口设置情况及监测计划</w:t>
            </w:r>
          </w:p>
          <w:p w14:paraId="15383193">
            <w:pPr>
              <w:adjustRightInd w:val="0"/>
              <w:snapToGrid w:val="0"/>
              <w:spacing w:line="360" w:lineRule="auto"/>
              <w:ind w:firstLine="480" w:firstLineChars="200"/>
              <w:rPr>
                <w:b/>
                <w:sz w:val="24"/>
              </w:rPr>
            </w:pPr>
            <w:r>
              <w:rPr>
                <w:bCs/>
                <w:sz w:val="24"/>
              </w:rPr>
              <w:t>根据《排污单位自行监测技术指南 总则》（HJ819-2017）</w:t>
            </w:r>
            <w:r>
              <w:rPr>
                <w:rFonts w:hint="eastAsia"/>
                <w:bCs/>
                <w:sz w:val="24"/>
              </w:rPr>
              <w:t>、</w:t>
            </w:r>
            <w:r>
              <w:rPr>
                <w:rFonts w:hint="default" w:ascii="Times New Roman" w:hAnsi="Times New Roman" w:eastAsia="宋体" w:cs="Times New Roman"/>
                <w:color w:val="000000"/>
                <w:sz w:val="24"/>
                <w:szCs w:val="24"/>
                <w:highlight w:val="none"/>
              </w:rPr>
              <w:t xml:space="preserve">《排污许可证申请与核发技术规范 </w:t>
            </w:r>
            <w:r>
              <w:rPr>
                <w:rFonts w:hint="eastAsia" w:cs="Times New Roman"/>
                <w:color w:val="000000"/>
                <w:sz w:val="24"/>
                <w:szCs w:val="24"/>
                <w:highlight w:val="none"/>
                <w:lang w:val="en-US" w:eastAsia="zh-CN"/>
              </w:rPr>
              <w:t>医疗机构</w:t>
            </w:r>
            <w:r>
              <w:rPr>
                <w:rFonts w:hint="default" w:ascii="Times New Roman" w:hAnsi="Times New Roman" w:eastAsia="宋体" w:cs="Times New Roman"/>
                <w:color w:val="000000"/>
                <w:sz w:val="24"/>
                <w:szCs w:val="24"/>
                <w:highlight w:val="none"/>
              </w:rPr>
              <w:t>》（HJ</w:t>
            </w:r>
            <w:r>
              <w:rPr>
                <w:rFonts w:hint="eastAsia" w:cs="Times New Roman"/>
                <w:color w:val="000000"/>
                <w:sz w:val="24"/>
                <w:szCs w:val="24"/>
                <w:highlight w:val="none"/>
                <w:lang w:val="en-US" w:eastAsia="zh-CN"/>
              </w:rPr>
              <w:t>1105</w:t>
            </w:r>
            <w:r>
              <w:rPr>
                <w:rFonts w:hint="default" w:ascii="Times New Roman" w:hAnsi="Times New Roman" w:eastAsia="宋体" w:cs="Times New Roman"/>
                <w:color w:val="000000"/>
                <w:sz w:val="24"/>
                <w:szCs w:val="24"/>
                <w:highlight w:val="none"/>
              </w:rPr>
              <w:t>-20</w:t>
            </w:r>
            <w:r>
              <w:rPr>
                <w:rFonts w:hint="eastAsia" w:cs="Times New Roman"/>
                <w:color w:val="000000"/>
                <w:sz w:val="24"/>
                <w:szCs w:val="24"/>
                <w:highlight w:val="none"/>
                <w:lang w:val="en-US" w:eastAsia="zh-CN"/>
              </w:rPr>
              <w:t>20</w:t>
            </w:r>
            <w:r>
              <w:rPr>
                <w:rFonts w:hint="default" w:ascii="Times New Roman" w:hAnsi="Times New Roman" w:eastAsia="宋体" w:cs="Times New Roman"/>
                <w:color w:val="000000"/>
                <w:sz w:val="24"/>
                <w:szCs w:val="24"/>
                <w:highlight w:val="none"/>
              </w:rPr>
              <w:t>）</w:t>
            </w:r>
            <w:r>
              <w:rPr>
                <w:bCs/>
                <w:sz w:val="24"/>
              </w:rPr>
              <w:t>，制定本项目大气监测计划如下：</w:t>
            </w:r>
          </w:p>
          <w:p w14:paraId="12FA3A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3"/>
              <w:rPr>
                <w:b/>
                <w:sz w:val="24"/>
              </w:rPr>
            </w:pPr>
            <w:r>
              <w:rPr>
                <w:b/>
                <w:sz w:val="24"/>
              </w:rPr>
              <w:t>表4</w:t>
            </w:r>
            <w:r>
              <w:rPr>
                <w:rFonts w:hint="eastAsia"/>
                <w:b/>
                <w:sz w:val="24"/>
              </w:rPr>
              <w:t>-</w:t>
            </w:r>
            <w:r>
              <w:rPr>
                <w:rFonts w:hint="eastAsia"/>
                <w:b/>
                <w:sz w:val="24"/>
                <w:lang w:val="en-US" w:eastAsia="zh-CN"/>
              </w:rPr>
              <w:t>5</w:t>
            </w:r>
            <w:r>
              <w:rPr>
                <w:b/>
                <w:sz w:val="24"/>
              </w:rPr>
              <w:t xml:space="preserve">  本项目排气口设置及大气污染物监测计划</w:t>
            </w:r>
          </w:p>
          <w:tbl>
            <w:tblPr>
              <w:tblStyle w:val="27"/>
              <w:tblW w:w="13354"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893"/>
              <w:gridCol w:w="1100"/>
              <w:gridCol w:w="855"/>
              <w:gridCol w:w="840"/>
              <w:gridCol w:w="915"/>
              <w:gridCol w:w="1305"/>
              <w:gridCol w:w="1440"/>
              <w:gridCol w:w="1783"/>
              <w:gridCol w:w="1575"/>
              <w:gridCol w:w="1584"/>
              <w:gridCol w:w="1064"/>
            </w:tblGrid>
            <w:tr w14:paraId="21903D5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PrEx>
              <w:trPr>
                <w:trHeight w:val="0" w:hRule="atLeast"/>
                <w:jc w:val="center"/>
              </w:trPr>
              <w:tc>
                <w:tcPr>
                  <w:tcW w:w="893" w:type="dxa"/>
                  <w:vMerge w:val="restart"/>
                  <w:tcBorders>
                    <w:top w:val="single" w:color="000000" w:sz="8" w:space="0"/>
                    <w:left w:val="single" w:color="000000" w:sz="8" w:space="0"/>
                    <w:bottom w:val="single" w:color="000000" w:sz="8" w:space="0"/>
                    <w:right w:val="single" w:color="000000" w:sz="8" w:space="0"/>
                  </w:tcBorders>
                  <w:shd w:val="clear" w:color="000000" w:fill="FFFFFF"/>
                  <w:vAlign w:val="center"/>
                </w:tcPr>
                <w:p w14:paraId="1CC5239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污染源类别</w:t>
                  </w:r>
                </w:p>
              </w:tc>
              <w:tc>
                <w:tcPr>
                  <w:tcW w:w="1100" w:type="dxa"/>
                  <w:vMerge w:val="restart"/>
                  <w:tcBorders>
                    <w:top w:val="single" w:color="000000" w:sz="8" w:space="0"/>
                    <w:left w:val="single" w:color="000000" w:sz="8" w:space="0"/>
                    <w:bottom w:val="single" w:color="000000" w:sz="8" w:space="0"/>
                    <w:right w:val="single" w:color="000000" w:sz="8" w:space="0"/>
                  </w:tcBorders>
                  <w:shd w:val="clear" w:color="000000" w:fill="FFFFFF"/>
                  <w:vAlign w:val="center"/>
                </w:tcPr>
                <w:p w14:paraId="7954EDD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排污口编号及名称</w:t>
                  </w:r>
                </w:p>
              </w:tc>
              <w:tc>
                <w:tcPr>
                  <w:tcW w:w="5355" w:type="dxa"/>
                  <w:gridSpan w:val="5"/>
                  <w:tcBorders>
                    <w:top w:val="single" w:color="000000" w:sz="8" w:space="0"/>
                    <w:left w:val="single" w:color="000000" w:sz="8" w:space="0"/>
                    <w:bottom w:val="single" w:color="000000" w:sz="8" w:space="0"/>
                    <w:right w:val="single" w:color="000000" w:sz="8" w:space="0"/>
                  </w:tcBorders>
                  <w:shd w:val="clear" w:color="000000" w:fill="FFFFFF"/>
                  <w:vAlign w:val="center"/>
                </w:tcPr>
                <w:p w14:paraId="0111C1B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排放口基本情况</w:t>
                  </w:r>
                </w:p>
              </w:tc>
              <w:tc>
                <w:tcPr>
                  <w:tcW w:w="1783"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5AFCE31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排放标准</w:t>
                  </w:r>
                </w:p>
              </w:tc>
              <w:tc>
                <w:tcPr>
                  <w:tcW w:w="4223" w:type="dxa"/>
                  <w:gridSpan w:val="3"/>
                  <w:tcBorders>
                    <w:top w:val="single" w:color="000000" w:sz="8" w:space="0"/>
                    <w:left w:val="single" w:color="000000" w:sz="8" w:space="0"/>
                    <w:bottom w:val="single" w:color="000000" w:sz="8" w:space="0"/>
                    <w:right w:val="single" w:color="000000" w:sz="8" w:space="0"/>
                  </w:tcBorders>
                  <w:shd w:val="clear" w:color="000000" w:fill="FFFFFF"/>
                  <w:vAlign w:val="center"/>
                </w:tcPr>
                <w:p w14:paraId="776FAB4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监测要求</w:t>
                  </w:r>
                </w:p>
              </w:tc>
            </w:tr>
            <w:tr w14:paraId="4099FB7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89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EA5F67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p>
              </w:tc>
              <w:tc>
                <w:tcPr>
                  <w:tcW w:w="1100"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34649D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p>
              </w:tc>
              <w:tc>
                <w:tcPr>
                  <w:tcW w:w="855"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364BD84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高度m</w:t>
                  </w:r>
                </w:p>
              </w:tc>
              <w:tc>
                <w:tcPr>
                  <w:tcW w:w="840"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76BB3A6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内径m</w:t>
                  </w:r>
                </w:p>
              </w:tc>
              <w:tc>
                <w:tcPr>
                  <w:tcW w:w="915"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6135065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温度℃</w:t>
                  </w:r>
                </w:p>
              </w:tc>
              <w:tc>
                <w:tcPr>
                  <w:tcW w:w="1305"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5C09CAA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坐标</w:t>
                  </w:r>
                </w:p>
              </w:tc>
              <w:tc>
                <w:tcPr>
                  <w:tcW w:w="1440"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68DA5F5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类型</w:t>
                  </w:r>
                </w:p>
              </w:tc>
              <w:tc>
                <w:tcPr>
                  <w:tcW w:w="1783"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44D9CAF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浓度限</w:t>
                  </w:r>
                  <w:r>
                    <w:rPr>
                      <w:rFonts w:hint="eastAsia" w:ascii="Times New Roman" w:hAnsi="Times New Roman" w:eastAsia="宋体"/>
                      <w:sz w:val="21"/>
                      <w:szCs w:val="21"/>
                    </w:rPr>
                    <w:t>值</w:t>
                  </w:r>
                  <w:r>
                    <w:rPr>
                      <w:rFonts w:ascii="Times New Roman" w:hAnsi="Times New Roman" w:eastAsia="宋体"/>
                      <w:sz w:val="21"/>
                      <w:szCs w:val="21"/>
                    </w:rPr>
                    <w:t>mg/m</w:t>
                  </w:r>
                  <w:r>
                    <w:rPr>
                      <w:rFonts w:ascii="Times New Roman" w:hAnsi="Times New Roman" w:eastAsia="宋体"/>
                      <w:sz w:val="21"/>
                      <w:szCs w:val="21"/>
                      <w:vertAlign w:val="superscript"/>
                    </w:rPr>
                    <w:t>3</w:t>
                  </w:r>
                </w:p>
              </w:tc>
              <w:tc>
                <w:tcPr>
                  <w:tcW w:w="1575"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5DCCBC3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监测点位</w:t>
                  </w:r>
                </w:p>
              </w:tc>
              <w:tc>
                <w:tcPr>
                  <w:tcW w:w="1584"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619467D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监测因子</w:t>
                  </w:r>
                </w:p>
              </w:tc>
              <w:tc>
                <w:tcPr>
                  <w:tcW w:w="1064"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156304E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监测频次</w:t>
                  </w:r>
                </w:p>
              </w:tc>
            </w:tr>
            <w:tr w14:paraId="66ECACD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893" w:type="dxa"/>
                  <w:vMerge w:val="restart"/>
                  <w:tcBorders>
                    <w:top w:val="single" w:color="000000" w:sz="8" w:space="0"/>
                    <w:left w:val="single" w:color="000000" w:sz="8" w:space="0"/>
                    <w:right w:val="single" w:color="000000" w:sz="8" w:space="0"/>
                  </w:tcBorders>
                  <w:shd w:val="clear" w:color="auto" w:fill="FFFFFF"/>
                  <w:vAlign w:val="center"/>
                </w:tcPr>
                <w:p w14:paraId="4AD8458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lang w:eastAsia="zh-CN"/>
                    </w:rPr>
                  </w:pPr>
                  <w:r>
                    <w:rPr>
                      <w:rFonts w:hint="eastAsia"/>
                      <w:sz w:val="21"/>
                      <w:szCs w:val="21"/>
                      <w:lang w:eastAsia="zh-CN"/>
                    </w:rPr>
                    <w:t>有组织</w:t>
                  </w:r>
                </w:p>
              </w:tc>
              <w:tc>
                <w:tcPr>
                  <w:tcW w:w="1100" w:type="dxa"/>
                  <w:vMerge w:val="restart"/>
                  <w:tcBorders>
                    <w:top w:val="single" w:color="000000" w:sz="8" w:space="0"/>
                    <w:left w:val="single" w:color="000000" w:sz="8" w:space="0"/>
                    <w:right w:val="single" w:color="000000" w:sz="8" w:space="0"/>
                  </w:tcBorders>
                  <w:shd w:val="clear" w:color="auto" w:fill="FFFFFF"/>
                  <w:vAlign w:val="center"/>
                </w:tcPr>
                <w:p w14:paraId="3D275D5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sz w:val="21"/>
                      <w:szCs w:val="21"/>
                      <w:lang w:val="en-US" w:eastAsia="zh-CN"/>
                    </w:rPr>
                  </w:pPr>
                  <w:r>
                    <w:rPr>
                      <w:rFonts w:hint="eastAsia"/>
                      <w:sz w:val="21"/>
                      <w:szCs w:val="21"/>
                      <w:lang w:val="en-US" w:eastAsia="zh-CN"/>
                    </w:rPr>
                    <w:t>DA001</w:t>
                  </w:r>
                </w:p>
              </w:tc>
              <w:tc>
                <w:tcPr>
                  <w:tcW w:w="855" w:type="dxa"/>
                  <w:vMerge w:val="restart"/>
                  <w:tcBorders>
                    <w:top w:val="single" w:color="000000" w:sz="8" w:space="0"/>
                    <w:left w:val="single" w:color="000000" w:sz="8" w:space="0"/>
                    <w:right w:val="single" w:color="000000" w:sz="8" w:space="0"/>
                  </w:tcBorders>
                  <w:shd w:val="clear" w:color="000000" w:fill="FFFFFF"/>
                  <w:vAlign w:val="center"/>
                </w:tcPr>
                <w:p w14:paraId="7B7FD9F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sz w:val="21"/>
                      <w:szCs w:val="21"/>
                      <w:lang w:val="en-US" w:eastAsia="zh-CN"/>
                    </w:rPr>
                  </w:pPr>
                  <w:r>
                    <w:rPr>
                      <w:rFonts w:hint="eastAsia"/>
                      <w:sz w:val="21"/>
                      <w:szCs w:val="21"/>
                      <w:lang w:val="en-US" w:eastAsia="zh-CN"/>
                    </w:rPr>
                    <w:t>15</w:t>
                  </w:r>
                </w:p>
              </w:tc>
              <w:tc>
                <w:tcPr>
                  <w:tcW w:w="840" w:type="dxa"/>
                  <w:vMerge w:val="restart"/>
                  <w:tcBorders>
                    <w:top w:val="single" w:color="000000" w:sz="8" w:space="0"/>
                    <w:left w:val="single" w:color="000000" w:sz="8" w:space="0"/>
                    <w:right w:val="single" w:color="000000" w:sz="8" w:space="0"/>
                  </w:tcBorders>
                  <w:shd w:val="clear" w:color="000000" w:fill="FFFFFF"/>
                  <w:vAlign w:val="center"/>
                </w:tcPr>
                <w:p w14:paraId="2D1BDDC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sz w:val="21"/>
                      <w:szCs w:val="21"/>
                      <w:lang w:val="en-US" w:eastAsia="zh-CN"/>
                    </w:rPr>
                  </w:pPr>
                  <w:r>
                    <w:rPr>
                      <w:rFonts w:hint="eastAsia"/>
                      <w:sz w:val="21"/>
                      <w:szCs w:val="21"/>
                      <w:lang w:val="en-US" w:eastAsia="zh-CN"/>
                    </w:rPr>
                    <w:t>0.4</w:t>
                  </w:r>
                </w:p>
              </w:tc>
              <w:tc>
                <w:tcPr>
                  <w:tcW w:w="915" w:type="dxa"/>
                  <w:vMerge w:val="restart"/>
                  <w:tcBorders>
                    <w:top w:val="single" w:color="000000" w:sz="8" w:space="0"/>
                    <w:left w:val="single" w:color="000000" w:sz="8" w:space="0"/>
                    <w:right w:val="single" w:color="000000" w:sz="8" w:space="0"/>
                  </w:tcBorders>
                  <w:shd w:val="clear" w:color="000000" w:fill="FFFFFF"/>
                  <w:vAlign w:val="center"/>
                </w:tcPr>
                <w:p w14:paraId="5C3DDEE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sz w:val="21"/>
                      <w:szCs w:val="21"/>
                      <w:lang w:eastAsia="zh-CN"/>
                    </w:rPr>
                  </w:pPr>
                  <w:r>
                    <w:rPr>
                      <w:rFonts w:hint="eastAsia"/>
                      <w:sz w:val="21"/>
                      <w:szCs w:val="21"/>
                      <w:lang w:eastAsia="zh-CN"/>
                    </w:rPr>
                    <w:t>常温</w:t>
                  </w:r>
                </w:p>
              </w:tc>
              <w:tc>
                <w:tcPr>
                  <w:tcW w:w="1305" w:type="dxa"/>
                  <w:vMerge w:val="restart"/>
                  <w:tcBorders>
                    <w:top w:val="single" w:color="000000" w:sz="8" w:space="0"/>
                    <w:left w:val="single" w:color="000000" w:sz="8" w:space="0"/>
                    <w:right w:val="single" w:color="000000" w:sz="8" w:space="0"/>
                  </w:tcBorders>
                  <w:shd w:val="clear" w:color="000000" w:fill="FFFFFF"/>
                  <w:vAlign w:val="center"/>
                </w:tcPr>
                <w:p w14:paraId="1DF8C17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sz w:val="21"/>
                      <w:szCs w:val="21"/>
                      <w:lang w:val="en-US" w:eastAsia="zh-CN"/>
                    </w:rPr>
                  </w:pPr>
                  <w:r>
                    <w:rPr>
                      <w:rFonts w:hint="eastAsia" w:ascii="Times New Roman" w:hAnsi="Times New Roman" w:eastAsia="宋体"/>
                      <w:sz w:val="21"/>
                      <w:szCs w:val="21"/>
                    </w:rPr>
                    <w:t>E</w:t>
                  </w:r>
                  <w:r>
                    <w:rPr>
                      <w:rFonts w:ascii="Times New Roman" w:hAnsi="Times New Roman" w:eastAsia="宋体"/>
                      <w:sz w:val="21"/>
                      <w:szCs w:val="21"/>
                    </w:rPr>
                    <w:t>11</w:t>
                  </w:r>
                  <w:r>
                    <w:rPr>
                      <w:rFonts w:hint="eastAsia"/>
                      <w:sz w:val="21"/>
                      <w:szCs w:val="21"/>
                      <w:lang w:val="en-US" w:eastAsia="zh-CN"/>
                    </w:rPr>
                    <w:t>6.82418</w:t>
                  </w:r>
                </w:p>
                <w:p w14:paraId="30E5B25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sz w:val="21"/>
                      <w:szCs w:val="21"/>
                      <w:lang w:val="en-US" w:eastAsia="zh-CN"/>
                    </w:rPr>
                  </w:pPr>
                  <w:r>
                    <w:rPr>
                      <w:rFonts w:hint="eastAsia" w:ascii="Times New Roman" w:hAnsi="Times New Roman" w:eastAsia="宋体"/>
                      <w:sz w:val="21"/>
                      <w:szCs w:val="21"/>
                    </w:rPr>
                    <w:t>N</w:t>
                  </w:r>
                  <w:r>
                    <w:rPr>
                      <w:rFonts w:ascii="Times New Roman" w:hAnsi="Times New Roman" w:eastAsia="宋体"/>
                      <w:sz w:val="21"/>
                      <w:szCs w:val="21"/>
                    </w:rPr>
                    <w:t>3</w:t>
                  </w:r>
                  <w:r>
                    <w:rPr>
                      <w:rFonts w:hint="eastAsia" w:ascii="Times New Roman" w:hAnsi="Times New Roman" w:eastAsia="宋体"/>
                      <w:sz w:val="21"/>
                      <w:szCs w:val="21"/>
                      <w:lang w:val="en-US" w:eastAsia="zh-CN"/>
                    </w:rPr>
                    <w:t>3</w:t>
                  </w:r>
                  <w:r>
                    <w:rPr>
                      <w:rFonts w:hint="eastAsia" w:ascii="Times New Roman" w:hAnsi="Times New Roman" w:eastAsia="宋体"/>
                      <w:sz w:val="21"/>
                      <w:szCs w:val="21"/>
                    </w:rPr>
                    <w:t>.</w:t>
                  </w:r>
                  <w:r>
                    <w:rPr>
                      <w:rFonts w:hint="eastAsia"/>
                      <w:sz w:val="21"/>
                      <w:szCs w:val="21"/>
                      <w:lang w:val="en-US" w:eastAsia="zh-CN"/>
                    </w:rPr>
                    <w:t>77133</w:t>
                  </w:r>
                </w:p>
              </w:tc>
              <w:tc>
                <w:tcPr>
                  <w:tcW w:w="1440" w:type="dxa"/>
                  <w:vMerge w:val="restart"/>
                  <w:tcBorders>
                    <w:top w:val="single" w:color="000000" w:sz="8" w:space="0"/>
                    <w:left w:val="single" w:color="000000" w:sz="8" w:space="0"/>
                    <w:right w:val="single" w:color="000000" w:sz="8" w:space="0"/>
                  </w:tcBorders>
                  <w:shd w:val="clear" w:color="000000" w:fill="FFFFFF"/>
                  <w:vAlign w:val="center"/>
                </w:tcPr>
                <w:p w14:paraId="0242738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r>
                    <w:rPr>
                      <w:rFonts w:hint="eastAsia" w:ascii="Times New Roman" w:hAnsi="Times New Roman" w:eastAsia="宋体"/>
                      <w:sz w:val="21"/>
                      <w:szCs w:val="21"/>
                    </w:rPr>
                    <w:t>一般</w:t>
                  </w:r>
                  <w:r>
                    <w:rPr>
                      <w:rFonts w:ascii="Times New Roman" w:hAnsi="Times New Roman" w:eastAsia="宋体"/>
                      <w:sz w:val="21"/>
                      <w:szCs w:val="21"/>
                    </w:rPr>
                    <w:t>排放口</w:t>
                  </w:r>
                </w:p>
              </w:tc>
              <w:tc>
                <w:tcPr>
                  <w:tcW w:w="1783"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42C58B4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sz w:val="21"/>
                      <w:szCs w:val="21"/>
                    </w:rPr>
                  </w:pPr>
                  <w:r>
                    <w:rPr>
                      <w:rFonts w:hint="eastAsia" w:cs="Times New Roman"/>
                      <w:color w:val="auto"/>
                      <w:szCs w:val="20"/>
                      <w:lang w:val="en-US" w:eastAsia="zh-CN"/>
                    </w:rPr>
                    <w:t>4.9kg/h</w:t>
                  </w:r>
                </w:p>
              </w:tc>
              <w:tc>
                <w:tcPr>
                  <w:tcW w:w="1575" w:type="dxa"/>
                  <w:vMerge w:val="restart"/>
                  <w:tcBorders>
                    <w:top w:val="single" w:color="000000" w:sz="8" w:space="0"/>
                    <w:left w:val="single" w:color="000000" w:sz="8" w:space="0"/>
                    <w:right w:val="single" w:color="000000" w:sz="8" w:space="0"/>
                  </w:tcBorders>
                  <w:shd w:val="clear" w:color="000000" w:fill="FFFFFF"/>
                  <w:vAlign w:val="center"/>
                </w:tcPr>
                <w:p w14:paraId="6EE59CE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sz w:val="21"/>
                      <w:szCs w:val="21"/>
                      <w:lang w:val="en-US" w:eastAsia="zh-CN"/>
                    </w:rPr>
                  </w:pPr>
                  <w:r>
                    <w:rPr>
                      <w:rFonts w:hint="eastAsia"/>
                      <w:sz w:val="21"/>
                      <w:szCs w:val="21"/>
                      <w:lang w:eastAsia="zh-CN"/>
                    </w:rPr>
                    <w:t>排气筒</w:t>
                  </w:r>
                  <w:r>
                    <w:rPr>
                      <w:rFonts w:hint="eastAsia"/>
                      <w:sz w:val="21"/>
                      <w:szCs w:val="21"/>
                      <w:lang w:val="en-US" w:eastAsia="zh-CN"/>
                    </w:rPr>
                    <w:t>DA001</w:t>
                  </w:r>
                </w:p>
              </w:tc>
              <w:tc>
                <w:tcPr>
                  <w:tcW w:w="1584" w:type="dxa"/>
                  <w:tcBorders>
                    <w:top w:val="single" w:color="000000" w:sz="8" w:space="0"/>
                    <w:left w:val="single" w:color="000000" w:sz="8" w:space="0"/>
                    <w:right w:val="single" w:color="000000" w:sz="8" w:space="0"/>
                  </w:tcBorders>
                  <w:shd w:val="clear" w:color="000000" w:fill="FFFFFF"/>
                  <w:vAlign w:val="center"/>
                </w:tcPr>
                <w:p w14:paraId="73CC8E92">
                  <w:pPr>
                    <w:pStyle w:val="95"/>
                    <w:keepNext w:val="0"/>
                    <w:keepLines w:val="0"/>
                    <w:pageBreakBefore w:val="0"/>
                    <w:widowControl w:val="0"/>
                    <w:wordWrap/>
                    <w:topLinePunct w:val="0"/>
                    <w:bidi w:val="0"/>
                    <w:snapToGrid w:val="0"/>
                    <w:ind w:left="0" w:leftChars="0" w:right="0" w:rightChars="0" w:firstLine="0" w:firstLineChars="0"/>
                    <w:jc w:val="center"/>
                    <w:rPr>
                      <w:rFonts w:hint="eastAsia" w:ascii="Times New Roman" w:hAnsi="Times New Roman" w:eastAsia="宋体"/>
                      <w:color w:val="auto"/>
                      <w:sz w:val="21"/>
                      <w:szCs w:val="21"/>
                    </w:rPr>
                  </w:pPr>
                  <w:r>
                    <w:rPr>
                      <w:rFonts w:hint="eastAsia"/>
                      <w:b w:val="0"/>
                      <w:bCs w:val="0"/>
                      <w:color w:val="auto"/>
                      <w:highlight w:val="none"/>
                      <w:lang w:val="en-US" w:eastAsia="zh-CN"/>
                    </w:rPr>
                    <w:t>NH</w:t>
                  </w:r>
                  <w:r>
                    <w:rPr>
                      <w:rFonts w:hint="eastAsia"/>
                      <w:b w:val="0"/>
                      <w:bCs w:val="0"/>
                      <w:color w:val="auto"/>
                      <w:highlight w:val="none"/>
                      <w:vertAlign w:val="subscript"/>
                      <w:lang w:val="en-US" w:eastAsia="zh-CN"/>
                    </w:rPr>
                    <w:t>3</w:t>
                  </w:r>
                </w:p>
              </w:tc>
              <w:tc>
                <w:tcPr>
                  <w:tcW w:w="1064"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06A848AF">
                  <w:pPr>
                    <w:pStyle w:val="95"/>
                    <w:keepNext w:val="0"/>
                    <w:keepLines w:val="0"/>
                    <w:pageBreakBefore w:val="0"/>
                    <w:widowControl w:val="0"/>
                    <w:wordWrap/>
                    <w:topLinePunct w:val="0"/>
                    <w:bidi w:val="0"/>
                    <w:snapToGrid w:val="0"/>
                    <w:ind w:left="0" w:leftChars="0" w:right="0" w:rightChars="0" w:firstLine="0" w:firstLineChars="0"/>
                    <w:jc w:val="center"/>
                    <w:rPr>
                      <w:rFonts w:ascii="Times New Roman" w:hAnsi="Times New Roman" w:eastAsia="宋体"/>
                      <w:sz w:val="21"/>
                      <w:szCs w:val="21"/>
                    </w:rPr>
                  </w:pPr>
                  <w:r>
                    <w:rPr>
                      <w:rFonts w:hint="eastAsia"/>
                      <w:b w:val="0"/>
                      <w:bCs w:val="0"/>
                      <w:color w:val="auto"/>
                      <w:highlight w:val="none"/>
                      <w:lang w:val="en-US" w:eastAsia="zh-CN"/>
                    </w:rPr>
                    <w:t>1次/季度</w:t>
                  </w:r>
                </w:p>
              </w:tc>
            </w:tr>
            <w:tr w14:paraId="675046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893" w:type="dxa"/>
                  <w:vMerge w:val="continue"/>
                  <w:tcBorders>
                    <w:left w:val="single" w:color="000000" w:sz="8" w:space="0"/>
                    <w:right w:val="single" w:color="000000" w:sz="8" w:space="0"/>
                  </w:tcBorders>
                  <w:shd w:val="clear" w:color="auto" w:fill="FFFFFF"/>
                  <w:vAlign w:val="center"/>
                </w:tcPr>
                <w:p w14:paraId="037369B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p>
              </w:tc>
              <w:tc>
                <w:tcPr>
                  <w:tcW w:w="1100" w:type="dxa"/>
                  <w:vMerge w:val="continue"/>
                  <w:tcBorders>
                    <w:left w:val="single" w:color="000000" w:sz="8" w:space="0"/>
                    <w:right w:val="single" w:color="000000" w:sz="8" w:space="0"/>
                  </w:tcBorders>
                  <w:shd w:val="clear" w:color="auto" w:fill="FFFFFF"/>
                  <w:vAlign w:val="center"/>
                </w:tcPr>
                <w:p w14:paraId="2A02B5E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p>
              </w:tc>
              <w:tc>
                <w:tcPr>
                  <w:tcW w:w="855" w:type="dxa"/>
                  <w:vMerge w:val="continue"/>
                  <w:tcBorders>
                    <w:left w:val="single" w:color="000000" w:sz="8" w:space="0"/>
                    <w:right w:val="single" w:color="000000" w:sz="8" w:space="0"/>
                  </w:tcBorders>
                  <w:shd w:val="clear" w:color="000000" w:fill="FFFFFF"/>
                  <w:vAlign w:val="center"/>
                </w:tcPr>
                <w:p w14:paraId="00DA11F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840" w:type="dxa"/>
                  <w:vMerge w:val="continue"/>
                  <w:tcBorders>
                    <w:left w:val="single" w:color="000000" w:sz="8" w:space="0"/>
                    <w:right w:val="single" w:color="000000" w:sz="8" w:space="0"/>
                  </w:tcBorders>
                  <w:shd w:val="clear" w:color="000000" w:fill="FFFFFF"/>
                  <w:vAlign w:val="center"/>
                </w:tcPr>
                <w:p w14:paraId="4714ADA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sz w:val="21"/>
                      <w:szCs w:val="21"/>
                      <w:lang w:val="en-US" w:eastAsia="zh-CN"/>
                    </w:rPr>
                  </w:pPr>
                </w:p>
              </w:tc>
              <w:tc>
                <w:tcPr>
                  <w:tcW w:w="915" w:type="dxa"/>
                  <w:vMerge w:val="continue"/>
                  <w:tcBorders>
                    <w:left w:val="single" w:color="000000" w:sz="8" w:space="0"/>
                    <w:right w:val="single" w:color="000000" w:sz="8" w:space="0"/>
                  </w:tcBorders>
                  <w:shd w:val="clear" w:color="000000" w:fill="FFFFFF"/>
                  <w:vAlign w:val="center"/>
                </w:tcPr>
                <w:p w14:paraId="11F6FFD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sz w:val="21"/>
                      <w:szCs w:val="21"/>
                      <w:lang w:eastAsia="zh-CN"/>
                    </w:rPr>
                  </w:pPr>
                </w:p>
              </w:tc>
              <w:tc>
                <w:tcPr>
                  <w:tcW w:w="1305" w:type="dxa"/>
                  <w:vMerge w:val="continue"/>
                  <w:tcBorders>
                    <w:left w:val="single" w:color="000000" w:sz="8" w:space="0"/>
                    <w:right w:val="single" w:color="000000" w:sz="8" w:space="0"/>
                  </w:tcBorders>
                  <w:shd w:val="clear" w:color="000000" w:fill="FFFFFF"/>
                  <w:vAlign w:val="center"/>
                </w:tcPr>
                <w:p w14:paraId="721EF83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1440" w:type="dxa"/>
                  <w:vMerge w:val="continue"/>
                  <w:tcBorders>
                    <w:left w:val="single" w:color="000000" w:sz="8" w:space="0"/>
                    <w:right w:val="single" w:color="000000" w:sz="8" w:space="0"/>
                  </w:tcBorders>
                  <w:shd w:val="clear" w:color="000000" w:fill="FFFFFF"/>
                  <w:vAlign w:val="center"/>
                </w:tcPr>
                <w:p w14:paraId="6DFBBA9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1783"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78818B4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sz w:val="21"/>
                      <w:szCs w:val="21"/>
                    </w:rPr>
                  </w:pPr>
                  <w:r>
                    <w:rPr>
                      <w:rFonts w:hint="eastAsia" w:cs="Times New Roman"/>
                      <w:color w:val="auto"/>
                      <w:szCs w:val="20"/>
                      <w:lang w:val="en-US" w:eastAsia="zh-CN"/>
                    </w:rPr>
                    <w:t>0.33kg/h</w:t>
                  </w:r>
                </w:p>
              </w:tc>
              <w:tc>
                <w:tcPr>
                  <w:tcW w:w="1575" w:type="dxa"/>
                  <w:vMerge w:val="continue"/>
                  <w:tcBorders>
                    <w:left w:val="single" w:color="000000" w:sz="8" w:space="0"/>
                    <w:right w:val="single" w:color="000000" w:sz="8" w:space="0"/>
                  </w:tcBorders>
                  <w:shd w:val="clear" w:color="000000" w:fill="FFFFFF"/>
                  <w:vAlign w:val="center"/>
                </w:tcPr>
                <w:p w14:paraId="5260E14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1584" w:type="dxa"/>
                  <w:tcBorders>
                    <w:top w:val="single" w:color="000000" w:sz="8" w:space="0"/>
                    <w:left w:val="single" w:color="000000" w:sz="8" w:space="0"/>
                    <w:right w:val="single" w:color="000000" w:sz="8" w:space="0"/>
                  </w:tcBorders>
                  <w:shd w:val="clear" w:color="000000" w:fill="FFFFFF"/>
                  <w:vAlign w:val="center"/>
                </w:tcPr>
                <w:p w14:paraId="3E07C801">
                  <w:pPr>
                    <w:pStyle w:val="95"/>
                    <w:keepNext w:val="0"/>
                    <w:keepLines w:val="0"/>
                    <w:pageBreakBefore w:val="0"/>
                    <w:widowControl w:val="0"/>
                    <w:wordWrap/>
                    <w:topLinePunct w:val="0"/>
                    <w:bidi w:val="0"/>
                    <w:snapToGrid w:val="0"/>
                    <w:ind w:left="0" w:leftChars="0" w:right="0" w:rightChars="0" w:firstLine="0" w:firstLineChars="0"/>
                    <w:jc w:val="center"/>
                    <w:rPr>
                      <w:rFonts w:hint="eastAsia" w:ascii="Times New Roman" w:hAnsi="Times New Roman" w:eastAsia="宋体"/>
                      <w:color w:val="auto"/>
                      <w:sz w:val="21"/>
                      <w:szCs w:val="21"/>
                    </w:rPr>
                  </w:pPr>
                  <w:r>
                    <w:rPr>
                      <w:rFonts w:hint="eastAsia"/>
                      <w:b w:val="0"/>
                      <w:bCs w:val="0"/>
                      <w:color w:val="auto"/>
                      <w:highlight w:val="none"/>
                      <w:lang w:val="en-US" w:eastAsia="zh-CN"/>
                    </w:rPr>
                    <w:t>H</w:t>
                  </w:r>
                  <w:r>
                    <w:rPr>
                      <w:rFonts w:hint="eastAsia"/>
                      <w:b w:val="0"/>
                      <w:bCs w:val="0"/>
                      <w:color w:val="auto"/>
                      <w:highlight w:val="none"/>
                      <w:vertAlign w:val="subscript"/>
                      <w:lang w:val="en-US" w:eastAsia="zh-CN"/>
                    </w:rPr>
                    <w:t>2</w:t>
                  </w:r>
                  <w:r>
                    <w:rPr>
                      <w:rFonts w:hint="eastAsia"/>
                      <w:b w:val="0"/>
                      <w:bCs w:val="0"/>
                      <w:color w:val="auto"/>
                      <w:highlight w:val="none"/>
                      <w:lang w:val="en-US" w:eastAsia="zh-CN"/>
                    </w:rPr>
                    <w:t>S</w:t>
                  </w:r>
                </w:p>
              </w:tc>
              <w:tc>
                <w:tcPr>
                  <w:tcW w:w="1064"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7CE4D141">
                  <w:pPr>
                    <w:pStyle w:val="95"/>
                    <w:keepNext w:val="0"/>
                    <w:keepLines w:val="0"/>
                    <w:pageBreakBefore w:val="0"/>
                    <w:widowControl w:val="0"/>
                    <w:wordWrap/>
                    <w:topLinePunct w:val="0"/>
                    <w:bidi w:val="0"/>
                    <w:snapToGrid w:val="0"/>
                    <w:ind w:left="0" w:leftChars="0" w:right="0" w:rightChars="0" w:firstLine="0" w:firstLineChars="0"/>
                    <w:jc w:val="center"/>
                    <w:rPr>
                      <w:rFonts w:ascii="Times New Roman" w:hAnsi="Times New Roman" w:eastAsia="宋体"/>
                      <w:sz w:val="21"/>
                      <w:szCs w:val="21"/>
                    </w:rPr>
                  </w:pPr>
                  <w:r>
                    <w:rPr>
                      <w:rFonts w:hint="eastAsia"/>
                      <w:b w:val="0"/>
                      <w:bCs w:val="0"/>
                      <w:color w:val="auto"/>
                      <w:highlight w:val="none"/>
                      <w:lang w:val="en-US" w:eastAsia="zh-CN"/>
                    </w:rPr>
                    <w:t>1次/季度</w:t>
                  </w:r>
                </w:p>
              </w:tc>
            </w:tr>
            <w:tr w14:paraId="675DEC68">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893" w:type="dxa"/>
                  <w:vMerge w:val="continue"/>
                  <w:tcBorders>
                    <w:left w:val="single" w:color="000000" w:sz="8" w:space="0"/>
                    <w:right w:val="single" w:color="000000" w:sz="8" w:space="0"/>
                  </w:tcBorders>
                  <w:shd w:val="clear" w:color="auto" w:fill="FFFFFF"/>
                  <w:vAlign w:val="center"/>
                </w:tcPr>
                <w:p w14:paraId="50D84BB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lang w:eastAsia="zh-CN"/>
                    </w:rPr>
                  </w:pPr>
                </w:p>
              </w:tc>
              <w:tc>
                <w:tcPr>
                  <w:tcW w:w="1100" w:type="dxa"/>
                  <w:vMerge w:val="continue"/>
                  <w:tcBorders>
                    <w:left w:val="single" w:color="000000" w:sz="8" w:space="0"/>
                    <w:right w:val="single" w:color="000000" w:sz="8" w:space="0"/>
                  </w:tcBorders>
                  <w:shd w:val="clear" w:color="auto" w:fill="FFFFFF"/>
                  <w:vAlign w:val="center"/>
                </w:tcPr>
                <w:p w14:paraId="38BF2A2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sz w:val="21"/>
                      <w:szCs w:val="21"/>
                      <w:lang w:val="en-US" w:eastAsia="zh-CN"/>
                    </w:rPr>
                  </w:pPr>
                </w:p>
              </w:tc>
              <w:tc>
                <w:tcPr>
                  <w:tcW w:w="855" w:type="dxa"/>
                  <w:vMerge w:val="continue"/>
                  <w:tcBorders>
                    <w:left w:val="single" w:color="000000" w:sz="8" w:space="0"/>
                    <w:right w:val="single" w:color="000000" w:sz="8" w:space="0"/>
                  </w:tcBorders>
                  <w:shd w:val="clear" w:color="000000" w:fill="FFFFFF"/>
                  <w:vAlign w:val="center"/>
                </w:tcPr>
                <w:p w14:paraId="083916D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840" w:type="dxa"/>
                  <w:vMerge w:val="continue"/>
                  <w:tcBorders>
                    <w:left w:val="single" w:color="000000" w:sz="8" w:space="0"/>
                    <w:right w:val="single" w:color="000000" w:sz="8" w:space="0"/>
                  </w:tcBorders>
                  <w:shd w:val="clear" w:color="000000" w:fill="FFFFFF"/>
                  <w:vAlign w:val="center"/>
                </w:tcPr>
                <w:p w14:paraId="18156B3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sz w:val="21"/>
                      <w:szCs w:val="21"/>
                      <w:lang w:val="en-US" w:eastAsia="zh-CN"/>
                    </w:rPr>
                  </w:pPr>
                </w:p>
              </w:tc>
              <w:tc>
                <w:tcPr>
                  <w:tcW w:w="915" w:type="dxa"/>
                  <w:vMerge w:val="continue"/>
                  <w:tcBorders>
                    <w:left w:val="single" w:color="000000" w:sz="8" w:space="0"/>
                    <w:right w:val="single" w:color="000000" w:sz="8" w:space="0"/>
                  </w:tcBorders>
                  <w:shd w:val="clear" w:color="000000" w:fill="FFFFFF"/>
                  <w:vAlign w:val="center"/>
                </w:tcPr>
                <w:p w14:paraId="290C6B4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sz w:val="21"/>
                      <w:szCs w:val="21"/>
                      <w:lang w:eastAsia="zh-CN"/>
                    </w:rPr>
                  </w:pPr>
                </w:p>
              </w:tc>
              <w:tc>
                <w:tcPr>
                  <w:tcW w:w="1305" w:type="dxa"/>
                  <w:vMerge w:val="continue"/>
                  <w:tcBorders>
                    <w:left w:val="single" w:color="000000" w:sz="8" w:space="0"/>
                    <w:right w:val="single" w:color="000000" w:sz="8" w:space="0"/>
                  </w:tcBorders>
                  <w:shd w:val="clear" w:color="000000" w:fill="FFFFFF"/>
                  <w:vAlign w:val="center"/>
                </w:tcPr>
                <w:p w14:paraId="15AD88C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1440" w:type="dxa"/>
                  <w:vMerge w:val="continue"/>
                  <w:tcBorders>
                    <w:left w:val="single" w:color="000000" w:sz="8" w:space="0"/>
                    <w:right w:val="single" w:color="000000" w:sz="8" w:space="0"/>
                  </w:tcBorders>
                  <w:shd w:val="clear" w:color="000000" w:fill="FFFFFF"/>
                  <w:vAlign w:val="center"/>
                </w:tcPr>
                <w:p w14:paraId="26AE292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1783"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158CA15B">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sz w:val="21"/>
                      <w:szCs w:val="21"/>
                      <w:lang w:val="en-US" w:eastAsia="zh-CN"/>
                    </w:rPr>
                  </w:pPr>
                  <w:r>
                    <w:rPr>
                      <w:rFonts w:hint="eastAsia"/>
                      <w:sz w:val="21"/>
                      <w:szCs w:val="21"/>
                      <w:lang w:val="en-US" w:eastAsia="zh-CN"/>
                    </w:rPr>
                    <w:t>2000（无量纲）</w:t>
                  </w:r>
                </w:p>
              </w:tc>
              <w:tc>
                <w:tcPr>
                  <w:tcW w:w="1575" w:type="dxa"/>
                  <w:vMerge w:val="continue"/>
                  <w:tcBorders>
                    <w:left w:val="single" w:color="000000" w:sz="8" w:space="0"/>
                    <w:right w:val="single" w:color="000000" w:sz="8" w:space="0"/>
                  </w:tcBorders>
                  <w:shd w:val="clear" w:color="000000" w:fill="FFFFFF"/>
                  <w:vAlign w:val="center"/>
                </w:tcPr>
                <w:p w14:paraId="5C5ED2B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1584" w:type="dxa"/>
                  <w:tcBorders>
                    <w:top w:val="single" w:color="000000" w:sz="8" w:space="0"/>
                    <w:left w:val="single" w:color="000000" w:sz="8" w:space="0"/>
                    <w:right w:val="single" w:color="000000" w:sz="8" w:space="0"/>
                  </w:tcBorders>
                  <w:shd w:val="clear" w:color="000000" w:fill="FFFFFF"/>
                  <w:vAlign w:val="center"/>
                </w:tcPr>
                <w:p w14:paraId="5D066C1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olor w:val="auto"/>
                      <w:sz w:val="21"/>
                      <w:szCs w:val="21"/>
                    </w:rPr>
                  </w:pPr>
                  <w:r>
                    <w:rPr>
                      <w:rFonts w:hint="eastAsia" w:cs="Times New Roman"/>
                      <w:color w:val="auto"/>
                      <w:sz w:val="21"/>
                      <w:szCs w:val="21"/>
                      <w:lang w:val="en-US" w:eastAsia="zh-CN"/>
                    </w:rPr>
                    <w:t>臭气浓度</w:t>
                  </w:r>
                </w:p>
              </w:tc>
              <w:tc>
                <w:tcPr>
                  <w:tcW w:w="1064"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6D20C5B5">
                  <w:pPr>
                    <w:pStyle w:val="95"/>
                    <w:keepNext w:val="0"/>
                    <w:keepLines w:val="0"/>
                    <w:pageBreakBefore w:val="0"/>
                    <w:widowControl w:val="0"/>
                    <w:wordWrap/>
                    <w:topLinePunct w:val="0"/>
                    <w:bidi w:val="0"/>
                    <w:snapToGrid w:val="0"/>
                    <w:ind w:left="0" w:leftChars="0" w:right="0" w:rightChars="0" w:firstLine="0" w:firstLineChars="0"/>
                    <w:jc w:val="center"/>
                    <w:rPr>
                      <w:rFonts w:ascii="Times New Roman" w:hAnsi="Times New Roman" w:eastAsia="宋体"/>
                      <w:sz w:val="21"/>
                      <w:szCs w:val="21"/>
                    </w:rPr>
                  </w:pPr>
                  <w:r>
                    <w:rPr>
                      <w:rFonts w:hint="eastAsia"/>
                      <w:b w:val="0"/>
                      <w:bCs w:val="0"/>
                      <w:color w:val="auto"/>
                      <w:highlight w:val="none"/>
                      <w:lang w:val="en-US" w:eastAsia="zh-CN"/>
                    </w:rPr>
                    <w:t>1次/季度</w:t>
                  </w:r>
                </w:p>
              </w:tc>
            </w:tr>
            <w:tr w14:paraId="1BA8136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893" w:type="dxa"/>
                  <w:vMerge w:val="restart"/>
                  <w:tcBorders>
                    <w:top w:val="single" w:color="000000" w:sz="8" w:space="0"/>
                    <w:left w:val="single" w:color="000000" w:sz="8" w:space="0"/>
                    <w:right w:val="single" w:color="000000" w:sz="8" w:space="0"/>
                  </w:tcBorders>
                  <w:shd w:val="clear" w:color="auto" w:fill="FFFFFF"/>
                  <w:vAlign w:val="center"/>
                </w:tcPr>
                <w:p w14:paraId="4C8D533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rPr>
                    <w:t>无组织</w:t>
                  </w:r>
                </w:p>
              </w:tc>
              <w:tc>
                <w:tcPr>
                  <w:tcW w:w="1100" w:type="dxa"/>
                  <w:vMerge w:val="restart"/>
                  <w:tcBorders>
                    <w:top w:val="single" w:color="000000" w:sz="8" w:space="0"/>
                    <w:left w:val="single" w:color="000000" w:sz="8" w:space="0"/>
                    <w:right w:val="single" w:color="000000" w:sz="8" w:space="0"/>
                  </w:tcBorders>
                  <w:shd w:val="clear" w:color="auto" w:fill="FFFFFF"/>
                  <w:vAlign w:val="center"/>
                </w:tcPr>
                <w:p w14:paraId="60925BE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rPr>
                    <w:t>厂界</w:t>
                  </w:r>
                </w:p>
              </w:tc>
              <w:tc>
                <w:tcPr>
                  <w:tcW w:w="855" w:type="dxa"/>
                  <w:vMerge w:val="restart"/>
                  <w:tcBorders>
                    <w:top w:val="single" w:color="000000" w:sz="8" w:space="0"/>
                    <w:left w:val="single" w:color="000000" w:sz="8" w:space="0"/>
                    <w:right w:val="single" w:color="000000" w:sz="8" w:space="0"/>
                  </w:tcBorders>
                  <w:shd w:val="clear" w:color="000000" w:fill="FFFFFF"/>
                  <w:vAlign w:val="center"/>
                </w:tcPr>
                <w:p w14:paraId="2E7589F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rPr>
                    <w:t>/</w:t>
                  </w:r>
                </w:p>
              </w:tc>
              <w:tc>
                <w:tcPr>
                  <w:tcW w:w="840" w:type="dxa"/>
                  <w:vMerge w:val="restart"/>
                  <w:tcBorders>
                    <w:top w:val="single" w:color="000000" w:sz="8" w:space="0"/>
                    <w:left w:val="single" w:color="000000" w:sz="8" w:space="0"/>
                    <w:right w:val="single" w:color="000000" w:sz="8" w:space="0"/>
                  </w:tcBorders>
                  <w:shd w:val="clear" w:color="000000" w:fill="FFFFFF"/>
                  <w:vAlign w:val="center"/>
                </w:tcPr>
                <w:p w14:paraId="0EA3209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rPr>
                    <w:t>/</w:t>
                  </w:r>
                </w:p>
              </w:tc>
              <w:tc>
                <w:tcPr>
                  <w:tcW w:w="915" w:type="dxa"/>
                  <w:vMerge w:val="restart"/>
                  <w:tcBorders>
                    <w:top w:val="single" w:color="000000" w:sz="8" w:space="0"/>
                    <w:left w:val="single" w:color="000000" w:sz="8" w:space="0"/>
                    <w:right w:val="single" w:color="000000" w:sz="8" w:space="0"/>
                  </w:tcBorders>
                  <w:shd w:val="clear" w:color="000000" w:fill="FFFFFF"/>
                  <w:vAlign w:val="center"/>
                </w:tcPr>
                <w:p w14:paraId="7884961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rPr>
                    <w:t>/</w:t>
                  </w:r>
                </w:p>
              </w:tc>
              <w:tc>
                <w:tcPr>
                  <w:tcW w:w="1305" w:type="dxa"/>
                  <w:vMerge w:val="restart"/>
                  <w:tcBorders>
                    <w:top w:val="single" w:color="000000" w:sz="8" w:space="0"/>
                    <w:left w:val="single" w:color="000000" w:sz="8" w:space="0"/>
                    <w:right w:val="single" w:color="000000" w:sz="8" w:space="0"/>
                  </w:tcBorders>
                  <w:shd w:val="clear" w:color="000000" w:fill="FFFFFF"/>
                  <w:vAlign w:val="center"/>
                </w:tcPr>
                <w:p w14:paraId="6B13B56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rPr>
                    <w:t>/</w:t>
                  </w:r>
                </w:p>
              </w:tc>
              <w:tc>
                <w:tcPr>
                  <w:tcW w:w="1440" w:type="dxa"/>
                  <w:vMerge w:val="restart"/>
                  <w:tcBorders>
                    <w:top w:val="single" w:color="000000" w:sz="8" w:space="0"/>
                    <w:left w:val="single" w:color="000000" w:sz="8" w:space="0"/>
                    <w:right w:val="single" w:color="000000" w:sz="8" w:space="0"/>
                  </w:tcBorders>
                  <w:shd w:val="clear" w:color="000000" w:fill="FFFFFF"/>
                  <w:vAlign w:val="center"/>
                </w:tcPr>
                <w:p w14:paraId="5BF8B00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rPr>
                    <w:t>/</w:t>
                  </w:r>
                </w:p>
              </w:tc>
              <w:tc>
                <w:tcPr>
                  <w:tcW w:w="1783"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326D048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sz w:val="21"/>
                      <w:szCs w:val="21"/>
                      <w:lang w:val="en-US" w:eastAsia="zh-CN"/>
                    </w:rPr>
                  </w:pPr>
                  <w:r>
                    <w:rPr>
                      <w:rFonts w:hint="eastAsia" w:ascii="Times New Roman" w:hAnsi="Times New Roman" w:eastAsia="宋体"/>
                      <w:sz w:val="21"/>
                      <w:szCs w:val="21"/>
                      <w:lang w:val="en-US" w:eastAsia="zh-CN"/>
                    </w:rPr>
                    <w:t>1.</w:t>
                  </w:r>
                  <w:r>
                    <w:rPr>
                      <w:rFonts w:hint="eastAsia"/>
                      <w:sz w:val="21"/>
                      <w:szCs w:val="21"/>
                      <w:lang w:val="en-US" w:eastAsia="zh-CN"/>
                    </w:rPr>
                    <w:t>0</w:t>
                  </w:r>
                </w:p>
              </w:tc>
              <w:tc>
                <w:tcPr>
                  <w:tcW w:w="1575" w:type="dxa"/>
                  <w:vMerge w:val="restart"/>
                  <w:tcBorders>
                    <w:top w:val="single" w:color="000000" w:sz="8" w:space="0"/>
                    <w:left w:val="single" w:color="000000" w:sz="8" w:space="0"/>
                    <w:right w:val="single" w:color="000000" w:sz="8" w:space="0"/>
                  </w:tcBorders>
                  <w:shd w:val="clear" w:color="000000" w:fill="FFFFFF"/>
                  <w:vAlign w:val="center"/>
                </w:tcPr>
                <w:p w14:paraId="56FA3C3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rPr>
                    <w:t>厂界四周</w:t>
                  </w:r>
                </w:p>
              </w:tc>
              <w:tc>
                <w:tcPr>
                  <w:tcW w:w="1584" w:type="dxa"/>
                  <w:tcBorders>
                    <w:left w:val="single" w:color="000000" w:sz="8" w:space="0"/>
                    <w:right w:val="single" w:color="000000" w:sz="8" w:space="0"/>
                  </w:tcBorders>
                  <w:shd w:val="clear" w:color="000000" w:fill="FFFFFF"/>
                  <w:vAlign w:val="center"/>
                </w:tcPr>
                <w:p w14:paraId="65DDAD86">
                  <w:pPr>
                    <w:pStyle w:val="95"/>
                    <w:keepNext w:val="0"/>
                    <w:keepLines w:val="0"/>
                    <w:pageBreakBefore w:val="0"/>
                    <w:widowControl w:val="0"/>
                    <w:wordWrap/>
                    <w:topLinePunct w:val="0"/>
                    <w:bidi w:val="0"/>
                    <w:snapToGrid w:val="0"/>
                    <w:ind w:left="0" w:leftChars="0" w:right="0" w:rightChars="0" w:firstLine="0" w:firstLineChars="0"/>
                    <w:jc w:val="center"/>
                    <w:rPr>
                      <w:rFonts w:ascii="Times New Roman" w:hAnsi="Times New Roman" w:eastAsia="宋体"/>
                      <w:sz w:val="21"/>
                      <w:szCs w:val="21"/>
                    </w:rPr>
                  </w:pPr>
                  <w:r>
                    <w:rPr>
                      <w:rFonts w:hint="eastAsia"/>
                      <w:b w:val="0"/>
                      <w:bCs w:val="0"/>
                      <w:color w:val="auto"/>
                      <w:highlight w:val="none"/>
                      <w:lang w:val="en-US" w:eastAsia="zh-CN"/>
                    </w:rPr>
                    <w:t>NH</w:t>
                  </w:r>
                  <w:r>
                    <w:rPr>
                      <w:rFonts w:hint="eastAsia"/>
                      <w:b w:val="0"/>
                      <w:bCs w:val="0"/>
                      <w:color w:val="auto"/>
                      <w:highlight w:val="none"/>
                      <w:vertAlign w:val="subscript"/>
                      <w:lang w:val="en-US" w:eastAsia="zh-CN"/>
                    </w:rPr>
                    <w:t>3</w:t>
                  </w:r>
                </w:p>
              </w:tc>
              <w:tc>
                <w:tcPr>
                  <w:tcW w:w="1064"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447989F4">
                  <w:pPr>
                    <w:pStyle w:val="95"/>
                    <w:keepNext w:val="0"/>
                    <w:keepLines w:val="0"/>
                    <w:pageBreakBefore w:val="0"/>
                    <w:widowControl w:val="0"/>
                    <w:wordWrap/>
                    <w:topLinePunct w:val="0"/>
                    <w:bidi w:val="0"/>
                    <w:snapToGrid w:val="0"/>
                    <w:ind w:left="0" w:leftChars="0" w:right="0" w:rightChars="0" w:firstLine="0" w:firstLineChars="0"/>
                    <w:jc w:val="center"/>
                    <w:rPr>
                      <w:rFonts w:hint="default" w:ascii="Times New Roman" w:hAnsi="Times New Roman" w:eastAsia="宋体"/>
                      <w:sz w:val="21"/>
                      <w:szCs w:val="21"/>
                      <w:lang w:val="en-US" w:eastAsia="zh-CN"/>
                    </w:rPr>
                  </w:pPr>
                  <w:r>
                    <w:rPr>
                      <w:rFonts w:hint="eastAsia"/>
                      <w:b w:val="0"/>
                      <w:bCs w:val="0"/>
                      <w:color w:val="auto"/>
                      <w:highlight w:val="none"/>
                      <w:lang w:val="en-US" w:eastAsia="zh-CN"/>
                    </w:rPr>
                    <w:t>1次/季度</w:t>
                  </w:r>
                </w:p>
              </w:tc>
            </w:tr>
            <w:tr w14:paraId="6BC6095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893" w:type="dxa"/>
                  <w:vMerge w:val="continue"/>
                  <w:tcBorders>
                    <w:left w:val="single" w:color="000000" w:sz="8" w:space="0"/>
                    <w:right w:val="single" w:color="000000" w:sz="8" w:space="0"/>
                  </w:tcBorders>
                  <w:shd w:val="clear" w:color="auto" w:fill="FFFFFF"/>
                  <w:vAlign w:val="center"/>
                </w:tcPr>
                <w:p w14:paraId="08F9564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1100" w:type="dxa"/>
                  <w:vMerge w:val="continue"/>
                  <w:tcBorders>
                    <w:left w:val="single" w:color="000000" w:sz="8" w:space="0"/>
                    <w:right w:val="single" w:color="000000" w:sz="8" w:space="0"/>
                  </w:tcBorders>
                  <w:shd w:val="clear" w:color="auto" w:fill="FFFFFF"/>
                  <w:vAlign w:val="center"/>
                </w:tcPr>
                <w:p w14:paraId="2190D2C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855" w:type="dxa"/>
                  <w:vMerge w:val="continue"/>
                  <w:tcBorders>
                    <w:left w:val="single" w:color="000000" w:sz="8" w:space="0"/>
                    <w:right w:val="single" w:color="000000" w:sz="8" w:space="0"/>
                  </w:tcBorders>
                  <w:shd w:val="clear" w:color="000000" w:fill="FFFFFF"/>
                  <w:vAlign w:val="center"/>
                </w:tcPr>
                <w:p w14:paraId="206C8D4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840" w:type="dxa"/>
                  <w:vMerge w:val="continue"/>
                  <w:tcBorders>
                    <w:left w:val="single" w:color="000000" w:sz="8" w:space="0"/>
                    <w:right w:val="single" w:color="000000" w:sz="8" w:space="0"/>
                  </w:tcBorders>
                  <w:shd w:val="clear" w:color="000000" w:fill="FFFFFF"/>
                  <w:vAlign w:val="center"/>
                </w:tcPr>
                <w:p w14:paraId="710FB68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915" w:type="dxa"/>
                  <w:vMerge w:val="continue"/>
                  <w:tcBorders>
                    <w:left w:val="single" w:color="000000" w:sz="8" w:space="0"/>
                    <w:right w:val="single" w:color="000000" w:sz="8" w:space="0"/>
                  </w:tcBorders>
                  <w:shd w:val="clear" w:color="000000" w:fill="FFFFFF"/>
                  <w:vAlign w:val="center"/>
                </w:tcPr>
                <w:p w14:paraId="06DDAD3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1305" w:type="dxa"/>
                  <w:vMerge w:val="continue"/>
                  <w:tcBorders>
                    <w:left w:val="single" w:color="000000" w:sz="8" w:space="0"/>
                    <w:right w:val="single" w:color="000000" w:sz="8" w:space="0"/>
                  </w:tcBorders>
                  <w:shd w:val="clear" w:color="000000" w:fill="FFFFFF"/>
                  <w:vAlign w:val="center"/>
                </w:tcPr>
                <w:p w14:paraId="483DA84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1440" w:type="dxa"/>
                  <w:vMerge w:val="continue"/>
                  <w:tcBorders>
                    <w:left w:val="single" w:color="000000" w:sz="8" w:space="0"/>
                    <w:right w:val="single" w:color="000000" w:sz="8" w:space="0"/>
                  </w:tcBorders>
                  <w:shd w:val="clear" w:color="000000" w:fill="FFFFFF"/>
                  <w:vAlign w:val="center"/>
                </w:tcPr>
                <w:p w14:paraId="115558D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1783"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0BC0AAB2">
                  <w:pPr>
                    <w:pStyle w:val="95"/>
                    <w:keepNext w:val="0"/>
                    <w:keepLines w:val="0"/>
                    <w:pageBreakBefore w:val="0"/>
                    <w:widowControl w:val="0"/>
                    <w:wordWrap/>
                    <w:topLinePunct w:val="0"/>
                    <w:bidi w:val="0"/>
                    <w:snapToGrid w:val="0"/>
                    <w:ind w:left="0" w:leftChars="0" w:right="0" w:rightChars="0" w:firstLine="0" w:firstLineChars="0"/>
                    <w:jc w:val="center"/>
                    <w:rPr>
                      <w:rFonts w:hint="default" w:ascii="Times New Roman" w:hAnsi="Times New Roman" w:eastAsia="宋体"/>
                      <w:sz w:val="21"/>
                      <w:szCs w:val="21"/>
                      <w:lang w:val="en-US" w:eastAsia="zh-CN"/>
                    </w:rPr>
                  </w:pPr>
                  <w:r>
                    <w:rPr>
                      <w:rFonts w:hint="eastAsia"/>
                      <w:b w:val="0"/>
                      <w:bCs w:val="0"/>
                      <w:color w:val="auto"/>
                      <w:highlight w:val="none"/>
                      <w:lang w:val="en-US" w:eastAsia="zh-CN"/>
                    </w:rPr>
                    <w:t>0.03</w:t>
                  </w:r>
                </w:p>
              </w:tc>
              <w:tc>
                <w:tcPr>
                  <w:tcW w:w="1575" w:type="dxa"/>
                  <w:vMerge w:val="continue"/>
                  <w:tcBorders>
                    <w:left w:val="single" w:color="000000" w:sz="8" w:space="0"/>
                    <w:right w:val="single" w:color="000000" w:sz="8" w:space="0"/>
                  </w:tcBorders>
                  <w:shd w:val="clear" w:color="000000" w:fill="FFFFFF"/>
                  <w:vAlign w:val="center"/>
                </w:tcPr>
                <w:p w14:paraId="514F6C1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1584" w:type="dxa"/>
                  <w:tcBorders>
                    <w:left w:val="single" w:color="000000" w:sz="8" w:space="0"/>
                    <w:right w:val="single" w:color="000000" w:sz="8" w:space="0"/>
                  </w:tcBorders>
                  <w:shd w:val="clear" w:color="000000" w:fill="FFFFFF"/>
                  <w:vAlign w:val="center"/>
                </w:tcPr>
                <w:p w14:paraId="0ED1402B">
                  <w:pPr>
                    <w:pStyle w:val="95"/>
                    <w:keepNext w:val="0"/>
                    <w:keepLines w:val="0"/>
                    <w:pageBreakBefore w:val="0"/>
                    <w:widowControl w:val="0"/>
                    <w:wordWrap/>
                    <w:topLinePunct w:val="0"/>
                    <w:bidi w:val="0"/>
                    <w:snapToGrid w:val="0"/>
                    <w:ind w:left="0" w:leftChars="0" w:right="0" w:rightChars="0" w:firstLine="0" w:firstLineChars="0"/>
                    <w:jc w:val="center"/>
                    <w:rPr>
                      <w:rFonts w:hint="eastAsia" w:ascii="Times New Roman" w:hAnsi="Times New Roman" w:eastAsia="宋体"/>
                      <w:sz w:val="21"/>
                      <w:szCs w:val="21"/>
                    </w:rPr>
                  </w:pPr>
                  <w:r>
                    <w:rPr>
                      <w:rFonts w:hint="eastAsia"/>
                      <w:b w:val="0"/>
                      <w:bCs w:val="0"/>
                      <w:color w:val="auto"/>
                      <w:highlight w:val="none"/>
                      <w:lang w:val="en-US" w:eastAsia="zh-CN"/>
                    </w:rPr>
                    <w:t>H</w:t>
                  </w:r>
                  <w:r>
                    <w:rPr>
                      <w:rFonts w:hint="eastAsia"/>
                      <w:b w:val="0"/>
                      <w:bCs w:val="0"/>
                      <w:color w:val="auto"/>
                      <w:highlight w:val="none"/>
                      <w:vertAlign w:val="subscript"/>
                      <w:lang w:val="en-US" w:eastAsia="zh-CN"/>
                    </w:rPr>
                    <w:t>2</w:t>
                  </w:r>
                  <w:r>
                    <w:rPr>
                      <w:rFonts w:hint="eastAsia"/>
                      <w:b w:val="0"/>
                      <w:bCs w:val="0"/>
                      <w:color w:val="auto"/>
                      <w:highlight w:val="none"/>
                      <w:lang w:val="en-US" w:eastAsia="zh-CN"/>
                    </w:rPr>
                    <w:t>S</w:t>
                  </w:r>
                </w:p>
              </w:tc>
              <w:tc>
                <w:tcPr>
                  <w:tcW w:w="1064"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7B707345">
                  <w:pPr>
                    <w:pStyle w:val="95"/>
                    <w:keepNext w:val="0"/>
                    <w:keepLines w:val="0"/>
                    <w:pageBreakBefore w:val="0"/>
                    <w:widowControl w:val="0"/>
                    <w:wordWrap/>
                    <w:topLinePunct w:val="0"/>
                    <w:bidi w:val="0"/>
                    <w:snapToGrid w:val="0"/>
                    <w:ind w:left="0" w:leftChars="0" w:right="0" w:rightChars="0" w:firstLine="0" w:firstLineChars="0"/>
                    <w:jc w:val="center"/>
                    <w:rPr>
                      <w:rFonts w:ascii="Times New Roman" w:hAnsi="Times New Roman" w:eastAsia="宋体"/>
                      <w:sz w:val="21"/>
                      <w:szCs w:val="21"/>
                    </w:rPr>
                  </w:pPr>
                  <w:r>
                    <w:rPr>
                      <w:rFonts w:hint="eastAsia"/>
                      <w:b w:val="0"/>
                      <w:bCs w:val="0"/>
                      <w:color w:val="auto"/>
                      <w:highlight w:val="none"/>
                      <w:lang w:val="en-US" w:eastAsia="zh-CN"/>
                    </w:rPr>
                    <w:t>1次/季度</w:t>
                  </w:r>
                </w:p>
              </w:tc>
            </w:tr>
            <w:tr w14:paraId="2080BCEB">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893" w:type="dxa"/>
                  <w:vMerge w:val="continue"/>
                  <w:tcBorders>
                    <w:left w:val="single" w:color="000000" w:sz="8" w:space="0"/>
                    <w:right w:val="single" w:color="000000" w:sz="8" w:space="0"/>
                  </w:tcBorders>
                  <w:shd w:val="clear" w:color="auto" w:fill="FFFFFF"/>
                  <w:vAlign w:val="center"/>
                </w:tcPr>
                <w:p w14:paraId="32D485E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1100" w:type="dxa"/>
                  <w:vMerge w:val="continue"/>
                  <w:tcBorders>
                    <w:left w:val="single" w:color="000000" w:sz="8" w:space="0"/>
                    <w:right w:val="single" w:color="000000" w:sz="8" w:space="0"/>
                  </w:tcBorders>
                  <w:shd w:val="clear" w:color="auto" w:fill="FFFFFF"/>
                  <w:vAlign w:val="center"/>
                </w:tcPr>
                <w:p w14:paraId="2BBEEF0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855" w:type="dxa"/>
                  <w:vMerge w:val="continue"/>
                  <w:tcBorders>
                    <w:left w:val="single" w:color="000000" w:sz="8" w:space="0"/>
                    <w:right w:val="single" w:color="000000" w:sz="8" w:space="0"/>
                  </w:tcBorders>
                  <w:shd w:val="clear" w:color="000000" w:fill="FFFFFF"/>
                  <w:vAlign w:val="center"/>
                </w:tcPr>
                <w:p w14:paraId="187EEED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840" w:type="dxa"/>
                  <w:vMerge w:val="continue"/>
                  <w:tcBorders>
                    <w:left w:val="single" w:color="000000" w:sz="8" w:space="0"/>
                    <w:right w:val="single" w:color="000000" w:sz="8" w:space="0"/>
                  </w:tcBorders>
                  <w:shd w:val="clear" w:color="000000" w:fill="FFFFFF"/>
                  <w:vAlign w:val="center"/>
                </w:tcPr>
                <w:p w14:paraId="6C5687B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915" w:type="dxa"/>
                  <w:vMerge w:val="continue"/>
                  <w:tcBorders>
                    <w:left w:val="single" w:color="000000" w:sz="8" w:space="0"/>
                    <w:right w:val="single" w:color="000000" w:sz="8" w:space="0"/>
                  </w:tcBorders>
                  <w:shd w:val="clear" w:color="000000" w:fill="FFFFFF"/>
                  <w:vAlign w:val="center"/>
                </w:tcPr>
                <w:p w14:paraId="2A891E6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1305" w:type="dxa"/>
                  <w:vMerge w:val="continue"/>
                  <w:tcBorders>
                    <w:left w:val="single" w:color="000000" w:sz="8" w:space="0"/>
                    <w:right w:val="single" w:color="000000" w:sz="8" w:space="0"/>
                  </w:tcBorders>
                  <w:shd w:val="clear" w:color="000000" w:fill="FFFFFF"/>
                  <w:vAlign w:val="center"/>
                </w:tcPr>
                <w:p w14:paraId="4F8E6C1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1440" w:type="dxa"/>
                  <w:vMerge w:val="continue"/>
                  <w:tcBorders>
                    <w:left w:val="single" w:color="000000" w:sz="8" w:space="0"/>
                    <w:right w:val="single" w:color="000000" w:sz="8" w:space="0"/>
                  </w:tcBorders>
                  <w:shd w:val="clear" w:color="000000" w:fill="FFFFFF"/>
                  <w:vAlign w:val="center"/>
                </w:tcPr>
                <w:p w14:paraId="1EB1509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1783"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6AD26B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z w:val="21"/>
                      <w:szCs w:val="21"/>
                      <w:lang w:val="en-US" w:eastAsia="zh-CN"/>
                    </w:rPr>
                  </w:pPr>
                  <w:r>
                    <w:rPr>
                      <w:rFonts w:hint="eastAsia" w:cs="Times New Roman"/>
                      <w:color w:val="auto"/>
                      <w:sz w:val="21"/>
                      <w:szCs w:val="21"/>
                      <w:lang w:val="en-US" w:eastAsia="zh-CN"/>
                    </w:rPr>
                    <w:t>10</w:t>
                  </w:r>
                  <w:r>
                    <w:rPr>
                      <w:rFonts w:hint="eastAsia"/>
                      <w:sz w:val="21"/>
                      <w:szCs w:val="21"/>
                      <w:lang w:val="en-US" w:eastAsia="zh-CN"/>
                    </w:rPr>
                    <w:t>（无量纲）</w:t>
                  </w:r>
                </w:p>
              </w:tc>
              <w:tc>
                <w:tcPr>
                  <w:tcW w:w="1575" w:type="dxa"/>
                  <w:vMerge w:val="continue"/>
                  <w:tcBorders>
                    <w:left w:val="single" w:color="000000" w:sz="8" w:space="0"/>
                    <w:right w:val="single" w:color="000000" w:sz="8" w:space="0"/>
                  </w:tcBorders>
                  <w:shd w:val="clear" w:color="000000" w:fill="FFFFFF"/>
                  <w:vAlign w:val="center"/>
                </w:tcPr>
                <w:p w14:paraId="5383244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z w:val="21"/>
                      <w:szCs w:val="21"/>
                    </w:rPr>
                  </w:pPr>
                </w:p>
              </w:tc>
              <w:tc>
                <w:tcPr>
                  <w:tcW w:w="1584" w:type="dxa"/>
                  <w:tcBorders>
                    <w:left w:val="single" w:color="000000" w:sz="8" w:space="0"/>
                    <w:right w:val="single" w:color="000000" w:sz="8" w:space="0"/>
                  </w:tcBorders>
                  <w:shd w:val="clear" w:color="000000" w:fill="FFFFFF"/>
                  <w:vAlign w:val="center"/>
                </w:tcPr>
                <w:p w14:paraId="1032C6C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sz w:val="21"/>
                      <w:szCs w:val="21"/>
                    </w:rPr>
                  </w:pPr>
                  <w:r>
                    <w:rPr>
                      <w:rFonts w:hint="eastAsia" w:cs="Times New Roman"/>
                      <w:color w:val="auto"/>
                      <w:sz w:val="21"/>
                      <w:szCs w:val="21"/>
                      <w:lang w:val="en-US" w:eastAsia="zh-CN"/>
                    </w:rPr>
                    <w:t>臭气浓度</w:t>
                  </w:r>
                </w:p>
              </w:tc>
              <w:tc>
                <w:tcPr>
                  <w:tcW w:w="1064"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1326108B">
                  <w:pPr>
                    <w:pStyle w:val="95"/>
                    <w:keepNext w:val="0"/>
                    <w:keepLines w:val="0"/>
                    <w:pageBreakBefore w:val="0"/>
                    <w:widowControl w:val="0"/>
                    <w:wordWrap/>
                    <w:topLinePunct w:val="0"/>
                    <w:bidi w:val="0"/>
                    <w:snapToGrid w:val="0"/>
                    <w:ind w:left="0" w:leftChars="0" w:right="0" w:rightChars="0" w:firstLine="0" w:firstLineChars="0"/>
                    <w:jc w:val="center"/>
                    <w:rPr>
                      <w:rFonts w:ascii="Times New Roman" w:hAnsi="Times New Roman" w:eastAsia="宋体"/>
                      <w:sz w:val="21"/>
                      <w:szCs w:val="21"/>
                    </w:rPr>
                  </w:pPr>
                  <w:r>
                    <w:rPr>
                      <w:rFonts w:hint="eastAsia"/>
                      <w:b w:val="0"/>
                      <w:bCs w:val="0"/>
                      <w:color w:val="auto"/>
                      <w:highlight w:val="none"/>
                      <w:lang w:val="en-US" w:eastAsia="zh-CN"/>
                    </w:rPr>
                    <w:t>1次/季度</w:t>
                  </w:r>
                </w:p>
              </w:tc>
            </w:tr>
          </w:tbl>
          <w:p w14:paraId="3B63CE7B">
            <w:pPr>
              <w:adjustRightInd w:val="0"/>
              <w:snapToGrid w:val="0"/>
              <w:spacing w:line="360" w:lineRule="auto"/>
              <w:ind w:firstLine="442" w:firstLineChars="200"/>
              <w:rPr>
                <w:rFonts w:hint="default" w:ascii="Times New Roman" w:hAnsi="Times New Roman" w:cs="Times New Roman"/>
                <w:b/>
                <w:bCs/>
                <w:color w:val="000000" w:themeColor="text1"/>
                <w:spacing w:val="-10"/>
                <w:sz w:val="24"/>
                <w:highlight w:val="none"/>
                <w14:textFill>
                  <w14:solidFill>
                    <w14:schemeClr w14:val="tx1"/>
                  </w14:solidFill>
                </w14:textFill>
              </w:rPr>
            </w:pPr>
            <w:r>
              <w:rPr>
                <w:rFonts w:hint="eastAsia" w:cs="Times New Roman"/>
                <w:b/>
                <w:bCs/>
                <w:color w:val="000000" w:themeColor="text1"/>
                <w:spacing w:val="-10"/>
                <w:sz w:val="24"/>
                <w:highlight w:val="none"/>
                <w:lang w:val="en-US" w:eastAsia="zh-CN"/>
                <w14:textFill>
                  <w14:solidFill>
                    <w14:schemeClr w14:val="tx1"/>
                  </w14:solidFill>
                </w14:textFill>
              </w:rPr>
              <w:t>3</w:t>
            </w:r>
            <w:r>
              <w:rPr>
                <w:rFonts w:hint="default" w:ascii="Times New Roman" w:hAnsi="Times New Roman" w:cs="Times New Roman"/>
                <w:b/>
                <w:bCs/>
                <w:color w:val="000000" w:themeColor="text1"/>
                <w:spacing w:val="-10"/>
                <w:sz w:val="24"/>
                <w:highlight w:val="none"/>
                <w14:textFill>
                  <w14:solidFill>
                    <w14:schemeClr w14:val="tx1"/>
                  </w14:solidFill>
                </w14:textFill>
              </w:rPr>
              <w:t>、非正常工况</w:t>
            </w:r>
          </w:p>
          <w:p w14:paraId="62B2905C">
            <w:pPr>
              <w:spacing w:line="360" w:lineRule="auto"/>
              <w:ind w:firstLine="480" w:firstLineChars="200"/>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非正常排放是指生产过程中设备检修、工艺设备运转异常等非正常工况下的污染物排放，以及污染物排放控制措施达不到应有效率等情况下的排放。</w:t>
            </w:r>
          </w:p>
          <w:p w14:paraId="4D58070C">
            <w:pPr>
              <w:pStyle w:val="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3"/>
              <w:rPr>
                <w:rFonts w:hint="default" w:ascii="Times New Roman" w:hAnsi="Times New Roman" w:cs="Times New Roman"/>
                <w:b/>
                <w:color w:val="000000" w:themeColor="text1"/>
                <w:highlight w:val="none"/>
                <w:lang w:val="en-US"/>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表</w:t>
            </w:r>
            <w:r>
              <w:rPr>
                <w:rFonts w:hint="default" w:ascii="Times New Roman" w:hAnsi="Times New Roman" w:cs="Times New Roman"/>
                <w:b/>
                <w:color w:val="000000" w:themeColor="text1"/>
                <w:highlight w:val="none"/>
                <w:lang w:val="en-US" w:eastAsia="zh-CN"/>
                <w14:textFill>
                  <w14:solidFill>
                    <w14:schemeClr w14:val="tx1"/>
                  </w14:solidFill>
                </w14:textFill>
              </w:rPr>
              <w:t>4-</w:t>
            </w:r>
            <w:r>
              <w:rPr>
                <w:rFonts w:hint="eastAsia" w:cs="Times New Roman"/>
                <w:b/>
                <w:color w:val="000000" w:themeColor="text1"/>
                <w:highlight w:val="none"/>
                <w:lang w:val="en-US" w:eastAsia="zh-CN"/>
                <w14:textFill>
                  <w14:solidFill>
                    <w14:schemeClr w14:val="tx1"/>
                  </w14:solidFill>
                </w14:textFill>
              </w:rPr>
              <w:t>6</w:t>
            </w:r>
            <w:r>
              <w:rPr>
                <w:rFonts w:hint="default" w:ascii="Times New Roman" w:hAnsi="Times New Roman" w:cs="Times New Roman"/>
                <w:b/>
                <w:color w:val="000000" w:themeColor="text1"/>
                <w:highlight w:val="none"/>
                <w:lang w:val="en-US"/>
                <w14:textFill>
                  <w14:solidFill>
                    <w14:schemeClr w14:val="tx1"/>
                  </w14:solidFill>
                </w14:textFill>
              </w:rPr>
              <w:t xml:space="preserve"> </w:t>
            </w:r>
            <w:r>
              <w:rPr>
                <w:rFonts w:hint="default" w:ascii="Times New Roman" w:hAnsi="Times New Roman" w:cs="Times New Roman"/>
                <w:b/>
                <w:color w:val="000000" w:themeColor="text1"/>
                <w:highlight w:val="none"/>
                <w:lang w:val="en-US" w:eastAsia="zh-CN"/>
                <w14:textFill>
                  <w14:solidFill>
                    <w14:schemeClr w14:val="tx1"/>
                  </w14:solidFill>
                </w14:textFill>
              </w:rPr>
              <w:t xml:space="preserve"> </w:t>
            </w:r>
            <w:r>
              <w:rPr>
                <w:rFonts w:hint="default" w:ascii="Times New Roman" w:hAnsi="Times New Roman" w:cs="Times New Roman"/>
                <w:b/>
                <w:color w:val="000000" w:themeColor="text1"/>
                <w:highlight w:val="none"/>
                <w14:textFill>
                  <w14:solidFill>
                    <w14:schemeClr w14:val="tx1"/>
                  </w14:solidFill>
                </w14:textFill>
              </w:rPr>
              <w:t>污染源非正常排放量核算表</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29"/>
              <w:gridCol w:w="1031"/>
              <w:gridCol w:w="1667"/>
              <w:gridCol w:w="906"/>
              <w:gridCol w:w="2382"/>
              <w:gridCol w:w="2207"/>
              <w:gridCol w:w="1536"/>
              <w:gridCol w:w="1456"/>
              <w:gridCol w:w="1631"/>
            </w:tblGrid>
            <w:tr w14:paraId="16E4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31" w:hRule="atLeast"/>
                <w:jc w:val="center"/>
              </w:trPr>
              <w:tc>
                <w:tcPr>
                  <w:tcW w:w="198" w:type="pct"/>
                  <w:noWrap w:val="0"/>
                  <w:vAlign w:val="center"/>
                </w:tcPr>
                <w:p w14:paraId="29D14EB8">
                  <w:pPr>
                    <w:pStyle w:val="95"/>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序号</w:t>
                  </w:r>
                </w:p>
              </w:tc>
              <w:tc>
                <w:tcPr>
                  <w:tcW w:w="386" w:type="pct"/>
                  <w:noWrap w:val="0"/>
                  <w:vAlign w:val="center"/>
                </w:tcPr>
                <w:p w14:paraId="5164A0E8">
                  <w:pPr>
                    <w:pStyle w:val="95"/>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污染源</w:t>
                  </w:r>
                </w:p>
              </w:tc>
              <w:tc>
                <w:tcPr>
                  <w:tcW w:w="624" w:type="pct"/>
                  <w:noWrap w:val="0"/>
                  <w:vAlign w:val="center"/>
                </w:tcPr>
                <w:p w14:paraId="496DC4D1">
                  <w:pPr>
                    <w:pStyle w:val="95"/>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非正常排放原因</w:t>
                  </w:r>
                </w:p>
              </w:tc>
              <w:tc>
                <w:tcPr>
                  <w:tcW w:w="339" w:type="pct"/>
                  <w:noWrap w:val="0"/>
                  <w:vAlign w:val="center"/>
                </w:tcPr>
                <w:p w14:paraId="3E3033A9">
                  <w:pPr>
                    <w:pStyle w:val="95"/>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污染物</w:t>
                  </w:r>
                </w:p>
              </w:tc>
              <w:tc>
                <w:tcPr>
                  <w:tcW w:w="892" w:type="pct"/>
                  <w:noWrap w:val="0"/>
                  <w:vAlign w:val="center"/>
                </w:tcPr>
                <w:p w14:paraId="725EED07">
                  <w:pPr>
                    <w:pStyle w:val="95"/>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非正常排放浓度/(mg/m</w:t>
                  </w:r>
                  <w:r>
                    <w:rPr>
                      <w:rFonts w:hint="default"/>
                      <w:b/>
                      <w:bCs/>
                      <w:color w:val="000000" w:themeColor="text1"/>
                      <w:highlight w:val="none"/>
                      <w:vertAlign w:val="superscript"/>
                      <w14:textFill>
                        <w14:solidFill>
                          <w14:schemeClr w14:val="tx1"/>
                        </w14:solidFill>
                      </w14:textFill>
                    </w:rPr>
                    <w:t>3</w:t>
                  </w:r>
                  <w:r>
                    <w:rPr>
                      <w:rFonts w:hint="default"/>
                      <w:b/>
                      <w:bCs/>
                      <w:color w:val="000000" w:themeColor="text1"/>
                      <w:highlight w:val="none"/>
                      <w14:textFill>
                        <w14:solidFill>
                          <w14:schemeClr w14:val="tx1"/>
                        </w14:solidFill>
                      </w14:textFill>
                    </w:rPr>
                    <w:t>)</w:t>
                  </w:r>
                </w:p>
              </w:tc>
              <w:tc>
                <w:tcPr>
                  <w:tcW w:w="826" w:type="pct"/>
                  <w:noWrap w:val="0"/>
                  <w:vAlign w:val="center"/>
                </w:tcPr>
                <w:p w14:paraId="0BE50C25">
                  <w:pPr>
                    <w:pStyle w:val="95"/>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非正常排放速率/</w:t>
                  </w:r>
                  <w:r>
                    <w:rPr>
                      <w:rFonts w:hint="eastAsia"/>
                      <w:b/>
                      <w:bCs/>
                      <w:color w:val="000000" w:themeColor="text1"/>
                      <w:highlight w:val="none"/>
                      <w:lang w:eastAsia="zh-CN"/>
                      <w14:textFill>
                        <w14:solidFill>
                          <w14:schemeClr w14:val="tx1"/>
                        </w14:solidFill>
                      </w14:textFill>
                    </w:rPr>
                    <w:t>（</w:t>
                  </w:r>
                  <w:r>
                    <w:rPr>
                      <w:rFonts w:hint="default"/>
                      <w:b/>
                      <w:bCs/>
                      <w:color w:val="000000" w:themeColor="text1"/>
                      <w:highlight w:val="none"/>
                      <w14:textFill>
                        <w14:solidFill>
                          <w14:schemeClr w14:val="tx1"/>
                        </w14:solidFill>
                      </w14:textFill>
                    </w:rPr>
                    <w:t>kg/h）</w:t>
                  </w:r>
                </w:p>
              </w:tc>
              <w:tc>
                <w:tcPr>
                  <w:tcW w:w="575" w:type="pct"/>
                  <w:noWrap w:val="0"/>
                  <w:vAlign w:val="center"/>
                </w:tcPr>
                <w:p w14:paraId="4B94DD32">
                  <w:pPr>
                    <w:pStyle w:val="95"/>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单次持续时间/h</w:t>
                  </w:r>
                </w:p>
              </w:tc>
              <w:tc>
                <w:tcPr>
                  <w:tcW w:w="545" w:type="pct"/>
                  <w:noWrap w:val="0"/>
                  <w:vAlign w:val="center"/>
                </w:tcPr>
                <w:p w14:paraId="0C5C877A">
                  <w:pPr>
                    <w:pStyle w:val="95"/>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年发生频次/次</w:t>
                  </w:r>
                </w:p>
              </w:tc>
              <w:tc>
                <w:tcPr>
                  <w:tcW w:w="611" w:type="pct"/>
                  <w:noWrap w:val="0"/>
                  <w:vAlign w:val="center"/>
                </w:tcPr>
                <w:p w14:paraId="2072D99F">
                  <w:pPr>
                    <w:pStyle w:val="95"/>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应对措施</w:t>
                  </w:r>
                </w:p>
              </w:tc>
            </w:tr>
            <w:tr w14:paraId="3CB2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31" w:hRule="atLeast"/>
                <w:jc w:val="center"/>
              </w:trPr>
              <w:tc>
                <w:tcPr>
                  <w:tcW w:w="198" w:type="pct"/>
                  <w:vMerge w:val="restart"/>
                  <w:noWrap w:val="0"/>
                  <w:vAlign w:val="center"/>
                </w:tcPr>
                <w:p w14:paraId="2CBA1AF1">
                  <w:pPr>
                    <w:pStyle w:val="95"/>
                    <w:bidi w:val="0"/>
                    <w:rPr>
                      <w:rFonts w:hint="default"/>
                      <w:b w:val="0"/>
                      <w:bCs w:val="0"/>
                      <w:color w:val="000000" w:themeColor="text1"/>
                      <w:highlight w:val="none"/>
                      <w:lang w:val="en-US" w:eastAsia="zh-CN"/>
                      <w14:textFill>
                        <w14:solidFill>
                          <w14:schemeClr w14:val="tx1"/>
                        </w14:solidFill>
                      </w14:textFill>
                    </w:rPr>
                  </w:pPr>
                  <w:r>
                    <w:rPr>
                      <w:rFonts w:hint="eastAsia"/>
                      <w:b w:val="0"/>
                      <w:bCs w:val="0"/>
                      <w:color w:val="000000" w:themeColor="text1"/>
                      <w:highlight w:val="none"/>
                      <w:lang w:val="en-US" w:eastAsia="zh-CN"/>
                      <w14:textFill>
                        <w14:solidFill>
                          <w14:schemeClr w14:val="tx1"/>
                        </w14:solidFill>
                      </w14:textFill>
                    </w:rPr>
                    <w:t>1</w:t>
                  </w:r>
                </w:p>
              </w:tc>
              <w:tc>
                <w:tcPr>
                  <w:tcW w:w="386" w:type="pct"/>
                  <w:vMerge w:val="restart"/>
                  <w:noWrap w:val="0"/>
                  <w:vAlign w:val="center"/>
                </w:tcPr>
                <w:p w14:paraId="6D8E5272">
                  <w:pPr>
                    <w:pStyle w:val="95"/>
                    <w:bidi w:val="0"/>
                    <w:rPr>
                      <w:rFonts w:hint="default"/>
                      <w:b w:val="0"/>
                      <w:bCs w:val="0"/>
                      <w:color w:val="000000" w:themeColor="text1"/>
                      <w:highlight w:val="none"/>
                      <w:lang w:val="en-US" w:eastAsia="zh-CN"/>
                      <w14:textFill>
                        <w14:solidFill>
                          <w14:schemeClr w14:val="tx1"/>
                        </w14:solidFill>
                      </w14:textFill>
                    </w:rPr>
                  </w:pPr>
                  <w:r>
                    <w:rPr>
                      <w:rFonts w:hint="eastAsia"/>
                      <w:b w:val="0"/>
                      <w:bCs w:val="0"/>
                      <w:color w:val="000000" w:themeColor="text1"/>
                      <w:highlight w:val="none"/>
                      <w:lang w:val="en-US" w:eastAsia="zh-CN"/>
                      <w14:textFill>
                        <w14:solidFill>
                          <w14:schemeClr w14:val="tx1"/>
                        </w14:solidFill>
                      </w14:textFill>
                    </w:rPr>
                    <w:t>DA001</w:t>
                  </w:r>
                </w:p>
              </w:tc>
              <w:tc>
                <w:tcPr>
                  <w:tcW w:w="624" w:type="pct"/>
                  <w:vMerge w:val="restart"/>
                  <w:noWrap w:val="0"/>
                  <w:vAlign w:val="center"/>
                </w:tcPr>
                <w:p w14:paraId="77393D58">
                  <w:pPr>
                    <w:pStyle w:val="95"/>
                    <w:bidi w:val="0"/>
                    <w:rPr>
                      <w:rFonts w:hint="eastAsia"/>
                      <w:b w:val="0"/>
                      <w:bCs w:val="0"/>
                      <w:color w:val="000000" w:themeColor="text1"/>
                      <w:highlight w:val="none"/>
                      <w:lang w:val="en-US" w:eastAsia="zh-CN"/>
                      <w14:textFill>
                        <w14:solidFill>
                          <w14:schemeClr w14:val="tx1"/>
                        </w14:solidFill>
                      </w14:textFill>
                    </w:rPr>
                  </w:pPr>
                  <w:r>
                    <w:rPr>
                      <w:rFonts w:hint="eastAsia" w:cs="Times New Roman"/>
                      <w:color w:val="auto"/>
                      <w:sz w:val="21"/>
                      <w:szCs w:val="21"/>
                      <w:lang w:val="en-US" w:eastAsia="zh-CN"/>
                    </w:rPr>
                    <w:t>UV光氧装置</w:t>
                  </w:r>
                  <w:r>
                    <w:rPr>
                      <w:rFonts w:hint="eastAsia" w:cs="Times New Roman"/>
                      <w:color w:val="auto"/>
                      <w:sz w:val="21"/>
                      <w:szCs w:val="21"/>
                      <w:lang w:val="en-US" w:eastAsia="zh-CN"/>
                    </w:rPr>
                    <w:t>失效</w:t>
                  </w:r>
                </w:p>
              </w:tc>
              <w:tc>
                <w:tcPr>
                  <w:tcW w:w="339" w:type="pct"/>
                  <w:noWrap w:val="0"/>
                  <w:vAlign w:val="center"/>
                </w:tcPr>
                <w:p w14:paraId="1DC63E80">
                  <w:pPr>
                    <w:pStyle w:val="95"/>
                    <w:keepNext w:val="0"/>
                    <w:keepLines w:val="0"/>
                    <w:pageBreakBefore w:val="0"/>
                    <w:widowControl w:val="0"/>
                    <w:wordWrap/>
                    <w:topLinePunct w:val="0"/>
                    <w:bidi w:val="0"/>
                    <w:snapToGrid w:val="0"/>
                    <w:ind w:left="0" w:leftChars="0" w:right="0" w:rightChars="0" w:firstLine="0" w:firstLineChars="0"/>
                    <w:jc w:val="center"/>
                    <w:rPr>
                      <w:rFonts w:hint="eastAsia"/>
                      <w:b w:val="0"/>
                      <w:bCs w:val="0"/>
                      <w:color w:val="000000" w:themeColor="text1"/>
                      <w:highlight w:val="none"/>
                      <w:lang w:val="en-US" w:eastAsia="zh-CN"/>
                      <w14:textFill>
                        <w14:solidFill>
                          <w14:schemeClr w14:val="tx1"/>
                        </w14:solidFill>
                      </w14:textFill>
                    </w:rPr>
                  </w:pPr>
                  <w:r>
                    <w:rPr>
                      <w:rFonts w:hint="eastAsia"/>
                      <w:b w:val="0"/>
                      <w:bCs w:val="0"/>
                      <w:color w:val="auto"/>
                      <w:highlight w:val="none"/>
                      <w:lang w:val="en-US" w:eastAsia="zh-CN"/>
                    </w:rPr>
                    <w:t>NH</w:t>
                  </w:r>
                  <w:r>
                    <w:rPr>
                      <w:rFonts w:hint="eastAsia"/>
                      <w:b w:val="0"/>
                      <w:bCs w:val="0"/>
                      <w:color w:val="auto"/>
                      <w:highlight w:val="none"/>
                      <w:vertAlign w:val="subscript"/>
                      <w:lang w:val="en-US" w:eastAsia="zh-CN"/>
                    </w:rPr>
                    <w:t>3</w:t>
                  </w:r>
                </w:p>
              </w:tc>
              <w:tc>
                <w:tcPr>
                  <w:tcW w:w="892" w:type="pct"/>
                  <w:noWrap w:val="0"/>
                  <w:vAlign w:val="center"/>
                </w:tcPr>
                <w:p w14:paraId="597ED523">
                  <w:pPr>
                    <w:pStyle w:val="95"/>
                    <w:bidi w:val="0"/>
                    <w:rPr>
                      <w:rFonts w:hint="default"/>
                      <w:b w:val="0"/>
                      <w:bCs w:val="0"/>
                      <w:color w:val="000000" w:themeColor="text1"/>
                      <w:highlight w:val="none"/>
                      <w:lang w:val="en-US" w:eastAsia="zh-CN"/>
                      <w14:textFill>
                        <w14:solidFill>
                          <w14:schemeClr w14:val="tx1"/>
                        </w14:solidFill>
                      </w14:textFill>
                    </w:rPr>
                  </w:pPr>
                  <w:r>
                    <w:rPr>
                      <w:rFonts w:hint="eastAsia"/>
                      <w:b w:val="0"/>
                      <w:bCs w:val="0"/>
                      <w:color w:val="000000" w:themeColor="text1"/>
                      <w:highlight w:val="none"/>
                      <w:lang w:val="en-US" w:eastAsia="zh-CN"/>
                      <w14:textFill>
                        <w14:solidFill>
                          <w14:schemeClr w14:val="tx1"/>
                        </w14:solidFill>
                      </w14:textFill>
                    </w:rPr>
                    <w:t>0.123</w:t>
                  </w:r>
                </w:p>
              </w:tc>
              <w:tc>
                <w:tcPr>
                  <w:tcW w:w="826" w:type="pct"/>
                  <w:noWrap w:val="0"/>
                  <w:vAlign w:val="center"/>
                </w:tcPr>
                <w:p w14:paraId="5B2A0375">
                  <w:pPr>
                    <w:pStyle w:val="95"/>
                    <w:bidi w:val="0"/>
                    <w:rPr>
                      <w:rFonts w:hint="default"/>
                      <w:b w:val="0"/>
                      <w:bCs w:val="0"/>
                      <w:color w:val="000000" w:themeColor="text1"/>
                      <w:highlight w:val="none"/>
                      <w:lang w:val="en-US" w:eastAsia="zh-CN"/>
                      <w14:textFill>
                        <w14:solidFill>
                          <w14:schemeClr w14:val="tx1"/>
                        </w14:solidFill>
                      </w14:textFill>
                    </w:rPr>
                  </w:pPr>
                  <w:r>
                    <w:rPr>
                      <w:rFonts w:hint="eastAsia"/>
                      <w:b w:val="0"/>
                      <w:bCs w:val="0"/>
                      <w:color w:val="000000" w:themeColor="text1"/>
                      <w:highlight w:val="none"/>
                      <w:lang w:val="en-US" w:eastAsia="zh-CN"/>
                      <w14:textFill>
                        <w14:solidFill>
                          <w14:schemeClr w14:val="tx1"/>
                        </w14:solidFill>
                      </w14:textFill>
                    </w:rPr>
                    <w:t>0.000554</w:t>
                  </w:r>
                </w:p>
              </w:tc>
              <w:tc>
                <w:tcPr>
                  <w:tcW w:w="575" w:type="pct"/>
                  <w:noWrap w:val="0"/>
                  <w:vAlign w:val="center"/>
                </w:tcPr>
                <w:p w14:paraId="2EDAC676">
                  <w:pPr>
                    <w:pStyle w:val="95"/>
                    <w:bidi w:val="0"/>
                    <w:ind w:firstLine="0" w:firstLineChars="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0.5</w:t>
                  </w:r>
                </w:p>
              </w:tc>
              <w:tc>
                <w:tcPr>
                  <w:tcW w:w="545" w:type="pct"/>
                  <w:noWrap w:val="0"/>
                  <w:vAlign w:val="center"/>
                </w:tcPr>
                <w:p w14:paraId="575D9451">
                  <w:pPr>
                    <w:pStyle w:val="95"/>
                    <w:bidi w:val="0"/>
                    <w:ind w:firstLine="0" w:firstLineChars="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w:t>
                  </w:r>
                </w:p>
              </w:tc>
              <w:tc>
                <w:tcPr>
                  <w:tcW w:w="611" w:type="pct"/>
                  <w:vMerge w:val="restart"/>
                  <w:noWrap w:val="0"/>
                  <w:vAlign w:val="center"/>
                </w:tcPr>
                <w:p w14:paraId="665EFA09">
                  <w:pPr>
                    <w:pStyle w:val="95"/>
                    <w:bidi w:val="0"/>
                    <w:rPr>
                      <w:rFonts w:hint="default"/>
                      <w:color w:val="000000" w:themeColor="text1"/>
                      <w:highlight w:val="none"/>
                      <w14:textFill>
                        <w14:solidFill>
                          <w14:schemeClr w14:val="tx1"/>
                        </w14:solidFill>
                      </w14:textFill>
                    </w:rPr>
                  </w:pPr>
                  <w:r>
                    <w:rPr>
                      <w:rFonts w:hint="default"/>
                      <w:color w:val="000000" w:themeColor="text1"/>
                      <w:highlight w:val="none"/>
                      <w14:textFill>
                        <w14:solidFill>
                          <w14:schemeClr w14:val="tx1"/>
                        </w14:solidFill>
                      </w14:textFill>
                    </w:rPr>
                    <w:t>定期检修和维护</w:t>
                  </w:r>
                </w:p>
              </w:tc>
            </w:tr>
            <w:tr w14:paraId="232D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31" w:hRule="atLeast"/>
                <w:jc w:val="center"/>
              </w:trPr>
              <w:tc>
                <w:tcPr>
                  <w:tcW w:w="198" w:type="pct"/>
                  <w:vMerge w:val="continue"/>
                  <w:noWrap w:val="0"/>
                  <w:vAlign w:val="center"/>
                </w:tcPr>
                <w:p w14:paraId="381EF6CB">
                  <w:pPr>
                    <w:pStyle w:val="95"/>
                    <w:bidi w:val="0"/>
                    <w:rPr>
                      <w:rFonts w:hint="eastAsia"/>
                      <w:b w:val="0"/>
                      <w:bCs w:val="0"/>
                      <w:color w:val="000000" w:themeColor="text1"/>
                      <w:highlight w:val="none"/>
                      <w:lang w:val="en-US" w:eastAsia="zh-CN"/>
                      <w14:textFill>
                        <w14:solidFill>
                          <w14:schemeClr w14:val="tx1"/>
                        </w14:solidFill>
                      </w14:textFill>
                    </w:rPr>
                  </w:pPr>
                </w:p>
              </w:tc>
              <w:tc>
                <w:tcPr>
                  <w:tcW w:w="386" w:type="pct"/>
                  <w:vMerge w:val="continue"/>
                  <w:noWrap w:val="0"/>
                  <w:vAlign w:val="center"/>
                </w:tcPr>
                <w:p w14:paraId="493D0CE3">
                  <w:pPr>
                    <w:pStyle w:val="95"/>
                    <w:bidi w:val="0"/>
                    <w:rPr>
                      <w:rFonts w:hint="eastAsia"/>
                      <w:b w:val="0"/>
                      <w:bCs w:val="0"/>
                      <w:color w:val="000000" w:themeColor="text1"/>
                      <w:highlight w:val="none"/>
                      <w:lang w:val="en-US" w:eastAsia="zh-CN"/>
                      <w14:textFill>
                        <w14:solidFill>
                          <w14:schemeClr w14:val="tx1"/>
                        </w14:solidFill>
                      </w14:textFill>
                    </w:rPr>
                  </w:pPr>
                </w:p>
              </w:tc>
              <w:tc>
                <w:tcPr>
                  <w:tcW w:w="624" w:type="pct"/>
                  <w:vMerge w:val="continue"/>
                  <w:noWrap w:val="0"/>
                  <w:vAlign w:val="center"/>
                </w:tcPr>
                <w:p w14:paraId="4E7DC51F">
                  <w:pPr>
                    <w:pStyle w:val="95"/>
                    <w:bidi w:val="0"/>
                    <w:rPr>
                      <w:rFonts w:hint="eastAsia" w:cs="Times New Roman"/>
                      <w:color w:val="auto"/>
                      <w:sz w:val="21"/>
                      <w:szCs w:val="21"/>
                      <w:lang w:val="en-US" w:eastAsia="zh-CN"/>
                    </w:rPr>
                  </w:pPr>
                </w:p>
              </w:tc>
              <w:tc>
                <w:tcPr>
                  <w:tcW w:w="339" w:type="pct"/>
                  <w:noWrap w:val="0"/>
                  <w:vAlign w:val="center"/>
                </w:tcPr>
                <w:p w14:paraId="1A50DA00">
                  <w:pPr>
                    <w:pStyle w:val="95"/>
                    <w:keepNext w:val="0"/>
                    <w:keepLines w:val="0"/>
                    <w:pageBreakBefore w:val="0"/>
                    <w:widowControl w:val="0"/>
                    <w:wordWrap/>
                    <w:topLinePunct w:val="0"/>
                    <w:bidi w:val="0"/>
                    <w:snapToGrid w:val="0"/>
                    <w:ind w:left="0" w:leftChars="0" w:right="0" w:rightChars="0" w:firstLine="0" w:firstLineChars="0"/>
                    <w:jc w:val="center"/>
                    <w:rPr>
                      <w:rFonts w:hint="eastAsia"/>
                      <w:b w:val="0"/>
                      <w:bCs w:val="0"/>
                      <w:color w:val="000000" w:themeColor="text1"/>
                      <w:highlight w:val="none"/>
                      <w:lang w:val="en-US" w:eastAsia="zh-CN"/>
                      <w14:textFill>
                        <w14:solidFill>
                          <w14:schemeClr w14:val="tx1"/>
                        </w14:solidFill>
                      </w14:textFill>
                    </w:rPr>
                  </w:pPr>
                  <w:r>
                    <w:rPr>
                      <w:rFonts w:hint="eastAsia"/>
                      <w:b w:val="0"/>
                      <w:bCs w:val="0"/>
                      <w:color w:val="auto"/>
                      <w:highlight w:val="none"/>
                      <w:lang w:val="en-US" w:eastAsia="zh-CN"/>
                    </w:rPr>
                    <w:t>H</w:t>
                  </w:r>
                  <w:r>
                    <w:rPr>
                      <w:rFonts w:hint="eastAsia"/>
                      <w:b w:val="0"/>
                      <w:bCs w:val="0"/>
                      <w:color w:val="auto"/>
                      <w:highlight w:val="none"/>
                      <w:vertAlign w:val="subscript"/>
                      <w:lang w:val="en-US" w:eastAsia="zh-CN"/>
                    </w:rPr>
                    <w:t>2</w:t>
                  </w:r>
                  <w:r>
                    <w:rPr>
                      <w:rFonts w:hint="eastAsia"/>
                      <w:b w:val="0"/>
                      <w:bCs w:val="0"/>
                      <w:color w:val="auto"/>
                      <w:highlight w:val="none"/>
                      <w:lang w:val="en-US" w:eastAsia="zh-CN"/>
                    </w:rPr>
                    <w:t>S</w:t>
                  </w:r>
                </w:p>
              </w:tc>
              <w:tc>
                <w:tcPr>
                  <w:tcW w:w="892" w:type="pct"/>
                  <w:noWrap w:val="0"/>
                  <w:vAlign w:val="center"/>
                </w:tcPr>
                <w:p w14:paraId="74C63350">
                  <w:pPr>
                    <w:pStyle w:val="95"/>
                    <w:bidi w:val="0"/>
                    <w:rPr>
                      <w:rFonts w:hint="default"/>
                      <w:b w:val="0"/>
                      <w:bCs w:val="0"/>
                      <w:color w:val="000000" w:themeColor="text1"/>
                      <w:highlight w:val="none"/>
                      <w:lang w:val="en-US" w:eastAsia="zh-CN"/>
                      <w14:textFill>
                        <w14:solidFill>
                          <w14:schemeClr w14:val="tx1"/>
                        </w14:solidFill>
                      </w14:textFill>
                    </w:rPr>
                  </w:pPr>
                  <w:r>
                    <w:rPr>
                      <w:rFonts w:hint="eastAsia"/>
                      <w:b w:val="0"/>
                      <w:bCs w:val="0"/>
                      <w:color w:val="000000" w:themeColor="text1"/>
                      <w:highlight w:val="none"/>
                      <w:lang w:val="en-US" w:eastAsia="zh-CN"/>
                      <w14:textFill>
                        <w14:solidFill>
                          <w14:schemeClr w14:val="tx1"/>
                        </w14:solidFill>
                      </w14:textFill>
                    </w:rPr>
                    <w:t>0.005</w:t>
                  </w:r>
                </w:p>
              </w:tc>
              <w:tc>
                <w:tcPr>
                  <w:tcW w:w="826" w:type="pct"/>
                  <w:noWrap w:val="0"/>
                  <w:vAlign w:val="center"/>
                </w:tcPr>
                <w:p w14:paraId="39F114DA">
                  <w:pPr>
                    <w:pStyle w:val="95"/>
                    <w:bidi w:val="0"/>
                    <w:rPr>
                      <w:rFonts w:hint="default"/>
                      <w:b w:val="0"/>
                      <w:bCs w:val="0"/>
                      <w:color w:val="000000" w:themeColor="text1"/>
                      <w:highlight w:val="none"/>
                      <w:lang w:val="en-US" w:eastAsia="zh-CN"/>
                      <w14:textFill>
                        <w14:solidFill>
                          <w14:schemeClr w14:val="tx1"/>
                        </w14:solidFill>
                      </w14:textFill>
                    </w:rPr>
                  </w:pPr>
                  <w:r>
                    <w:rPr>
                      <w:rFonts w:hint="eastAsia"/>
                      <w:b w:val="0"/>
                      <w:bCs w:val="0"/>
                      <w:color w:val="000000" w:themeColor="text1"/>
                      <w:highlight w:val="none"/>
                      <w:lang w:val="en-US" w:eastAsia="zh-CN"/>
                      <w14:textFill>
                        <w14:solidFill>
                          <w14:schemeClr w14:val="tx1"/>
                        </w14:solidFill>
                      </w14:textFill>
                    </w:rPr>
                    <w:t>0.000022</w:t>
                  </w:r>
                </w:p>
              </w:tc>
              <w:tc>
                <w:tcPr>
                  <w:tcW w:w="575" w:type="pct"/>
                  <w:noWrap w:val="0"/>
                  <w:vAlign w:val="center"/>
                </w:tcPr>
                <w:p w14:paraId="0588AAA3">
                  <w:pPr>
                    <w:pStyle w:val="95"/>
                    <w:bidi w:val="0"/>
                    <w:ind w:firstLine="0" w:firstLineChars="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0.5</w:t>
                  </w:r>
                </w:p>
              </w:tc>
              <w:tc>
                <w:tcPr>
                  <w:tcW w:w="545" w:type="pct"/>
                  <w:noWrap w:val="0"/>
                  <w:vAlign w:val="center"/>
                </w:tcPr>
                <w:p w14:paraId="5A3D3CB1">
                  <w:pPr>
                    <w:pStyle w:val="95"/>
                    <w:bidi w:val="0"/>
                    <w:ind w:firstLine="0" w:firstLineChars="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w:t>
                  </w:r>
                </w:p>
              </w:tc>
              <w:tc>
                <w:tcPr>
                  <w:tcW w:w="611" w:type="pct"/>
                  <w:vMerge w:val="continue"/>
                  <w:noWrap w:val="0"/>
                  <w:vAlign w:val="center"/>
                </w:tcPr>
                <w:p w14:paraId="7331EE23">
                  <w:pPr>
                    <w:pStyle w:val="95"/>
                    <w:bidi w:val="0"/>
                    <w:rPr>
                      <w:rFonts w:hint="default"/>
                      <w:color w:val="000000" w:themeColor="text1"/>
                      <w:highlight w:val="none"/>
                      <w14:textFill>
                        <w14:solidFill>
                          <w14:schemeClr w14:val="tx1"/>
                        </w14:solidFill>
                      </w14:textFill>
                    </w:rPr>
                  </w:pPr>
                </w:p>
              </w:tc>
            </w:tr>
          </w:tbl>
          <w:p w14:paraId="00B2BFA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cs="Times New Roman"/>
                <w:b/>
                <w:color w:val="auto"/>
                <w:kern w:val="0"/>
                <w:sz w:val="28"/>
                <w:szCs w:val="28"/>
                <w:vertAlign w:val="baseline"/>
                <w:lang w:eastAsia="zh-CN"/>
              </w:rPr>
            </w:pPr>
          </w:p>
          <w:p w14:paraId="0095A7D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cs="Times New Roman"/>
                <w:b/>
                <w:color w:val="auto"/>
                <w:kern w:val="0"/>
                <w:sz w:val="28"/>
                <w:szCs w:val="28"/>
                <w:vertAlign w:val="baseline"/>
                <w:lang w:eastAsia="zh-CN"/>
              </w:rPr>
            </w:pPr>
          </w:p>
          <w:p w14:paraId="1892FCF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cs="Times New Roman"/>
                <w:b/>
                <w:color w:val="auto"/>
                <w:kern w:val="0"/>
                <w:sz w:val="28"/>
                <w:szCs w:val="28"/>
                <w:vertAlign w:val="baseline"/>
                <w:lang w:eastAsia="zh-CN"/>
              </w:rPr>
            </w:pPr>
          </w:p>
          <w:p w14:paraId="4A5B278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cs="Times New Roman"/>
                <w:b/>
                <w:color w:val="auto"/>
                <w:kern w:val="0"/>
                <w:sz w:val="28"/>
                <w:szCs w:val="28"/>
                <w:vertAlign w:val="baseline"/>
                <w:lang w:eastAsia="zh-CN"/>
              </w:rPr>
            </w:pPr>
          </w:p>
          <w:p w14:paraId="4376750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cs="Times New Roman"/>
                <w:b/>
                <w:color w:val="auto"/>
                <w:kern w:val="0"/>
                <w:sz w:val="28"/>
                <w:szCs w:val="28"/>
                <w:vertAlign w:val="baseline"/>
                <w:lang w:eastAsia="zh-CN"/>
              </w:rPr>
            </w:pPr>
          </w:p>
          <w:p w14:paraId="0F65F9A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cs="Times New Roman"/>
                <w:b/>
                <w:color w:val="auto"/>
                <w:kern w:val="0"/>
                <w:sz w:val="28"/>
                <w:szCs w:val="28"/>
                <w:vertAlign w:val="baseline"/>
                <w:lang w:eastAsia="zh-CN"/>
              </w:rPr>
            </w:pPr>
          </w:p>
          <w:p w14:paraId="583B597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cs="Times New Roman"/>
                <w:b/>
                <w:color w:val="auto"/>
                <w:kern w:val="0"/>
                <w:sz w:val="28"/>
                <w:szCs w:val="28"/>
                <w:vertAlign w:val="baseline"/>
                <w:lang w:eastAsia="zh-CN"/>
              </w:rPr>
            </w:pPr>
          </w:p>
          <w:p w14:paraId="5242E0D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cs="Times New Roman"/>
                <w:b/>
                <w:color w:val="auto"/>
                <w:kern w:val="0"/>
                <w:sz w:val="28"/>
                <w:szCs w:val="28"/>
                <w:vertAlign w:val="baseline"/>
                <w:lang w:eastAsia="zh-CN"/>
              </w:rPr>
            </w:pPr>
          </w:p>
          <w:p w14:paraId="26C0277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cs="Times New Roman"/>
                <w:b/>
                <w:color w:val="auto"/>
                <w:kern w:val="0"/>
                <w:sz w:val="28"/>
                <w:szCs w:val="28"/>
                <w:vertAlign w:val="baseline"/>
                <w:lang w:eastAsia="zh-CN"/>
              </w:rPr>
            </w:pPr>
          </w:p>
          <w:p w14:paraId="79DD297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cs="Times New Roman"/>
                <w:b/>
                <w:color w:val="auto"/>
                <w:kern w:val="0"/>
                <w:sz w:val="28"/>
                <w:szCs w:val="28"/>
                <w:vertAlign w:val="baseline"/>
                <w:lang w:eastAsia="zh-CN"/>
              </w:rPr>
            </w:pPr>
          </w:p>
          <w:p w14:paraId="0FA3069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cs="Times New Roman"/>
                <w:b/>
                <w:color w:val="auto"/>
                <w:kern w:val="0"/>
                <w:sz w:val="28"/>
                <w:szCs w:val="28"/>
                <w:vertAlign w:val="baseline"/>
                <w:lang w:eastAsia="zh-CN"/>
              </w:rPr>
            </w:pPr>
          </w:p>
          <w:p w14:paraId="4B5B0B2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cs="Times New Roman"/>
                <w:b/>
                <w:color w:val="auto"/>
                <w:kern w:val="0"/>
                <w:sz w:val="28"/>
                <w:szCs w:val="28"/>
                <w:vertAlign w:val="baseline"/>
                <w:lang w:eastAsia="zh-CN"/>
              </w:rPr>
            </w:pPr>
          </w:p>
          <w:p w14:paraId="75A4E2F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ascii="Times New Roman" w:hAnsi="Times New Roman" w:eastAsia="宋体" w:cs="Times New Roman"/>
                <w:b/>
                <w:color w:val="auto"/>
                <w:kern w:val="0"/>
                <w:sz w:val="28"/>
                <w:szCs w:val="28"/>
                <w:vertAlign w:val="baseline"/>
                <w:lang w:eastAsia="zh-CN"/>
              </w:rPr>
            </w:pPr>
          </w:p>
        </w:tc>
      </w:tr>
    </w:tbl>
    <w:p w14:paraId="7288A517">
      <w:pPr>
        <w:rPr>
          <w:rFonts w:hint="default" w:ascii="Times New Roman" w:hAnsi="Times New Roman" w:cs="Times New Roman"/>
          <w:b/>
          <w:color w:val="FF0000"/>
          <w:kern w:val="0"/>
          <w:sz w:val="28"/>
          <w:szCs w:val="28"/>
        </w:rPr>
        <w:sectPr>
          <w:pgSz w:w="16838" w:h="11905" w:orient="landscape"/>
          <w:pgMar w:top="1417" w:right="1417" w:bottom="1417" w:left="1417" w:header="851" w:footer="850" w:gutter="0"/>
          <w:pgNumType w:fmt="decimal"/>
          <w:cols w:space="0" w:num="1"/>
          <w:rtlGutter w:val="0"/>
          <w:docGrid w:linePitch="312" w:charSpace="0"/>
        </w:sectPr>
      </w:pP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8832"/>
      </w:tblGrid>
      <w:tr w14:paraId="145CC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6" w:hRule="atLeast"/>
          <w:jc w:val="center"/>
        </w:trPr>
        <w:tc>
          <w:tcPr>
            <w:tcW w:w="440" w:type="dxa"/>
            <w:vAlign w:val="center"/>
          </w:tcPr>
          <w:p w14:paraId="2A744048">
            <w:pPr>
              <w:pStyle w:val="26"/>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color w:val="FF0000"/>
                <w:vertAlign w:val="baseline"/>
              </w:rPr>
            </w:pPr>
            <w:r>
              <w:rPr>
                <w:rFonts w:hint="default" w:ascii="Times New Roman" w:hAnsi="Times New Roman" w:cs="Times New Roman"/>
                <w:b/>
                <w:bCs/>
                <w:color w:val="auto"/>
                <w:sz w:val="24"/>
                <w:szCs w:val="32"/>
              </w:rPr>
              <w:t>运营期环境影响和保护措施</w:t>
            </w:r>
          </w:p>
        </w:tc>
        <w:tc>
          <w:tcPr>
            <w:tcW w:w="8847" w:type="dxa"/>
            <w:vAlign w:val="center"/>
          </w:tcPr>
          <w:p w14:paraId="04C3071C">
            <w:pPr>
              <w:adjustRightInd w:val="0"/>
              <w:snapToGrid w:val="0"/>
              <w:spacing w:line="360" w:lineRule="auto"/>
              <w:ind w:firstLine="442" w:firstLineChars="200"/>
              <w:rPr>
                <w:rFonts w:hint="default" w:ascii="Times New Roman" w:hAnsi="Times New Roman" w:cs="Times New Roman"/>
                <w:b/>
                <w:bCs/>
                <w:color w:val="auto"/>
                <w:spacing w:val="-10"/>
                <w:sz w:val="24"/>
              </w:rPr>
            </w:pPr>
            <w:r>
              <w:rPr>
                <w:rFonts w:hint="eastAsia" w:cs="Times New Roman"/>
                <w:b/>
                <w:bCs/>
                <w:color w:val="auto"/>
                <w:spacing w:val="-10"/>
                <w:sz w:val="24"/>
                <w:lang w:val="en-US" w:eastAsia="zh-CN"/>
              </w:rPr>
              <w:t>4</w:t>
            </w:r>
            <w:r>
              <w:rPr>
                <w:rFonts w:hint="default" w:ascii="Times New Roman" w:hAnsi="Times New Roman" w:cs="Times New Roman"/>
                <w:b/>
                <w:bCs/>
                <w:color w:val="auto"/>
                <w:spacing w:val="-10"/>
                <w:sz w:val="24"/>
              </w:rPr>
              <w:t>、措施可行性分析</w:t>
            </w:r>
          </w:p>
          <w:p w14:paraId="1100A29F">
            <w:pPr>
              <w:pStyle w:val="11"/>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rFonts w:hint="default" w:ascii="Times New Roman" w:hAnsi="Times New Roman" w:cs="Times New Roman"/>
                <w:color w:val="auto"/>
                <w:sz w:val="24"/>
                <w:szCs w:val="28"/>
              </w:rPr>
            </w:pPr>
            <w:r>
              <w:rPr>
                <w:rFonts w:hint="default" w:ascii="Times New Roman" w:hAnsi="Times New Roman" w:cs="Times New Roman"/>
                <w:color w:val="auto"/>
                <w:sz w:val="24"/>
                <w:szCs w:val="28"/>
              </w:rPr>
              <w:t>本项目废气收集治理措施见下表：</w:t>
            </w:r>
          </w:p>
          <w:p w14:paraId="50ED4F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auto"/>
                <w:spacing w:val="-10"/>
                <w:sz w:val="24"/>
                <w:szCs w:val="24"/>
              </w:rPr>
            </w:pPr>
            <w:r>
              <w:rPr>
                <w:rFonts w:hint="default" w:ascii="Times New Roman" w:hAnsi="Times New Roman" w:cs="Times New Roman"/>
                <w:b/>
                <w:bCs/>
                <w:color w:val="auto"/>
                <w:spacing w:val="-10"/>
                <w:sz w:val="24"/>
                <w:szCs w:val="24"/>
              </w:rPr>
              <w:t>表</w:t>
            </w:r>
            <w:r>
              <w:rPr>
                <w:rFonts w:hint="default" w:ascii="Times New Roman" w:hAnsi="Times New Roman" w:cs="Times New Roman"/>
                <w:b/>
                <w:bCs/>
                <w:color w:val="auto"/>
                <w:spacing w:val="-10"/>
                <w:sz w:val="24"/>
                <w:szCs w:val="24"/>
                <w:lang w:val="en-US" w:eastAsia="zh-CN"/>
              </w:rPr>
              <w:t>4-</w:t>
            </w:r>
            <w:r>
              <w:rPr>
                <w:rFonts w:hint="eastAsia" w:cs="Times New Roman"/>
                <w:b/>
                <w:bCs/>
                <w:color w:val="auto"/>
                <w:spacing w:val="-10"/>
                <w:sz w:val="24"/>
                <w:szCs w:val="24"/>
                <w:lang w:val="en-US" w:eastAsia="zh-CN"/>
              </w:rPr>
              <w:t xml:space="preserve">7  </w:t>
            </w:r>
            <w:r>
              <w:rPr>
                <w:rFonts w:hint="default" w:ascii="Times New Roman" w:hAnsi="Times New Roman" w:cs="Times New Roman"/>
                <w:b/>
                <w:bCs/>
                <w:color w:val="auto"/>
                <w:spacing w:val="-10"/>
                <w:sz w:val="24"/>
                <w:szCs w:val="24"/>
              </w:rPr>
              <w:t>废气治理措施一览表</w:t>
            </w:r>
          </w:p>
          <w:tbl>
            <w:tblPr>
              <w:tblStyle w:val="27"/>
              <w:tblW w:w="4997"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1464"/>
              <w:gridCol w:w="7127"/>
            </w:tblGrid>
            <w:tr w14:paraId="47AD1C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jc w:val="center"/>
              </w:trPr>
              <w:tc>
                <w:tcPr>
                  <w:tcW w:w="852" w:type="pct"/>
                  <w:vAlign w:val="center"/>
                </w:tcPr>
                <w:p w14:paraId="2287C07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污染源</w:t>
                  </w:r>
                </w:p>
              </w:tc>
              <w:tc>
                <w:tcPr>
                  <w:tcW w:w="4147" w:type="pct"/>
                  <w:vAlign w:val="center"/>
                </w:tcPr>
                <w:p w14:paraId="0155DB5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治理措施</w:t>
                  </w:r>
                </w:p>
              </w:tc>
            </w:tr>
            <w:tr w14:paraId="31DFE7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7" w:hRule="atLeast"/>
                <w:jc w:val="center"/>
              </w:trPr>
              <w:tc>
                <w:tcPr>
                  <w:tcW w:w="852" w:type="pct"/>
                  <w:vAlign w:val="center"/>
                </w:tcPr>
                <w:p w14:paraId="643D6390">
                  <w:pPr>
                    <w:jc w:val="center"/>
                    <w:rPr>
                      <w:rFonts w:hint="default" w:ascii="Times New Roman" w:hAnsi="Times New Roman" w:cs="Times New Roman"/>
                      <w:color w:val="auto"/>
                      <w:sz w:val="21"/>
                      <w:szCs w:val="21"/>
                      <w:lang w:val="en-US" w:eastAsia="zh-CN"/>
                    </w:rPr>
                  </w:pPr>
                  <w:r>
                    <w:rPr>
                      <w:rFonts w:hint="eastAsia"/>
                      <w:szCs w:val="21"/>
                      <w:lang w:val="en-US" w:eastAsia="zh-CN"/>
                    </w:rPr>
                    <w:t>污水处理站</w:t>
                  </w:r>
                </w:p>
              </w:tc>
              <w:tc>
                <w:tcPr>
                  <w:tcW w:w="4147" w:type="pct"/>
                  <w:vAlign w:val="center"/>
                </w:tcPr>
                <w:p w14:paraId="25AF115C">
                  <w:pPr>
                    <w:jc w:val="center"/>
                    <w:rPr>
                      <w:rFonts w:hint="default" w:ascii="Times New Roman" w:hAnsi="Times New Roman" w:cs="Times New Roman"/>
                      <w:color w:val="auto"/>
                      <w:sz w:val="21"/>
                      <w:szCs w:val="21"/>
                    </w:rPr>
                  </w:pPr>
                  <w:r>
                    <w:rPr>
                      <w:rFonts w:hint="eastAsia" w:cs="Times New Roman"/>
                      <w:color w:val="auto"/>
                      <w:lang w:val="en-US" w:eastAsia="zh-CN"/>
                    </w:rPr>
                    <w:t>污水处理站产生的恶臭气体经收集后通过一套UV光氧装置处理后由一根15m高排气筒（DA001）排放</w:t>
                  </w:r>
                  <w:r>
                    <w:rPr>
                      <w:rFonts w:hint="eastAsia"/>
                      <w:szCs w:val="21"/>
                      <w:lang w:eastAsia="zh-CN"/>
                    </w:rPr>
                    <w:t>。</w:t>
                  </w:r>
                </w:p>
              </w:tc>
            </w:tr>
            <w:tr w14:paraId="77A492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7" w:hRule="atLeast"/>
                <w:jc w:val="center"/>
              </w:trPr>
              <w:tc>
                <w:tcPr>
                  <w:tcW w:w="1464" w:type="dxa"/>
                  <w:vAlign w:val="center"/>
                </w:tcPr>
                <w:p w14:paraId="17DD5A25">
                  <w:pPr>
                    <w:keepNext w:val="0"/>
                    <w:keepLines w:val="0"/>
                    <w:pageBreakBefore w:val="0"/>
                    <w:widowControl w:val="0"/>
                    <w:kinsoku/>
                    <w:wordWrap/>
                    <w:overflowPunct/>
                    <w:topLinePunct w:val="0"/>
                    <w:autoSpaceDE/>
                    <w:autoSpaceDN/>
                    <w:bidi w:val="0"/>
                    <w:adjustRightInd/>
                    <w:snapToGrid/>
                    <w:spacing w:beforeAutospacing="0" w:afterAutospacing="0"/>
                    <w:ind w:left="0" w:leftChars="0" w:right="0" w:rightChars="0"/>
                    <w:jc w:val="center"/>
                    <w:rPr>
                      <w:rFonts w:hint="eastAsia"/>
                      <w:szCs w:val="21"/>
                      <w:lang w:eastAsia="zh-CN"/>
                    </w:rPr>
                  </w:pPr>
                  <w:r>
                    <w:rPr>
                      <w:rFonts w:hint="eastAsia" w:cs="Times New Roman"/>
                      <w:color w:val="auto"/>
                      <w:sz w:val="21"/>
                      <w:szCs w:val="21"/>
                      <w:lang w:val="en-US" w:eastAsia="zh-CN"/>
                    </w:rPr>
                    <w:t>食堂</w:t>
                  </w:r>
                </w:p>
              </w:tc>
              <w:tc>
                <w:tcPr>
                  <w:tcW w:w="7127" w:type="dxa"/>
                  <w:vAlign w:val="center"/>
                </w:tcPr>
                <w:p w14:paraId="4481E3E2">
                  <w:pPr>
                    <w:keepNext w:val="0"/>
                    <w:keepLines w:val="0"/>
                    <w:pageBreakBefore w:val="0"/>
                    <w:widowControl w:val="0"/>
                    <w:kinsoku/>
                    <w:wordWrap/>
                    <w:overflowPunct/>
                    <w:topLinePunct w:val="0"/>
                    <w:autoSpaceDE/>
                    <w:autoSpaceDN/>
                    <w:bidi w:val="0"/>
                    <w:adjustRightInd/>
                    <w:snapToGrid/>
                    <w:spacing w:beforeAutospacing="0" w:afterAutospacing="0"/>
                    <w:ind w:left="0" w:leftChars="0" w:right="0" w:rightChars="0"/>
                    <w:jc w:val="center"/>
                    <w:textAlignment w:val="auto"/>
                    <w:rPr>
                      <w:rFonts w:hint="eastAsia"/>
                      <w:szCs w:val="21"/>
                      <w:lang w:eastAsia="zh-CN"/>
                    </w:rPr>
                  </w:pPr>
                  <w:r>
                    <w:rPr>
                      <w:rFonts w:hint="eastAsia" w:cs="Times New Roman"/>
                      <w:color w:val="auto"/>
                      <w:sz w:val="21"/>
                      <w:szCs w:val="21"/>
                      <w:lang w:eastAsia="zh-CN"/>
                    </w:rPr>
                    <w:t>本项目食堂油烟经油烟净化器收集处理后通过烟气管道排放。</w:t>
                  </w:r>
                </w:p>
              </w:tc>
            </w:tr>
          </w:tbl>
          <w:p w14:paraId="35E1F5D8">
            <w:pPr>
              <w:spacing w:line="360" w:lineRule="auto"/>
              <w:ind w:firstLine="480" w:firstLineChars="200"/>
              <w:jc w:val="left"/>
              <w:rPr>
                <w:rFonts w:ascii="宋体" w:hAnsi="宋体" w:cs="宋体"/>
                <w:kern w:val="0"/>
                <w:sz w:val="24"/>
              </w:rPr>
            </w:pP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1</w:t>
            </w:r>
            <w:r>
              <w:rPr>
                <w:rFonts w:hint="eastAsia"/>
                <w:color w:val="000000" w:themeColor="text1"/>
                <w:sz w:val="24"/>
                <w:szCs w:val="24"/>
                <w:highlight w:val="none"/>
                <w:lang w:eastAsia="zh-CN"/>
                <w14:textFill>
                  <w14:solidFill>
                    <w14:schemeClr w14:val="tx1"/>
                  </w14:solidFill>
                </w14:textFill>
              </w:rPr>
              <w:t>）污水处理站恶臭气体治理措施可行性分析</w:t>
            </w:r>
            <w:r>
              <w:rPr>
                <w:rFonts w:hint="eastAsia" w:ascii="宋体" w:hAnsi="宋体" w:cs="宋体"/>
                <w:kern w:val="0"/>
                <w:sz w:val="24"/>
              </w:rPr>
              <w:t>。</w:t>
            </w:r>
          </w:p>
          <w:p w14:paraId="04595B9D">
            <w:pPr>
              <w:spacing w:line="360" w:lineRule="auto"/>
              <w:ind w:firstLine="480" w:firstLineChars="200"/>
              <w:rPr>
                <w:rFonts w:hint="eastAsia" w:ascii="宋体" w:hAnsi="宋体" w:cs="宋体"/>
                <w:kern w:val="0"/>
                <w:sz w:val="24"/>
              </w:rPr>
            </w:pPr>
            <w:r>
              <w:rPr>
                <w:rFonts w:hint="eastAsia" w:ascii="Times New Roman" w:hAnsi="Times New Roman" w:eastAsia="宋体" w:cs="Times New Roman"/>
                <w:color w:val="auto"/>
                <w:sz w:val="24"/>
                <w:szCs w:val="24"/>
                <w:lang w:val="en-US" w:eastAsia="zh-CN"/>
              </w:rPr>
              <w:t>本项目恶臭气体</w:t>
            </w:r>
            <w:r>
              <w:rPr>
                <w:rFonts w:hint="eastAsia" w:cs="Times New Roman"/>
                <w:color w:val="auto"/>
                <w:sz w:val="24"/>
                <w:szCs w:val="24"/>
                <w:lang w:val="en-US" w:eastAsia="zh-CN"/>
              </w:rPr>
              <w:t>依托现有UV光氧装置</w:t>
            </w:r>
            <w:r>
              <w:rPr>
                <w:rFonts w:hint="eastAsia" w:ascii="Times New Roman" w:hAnsi="Times New Roman" w:eastAsia="宋体" w:cs="Times New Roman"/>
                <w:color w:val="auto"/>
                <w:sz w:val="24"/>
                <w:szCs w:val="24"/>
                <w:lang w:val="en-US" w:eastAsia="zh-CN"/>
              </w:rPr>
              <w:t>处理</w:t>
            </w:r>
            <w:r>
              <w:rPr>
                <w:rFonts w:hint="eastAsia" w:cs="Times New Roman"/>
                <w:color w:val="auto"/>
                <w:sz w:val="24"/>
                <w:szCs w:val="24"/>
                <w:lang w:val="en-US" w:eastAsia="zh-CN"/>
              </w:rPr>
              <w:t>。</w:t>
            </w:r>
          </w:p>
          <w:p w14:paraId="05CE004B">
            <w:pPr>
              <w:spacing w:line="360" w:lineRule="auto"/>
              <w:ind w:firstLine="482" w:firstLineChars="200"/>
              <w:rPr>
                <w:rFonts w:hint="eastAsia" w:ascii="宋体" w:hAnsi="宋体" w:eastAsia="宋体" w:cs="宋体"/>
                <w:kern w:val="0"/>
                <w:sz w:val="24"/>
                <w:lang w:eastAsia="zh-CN"/>
              </w:rPr>
            </w:pPr>
            <w:r>
              <w:rPr>
                <w:rFonts w:hint="eastAsia" w:cs="Times New Roman"/>
                <w:b/>
                <w:bCs/>
                <w:color w:val="auto"/>
                <w:sz w:val="24"/>
                <w:szCs w:val="24"/>
                <w:lang w:val="en-US" w:eastAsia="zh-CN"/>
              </w:rPr>
              <w:t>UV光氧装置</w:t>
            </w:r>
            <w:r>
              <w:rPr>
                <w:rFonts w:hint="default" w:ascii="Times New Roman" w:hAnsi="Times New Roman" w:cs="Times New Roman"/>
                <w:b/>
                <w:bCs/>
                <w:color w:val="auto"/>
                <w:kern w:val="0"/>
                <w:sz w:val="24"/>
              </w:rPr>
              <w:t>的工作</w:t>
            </w:r>
            <w:r>
              <w:rPr>
                <w:rFonts w:hint="default" w:ascii="Times New Roman" w:hAnsi="Times New Roman" w:cs="Times New Roman"/>
                <w:b/>
                <w:bCs/>
                <w:color w:val="auto"/>
                <w:kern w:val="0"/>
                <w:sz w:val="24"/>
              </w:rPr>
              <w:t>原理：</w:t>
            </w:r>
            <w:r>
              <w:rPr>
                <w:rFonts w:hint="default" w:ascii="Times New Roman" w:hAnsi="Times New Roman" w:cs="Times New Roman"/>
                <w:color w:val="auto"/>
                <w:kern w:val="0"/>
                <w:sz w:val="24"/>
              </w:rPr>
              <w:t>利用特制的高能高臭氧UV紫外线光束照射来裂解排放的废气，能有效的处理：硫化氢、甲硫氢、甲硫醇、甲硫醚、二甲二硫、二硫化碳和苯乙烯，硫化物H</w:t>
            </w:r>
            <w:r>
              <w:rPr>
                <w:rFonts w:hint="default" w:ascii="Times New Roman" w:hAnsi="Times New Roman" w:cs="Times New Roman"/>
                <w:color w:val="auto"/>
                <w:kern w:val="0"/>
                <w:sz w:val="24"/>
                <w:vertAlign w:val="subscript"/>
              </w:rPr>
              <w:t>2</w:t>
            </w:r>
            <w:r>
              <w:rPr>
                <w:rFonts w:hint="default" w:ascii="Times New Roman" w:hAnsi="Times New Roman" w:cs="Times New Roman"/>
                <w:color w:val="auto"/>
                <w:kern w:val="0"/>
                <w:sz w:val="24"/>
              </w:rPr>
              <w:t>S、VOC类，等废气的分子链结构，使有机或无机高分子废气化合物分子链，在高能紫外线光束照射下，降解转变成低分子化合物，如CO</w:t>
            </w:r>
            <w:r>
              <w:rPr>
                <w:rFonts w:hint="default" w:ascii="Times New Roman" w:hAnsi="Times New Roman" w:cs="Times New Roman"/>
                <w:color w:val="auto"/>
                <w:kern w:val="0"/>
                <w:sz w:val="24"/>
                <w:vertAlign w:val="subscript"/>
              </w:rPr>
              <w:t>2</w:t>
            </w:r>
            <w:r>
              <w:rPr>
                <w:rFonts w:hint="default" w:ascii="Times New Roman" w:hAnsi="Times New Roman" w:cs="Times New Roman"/>
                <w:color w:val="auto"/>
                <w:kern w:val="0"/>
                <w:sz w:val="24"/>
              </w:rPr>
              <w:t>、H</w:t>
            </w:r>
            <w:r>
              <w:rPr>
                <w:rFonts w:hint="default" w:ascii="Times New Roman" w:hAnsi="Times New Roman" w:cs="Times New Roman"/>
                <w:color w:val="auto"/>
                <w:kern w:val="0"/>
                <w:sz w:val="24"/>
                <w:vertAlign w:val="subscript"/>
              </w:rPr>
              <w:t>2</w:t>
            </w:r>
            <w:r>
              <w:rPr>
                <w:rFonts w:hint="default" w:ascii="Times New Roman" w:hAnsi="Times New Roman" w:cs="Times New Roman"/>
                <w:color w:val="auto"/>
                <w:kern w:val="0"/>
                <w:sz w:val="24"/>
              </w:rPr>
              <w:t>O等，从而达到有效的治理，实现达标排放</w:t>
            </w:r>
            <w:r>
              <w:rPr>
                <w:rFonts w:hint="eastAsia" w:ascii="Times New Roman" w:hAnsi="Times New Roman" w:cs="Times New Roman"/>
                <w:color w:val="auto"/>
                <w:kern w:val="0"/>
                <w:sz w:val="24"/>
                <w:lang w:eastAsia="zh-CN"/>
              </w:rPr>
              <w:t>。</w:t>
            </w:r>
          </w:p>
          <w:p w14:paraId="2B144A7C">
            <w:pPr>
              <w:spacing w:line="360" w:lineRule="auto"/>
              <w:ind w:firstLine="480" w:firstLineChars="200"/>
              <w:rPr>
                <w:rFonts w:hint="default" w:ascii="Times New Roman" w:hAnsi="Times New Roman" w:cs="Times New Roman"/>
                <w:color w:val="auto"/>
                <w:sz w:val="24"/>
                <w:szCs w:val="24"/>
                <w:lang w:eastAsia="zh-CN"/>
              </w:rPr>
            </w:pPr>
            <w:r>
              <w:rPr>
                <w:rFonts w:hint="eastAsia" w:ascii="Times New Roman" w:hAnsi="Times New Roman" w:eastAsia="宋体" w:cs="Times New Roman"/>
                <w:color w:val="auto"/>
                <w:sz w:val="24"/>
                <w:szCs w:val="24"/>
                <w:lang w:val="en-US" w:eastAsia="zh-CN"/>
              </w:rPr>
              <w:t>本项目恶臭气体采取的</w:t>
            </w:r>
            <w:r>
              <w:rPr>
                <w:rFonts w:hint="eastAsia" w:cs="Times New Roman"/>
                <w:color w:val="auto"/>
                <w:sz w:val="24"/>
                <w:szCs w:val="24"/>
                <w:lang w:val="en-US" w:eastAsia="zh-CN"/>
              </w:rPr>
              <w:t>UV光氧装置</w:t>
            </w:r>
            <w:r>
              <w:rPr>
                <w:rFonts w:hint="eastAsia" w:ascii="Times New Roman" w:hAnsi="Times New Roman" w:eastAsia="宋体" w:cs="Times New Roman"/>
                <w:color w:val="auto"/>
                <w:sz w:val="24"/>
                <w:szCs w:val="24"/>
                <w:lang w:val="en-US" w:eastAsia="zh-CN"/>
              </w:rPr>
              <w:t>处理工艺，技术成熟，污染物去除效果稳定，且运行成本较低，故此处理工艺经济技术合理可行</w:t>
            </w:r>
            <w:r>
              <w:rPr>
                <w:rFonts w:hint="default" w:ascii="Times New Roman" w:hAnsi="Times New Roman" w:cs="Times New Roman"/>
                <w:color w:val="auto"/>
                <w:sz w:val="24"/>
                <w:szCs w:val="24"/>
                <w:lang w:eastAsia="zh-CN"/>
              </w:rPr>
              <w:t>。</w:t>
            </w:r>
          </w:p>
          <w:p w14:paraId="19154621">
            <w:pPr>
              <w:adjustRightInd w:val="0"/>
              <w:snapToGrid w:val="0"/>
              <w:spacing w:line="360" w:lineRule="auto"/>
              <w:ind w:firstLine="482" w:firstLineChars="200"/>
              <w:rPr>
                <w:rFonts w:hint="eastAsia" w:ascii="Times New Roman" w:hAnsi="Times New Roman" w:eastAsia="宋体" w:cs="Times New Roman"/>
                <w:b/>
                <w:color w:val="auto"/>
                <w:kern w:val="0"/>
                <w:sz w:val="24"/>
                <w:szCs w:val="24"/>
                <w:lang w:val="en-US" w:eastAsia="zh-CN"/>
              </w:rPr>
            </w:pPr>
            <w:r>
              <w:rPr>
                <w:rFonts w:hint="eastAsia" w:cs="Times New Roman"/>
                <w:b/>
                <w:color w:val="auto"/>
                <w:kern w:val="0"/>
                <w:sz w:val="24"/>
                <w:szCs w:val="24"/>
                <w:lang w:val="en-US" w:eastAsia="zh-CN"/>
              </w:rPr>
              <w:t>5、</w:t>
            </w:r>
            <w:r>
              <w:rPr>
                <w:rFonts w:hint="eastAsia"/>
                <w:b/>
                <w:bCs/>
                <w:color w:val="auto"/>
                <w:sz w:val="24"/>
              </w:rPr>
              <w:t>大气</w:t>
            </w:r>
            <w:r>
              <w:rPr>
                <w:rFonts w:hint="eastAsia"/>
                <w:b/>
                <w:bCs/>
                <w:color w:val="auto"/>
                <w:kern w:val="0"/>
                <w:sz w:val="24"/>
              </w:rPr>
              <w:t>环境影响评价结论</w:t>
            </w:r>
          </w:p>
          <w:p w14:paraId="54E1246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
                <w:color w:val="auto"/>
                <w:kern w:val="0"/>
                <w:sz w:val="24"/>
                <w:szCs w:val="24"/>
                <w:lang w:eastAsia="zh-CN"/>
              </w:rPr>
            </w:pPr>
            <w:r>
              <w:rPr>
                <w:color w:val="auto"/>
                <w:kern w:val="0"/>
                <w:sz w:val="24"/>
              </w:rPr>
              <w:t>本项目营运期间产生的大气污染物主要为：</w:t>
            </w:r>
            <w:r>
              <w:rPr>
                <w:rFonts w:hint="eastAsia" w:cs="Times New Roman"/>
                <w:color w:val="auto"/>
                <w:sz w:val="24"/>
                <w:szCs w:val="24"/>
                <w:highlight w:val="none"/>
                <w:lang w:val="en-US" w:eastAsia="zh-CN"/>
              </w:rPr>
              <w:t>恶臭气体（</w:t>
            </w:r>
            <w:r>
              <w:rPr>
                <w:rFonts w:hint="eastAsia" w:cs="Times New Roman"/>
                <w:b w:val="0"/>
                <w:bCs w:val="0"/>
                <w:color w:val="auto"/>
                <w:sz w:val="24"/>
                <w:szCs w:val="24"/>
                <w:u w:val="none"/>
                <w:lang w:val="en-US" w:eastAsia="zh-CN"/>
              </w:rPr>
              <w:t>氨、</w:t>
            </w:r>
            <w:r>
              <w:rPr>
                <w:rFonts w:hint="eastAsia" w:ascii="宋体" w:hAnsi="宋体" w:cs="宋体"/>
                <w:color w:val="auto"/>
                <w:kern w:val="0"/>
                <w:sz w:val="24"/>
                <w:szCs w:val="24"/>
                <w:lang w:val="en-US" w:eastAsia="zh-CN" w:bidi="ar"/>
              </w:rPr>
              <w:t>硫化氢和臭气浓度</w:t>
            </w:r>
            <w:r>
              <w:rPr>
                <w:rFonts w:hint="eastAsia" w:cs="Times New Roman"/>
                <w:color w:val="auto"/>
                <w:sz w:val="24"/>
                <w:szCs w:val="24"/>
                <w:highlight w:val="none"/>
                <w:lang w:val="en-US" w:eastAsia="zh-CN"/>
              </w:rPr>
              <w:t>）</w:t>
            </w:r>
            <w:r>
              <w:rPr>
                <w:color w:val="auto"/>
                <w:kern w:val="0"/>
                <w:sz w:val="24"/>
              </w:rPr>
              <w:t>。项目</w:t>
            </w:r>
            <w:r>
              <w:rPr>
                <w:rFonts w:hint="eastAsia"/>
                <w:color w:val="auto"/>
                <w:kern w:val="0"/>
                <w:sz w:val="24"/>
                <w:lang w:eastAsia="zh-CN"/>
              </w:rPr>
              <w:t>产生</w:t>
            </w:r>
            <w:r>
              <w:rPr>
                <w:color w:val="auto"/>
                <w:kern w:val="0"/>
                <w:sz w:val="24"/>
              </w:rPr>
              <w:t>的大气污染物</w:t>
            </w:r>
            <w:r>
              <w:rPr>
                <w:rFonts w:hint="eastAsia"/>
                <w:color w:val="auto"/>
                <w:kern w:val="0"/>
                <w:sz w:val="24"/>
              </w:rPr>
              <w:t>经过</w:t>
            </w:r>
            <w:r>
              <w:rPr>
                <w:rFonts w:hint="eastAsia"/>
                <w:color w:val="auto"/>
                <w:kern w:val="0"/>
                <w:sz w:val="24"/>
                <w:lang w:eastAsia="zh-CN"/>
              </w:rPr>
              <w:t>处理后</w:t>
            </w:r>
            <w:r>
              <w:rPr>
                <w:rFonts w:hint="eastAsia"/>
                <w:color w:val="auto"/>
                <w:kern w:val="0"/>
                <w:sz w:val="24"/>
              </w:rPr>
              <w:t>，</w:t>
            </w:r>
            <w:r>
              <w:rPr>
                <w:rFonts w:hint="eastAsia"/>
                <w:color w:val="auto"/>
                <w:kern w:val="0"/>
                <w:sz w:val="24"/>
                <w:lang w:eastAsia="zh-CN"/>
              </w:rPr>
              <w:t>大气污染物</w:t>
            </w:r>
            <w:r>
              <w:rPr>
                <w:rFonts w:hint="eastAsia"/>
                <w:color w:val="auto"/>
                <w:kern w:val="0"/>
                <w:sz w:val="24"/>
              </w:rPr>
              <w:t>排放浓度</w:t>
            </w:r>
            <w:r>
              <w:rPr>
                <w:color w:val="auto"/>
                <w:kern w:val="0"/>
                <w:sz w:val="24"/>
              </w:rPr>
              <w:t>均</w:t>
            </w:r>
            <w:r>
              <w:rPr>
                <w:rFonts w:hint="eastAsia"/>
                <w:color w:val="auto"/>
                <w:kern w:val="0"/>
                <w:sz w:val="24"/>
                <w:lang w:eastAsia="zh-CN"/>
              </w:rPr>
              <w:t>能</w:t>
            </w:r>
            <w:r>
              <w:rPr>
                <w:color w:val="auto"/>
                <w:kern w:val="0"/>
                <w:sz w:val="24"/>
              </w:rPr>
              <w:t>达到相应的排放标准要求，对周边环境影响较小。项目营运期大气环境影响可以接受</w:t>
            </w:r>
            <w:r>
              <w:rPr>
                <w:rFonts w:hint="eastAsia"/>
                <w:color w:val="auto"/>
                <w:kern w:val="0"/>
                <w:sz w:val="24"/>
                <w:lang w:eastAsia="zh-CN"/>
              </w:rPr>
              <w:t>。</w:t>
            </w:r>
          </w:p>
          <w:p w14:paraId="0710F6DC">
            <w:pPr>
              <w:keepNext w:val="0"/>
              <w:keepLines w:val="0"/>
              <w:pageBreakBefore w:val="0"/>
              <w:widowControl w:val="0"/>
              <w:kinsoku/>
              <w:wordWrap/>
              <w:overflowPunct/>
              <w:topLinePunct w:val="0"/>
              <w:autoSpaceDE/>
              <w:autoSpaceDN/>
              <w:bidi w:val="0"/>
              <w:adjustRightInd w:val="0"/>
              <w:snapToGrid w:val="0"/>
              <w:spacing w:line="360" w:lineRule="auto"/>
              <w:ind w:left="0" w:right="0" w:firstLine="482" w:firstLineChars="200"/>
              <w:jc w:val="both"/>
              <w:textAlignment w:val="auto"/>
              <w:rPr>
                <w:rFonts w:hint="default" w:ascii="Times New Roman" w:hAnsi="Times New Roman" w:eastAsia="宋体" w:cs="Times New Roman"/>
                <w:b/>
                <w:bCs/>
                <w:color w:val="auto"/>
                <w:kern w:val="0"/>
                <w:sz w:val="24"/>
                <w:szCs w:val="24"/>
                <w:lang w:val="en-US" w:eastAsia="zh-CN"/>
              </w:rPr>
            </w:pPr>
            <w:r>
              <w:rPr>
                <w:rFonts w:hint="default" w:ascii="Times New Roman" w:hAnsi="Times New Roman" w:cs="Times New Roman"/>
                <w:b/>
                <w:bCs/>
                <w:color w:val="auto"/>
                <w:kern w:val="0"/>
                <w:sz w:val="24"/>
                <w:szCs w:val="24"/>
                <w:lang w:val="en-US" w:eastAsia="zh-CN"/>
              </w:rPr>
              <w:t>二、废水</w:t>
            </w:r>
          </w:p>
          <w:p w14:paraId="2B310A06">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kern w:val="0"/>
                <w:sz w:val="24"/>
                <w:highlight w:val="none"/>
                <w:lang w:val="en-US" w:eastAsia="zh-CN"/>
              </w:rPr>
            </w:pPr>
            <w:r>
              <w:rPr>
                <w:rFonts w:hint="default" w:ascii="Times New Roman" w:hAnsi="Times New Roman" w:eastAsia="宋体" w:cs="Times New Roman"/>
                <w:b/>
                <w:bCs/>
                <w:color w:val="auto"/>
                <w:sz w:val="24"/>
                <w:szCs w:val="24"/>
                <w:highlight w:val="none"/>
                <w:lang w:val="en-US" w:eastAsia="zh-CN"/>
              </w:rPr>
              <w:t>1、</w:t>
            </w:r>
            <w:r>
              <w:rPr>
                <w:rFonts w:hint="eastAsia" w:cs="Times New Roman"/>
                <w:b/>
                <w:bCs/>
                <w:color w:val="auto"/>
                <w:sz w:val="24"/>
                <w:szCs w:val="24"/>
                <w:highlight w:val="none"/>
                <w:lang w:val="en-US" w:eastAsia="zh-CN"/>
              </w:rPr>
              <w:t>废水种类</w:t>
            </w:r>
          </w:p>
          <w:p w14:paraId="0EB075E7">
            <w:pPr>
              <w:keepNext w:val="0"/>
              <w:keepLines w:val="0"/>
              <w:pageBreakBefore w:val="0"/>
              <w:widowControl w:val="0"/>
              <w:bidi w:val="0"/>
              <w:adjustRightInd w:val="0"/>
              <w:snapToGrid w:val="0"/>
              <w:spacing w:beforeAutospacing="0" w:afterAutospacing="0" w:line="360" w:lineRule="auto"/>
              <w:ind w:left="0" w:leftChars="0" w:right="0" w:rightChars="0" w:firstLine="480" w:firstLineChars="200"/>
              <w:jc w:val="both"/>
              <w:rPr>
                <w:rFonts w:hint="default" w:ascii="Times New Roman" w:hAnsi="Times New Roman" w:cs="Times New Roman"/>
                <w:color w:val="auto"/>
                <w:sz w:val="24"/>
                <w:lang w:eastAsia="zh-CN"/>
              </w:rPr>
            </w:pPr>
            <w:r>
              <w:rPr>
                <w:rFonts w:hint="eastAsia" w:cs="Times New Roman"/>
                <w:bCs/>
                <w:color w:val="auto"/>
                <w:sz w:val="24"/>
                <w:szCs w:val="24"/>
                <w:lang w:eastAsia="zh-CN"/>
              </w:rPr>
              <w:t>建设单位不设洗衣房，所有衣服委外洗涤，因此无相关洗涤用水产生。本项目用水主要为医护人员生活用水、后勤人员生活用水、食堂用水、住院病床用水、医疗器械洗消用水以及地面保洁用水</w:t>
            </w:r>
            <w:r>
              <w:rPr>
                <w:rFonts w:hint="eastAsia" w:cs="Times New Roman"/>
                <w:color w:val="auto"/>
                <w:kern w:val="1"/>
                <w:sz w:val="24"/>
                <w:lang w:eastAsia="zh-CN"/>
              </w:rPr>
              <w:t>。</w:t>
            </w:r>
            <w:r>
              <w:rPr>
                <w:rFonts w:hint="eastAsia" w:cs="Times New Roman"/>
                <w:color w:val="auto"/>
                <w:kern w:val="1"/>
                <w:sz w:val="24"/>
                <w:szCs w:val="24"/>
                <w:lang w:eastAsia="zh-CN"/>
              </w:rPr>
              <w:t>项目</w:t>
            </w:r>
            <w:r>
              <w:rPr>
                <w:rFonts w:hint="eastAsia" w:ascii="Times New Roman" w:hAnsi="Times New Roman" w:eastAsia="宋体" w:cs="Times New Roman"/>
                <w:color w:val="auto"/>
                <w:kern w:val="0"/>
                <w:sz w:val="24"/>
                <w:szCs w:val="24"/>
                <w:lang w:val="en-US" w:eastAsia="zh-CN" w:bidi="ar-SA"/>
              </w:rPr>
              <w:t>食堂废水</w:t>
            </w:r>
            <w:r>
              <w:rPr>
                <w:rFonts w:hint="eastAsia" w:cs="Times New Roman"/>
                <w:color w:val="auto"/>
                <w:kern w:val="0"/>
                <w:sz w:val="24"/>
                <w:szCs w:val="24"/>
                <w:lang w:val="en-US" w:eastAsia="zh-CN" w:bidi="ar-SA"/>
              </w:rPr>
              <w:t>经隔油池预处理后汇同</w:t>
            </w:r>
            <w:r>
              <w:rPr>
                <w:rFonts w:hint="eastAsia" w:ascii="Times New Roman" w:hAnsi="Times New Roman" w:eastAsia="宋体" w:cs="Times New Roman"/>
                <w:color w:val="auto"/>
                <w:kern w:val="0"/>
                <w:sz w:val="24"/>
                <w:szCs w:val="24"/>
                <w:lang w:val="en-US" w:eastAsia="zh-CN" w:bidi="ar-SA"/>
              </w:rPr>
              <w:t>生活污水</w:t>
            </w:r>
            <w:r>
              <w:rPr>
                <w:rFonts w:hint="eastAsia" w:cs="Times New Roman"/>
                <w:color w:val="auto"/>
                <w:kern w:val="0"/>
                <w:sz w:val="24"/>
                <w:szCs w:val="24"/>
                <w:lang w:val="en-US" w:eastAsia="zh-CN" w:bidi="ar-SA"/>
              </w:rPr>
              <w:t>一起</w:t>
            </w:r>
            <w:r>
              <w:rPr>
                <w:rFonts w:hint="eastAsia" w:ascii="Times New Roman" w:hAnsi="Times New Roman" w:eastAsia="宋体" w:cs="Times New Roman"/>
                <w:color w:val="auto"/>
                <w:kern w:val="0"/>
                <w:sz w:val="24"/>
                <w:szCs w:val="24"/>
                <w:lang w:val="en-US" w:eastAsia="zh-CN" w:bidi="ar-SA"/>
              </w:rPr>
              <w:t>经化粪池处理后进入厂区</w:t>
            </w:r>
            <w:r>
              <w:rPr>
                <w:rFonts w:hint="eastAsia" w:cs="Times New Roman"/>
                <w:color w:val="auto"/>
                <w:kern w:val="0"/>
                <w:sz w:val="24"/>
                <w:szCs w:val="24"/>
                <w:lang w:val="en-US" w:eastAsia="zh-CN" w:bidi="ar-SA"/>
              </w:rPr>
              <w:t>污水处理站</w:t>
            </w:r>
            <w:r>
              <w:rPr>
                <w:rFonts w:hint="eastAsia" w:ascii="Times New Roman" w:hAnsi="Times New Roman" w:eastAsia="宋体" w:cs="Times New Roman"/>
                <w:color w:val="auto"/>
                <w:kern w:val="0"/>
                <w:sz w:val="24"/>
                <w:szCs w:val="24"/>
                <w:lang w:val="en-US" w:eastAsia="zh-CN" w:bidi="ar-SA"/>
              </w:rPr>
              <w:t>处理后，排入市政污水管网进入</w:t>
            </w:r>
            <w:r>
              <w:rPr>
                <w:rFonts w:hint="eastAsia" w:cs="Times New Roman"/>
                <w:color w:val="auto"/>
                <w:kern w:val="0"/>
                <w:sz w:val="24"/>
                <w:szCs w:val="24"/>
                <w:lang w:val="en-US" w:eastAsia="zh-CN" w:bidi="ar-SA"/>
              </w:rPr>
              <w:t>潘集污水处理厂</w:t>
            </w:r>
            <w:r>
              <w:rPr>
                <w:rFonts w:hint="eastAsia" w:ascii="Times New Roman" w:hAnsi="Times New Roman" w:eastAsia="宋体" w:cs="Times New Roman"/>
                <w:color w:val="auto"/>
                <w:kern w:val="0"/>
                <w:sz w:val="24"/>
                <w:szCs w:val="24"/>
                <w:lang w:val="en-US" w:eastAsia="zh-CN" w:bidi="ar-SA"/>
              </w:rPr>
              <w:t>处理；</w:t>
            </w:r>
            <w:r>
              <w:rPr>
                <w:rFonts w:hint="eastAsia" w:cs="Times New Roman"/>
                <w:color w:val="auto"/>
                <w:kern w:val="0"/>
                <w:sz w:val="24"/>
                <w:szCs w:val="24"/>
                <w:lang w:val="en-US" w:eastAsia="zh-CN" w:bidi="ar-SA"/>
              </w:rPr>
              <w:t>住院病床废水、医疗器械洗消废水直接进入</w:t>
            </w:r>
            <w:r>
              <w:rPr>
                <w:rFonts w:hint="eastAsia" w:ascii="Times New Roman" w:hAnsi="Times New Roman" w:eastAsia="宋体" w:cs="Times New Roman"/>
                <w:color w:val="auto"/>
                <w:kern w:val="0"/>
                <w:sz w:val="24"/>
                <w:szCs w:val="24"/>
                <w:lang w:val="en-US" w:eastAsia="zh-CN" w:bidi="ar-SA"/>
              </w:rPr>
              <w:t>厂区</w:t>
            </w:r>
            <w:r>
              <w:rPr>
                <w:rFonts w:hint="eastAsia" w:cs="Times New Roman"/>
                <w:color w:val="auto"/>
                <w:kern w:val="0"/>
                <w:sz w:val="24"/>
                <w:szCs w:val="24"/>
                <w:lang w:val="en-US" w:eastAsia="zh-CN" w:bidi="ar-SA"/>
              </w:rPr>
              <w:t>污水处理站</w:t>
            </w:r>
            <w:r>
              <w:rPr>
                <w:rFonts w:hint="eastAsia" w:ascii="Times New Roman" w:hAnsi="Times New Roman" w:eastAsia="宋体" w:cs="Times New Roman"/>
                <w:color w:val="auto"/>
                <w:kern w:val="0"/>
                <w:sz w:val="24"/>
                <w:szCs w:val="24"/>
                <w:lang w:val="en-US" w:eastAsia="zh-CN" w:bidi="ar-SA"/>
              </w:rPr>
              <w:t>处理后，排入市政污水管网进入</w:t>
            </w:r>
            <w:r>
              <w:rPr>
                <w:rFonts w:hint="eastAsia" w:cs="Times New Roman"/>
                <w:color w:val="auto"/>
                <w:kern w:val="0"/>
                <w:sz w:val="24"/>
                <w:szCs w:val="24"/>
                <w:lang w:val="en-US" w:eastAsia="zh-CN" w:bidi="ar-SA"/>
              </w:rPr>
              <w:t>潘集污水处理厂</w:t>
            </w:r>
            <w:r>
              <w:rPr>
                <w:rFonts w:hint="eastAsia" w:ascii="Times New Roman" w:hAnsi="Times New Roman" w:eastAsia="宋体" w:cs="Times New Roman"/>
                <w:color w:val="auto"/>
                <w:kern w:val="0"/>
                <w:sz w:val="24"/>
                <w:szCs w:val="24"/>
                <w:lang w:val="en-US" w:eastAsia="zh-CN" w:bidi="ar-SA"/>
              </w:rPr>
              <w:t>处理</w:t>
            </w:r>
            <w:r>
              <w:rPr>
                <w:rFonts w:hint="eastAsia" w:cs="Times New Roman"/>
                <w:color w:val="auto"/>
                <w:kern w:val="0"/>
                <w:sz w:val="24"/>
                <w:szCs w:val="24"/>
                <w:lang w:val="en-US" w:eastAsia="zh-CN" w:bidi="ar-SA"/>
              </w:rPr>
              <w:t>；蒸汽发生器浓水和纯水制备浓水直接由厂区污水总排口</w:t>
            </w:r>
            <w:r>
              <w:rPr>
                <w:rFonts w:hint="eastAsia" w:ascii="Times New Roman" w:hAnsi="Times New Roman" w:eastAsia="宋体" w:cs="Times New Roman"/>
                <w:color w:val="auto"/>
                <w:kern w:val="0"/>
                <w:sz w:val="24"/>
                <w:szCs w:val="24"/>
                <w:lang w:val="en-US" w:eastAsia="zh-CN" w:bidi="ar-SA"/>
              </w:rPr>
              <w:t>排入市政污水管网进入</w:t>
            </w:r>
            <w:r>
              <w:rPr>
                <w:rFonts w:hint="eastAsia" w:cs="Times New Roman"/>
                <w:color w:val="auto"/>
                <w:kern w:val="0"/>
                <w:sz w:val="24"/>
                <w:szCs w:val="24"/>
                <w:lang w:val="en-US" w:eastAsia="zh-CN" w:bidi="ar-SA"/>
              </w:rPr>
              <w:t>潘集污水处理厂</w:t>
            </w:r>
            <w:r>
              <w:rPr>
                <w:rFonts w:hint="eastAsia" w:ascii="Times New Roman" w:hAnsi="Times New Roman" w:eastAsia="宋体" w:cs="Times New Roman"/>
                <w:color w:val="auto"/>
                <w:kern w:val="0"/>
                <w:sz w:val="24"/>
                <w:szCs w:val="24"/>
                <w:lang w:val="en-US" w:eastAsia="zh-CN" w:bidi="ar-SA"/>
              </w:rPr>
              <w:t>处理</w:t>
            </w:r>
            <w:r>
              <w:rPr>
                <w:rFonts w:hint="eastAsia" w:ascii="Times New Roman" w:hAnsi="Times New Roman" w:eastAsia="宋体" w:cs="Times New Roman"/>
                <w:bCs/>
                <w:color w:val="auto"/>
                <w:sz w:val="24"/>
                <w:szCs w:val="24"/>
                <w:lang w:val="en-US" w:eastAsia="zh-CN"/>
              </w:rPr>
              <w:t>。</w:t>
            </w:r>
          </w:p>
          <w:p w14:paraId="775035C7">
            <w:pPr>
              <w:adjustRightInd w:val="0"/>
              <w:snapToGrid w:val="0"/>
              <w:spacing w:line="360" w:lineRule="auto"/>
              <w:ind w:firstLine="480" w:firstLineChars="200"/>
              <w:rPr>
                <w:rFonts w:hint="eastAsia" w:cs="Times New Roman"/>
                <w:b/>
                <w:bCs/>
                <w:color w:val="auto"/>
                <w:sz w:val="24"/>
                <w:szCs w:val="24"/>
                <w:lang w:eastAsia="zh-CN"/>
              </w:rPr>
            </w:pPr>
            <w:r>
              <w:rPr>
                <w:rFonts w:hint="default" w:ascii="Times New Roman" w:hAnsi="Times New Roman" w:eastAsia="宋体" w:cs="Times New Roman"/>
                <w:color w:val="auto"/>
                <w:sz w:val="24"/>
                <w:szCs w:val="24"/>
                <w:lang w:val="en-US" w:eastAsia="zh-CN"/>
              </w:rPr>
              <w:t>①</w:t>
            </w:r>
            <w:r>
              <w:rPr>
                <w:rFonts w:hint="eastAsia" w:cs="Times New Roman"/>
                <w:b w:val="0"/>
                <w:bCs w:val="0"/>
                <w:color w:val="auto"/>
                <w:sz w:val="24"/>
                <w:szCs w:val="24"/>
                <w:lang w:eastAsia="zh-CN"/>
              </w:rPr>
              <w:t>医护人员生活用水</w:t>
            </w:r>
          </w:p>
          <w:p w14:paraId="7842E426">
            <w:pPr>
              <w:adjustRightInd w:val="0"/>
              <w:snapToGrid w:val="0"/>
              <w:spacing w:line="360" w:lineRule="auto"/>
              <w:ind w:firstLine="480" w:firstLineChars="200"/>
              <w:rPr>
                <w:rFonts w:hint="eastAsia" w:ascii="Times New Roman" w:hAnsi="Times New Roman" w:cs="Times New Roman"/>
                <w:color w:val="auto"/>
                <w:sz w:val="24"/>
                <w:szCs w:val="24"/>
                <w:lang w:val="en-US" w:eastAsia="zh-CN"/>
              </w:rPr>
            </w:pPr>
            <w:r>
              <w:rPr>
                <w:rFonts w:hint="eastAsia" w:cs="Times New Roman"/>
                <w:b w:val="0"/>
                <w:bCs w:val="0"/>
                <w:color w:val="auto"/>
                <w:sz w:val="24"/>
                <w:szCs w:val="24"/>
                <w:lang w:eastAsia="zh-CN"/>
              </w:rPr>
              <w:t>本次扩建</w:t>
            </w:r>
            <w:r>
              <w:rPr>
                <w:rFonts w:hint="default" w:ascii="Times New Roman" w:hAnsi="Times New Roman" w:cs="Times New Roman"/>
                <w:color w:val="auto"/>
                <w:sz w:val="24"/>
                <w:szCs w:val="24"/>
                <w:lang w:eastAsia="zh-CN"/>
              </w:rPr>
              <w:t>项目</w:t>
            </w:r>
            <w:r>
              <w:rPr>
                <w:rFonts w:hint="eastAsia" w:cs="Times New Roman"/>
                <w:color w:val="auto"/>
                <w:sz w:val="24"/>
                <w:szCs w:val="24"/>
                <w:lang w:eastAsia="zh-CN"/>
              </w:rPr>
              <w:t>新增医护人员总计</w:t>
            </w:r>
            <w:r>
              <w:rPr>
                <w:rFonts w:hint="eastAsia" w:cs="Times New Roman"/>
                <w:color w:val="auto"/>
                <w:sz w:val="24"/>
                <w:szCs w:val="24"/>
                <w:lang w:val="en-US" w:eastAsia="zh-CN"/>
              </w:rPr>
              <w:t>525</w:t>
            </w:r>
            <w:r>
              <w:rPr>
                <w:rFonts w:hint="default" w:ascii="Times New Roman" w:hAnsi="Times New Roman" w:cs="Times New Roman"/>
                <w:color w:val="auto"/>
                <w:sz w:val="24"/>
                <w:szCs w:val="24"/>
              </w:rPr>
              <w:t>人，</w:t>
            </w:r>
            <w:r>
              <w:rPr>
                <w:rFonts w:hint="eastAsia"/>
                <w:color w:val="auto"/>
                <w:sz w:val="24"/>
                <w:szCs w:val="24"/>
                <w:highlight w:val="none"/>
                <w:lang w:val="en-US" w:eastAsia="zh-CN"/>
              </w:rPr>
              <w:t>参照</w:t>
            </w:r>
            <w:r>
              <w:rPr>
                <w:rFonts w:hint="eastAsia"/>
                <w:color w:val="auto"/>
                <w:sz w:val="24"/>
                <w:szCs w:val="24"/>
                <w:highlight w:val="none"/>
                <w:lang w:eastAsia="zh-CN"/>
              </w:rPr>
              <w:t>《综合医院建筑设计规范》（GB51039-2014）</w:t>
            </w:r>
            <w:r>
              <w:rPr>
                <w:color w:val="auto"/>
                <w:sz w:val="24"/>
                <w:szCs w:val="24"/>
                <w:highlight w:val="none"/>
              </w:rPr>
              <w:t>中</w:t>
            </w:r>
            <w:r>
              <w:rPr>
                <w:rFonts w:hint="eastAsia"/>
                <w:color w:val="auto"/>
                <w:sz w:val="24"/>
                <w:szCs w:val="24"/>
                <w:highlight w:val="none"/>
                <w:lang w:eastAsia="zh-CN"/>
              </w:rPr>
              <w:t>“</w:t>
            </w:r>
            <w:r>
              <w:rPr>
                <w:rFonts w:hint="eastAsia"/>
                <w:color w:val="auto"/>
                <w:sz w:val="24"/>
                <w:szCs w:val="24"/>
                <w:highlight w:val="none"/>
              </w:rPr>
              <w:t>表6.2.2医院生活用水量定额</w:t>
            </w:r>
            <w:r>
              <w:rPr>
                <w:rFonts w:hint="eastAsia"/>
                <w:color w:val="auto"/>
                <w:sz w:val="24"/>
                <w:szCs w:val="24"/>
                <w:highlight w:val="none"/>
                <w:lang w:eastAsia="zh-CN"/>
              </w:rPr>
              <w:t>”可知，医务人员用水量为</w:t>
            </w:r>
            <w:r>
              <w:rPr>
                <w:rFonts w:hint="eastAsia"/>
                <w:color w:val="auto"/>
                <w:sz w:val="24"/>
                <w:szCs w:val="24"/>
                <w:highlight w:val="none"/>
                <w:lang w:val="en-US" w:eastAsia="zh-CN"/>
              </w:rPr>
              <w:t>150~250</w:t>
            </w:r>
            <w:r>
              <w:rPr>
                <w:color w:val="auto"/>
                <w:sz w:val="24"/>
                <w:szCs w:val="24"/>
                <w:highlight w:val="none"/>
              </w:rPr>
              <w:t>L/（人</w:t>
            </w:r>
            <w:r>
              <w:rPr>
                <w:rFonts w:hint="eastAsia"/>
                <w:color w:val="auto"/>
                <w:sz w:val="24"/>
                <w:szCs w:val="24"/>
                <w:highlight w:val="none"/>
                <w:lang w:val="en-US" w:eastAsia="zh-CN"/>
              </w:rPr>
              <w:t>·</w:t>
            </w:r>
            <w:r>
              <w:rPr>
                <w:color w:val="auto"/>
                <w:sz w:val="24"/>
                <w:szCs w:val="24"/>
                <w:highlight w:val="none"/>
              </w:rPr>
              <w:t>班），</w:t>
            </w:r>
            <w:r>
              <w:rPr>
                <w:rFonts w:hint="eastAsia"/>
                <w:color w:val="auto"/>
                <w:sz w:val="24"/>
                <w:szCs w:val="24"/>
                <w:highlight w:val="none"/>
                <w:lang w:val="en-US" w:eastAsia="zh-CN"/>
              </w:rPr>
              <w:t>本次评价取</w:t>
            </w:r>
            <w:r>
              <w:rPr>
                <w:color w:val="auto"/>
                <w:sz w:val="24"/>
                <w:szCs w:val="24"/>
                <w:highlight w:val="none"/>
              </w:rPr>
              <w:t>150L/（人</w:t>
            </w:r>
            <w:r>
              <w:rPr>
                <w:rFonts w:hint="eastAsia"/>
                <w:color w:val="auto"/>
                <w:sz w:val="24"/>
                <w:szCs w:val="24"/>
                <w:highlight w:val="none"/>
                <w:lang w:val="en-US" w:eastAsia="zh-CN"/>
              </w:rPr>
              <w:t>·</w:t>
            </w:r>
            <w:r>
              <w:rPr>
                <w:color w:val="auto"/>
                <w:sz w:val="24"/>
                <w:szCs w:val="24"/>
                <w:highlight w:val="none"/>
              </w:rPr>
              <w:t>班）</w:t>
            </w:r>
            <w:r>
              <w:rPr>
                <w:rFonts w:hint="default" w:ascii="Times New Roman" w:hAnsi="Times New Roman" w:cs="Times New Roman"/>
                <w:color w:val="auto"/>
                <w:sz w:val="24"/>
                <w:szCs w:val="24"/>
                <w:lang w:eastAsia="zh-CN"/>
              </w:rPr>
              <w:t>，则</w:t>
            </w:r>
            <w:r>
              <w:rPr>
                <w:rFonts w:hint="eastAsia" w:ascii="Times New Roman" w:hAnsi="Times New Roman" w:cs="Times New Roman"/>
                <w:color w:val="auto"/>
                <w:sz w:val="24"/>
                <w:szCs w:val="24"/>
                <w:lang w:eastAsia="zh-CN"/>
              </w:rPr>
              <w:t>本项目医护人员</w:t>
            </w:r>
            <w:r>
              <w:rPr>
                <w:rFonts w:hint="default" w:ascii="Times New Roman" w:hAnsi="Times New Roman" w:cs="Times New Roman"/>
                <w:color w:val="auto"/>
                <w:sz w:val="24"/>
                <w:szCs w:val="24"/>
                <w:lang w:eastAsia="zh-CN"/>
              </w:rPr>
              <w:t>用水总量为</w:t>
            </w:r>
            <w:r>
              <w:rPr>
                <w:rFonts w:hint="eastAsia" w:ascii="Times New Roman" w:hAnsi="Times New Roman" w:cs="Times New Roman"/>
                <w:color w:val="auto"/>
                <w:sz w:val="24"/>
                <w:szCs w:val="24"/>
                <w:lang w:val="en-US" w:eastAsia="zh-CN"/>
              </w:rPr>
              <w:t>78.75</w:t>
            </w:r>
            <w:r>
              <w:rPr>
                <w:rFonts w:hint="default" w:ascii="Times New Roman" w:hAnsi="Times New Roman" w:cs="Times New Roman"/>
                <w:color w:val="auto"/>
                <w:sz w:val="24"/>
                <w:szCs w:val="24"/>
                <w:lang w:eastAsia="zh-CN"/>
              </w:rPr>
              <w:t>t/d，即</w:t>
            </w:r>
            <w:r>
              <w:rPr>
                <w:rFonts w:hint="eastAsia" w:ascii="Times New Roman" w:hAnsi="Times New Roman" w:cs="Times New Roman"/>
                <w:color w:val="auto"/>
                <w:sz w:val="24"/>
                <w:szCs w:val="24"/>
                <w:lang w:val="en-US" w:eastAsia="zh-CN"/>
              </w:rPr>
              <w:t>28743.75</w:t>
            </w:r>
            <w:r>
              <w:rPr>
                <w:rFonts w:hint="default" w:ascii="Times New Roman" w:hAnsi="Times New Roman" w:cs="Times New Roman"/>
                <w:color w:val="auto"/>
                <w:sz w:val="24"/>
                <w:szCs w:val="24"/>
                <w:lang w:eastAsia="zh-CN"/>
              </w:rPr>
              <w:t>t/a。排放系数按</w:t>
            </w:r>
            <w:r>
              <w:rPr>
                <w:rFonts w:hint="default" w:ascii="Times New Roman" w:hAnsi="Times New Roman" w:cs="Times New Roman"/>
                <w:color w:val="auto"/>
                <w:sz w:val="24"/>
                <w:szCs w:val="24"/>
                <w:lang w:val="en-US" w:eastAsia="zh-CN"/>
              </w:rPr>
              <w:t>0.8计，</w:t>
            </w:r>
            <w:r>
              <w:rPr>
                <w:rFonts w:hint="default" w:ascii="Times New Roman" w:hAnsi="Times New Roman" w:cs="Times New Roman"/>
                <w:color w:val="auto"/>
                <w:sz w:val="24"/>
                <w:szCs w:val="24"/>
                <w:lang w:eastAsia="zh-CN"/>
              </w:rPr>
              <w:t>则</w:t>
            </w:r>
            <w:r>
              <w:rPr>
                <w:rFonts w:hint="eastAsia" w:ascii="Times New Roman" w:hAnsi="Times New Roman" w:cs="Times New Roman"/>
                <w:color w:val="auto"/>
                <w:sz w:val="24"/>
                <w:szCs w:val="24"/>
                <w:lang w:eastAsia="zh-CN"/>
              </w:rPr>
              <w:t>废水</w:t>
            </w:r>
            <w:r>
              <w:rPr>
                <w:rFonts w:hint="default" w:ascii="Times New Roman" w:hAnsi="Times New Roman" w:cs="Times New Roman"/>
                <w:color w:val="auto"/>
                <w:sz w:val="24"/>
                <w:szCs w:val="24"/>
                <w:lang w:eastAsia="zh-CN"/>
              </w:rPr>
              <w:t>排水量为</w:t>
            </w:r>
            <w:r>
              <w:rPr>
                <w:rFonts w:hint="eastAsia" w:ascii="Times New Roman" w:hAnsi="Times New Roman" w:cs="Times New Roman"/>
                <w:color w:val="auto"/>
                <w:sz w:val="24"/>
                <w:szCs w:val="24"/>
                <w:lang w:val="en-US" w:eastAsia="zh-CN"/>
              </w:rPr>
              <w:t>63</w:t>
            </w:r>
            <w:r>
              <w:rPr>
                <w:rFonts w:hint="default" w:ascii="Times New Roman" w:hAnsi="Times New Roman" w:cs="Times New Roman"/>
                <w:color w:val="auto"/>
                <w:sz w:val="24"/>
                <w:szCs w:val="24"/>
                <w:lang w:val="en-US" w:eastAsia="zh-CN"/>
              </w:rPr>
              <w:t>t/d（</w:t>
            </w:r>
            <w:r>
              <w:rPr>
                <w:rFonts w:hint="eastAsia" w:ascii="Times New Roman" w:hAnsi="Times New Roman" w:cs="Times New Roman"/>
                <w:color w:val="auto"/>
                <w:sz w:val="24"/>
                <w:szCs w:val="24"/>
                <w:lang w:val="en-US" w:eastAsia="zh-CN"/>
              </w:rPr>
              <w:t>22995</w:t>
            </w:r>
            <w:r>
              <w:rPr>
                <w:rFonts w:hint="default" w:ascii="Times New Roman" w:hAnsi="Times New Roman" w:cs="Times New Roman"/>
                <w:color w:val="auto"/>
                <w:sz w:val="24"/>
                <w:szCs w:val="24"/>
                <w:lang w:eastAsia="zh-CN"/>
              </w:rPr>
              <w:t>t</w:t>
            </w:r>
            <w:r>
              <w:rPr>
                <w:rFonts w:hint="default" w:ascii="Times New Roman" w:hAnsi="Times New Roman" w:cs="Times New Roman"/>
                <w:color w:val="auto"/>
                <w:sz w:val="24"/>
                <w:szCs w:val="24"/>
                <w:lang w:val="en-US" w:eastAsia="zh-CN"/>
              </w:rPr>
              <w:t>/a）</w:t>
            </w:r>
            <w:r>
              <w:rPr>
                <w:rFonts w:hint="eastAsia" w:ascii="Times New Roman" w:hAnsi="Times New Roman" w:cs="Times New Roman"/>
                <w:color w:val="auto"/>
                <w:sz w:val="24"/>
                <w:szCs w:val="24"/>
                <w:lang w:val="en-US" w:eastAsia="zh-CN"/>
              </w:rPr>
              <w:t>。</w:t>
            </w:r>
          </w:p>
          <w:p w14:paraId="005BEBF9">
            <w:pPr>
              <w:adjustRightInd w:val="0"/>
              <w:snapToGrid w:val="0"/>
              <w:spacing w:line="360" w:lineRule="auto"/>
              <w:ind w:firstLine="480" w:firstLineChars="200"/>
              <w:rPr>
                <w:rFonts w:hint="eastAsia" w:cs="Times New Roman"/>
                <w:b w:val="0"/>
                <w:bCs w:val="0"/>
                <w:color w:val="auto"/>
                <w:sz w:val="24"/>
                <w:szCs w:val="24"/>
                <w:lang w:eastAsia="zh-CN"/>
              </w:rPr>
            </w:pPr>
            <w:r>
              <w:rPr>
                <w:rFonts w:hint="default" w:ascii="Times New Roman" w:hAnsi="Times New Roman" w:eastAsia="宋体" w:cstheme="minorBidi"/>
                <w:b w:val="0"/>
                <w:bCs w:val="0"/>
                <w:snapToGrid w:val="0"/>
                <w:color w:val="auto"/>
                <w:kern w:val="0"/>
                <w:sz w:val="24"/>
                <w:szCs w:val="24"/>
                <w:highlight w:val="none"/>
                <w:lang w:val="en-US" w:eastAsia="zh-CN" w:bidi="ar-SA"/>
              </w:rPr>
              <w:t>②</w:t>
            </w:r>
            <w:r>
              <w:rPr>
                <w:rFonts w:hint="eastAsia" w:cs="Times New Roman"/>
                <w:bCs/>
                <w:color w:val="auto"/>
                <w:sz w:val="24"/>
                <w:szCs w:val="24"/>
                <w:lang w:eastAsia="zh-CN"/>
              </w:rPr>
              <w:t>后勤人员生活用水</w:t>
            </w:r>
          </w:p>
          <w:p w14:paraId="0F4F69EC">
            <w:pPr>
              <w:adjustRightInd w:val="0"/>
              <w:snapToGrid w:val="0"/>
              <w:spacing w:line="360" w:lineRule="auto"/>
              <w:ind w:firstLine="480" w:firstLineChars="200"/>
              <w:rPr>
                <w:rFonts w:hint="eastAsia" w:cs="Times New Roman"/>
                <w:b w:val="0"/>
                <w:bCs w:val="0"/>
                <w:color w:val="auto"/>
                <w:sz w:val="24"/>
                <w:szCs w:val="24"/>
                <w:lang w:eastAsia="zh-CN"/>
              </w:rPr>
            </w:pPr>
            <w:r>
              <w:rPr>
                <w:rFonts w:hint="eastAsia" w:cs="Times New Roman"/>
                <w:b w:val="0"/>
                <w:bCs w:val="0"/>
                <w:color w:val="auto"/>
                <w:sz w:val="24"/>
                <w:szCs w:val="24"/>
                <w:lang w:eastAsia="zh-CN"/>
              </w:rPr>
              <w:t>本次扩建</w:t>
            </w:r>
            <w:r>
              <w:rPr>
                <w:rFonts w:hint="default" w:ascii="Times New Roman" w:hAnsi="Times New Roman" w:cs="Times New Roman"/>
                <w:color w:val="auto"/>
                <w:sz w:val="24"/>
                <w:szCs w:val="24"/>
                <w:lang w:eastAsia="zh-CN"/>
              </w:rPr>
              <w:t>项目</w:t>
            </w:r>
            <w:r>
              <w:rPr>
                <w:rFonts w:hint="eastAsia" w:cs="Times New Roman"/>
                <w:color w:val="auto"/>
                <w:sz w:val="24"/>
                <w:szCs w:val="24"/>
                <w:lang w:eastAsia="zh-CN"/>
              </w:rPr>
              <w:t>新增后勤人员总计</w:t>
            </w:r>
            <w:r>
              <w:rPr>
                <w:rFonts w:hint="eastAsia" w:cs="Times New Roman"/>
                <w:color w:val="auto"/>
                <w:sz w:val="24"/>
                <w:szCs w:val="24"/>
                <w:lang w:val="en-US" w:eastAsia="zh-CN"/>
              </w:rPr>
              <w:t>20</w:t>
            </w:r>
            <w:r>
              <w:rPr>
                <w:rFonts w:hint="default" w:ascii="Times New Roman" w:hAnsi="Times New Roman" w:cs="Times New Roman"/>
                <w:color w:val="auto"/>
                <w:sz w:val="24"/>
                <w:szCs w:val="24"/>
              </w:rPr>
              <w:t>人，</w:t>
            </w:r>
            <w:r>
              <w:rPr>
                <w:rFonts w:hint="eastAsia"/>
                <w:color w:val="auto"/>
                <w:sz w:val="24"/>
                <w:szCs w:val="24"/>
                <w:highlight w:val="none"/>
                <w:lang w:val="en-US" w:eastAsia="zh-CN"/>
              </w:rPr>
              <w:t>参照</w:t>
            </w:r>
            <w:r>
              <w:rPr>
                <w:rFonts w:hint="eastAsia"/>
                <w:color w:val="auto"/>
                <w:sz w:val="24"/>
                <w:szCs w:val="24"/>
                <w:highlight w:val="none"/>
                <w:lang w:eastAsia="zh-CN"/>
              </w:rPr>
              <w:t>《综合医院建筑设计规范》（GB51039-2014）</w:t>
            </w:r>
            <w:r>
              <w:rPr>
                <w:color w:val="auto"/>
                <w:sz w:val="24"/>
                <w:szCs w:val="24"/>
                <w:highlight w:val="none"/>
              </w:rPr>
              <w:t>中</w:t>
            </w:r>
            <w:r>
              <w:rPr>
                <w:rFonts w:hint="eastAsia"/>
                <w:color w:val="auto"/>
                <w:sz w:val="24"/>
                <w:szCs w:val="24"/>
                <w:highlight w:val="none"/>
                <w:lang w:eastAsia="zh-CN"/>
              </w:rPr>
              <w:t>“</w:t>
            </w:r>
            <w:r>
              <w:rPr>
                <w:rFonts w:hint="eastAsia"/>
                <w:color w:val="auto"/>
                <w:sz w:val="24"/>
                <w:szCs w:val="24"/>
                <w:highlight w:val="none"/>
              </w:rPr>
              <w:t>表6.2.2医院生活用水量定额</w:t>
            </w:r>
            <w:r>
              <w:rPr>
                <w:rFonts w:hint="eastAsia"/>
                <w:color w:val="auto"/>
                <w:sz w:val="24"/>
                <w:szCs w:val="24"/>
                <w:highlight w:val="none"/>
                <w:lang w:eastAsia="zh-CN"/>
              </w:rPr>
              <w:t>”可知，医院后勤职工用水量为</w:t>
            </w:r>
            <w:r>
              <w:rPr>
                <w:rFonts w:hint="eastAsia"/>
                <w:color w:val="auto"/>
                <w:sz w:val="24"/>
                <w:szCs w:val="24"/>
                <w:highlight w:val="none"/>
                <w:lang w:val="en-US" w:eastAsia="zh-CN"/>
              </w:rPr>
              <w:t>80~100</w:t>
            </w:r>
            <w:r>
              <w:rPr>
                <w:color w:val="auto"/>
                <w:sz w:val="24"/>
                <w:szCs w:val="24"/>
                <w:highlight w:val="none"/>
              </w:rPr>
              <w:t>L/（人</w:t>
            </w:r>
            <w:r>
              <w:rPr>
                <w:rFonts w:hint="eastAsia"/>
                <w:color w:val="auto"/>
                <w:sz w:val="24"/>
                <w:szCs w:val="24"/>
                <w:highlight w:val="none"/>
                <w:lang w:val="en-US" w:eastAsia="zh-CN"/>
              </w:rPr>
              <w:t>·</w:t>
            </w:r>
            <w:r>
              <w:rPr>
                <w:color w:val="auto"/>
                <w:sz w:val="24"/>
                <w:szCs w:val="24"/>
                <w:highlight w:val="none"/>
              </w:rPr>
              <w:t>班），</w:t>
            </w:r>
            <w:r>
              <w:rPr>
                <w:rFonts w:hint="eastAsia"/>
                <w:color w:val="auto"/>
                <w:sz w:val="24"/>
                <w:szCs w:val="24"/>
                <w:highlight w:val="none"/>
                <w:lang w:val="en-US" w:eastAsia="zh-CN"/>
              </w:rPr>
              <w:t>本次评价取8</w:t>
            </w:r>
            <w:r>
              <w:rPr>
                <w:color w:val="auto"/>
                <w:sz w:val="24"/>
                <w:szCs w:val="24"/>
                <w:highlight w:val="none"/>
              </w:rPr>
              <w:t>0L/（人</w:t>
            </w:r>
            <w:r>
              <w:rPr>
                <w:rFonts w:hint="eastAsia"/>
                <w:color w:val="auto"/>
                <w:sz w:val="24"/>
                <w:szCs w:val="24"/>
                <w:highlight w:val="none"/>
                <w:lang w:val="en-US" w:eastAsia="zh-CN"/>
              </w:rPr>
              <w:t>·</w:t>
            </w:r>
            <w:r>
              <w:rPr>
                <w:color w:val="auto"/>
                <w:sz w:val="24"/>
                <w:szCs w:val="24"/>
                <w:highlight w:val="none"/>
              </w:rPr>
              <w:t>班）</w:t>
            </w:r>
            <w:r>
              <w:rPr>
                <w:rFonts w:hint="default" w:ascii="Times New Roman" w:hAnsi="Times New Roman" w:cs="Times New Roman"/>
                <w:color w:val="auto"/>
                <w:sz w:val="24"/>
                <w:szCs w:val="24"/>
                <w:lang w:eastAsia="zh-CN"/>
              </w:rPr>
              <w:t>，则</w:t>
            </w:r>
            <w:r>
              <w:rPr>
                <w:rFonts w:hint="eastAsia" w:ascii="Times New Roman" w:hAnsi="Times New Roman" w:cs="Times New Roman"/>
                <w:color w:val="auto"/>
                <w:sz w:val="24"/>
                <w:szCs w:val="24"/>
                <w:lang w:eastAsia="zh-CN"/>
              </w:rPr>
              <w:t>本项目后勤人员</w:t>
            </w:r>
            <w:r>
              <w:rPr>
                <w:rFonts w:hint="default" w:ascii="Times New Roman" w:hAnsi="Times New Roman" w:cs="Times New Roman"/>
                <w:color w:val="auto"/>
                <w:sz w:val="24"/>
                <w:szCs w:val="24"/>
                <w:lang w:eastAsia="zh-CN"/>
              </w:rPr>
              <w:t>用水总量为</w:t>
            </w:r>
            <w:r>
              <w:rPr>
                <w:rFonts w:hint="eastAsia" w:ascii="Times New Roman" w:hAnsi="Times New Roman" w:cs="Times New Roman"/>
                <w:color w:val="auto"/>
                <w:sz w:val="24"/>
                <w:szCs w:val="24"/>
                <w:lang w:val="en-US" w:eastAsia="zh-CN"/>
              </w:rPr>
              <w:t>1.6</w:t>
            </w:r>
            <w:r>
              <w:rPr>
                <w:rFonts w:hint="default" w:ascii="Times New Roman" w:hAnsi="Times New Roman" w:cs="Times New Roman"/>
                <w:color w:val="auto"/>
                <w:sz w:val="24"/>
                <w:szCs w:val="24"/>
                <w:lang w:eastAsia="zh-CN"/>
              </w:rPr>
              <w:t>t/d，即</w:t>
            </w:r>
            <w:r>
              <w:rPr>
                <w:rFonts w:hint="eastAsia" w:ascii="Times New Roman" w:hAnsi="Times New Roman" w:cs="Times New Roman"/>
                <w:color w:val="auto"/>
                <w:sz w:val="24"/>
                <w:szCs w:val="24"/>
                <w:lang w:val="en-US" w:eastAsia="zh-CN"/>
              </w:rPr>
              <w:t>584</w:t>
            </w:r>
            <w:r>
              <w:rPr>
                <w:rFonts w:hint="default" w:ascii="Times New Roman" w:hAnsi="Times New Roman" w:cs="Times New Roman"/>
                <w:color w:val="auto"/>
                <w:sz w:val="24"/>
                <w:szCs w:val="24"/>
                <w:lang w:eastAsia="zh-CN"/>
              </w:rPr>
              <w:t>t/a。排放系数按</w:t>
            </w:r>
            <w:r>
              <w:rPr>
                <w:rFonts w:hint="default" w:ascii="Times New Roman" w:hAnsi="Times New Roman" w:cs="Times New Roman"/>
                <w:color w:val="auto"/>
                <w:sz w:val="24"/>
                <w:szCs w:val="24"/>
                <w:lang w:val="en-US" w:eastAsia="zh-CN"/>
              </w:rPr>
              <w:t>0.8计，</w:t>
            </w:r>
            <w:r>
              <w:rPr>
                <w:rFonts w:hint="default" w:ascii="Times New Roman" w:hAnsi="Times New Roman" w:cs="Times New Roman"/>
                <w:color w:val="auto"/>
                <w:sz w:val="24"/>
                <w:szCs w:val="24"/>
                <w:lang w:eastAsia="zh-CN"/>
              </w:rPr>
              <w:t>则</w:t>
            </w:r>
            <w:r>
              <w:rPr>
                <w:rFonts w:hint="eastAsia" w:cs="Times New Roman"/>
                <w:color w:val="auto"/>
                <w:sz w:val="24"/>
                <w:szCs w:val="24"/>
                <w:lang w:eastAsia="zh-CN"/>
              </w:rPr>
              <w:t>废水</w:t>
            </w:r>
            <w:r>
              <w:rPr>
                <w:rFonts w:hint="default" w:ascii="Times New Roman" w:hAnsi="Times New Roman" w:cs="Times New Roman"/>
                <w:color w:val="auto"/>
                <w:sz w:val="24"/>
                <w:szCs w:val="24"/>
                <w:lang w:eastAsia="zh-CN"/>
              </w:rPr>
              <w:t>排水量为</w:t>
            </w:r>
            <w:r>
              <w:rPr>
                <w:rFonts w:hint="eastAsia" w:ascii="Times New Roman" w:hAnsi="Times New Roman" w:cs="Times New Roman"/>
                <w:color w:val="auto"/>
                <w:sz w:val="24"/>
                <w:szCs w:val="24"/>
                <w:lang w:val="en-US" w:eastAsia="zh-CN"/>
              </w:rPr>
              <w:t>1.28</w:t>
            </w:r>
            <w:r>
              <w:rPr>
                <w:rFonts w:hint="default" w:ascii="Times New Roman" w:hAnsi="Times New Roman" w:cs="Times New Roman"/>
                <w:color w:val="auto"/>
                <w:sz w:val="24"/>
                <w:szCs w:val="24"/>
                <w:lang w:val="en-US" w:eastAsia="zh-CN"/>
              </w:rPr>
              <w:t>t/d（</w:t>
            </w:r>
            <w:r>
              <w:rPr>
                <w:rFonts w:hint="eastAsia" w:ascii="Times New Roman" w:hAnsi="Times New Roman" w:cs="Times New Roman"/>
                <w:color w:val="auto"/>
                <w:sz w:val="24"/>
                <w:szCs w:val="24"/>
                <w:lang w:val="en-US" w:eastAsia="zh-CN"/>
              </w:rPr>
              <w:t>467.2</w:t>
            </w:r>
            <w:r>
              <w:rPr>
                <w:rFonts w:hint="default" w:ascii="Times New Roman" w:hAnsi="Times New Roman" w:cs="Times New Roman"/>
                <w:color w:val="auto"/>
                <w:sz w:val="24"/>
                <w:szCs w:val="24"/>
                <w:lang w:eastAsia="zh-CN"/>
              </w:rPr>
              <w:t>t</w:t>
            </w:r>
            <w:r>
              <w:rPr>
                <w:rFonts w:hint="default" w:ascii="Times New Roman" w:hAnsi="Times New Roman" w:cs="Times New Roman"/>
                <w:color w:val="auto"/>
                <w:sz w:val="24"/>
                <w:szCs w:val="24"/>
                <w:lang w:val="en-US" w:eastAsia="zh-CN"/>
              </w:rPr>
              <w:t>/a）</w:t>
            </w:r>
            <w:r>
              <w:rPr>
                <w:rFonts w:hint="eastAsia" w:ascii="Times New Roman" w:hAnsi="Times New Roman" w:cs="Times New Roman"/>
                <w:color w:val="auto"/>
                <w:sz w:val="24"/>
                <w:szCs w:val="24"/>
                <w:lang w:val="en-US" w:eastAsia="zh-CN"/>
              </w:rPr>
              <w:t>。</w:t>
            </w:r>
          </w:p>
          <w:p w14:paraId="60525E5F">
            <w:pPr>
              <w:adjustRightInd w:val="0"/>
              <w:snapToGrid w:val="0"/>
              <w:spacing w:line="360" w:lineRule="auto"/>
              <w:ind w:firstLine="480" w:firstLineChars="200"/>
              <w:rPr>
                <w:rFonts w:hint="eastAsia" w:cs="Times New Roman"/>
                <w:b w:val="0"/>
                <w:bCs w:val="0"/>
                <w:color w:val="auto"/>
                <w:sz w:val="24"/>
                <w:szCs w:val="24"/>
                <w:lang w:eastAsia="zh-CN"/>
              </w:rPr>
            </w:pPr>
            <w:r>
              <w:rPr>
                <w:rFonts w:hint="default" w:ascii="Times New Roman" w:hAnsi="Times New Roman" w:cs="Times New Roman"/>
                <w:color w:val="auto"/>
                <w:sz w:val="24"/>
                <w:szCs w:val="24"/>
                <w:highlight w:val="none"/>
                <w:lang w:val="en-US" w:eastAsia="zh-CN"/>
              </w:rPr>
              <w:t>③</w:t>
            </w:r>
            <w:r>
              <w:rPr>
                <w:rFonts w:hint="eastAsia" w:cs="Times New Roman"/>
                <w:b w:val="0"/>
                <w:bCs w:val="0"/>
                <w:color w:val="auto"/>
                <w:sz w:val="24"/>
                <w:szCs w:val="24"/>
                <w:lang w:eastAsia="zh-CN"/>
              </w:rPr>
              <w:t>食堂用水</w:t>
            </w:r>
          </w:p>
          <w:p w14:paraId="4F672FDD">
            <w:pPr>
              <w:adjustRightInd w:val="0"/>
              <w:snapToGrid w:val="0"/>
              <w:spacing w:line="360" w:lineRule="auto"/>
              <w:ind w:firstLine="480" w:firstLineChars="200"/>
              <w:rPr>
                <w:rFonts w:hint="eastAsia" w:cs="Times New Roman"/>
                <w:color w:val="auto"/>
                <w:kern w:val="0"/>
                <w:sz w:val="24"/>
                <w:lang w:val="en-US" w:eastAsia="zh-CN"/>
              </w:rPr>
            </w:pPr>
            <w:r>
              <w:rPr>
                <w:rFonts w:hint="eastAsia" w:ascii="Times New Roman" w:hAnsi="Times New Roman" w:cs="Times New Roman"/>
                <w:color w:val="auto"/>
                <w:sz w:val="24"/>
                <w:lang w:eastAsia="zh-CN"/>
              </w:rPr>
              <w:t>本</w:t>
            </w:r>
            <w:r>
              <w:rPr>
                <w:rFonts w:hint="eastAsia" w:cs="Times New Roman"/>
                <w:b w:val="0"/>
                <w:bCs w:val="0"/>
                <w:color w:val="auto"/>
                <w:sz w:val="24"/>
                <w:lang w:eastAsia="zh-CN"/>
              </w:rPr>
              <w:t>次扩建</w:t>
            </w:r>
            <w:r>
              <w:rPr>
                <w:rFonts w:hint="default" w:ascii="Times New Roman" w:hAnsi="Times New Roman" w:cs="Times New Roman"/>
                <w:color w:val="auto"/>
                <w:sz w:val="24"/>
                <w:lang w:eastAsia="zh-CN"/>
              </w:rPr>
              <w:t>项目</w:t>
            </w:r>
            <w:r>
              <w:rPr>
                <w:rFonts w:hint="eastAsia" w:cs="Times New Roman"/>
                <w:color w:val="auto"/>
                <w:sz w:val="24"/>
                <w:lang w:eastAsia="zh-CN"/>
              </w:rPr>
              <w:t>新增员工总计</w:t>
            </w:r>
            <w:r>
              <w:rPr>
                <w:rFonts w:hint="eastAsia" w:cs="Times New Roman"/>
                <w:color w:val="auto"/>
                <w:sz w:val="24"/>
                <w:lang w:val="en-US" w:eastAsia="zh-CN"/>
              </w:rPr>
              <w:t>545</w:t>
            </w:r>
            <w:r>
              <w:rPr>
                <w:rFonts w:hint="default" w:ascii="Times New Roman" w:hAnsi="Times New Roman" w:cs="Times New Roman"/>
                <w:color w:val="auto"/>
                <w:sz w:val="24"/>
              </w:rPr>
              <w:t>人，</w:t>
            </w:r>
            <w:r>
              <w:rPr>
                <w:rFonts w:hint="eastAsia"/>
                <w:color w:val="auto"/>
                <w:sz w:val="24"/>
                <w:szCs w:val="24"/>
                <w:highlight w:val="none"/>
                <w:lang w:val="en-US" w:eastAsia="zh-CN"/>
              </w:rPr>
              <w:t>参照</w:t>
            </w:r>
            <w:r>
              <w:rPr>
                <w:rFonts w:hint="eastAsia"/>
                <w:color w:val="auto"/>
                <w:sz w:val="24"/>
                <w:szCs w:val="24"/>
                <w:highlight w:val="none"/>
                <w:lang w:eastAsia="zh-CN"/>
              </w:rPr>
              <w:t>《综合医院建筑设计规范》（GB51039-2014）</w:t>
            </w:r>
            <w:r>
              <w:rPr>
                <w:color w:val="auto"/>
                <w:sz w:val="24"/>
                <w:szCs w:val="24"/>
                <w:highlight w:val="none"/>
              </w:rPr>
              <w:t>中</w:t>
            </w:r>
            <w:r>
              <w:rPr>
                <w:rFonts w:hint="eastAsia"/>
                <w:color w:val="auto"/>
                <w:sz w:val="24"/>
                <w:szCs w:val="24"/>
                <w:highlight w:val="none"/>
                <w:lang w:eastAsia="zh-CN"/>
              </w:rPr>
              <w:t>“</w:t>
            </w:r>
            <w:r>
              <w:rPr>
                <w:rFonts w:hint="eastAsia"/>
                <w:color w:val="auto"/>
                <w:sz w:val="24"/>
                <w:szCs w:val="24"/>
                <w:highlight w:val="none"/>
              </w:rPr>
              <w:t>表6.2.2医院生活用水量定额</w:t>
            </w:r>
            <w:r>
              <w:rPr>
                <w:rFonts w:hint="eastAsia"/>
                <w:color w:val="auto"/>
                <w:sz w:val="24"/>
                <w:szCs w:val="24"/>
                <w:highlight w:val="none"/>
                <w:lang w:eastAsia="zh-CN"/>
              </w:rPr>
              <w:t>”可知，食堂餐饮用水量为</w:t>
            </w:r>
            <w:r>
              <w:rPr>
                <w:rFonts w:hint="eastAsia"/>
                <w:color w:val="auto"/>
                <w:sz w:val="24"/>
                <w:szCs w:val="24"/>
                <w:highlight w:val="none"/>
                <w:lang w:val="en-US" w:eastAsia="zh-CN"/>
              </w:rPr>
              <w:t>20~25</w:t>
            </w:r>
            <w:r>
              <w:rPr>
                <w:color w:val="auto"/>
                <w:sz w:val="24"/>
                <w:szCs w:val="24"/>
                <w:highlight w:val="none"/>
              </w:rPr>
              <w:t>L/（人</w:t>
            </w:r>
            <w:r>
              <w:rPr>
                <w:rFonts w:hint="eastAsia"/>
                <w:color w:val="auto"/>
                <w:sz w:val="24"/>
                <w:szCs w:val="24"/>
                <w:highlight w:val="none"/>
                <w:lang w:val="en-US" w:eastAsia="zh-CN"/>
              </w:rPr>
              <w:t>·次</w:t>
            </w:r>
            <w:r>
              <w:rPr>
                <w:color w:val="auto"/>
                <w:sz w:val="24"/>
                <w:szCs w:val="24"/>
                <w:highlight w:val="none"/>
              </w:rPr>
              <w:t>），</w:t>
            </w:r>
            <w:r>
              <w:rPr>
                <w:rFonts w:hint="eastAsia"/>
                <w:color w:val="auto"/>
                <w:sz w:val="24"/>
                <w:szCs w:val="24"/>
                <w:highlight w:val="none"/>
                <w:lang w:val="en-US" w:eastAsia="zh-CN"/>
              </w:rPr>
              <w:t>本次评价取2</w:t>
            </w:r>
            <w:r>
              <w:rPr>
                <w:color w:val="auto"/>
                <w:sz w:val="24"/>
                <w:szCs w:val="24"/>
                <w:highlight w:val="none"/>
              </w:rPr>
              <w:t>0L/（人</w:t>
            </w:r>
            <w:r>
              <w:rPr>
                <w:rFonts w:hint="eastAsia"/>
                <w:color w:val="auto"/>
                <w:sz w:val="24"/>
                <w:szCs w:val="24"/>
                <w:highlight w:val="none"/>
                <w:lang w:val="en-US" w:eastAsia="zh-CN"/>
              </w:rPr>
              <w:t>·次</w:t>
            </w:r>
            <w:r>
              <w:rPr>
                <w:color w:val="auto"/>
                <w:sz w:val="24"/>
                <w:szCs w:val="24"/>
                <w:highlight w:val="none"/>
              </w:rPr>
              <w:t>）</w:t>
            </w:r>
            <w:r>
              <w:rPr>
                <w:rFonts w:hint="default" w:ascii="Times New Roman" w:hAnsi="Times New Roman" w:cs="Times New Roman"/>
                <w:color w:val="auto"/>
                <w:sz w:val="24"/>
              </w:rPr>
              <w:t>，每天提供</w:t>
            </w:r>
            <w:r>
              <w:rPr>
                <w:rFonts w:hint="eastAsia" w:ascii="Times New Roman" w:hAnsi="Times New Roman" w:cs="Times New Roman"/>
                <w:color w:val="auto"/>
                <w:sz w:val="24"/>
                <w:lang w:eastAsia="zh-CN"/>
              </w:rPr>
              <w:t>早、</w:t>
            </w:r>
            <w:r>
              <w:rPr>
                <w:rFonts w:hint="default" w:ascii="Times New Roman" w:hAnsi="Times New Roman" w:cs="Times New Roman"/>
                <w:color w:val="auto"/>
                <w:sz w:val="24"/>
              </w:rPr>
              <w:t>中、晚餐，则项目食堂餐饮用水量为</w:t>
            </w:r>
            <w:r>
              <w:rPr>
                <w:rFonts w:hint="eastAsia" w:ascii="Times New Roman" w:hAnsi="Times New Roman" w:cs="Times New Roman"/>
                <w:color w:val="auto"/>
                <w:sz w:val="24"/>
                <w:lang w:val="en-US" w:eastAsia="zh-CN"/>
              </w:rPr>
              <w:t>32.7</w:t>
            </w:r>
            <w:r>
              <w:rPr>
                <w:rFonts w:hint="default" w:ascii="Times New Roman" w:hAnsi="Times New Roman" w:cs="Times New Roman"/>
                <w:color w:val="auto"/>
                <w:sz w:val="24"/>
              </w:rPr>
              <w:t>t/d，</w:t>
            </w:r>
            <w:r>
              <w:rPr>
                <w:rFonts w:hint="eastAsia" w:ascii="Times New Roman" w:hAnsi="Times New Roman" w:cs="Times New Roman"/>
                <w:color w:val="auto"/>
                <w:sz w:val="24"/>
                <w:lang w:val="en-US" w:eastAsia="zh-CN"/>
              </w:rPr>
              <w:t>11935.5</w:t>
            </w:r>
            <w:r>
              <w:rPr>
                <w:rFonts w:hint="default" w:ascii="Times New Roman" w:hAnsi="Times New Roman" w:cs="Times New Roman"/>
                <w:color w:val="auto"/>
                <w:sz w:val="24"/>
              </w:rPr>
              <w:t>t/a。食堂餐饮废水排放系数</w:t>
            </w:r>
            <w:r>
              <w:rPr>
                <w:rFonts w:hint="eastAsia" w:cs="Times New Roman"/>
                <w:color w:val="auto"/>
                <w:sz w:val="24"/>
                <w:lang w:eastAsia="zh-CN"/>
              </w:rPr>
              <w:t>按</w:t>
            </w:r>
            <w:r>
              <w:rPr>
                <w:rFonts w:hint="default" w:ascii="Times New Roman" w:hAnsi="Times New Roman" w:cs="Times New Roman"/>
                <w:color w:val="auto"/>
                <w:sz w:val="24"/>
              </w:rPr>
              <w:t>0.8</w:t>
            </w:r>
            <w:r>
              <w:rPr>
                <w:rFonts w:hint="eastAsia" w:cs="Times New Roman"/>
                <w:color w:val="auto"/>
                <w:sz w:val="24"/>
                <w:lang w:eastAsia="zh-CN"/>
              </w:rPr>
              <w:t>计</w:t>
            </w:r>
            <w:r>
              <w:rPr>
                <w:rFonts w:hint="default" w:ascii="Times New Roman" w:hAnsi="Times New Roman" w:cs="Times New Roman"/>
                <w:color w:val="auto"/>
                <w:sz w:val="24"/>
              </w:rPr>
              <w:t>，则</w:t>
            </w:r>
            <w:r>
              <w:rPr>
                <w:rFonts w:hint="eastAsia" w:ascii="Times New Roman" w:hAnsi="Times New Roman" w:cs="Times New Roman"/>
                <w:color w:val="auto"/>
                <w:sz w:val="24"/>
                <w:lang w:eastAsia="zh-CN"/>
              </w:rPr>
              <w:t>本项目</w:t>
            </w:r>
            <w:r>
              <w:rPr>
                <w:rFonts w:hint="default" w:ascii="Times New Roman" w:hAnsi="Times New Roman" w:cs="Times New Roman"/>
                <w:color w:val="auto"/>
                <w:sz w:val="24"/>
              </w:rPr>
              <w:t>食堂废水排放量为</w:t>
            </w:r>
            <w:r>
              <w:rPr>
                <w:rFonts w:hint="eastAsia" w:ascii="Times New Roman" w:hAnsi="Times New Roman" w:cs="Times New Roman"/>
                <w:color w:val="auto"/>
                <w:sz w:val="24"/>
                <w:lang w:val="en-US" w:eastAsia="zh-CN"/>
              </w:rPr>
              <w:t>26.16</w:t>
            </w:r>
            <w:r>
              <w:rPr>
                <w:rFonts w:hint="default" w:ascii="Times New Roman" w:hAnsi="Times New Roman" w:cs="Times New Roman"/>
                <w:color w:val="auto"/>
                <w:sz w:val="24"/>
              </w:rPr>
              <w:t>t/d，</w:t>
            </w:r>
            <w:r>
              <w:rPr>
                <w:rFonts w:hint="eastAsia" w:ascii="Times New Roman" w:hAnsi="Times New Roman" w:cs="Times New Roman"/>
                <w:color w:val="auto"/>
                <w:sz w:val="24"/>
                <w:lang w:val="en-US" w:eastAsia="zh-CN"/>
              </w:rPr>
              <w:t>9548.4</w:t>
            </w:r>
            <w:r>
              <w:rPr>
                <w:rFonts w:hint="default" w:ascii="Times New Roman" w:hAnsi="Times New Roman" w:cs="Times New Roman"/>
                <w:color w:val="auto"/>
                <w:sz w:val="24"/>
              </w:rPr>
              <w:t>t/a</w:t>
            </w:r>
            <w:r>
              <w:rPr>
                <w:rFonts w:hint="eastAsia" w:cs="Times New Roman"/>
                <w:color w:val="auto"/>
                <w:kern w:val="0"/>
                <w:sz w:val="24"/>
                <w:lang w:val="en-US" w:eastAsia="zh-CN"/>
              </w:rPr>
              <w:t>。</w:t>
            </w:r>
          </w:p>
          <w:p w14:paraId="1EE31625">
            <w:pPr>
              <w:adjustRightInd w:val="0"/>
              <w:snapToGrid w:val="0"/>
              <w:spacing w:line="360" w:lineRule="auto"/>
              <w:ind w:firstLine="480" w:firstLineChars="200"/>
              <w:rPr>
                <w:rFonts w:hint="eastAsia" w:cs="Times New Roman"/>
                <w:color w:val="auto"/>
                <w:kern w:val="0"/>
                <w:sz w:val="24"/>
                <w:szCs w:val="24"/>
                <w:lang w:val="en-US" w:eastAsia="zh-CN"/>
              </w:rPr>
            </w:pPr>
            <w:r>
              <w:rPr>
                <w:rFonts w:hint="default" w:ascii="Times New Roman" w:hAnsi="Times New Roman" w:cs="Times New Roman"/>
                <w:color w:val="auto"/>
                <w:sz w:val="24"/>
                <w:szCs w:val="24"/>
                <w:lang w:eastAsia="zh-CN"/>
              </w:rPr>
              <w:t>④</w:t>
            </w:r>
            <w:r>
              <w:rPr>
                <w:rFonts w:hint="eastAsia" w:ascii="Times New Roman" w:hAnsi="Times New Roman" w:cs="Times New Roman"/>
                <w:color w:val="auto"/>
                <w:sz w:val="24"/>
                <w:szCs w:val="24"/>
                <w:lang w:eastAsia="zh-CN"/>
              </w:rPr>
              <w:t>住院病床用水</w:t>
            </w:r>
          </w:p>
          <w:p w14:paraId="7D5D5C4B">
            <w:pPr>
              <w:pStyle w:val="121"/>
              <w:bidi w:val="0"/>
              <w:rPr>
                <w:rFonts w:hint="eastAsia" w:cs="Times New Roman"/>
                <w:color w:val="auto"/>
                <w:kern w:val="0"/>
                <w:sz w:val="24"/>
                <w:szCs w:val="24"/>
                <w:lang w:val="en-US" w:eastAsia="zh-CN"/>
              </w:rPr>
            </w:pPr>
            <w:r>
              <w:rPr>
                <w:rFonts w:hint="eastAsia"/>
                <w:color w:val="auto"/>
                <w:sz w:val="24"/>
                <w:szCs w:val="24"/>
                <w:highlight w:val="none"/>
                <w:lang w:val="en-US" w:eastAsia="zh-CN"/>
              </w:rPr>
              <w:t>本次扩建项目新增</w:t>
            </w:r>
            <w:r>
              <w:rPr>
                <w:color w:val="auto"/>
                <w:sz w:val="24"/>
                <w:szCs w:val="24"/>
                <w:highlight w:val="none"/>
              </w:rPr>
              <w:t>床位数</w:t>
            </w:r>
            <w:r>
              <w:rPr>
                <w:rFonts w:hint="eastAsia"/>
                <w:color w:val="auto"/>
                <w:sz w:val="24"/>
                <w:szCs w:val="24"/>
                <w:highlight w:val="none"/>
                <w:lang w:val="en-US" w:eastAsia="zh-CN"/>
              </w:rPr>
              <w:t>260</w:t>
            </w:r>
            <w:r>
              <w:rPr>
                <w:color w:val="auto"/>
                <w:sz w:val="24"/>
                <w:szCs w:val="24"/>
                <w:highlight w:val="none"/>
              </w:rPr>
              <w:t>张</w:t>
            </w:r>
            <w:r>
              <w:rPr>
                <w:rFonts w:hint="eastAsia"/>
                <w:color w:val="auto"/>
                <w:sz w:val="24"/>
                <w:szCs w:val="24"/>
                <w:highlight w:val="none"/>
                <w:lang w:eastAsia="zh-CN"/>
              </w:rPr>
              <w:t>。</w:t>
            </w:r>
            <w:r>
              <w:rPr>
                <w:rFonts w:hint="eastAsia"/>
                <w:color w:val="auto"/>
                <w:sz w:val="24"/>
                <w:szCs w:val="24"/>
                <w:highlight w:val="none"/>
                <w:lang w:val="en-US" w:eastAsia="zh-CN"/>
              </w:rPr>
              <w:t>参照</w:t>
            </w:r>
            <w:r>
              <w:rPr>
                <w:rFonts w:hint="eastAsia"/>
                <w:color w:val="auto"/>
                <w:sz w:val="24"/>
                <w:szCs w:val="24"/>
                <w:highlight w:val="none"/>
                <w:lang w:eastAsia="zh-CN"/>
              </w:rPr>
              <w:t>《综合医院建筑设计规范》（GB51039-2014）</w:t>
            </w:r>
            <w:r>
              <w:rPr>
                <w:color w:val="auto"/>
                <w:sz w:val="24"/>
                <w:szCs w:val="24"/>
                <w:highlight w:val="none"/>
              </w:rPr>
              <w:t>中</w:t>
            </w:r>
            <w:r>
              <w:rPr>
                <w:rFonts w:hint="eastAsia"/>
                <w:color w:val="auto"/>
                <w:sz w:val="24"/>
                <w:szCs w:val="24"/>
                <w:highlight w:val="none"/>
                <w:lang w:eastAsia="zh-CN"/>
              </w:rPr>
              <w:t>“</w:t>
            </w:r>
            <w:r>
              <w:rPr>
                <w:rFonts w:hint="eastAsia"/>
                <w:color w:val="auto"/>
                <w:sz w:val="24"/>
                <w:szCs w:val="24"/>
                <w:highlight w:val="none"/>
              </w:rPr>
              <w:t>表6.2.2医院生活用水量定额</w:t>
            </w:r>
            <w:r>
              <w:rPr>
                <w:rFonts w:hint="eastAsia"/>
                <w:color w:val="auto"/>
                <w:sz w:val="24"/>
                <w:szCs w:val="24"/>
                <w:highlight w:val="none"/>
                <w:lang w:eastAsia="zh-CN"/>
              </w:rPr>
              <w:t>”可知，每病床</w:t>
            </w:r>
            <w:r>
              <w:rPr>
                <w:rFonts w:hint="eastAsia"/>
                <w:color w:val="auto"/>
                <w:sz w:val="24"/>
                <w:szCs w:val="24"/>
                <w:highlight w:val="none"/>
                <w:lang w:val="en-US" w:eastAsia="zh-CN"/>
              </w:rPr>
              <w:t>用水量为250-400L/（床·d），本次评价取250L/（床·d），按照满负荷时计算住院病床用水量，则本项目住院病床用水量为65t/d，23725t/a。排污系数按照0.8计，则住院病床废水排水量为52t/d，18980t/a。</w:t>
            </w:r>
          </w:p>
          <w:p w14:paraId="4DE388BA">
            <w:pPr>
              <w:adjustRightInd w:val="0"/>
              <w:snapToGrid w:val="0"/>
              <w:spacing w:line="360" w:lineRule="auto"/>
              <w:ind w:firstLine="480" w:firstLineChars="200"/>
              <w:rPr>
                <w:rFonts w:hint="eastAsia" w:cs="Times New Roman"/>
                <w:color w:val="auto"/>
                <w:kern w:val="0"/>
                <w:sz w:val="24"/>
                <w:lang w:val="en-US" w:eastAsia="zh-CN"/>
              </w:rPr>
            </w:pPr>
            <w:r>
              <w:rPr>
                <w:rFonts w:hint="default" w:ascii="Times New Roman" w:hAnsi="Times New Roman" w:eastAsia="宋体" w:cs="Times New Roman"/>
                <w:color w:val="auto"/>
                <w:sz w:val="24"/>
                <w:szCs w:val="24"/>
                <w:lang w:val="en-US" w:eastAsia="zh-CN"/>
              </w:rPr>
              <w:t>⑤</w:t>
            </w:r>
            <w:r>
              <w:rPr>
                <w:rFonts w:hint="eastAsia" w:cs="Times New Roman"/>
                <w:bCs/>
                <w:color w:val="auto"/>
                <w:sz w:val="24"/>
                <w:szCs w:val="24"/>
                <w:lang w:eastAsia="zh-CN"/>
              </w:rPr>
              <w:t>医疗器械洗消用水</w:t>
            </w:r>
          </w:p>
          <w:p w14:paraId="3D9587A1">
            <w:pPr>
              <w:pStyle w:val="121"/>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医疗器械使用后需按要求进行洗消处理，本次扩建项目各种医疗器械洗消流程如下：</w:t>
            </w:r>
          </w:p>
          <w:p w14:paraId="6F95B025">
            <w:pPr>
              <w:pStyle w:val="121"/>
              <w:keepNext w:val="0"/>
              <w:keepLines w:val="0"/>
              <w:pageBreakBefore w:val="0"/>
              <w:widowControl w:val="0"/>
              <w:kinsoku/>
              <w:wordWrap/>
              <w:overflowPunct/>
              <w:topLinePunct w:val="0"/>
              <w:autoSpaceDE/>
              <w:autoSpaceDN/>
              <w:bidi w:val="0"/>
              <w:spacing w:line="360" w:lineRule="auto"/>
              <w:ind w:firstLine="480" w:firstLineChars="200"/>
              <w:textAlignment w:val="auto"/>
              <w:rPr>
                <w:color w:val="auto"/>
                <w:sz w:val="24"/>
                <w:szCs w:val="24"/>
                <w:highlight w:val="none"/>
              </w:rPr>
            </w:pPr>
            <w:r>
              <w:rPr>
                <w:rFonts w:hint="eastAsia"/>
                <w:color w:val="auto"/>
                <w:sz w:val="24"/>
                <w:szCs w:val="24"/>
                <w:highlight w:val="none"/>
                <w:lang w:val="en-US" w:eastAsia="zh-CN"/>
              </w:rPr>
              <w:t>洗消过程主要包括</w:t>
            </w:r>
            <w:r>
              <w:rPr>
                <w:rFonts w:hint="eastAsia"/>
                <w:b/>
                <w:bCs/>
                <w:color w:val="auto"/>
                <w:sz w:val="24"/>
                <w:szCs w:val="24"/>
                <w:highlight w:val="none"/>
                <w:lang w:val="en-US" w:eastAsia="zh-CN"/>
              </w:rPr>
              <w:t>人工冲洗</w:t>
            </w:r>
            <w:r>
              <w:rPr>
                <w:rFonts w:hint="eastAsia"/>
                <w:color w:val="auto"/>
                <w:sz w:val="24"/>
                <w:szCs w:val="24"/>
                <w:highlight w:val="none"/>
                <w:lang w:val="en-US" w:eastAsia="zh-CN"/>
              </w:rPr>
              <w:t>（自来水）→</w:t>
            </w:r>
            <w:r>
              <w:rPr>
                <w:rFonts w:hint="eastAsia"/>
                <w:b/>
                <w:bCs/>
                <w:color w:val="auto"/>
                <w:sz w:val="24"/>
                <w:szCs w:val="24"/>
                <w:highlight w:val="none"/>
                <w:lang w:val="en-US" w:eastAsia="zh-CN"/>
              </w:rPr>
              <w:t>超声波清洗</w:t>
            </w:r>
            <w:r>
              <w:rPr>
                <w:rFonts w:hint="eastAsia"/>
                <w:color w:val="auto"/>
                <w:sz w:val="24"/>
                <w:szCs w:val="24"/>
                <w:highlight w:val="none"/>
                <w:lang w:val="en-US" w:eastAsia="zh-CN"/>
              </w:rPr>
              <w:t>（使用纯水）→</w:t>
            </w:r>
            <w:r>
              <w:rPr>
                <w:rFonts w:hint="eastAsia"/>
                <w:b/>
                <w:bCs/>
                <w:color w:val="auto"/>
                <w:sz w:val="24"/>
                <w:szCs w:val="24"/>
                <w:highlight w:val="none"/>
                <w:lang w:val="en-US" w:eastAsia="zh-CN"/>
              </w:rPr>
              <w:t>酶洗</w:t>
            </w:r>
            <w:r>
              <w:rPr>
                <w:rFonts w:hint="eastAsia"/>
                <w:color w:val="auto"/>
                <w:sz w:val="24"/>
                <w:szCs w:val="24"/>
                <w:highlight w:val="none"/>
                <w:lang w:val="en-US" w:eastAsia="zh-CN"/>
              </w:rPr>
              <w:t>（多酶清洗剂与纯水兑水比例1:100）→</w:t>
            </w:r>
            <w:r>
              <w:rPr>
                <w:rFonts w:hint="eastAsia"/>
                <w:b/>
                <w:bCs/>
                <w:color w:val="auto"/>
                <w:sz w:val="24"/>
                <w:szCs w:val="24"/>
                <w:highlight w:val="none"/>
                <w:lang w:val="en-US" w:eastAsia="zh-CN"/>
              </w:rPr>
              <w:t>终末漂洗</w:t>
            </w:r>
            <w:r>
              <w:rPr>
                <w:rFonts w:hint="eastAsia"/>
                <w:color w:val="auto"/>
                <w:sz w:val="24"/>
                <w:szCs w:val="24"/>
                <w:highlight w:val="none"/>
                <w:lang w:val="en-US" w:eastAsia="zh-CN"/>
              </w:rPr>
              <w:t>（纯水）→</w:t>
            </w:r>
            <w:r>
              <w:rPr>
                <w:rFonts w:hint="eastAsia"/>
                <w:b/>
                <w:bCs/>
                <w:color w:val="auto"/>
                <w:sz w:val="24"/>
                <w:szCs w:val="24"/>
                <w:highlight w:val="none"/>
                <w:lang w:val="en-US" w:eastAsia="zh-CN"/>
              </w:rPr>
              <w:t>蒸汽灭菌</w:t>
            </w:r>
            <w:r>
              <w:rPr>
                <w:rFonts w:hint="eastAsia"/>
                <w:b w:val="0"/>
                <w:bCs w:val="0"/>
                <w:color w:val="auto"/>
                <w:sz w:val="24"/>
                <w:szCs w:val="24"/>
                <w:highlight w:val="none"/>
                <w:lang w:val="en-US" w:eastAsia="zh-CN"/>
              </w:rPr>
              <w:t>（纯水进入蒸汽发生器制热供给蒸汽）</w:t>
            </w:r>
            <w:r>
              <w:rPr>
                <w:rFonts w:hint="eastAsia"/>
                <w:color w:val="auto"/>
                <w:sz w:val="24"/>
                <w:szCs w:val="24"/>
                <w:highlight w:val="none"/>
                <w:lang w:val="en-US" w:eastAsia="zh-CN"/>
              </w:rPr>
              <w:t>→</w:t>
            </w:r>
            <w:r>
              <w:rPr>
                <w:rFonts w:hint="eastAsia"/>
                <w:b/>
                <w:bCs/>
                <w:color w:val="auto"/>
                <w:sz w:val="24"/>
                <w:szCs w:val="24"/>
                <w:highlight w:val="none"/>
                <w:lang w:val="en-US" w:eastAsia="zh-CN"/>
              </w:rPr>
              <w:t>干燥</w:t>
            </w:r>
            <w:r>
              <w:rPr>
                <w:rFonts w:hint="eastAsia"/>
                <w:color w:val="auto"/>
                <w:sz w:val="24"/>
                <w:szCs w:val="24"/>
                <w:highlight w:val="none"/>
                <w:lang w:val="en-US" w:eastAsia="zh-CN"/>
              </w:rPr>
              <w:t>（70-90℃，约20分钟，根据器械结构复杂程度可适当延长干燥时间）。部分精密</w:t>
            </w:r>
            <w:r>
              <w:rPr>
                <w:rFonts w:hint="default"/>
                <w:color w:val="auto"/>
                <w:sz w:val="24"/>
                <w:szCs w:val="24"/>
                <w:highlight w:val="none"/>
              </w:rPr>
              <w:t>器械</w:t>
            </w:r>
            <w:r>
              <w:rPr>
                <w:rFonts w:hint="eastAsia"/>
                <w:color w:val="auto"/>
                <w:sz w:val="24"/>
                <w:szCs w:val="24"/>
                <w:highlight w:val="none"/>
                <w:lang w:eastAsia="zh-CN"/>
              </w:rPr>
              <w:t>（如普外科、泌尿外科、妇科等）除蒸汽灭菌外还会</w:t>
            </w:r>
            <w:r>
              <w:rPr>
                <w:rFonts w:hint="eastAsia"/>
                <w:color w:val="auto"/>
                <w:sz w:val="24"/>
                <w:szCs w:val="24"/>
                <w:highlight w:val="none"/>
                <w:lang w:val="en-US" w:eastAsia="zh-CN"/>
              </w:rPr>
              <w:t>利用低温等离子灭菌器灭菌</w:t>
            </w:r>
            <w:r>
              <w:rPr>
                <w:rFonts w:hint="default"/>
                <w:color w:val="auto"/>
                <w:sz w:val="24"/>
                <w:szCs w:val="24"/>
                <w:highlight w:val="none"/>
              </w:rPr>
              <w:t>。</w:t>
            </w:r>
          </w:p>
          <w:p w14:paraId="1E44F6C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cs="Times New Roman"/>
                <w:color w:val="auto"/>
                <w:kern w:val="0"/>
                <w:sz w:val="24"/>
                <w:szCs w:val="24"/>
                <w:lang w:val="en-US" w:eastAsia="zh-CN"/>
              </w:rPr>
            </w:pPr>
            <w:r>
              <w:rPr>
                <w:rFonts w:hint="eastAsia"/>
                <w:color w:val="auto"/>
                <w:sz w:val="24"/>
                <w:szCs w:val="24"/>
                <w:highlight w:val="none"/>
                <w:lang w:val="en-US" w:eastAsia="zh-CN"/>
              </w:rPr>
              <w:t>根据建设单位提供的信息，每日使用的医疗器械可按200件计</w:t>
            </w:r>
            <w:r>
              <w:rPr>
                <w:rFonts w:hint="eastAsia" w:cs="Times New Roman"/>
                <w:color w:val="auto"/>
                <w:kern w:val="0"/>
                <w:sz w:val="24"/>
                <w:szCs w:val="24"/>
                <w:lang w:val="en-US" w:eastAsia="zh-CN"/>
              </w:rPr>
              <w:t>。</w:t>
            </w:r>
          </w:p>
          <w:p w14:paraId="6B9E8678">
            <w:pPr>
              <w:pStyle w:val="121"/>
              <w:bidi w:val="0"/>
              <w:rPr>
                <w:rFonts w:hint="default"/>
                <w:color w:val="auto"/>
                <w:highlight w:val="none"/>
                <w:lang w:val="en-US" w:eastAsia="zh-CN"/>
              </w:rPr>
            </w:pPr>
            <w:r>
              <w:rPr>
                <w:rFonts w:hint="eastAsia"/>
                <w:b/>
                <w:bCs/>
                <w:color w:val="auto"/>
                <w:highlight w:val="none"/>
                <w:lang w:val="en-US" w:eastAsia="zh-CN"/>
              </w:rPr>
              <w:t>冲洗：</w:t>
            </w:r>
            <w:r>
              <w:rPr>
                <w:rFonts w:hint="eastAsia"/>
                <w:b w:val="0"/>
                <w:bCs w:val="0"/>
                <w:color w:val="auto"/>
                <w:highlight w:val="none"/>
                <w:lang w:val="en-US" w:eastAsia="zh-CN"/>
              </w:rPr>
              <w:t>人工使用流动自来水进行冲洗，</w:t>
            </w:r>
            <w:r>
              <w:rPr>
                <w:rFonts w:hint="eastAsia"/>
                <w:color w:val="auto"/>
                <w:highlight w:val="none"/>
                <w:lang w:val="en-US" w:eastAsia="zh-CN"/>
              </w:rPr>
              <w:t>用水约5L/</w:t>
            </w:r>
            <w:r>
              <w:rPr>
                <w:rFonts w:hint="eastAsia"/>
                <w:color w:val="auto"/>
                <w:sz w:val="24"/>
                <w:szCs w:val="24"/>
                <w:highlight w:val="none"/>
                <w:lang w:val="en-US" w:eastAsia="zh-CN"/>
              </w:rPr>
              <w:t>件</w:t>
            </w:r>
            <w:r>
              <w:rPr>
                <w:rFonts w:hint="eastAsia"/>
                <w:color w:val="auto"/>
                <w:highlight w:val="none"/>
                <w:lang w:val="en-US" w:eastAsia="zh-CN"/>
              </w:rPr>
              <w:t>器械，用水量约1t/d，365t/a，损耗可忽略不计，产生废水1t/d，365t/a。</w:t>
            </w:r>
          </w:p>
          <w:p w14:paraId="2D8FAE47">
            <w:pPr>
              <w:pStyle w:val="121"/>
              <w:bidi w:val="0"/>
              <w:rPr>
                <w:rFonts w:hint="eastAsia"/>
                <w:b/>
                <w:bCs/>
                <w:color w:val="auto"/>
                <w:highlight w:val="none"/>
                <w:lang w:val="en-US" w:eastAsia="zh-CN"/>
              </w:rPr>
            </w:pPr>
            <w:r>
              <w:rPr>
                <w:rFonts w:hint="eastAsia"/>
                <w:b/>
                <w:bCs/>
                <w:color w:val="auto"/>
                <w:highlight w:val="none"/>
                <w:lang w:val="en-US" w:eastAsia="zh-CN"/>
              </w:rPr>
              <w:t>超声波清洗：</w:t>
            </w:r>
            <w:r>
              <w:rPr>
                <w:rFonts w:hint="eastAsia"/>
                <w:b w:val="0"/>
                <w:bCs w:val="0"/>
                <w:color w:val="auto"/>
                <w:highlight w:val="none"/>
                <w:lang w:val="en-US" w:eastAsia="zh-CN"/>
              </w:rPr>
              <w:t>本项目设置超声波清洗机1台，洗消器械使用纯水量按2L</w:t>
            </w:r>
            <w:r>
              <w:rPr>
                <w:rFonts w:hint="eastAsia"/>
                <w:color w:val="auto"/>
                <w:highlight w:val="none"/>
                <w:lang w:val="en-US" w:eastAsia="zh-CN"/>
              </w:rPr>
              <w:t>/</w:t>
            </w:r>
            <w:r>
              <w:rPr>
                <w:rFonts w:hint="eastAsia"/>
                <w:color w:val="auto"/>
                <w:sz w:val="24"/>
                <w:szCs w:val="24"/>
                <w:highlight w:val="none"/>
                <w:lang w:val="en-US" w:eastAsia="zh-CN"/>
              </w:rPr>
              <w:t>件</w:t>
            </w:r>
            <w:r>
              <w:rPr>
                <w:rFonts w:hint="eastAsia"/>
                <w:color w:val="auto"/>
                <w:highlight w:val="none"/>
                <w:lang w:val="en-US" w:eastAsia="zh-CN"/>
              </w:rPr>
              <w:t>器械</w:t>
            </w:r>
            <w:r>
              <w:rPr>
                <w:rFonts w:hint="eastAsia"/>
                <w:b w:val="0"/>
                <w:bCs w:val="0"/>
                <w:color w:val="auto"/>
                <w:highlight w:val="none"/>
                <w:lang w:val="en-US" w:eastAsia="zh-CN"/>
              </w:rPr>
              <w:t>计，超声波清洗机内的纯水不可重复利用，超声清洗环节使用纯水0.4</w:t>
            </w:r>
            <w:r>
              <w:rPr>
                <w:rFonts w:hint="eastAsia"/>
                <w:color w:val="auto"/>
                <w:highlight w:val="none"/>
                <w:lang w:val="en-US" w:eastAsia="zh-CN"/>
              </w:rPr>
              <w:t>t/d，146t/a。损耗可忽略不计，产生的超声清洗废水量约</w:t>
            </w:r>
            <w:r>
              <w:rPr>
                <w:rFonts w:hint="eastAsia"/>
                <w:b w:val="0"/>
                <w:bCs w:val="0"/>
                <w:color w:val="auto"/>
                <w:highlight w:val="none"/>
                <w:lang w:val="en-US" w:eastAsia="zh-CN"/>
              </w:rPr>
              <w:t>0.4</w:t>
            </w:r>
            <w:r>
              <w:rPr>
                <w:rFonts w:hint="eastAsia"/>
                <w:color w:val="auto"/>
                <w:highlight w:val="none"/>
                <w:lang w:val="en-US" w:eastAsia="zh-CN"/>
              </w:rPr>
              <w:t>t/d，146t/a。</w:t>
            </w:r>
          </w:p>
          <w:p w14:paraId="08BF77F7">
            <w:pPr>
              <w:pStyle w:val="121"/>
              <w:bidi w:val="0"/>
              <w:rPr>
                <w:rFonts w:hint="default"/>
                <w:color w:val="auto"/>
                <w:highlight w:val="none"/>
                <w:lang w:val="en-US" w:eastAsia="zh-CN"/>
              </w:rPr>
            </w:pPr>
            <w:r>
              <w:rPr>
                <w:rFonts w:hint="eastAsia"/>
                <w:b/>
                <w:bCs/>
                <w:color w:val="auto"/>
                <w:highlight w:val="none"/>
                <w:lang w:val="en-US" w:eastAsia="zh-CN"/>
              </w:rPr>
              <w:t>酶洗：</w:t>
            </w:r>
            <w:r>
              <w:rPr>
                <w:rFonts w:hint="eastAsia"/>
                <w:b w:val="0"/>
                <w:bCs w:val="0"/>
                <w:color w:val="auto"/>
                <w:highlight w:val="none"/>
                <w:lang w:val="en-US" w:eastAsia="zh-CN"/>
              </w:rPr>
              <w:t>利用全自动清洗消毒器进行</w:t>
            </w:r>
            <w:r>
              <w:rPr>
                <w:rFonts w:hint="eastAsia"/>
                <w:color w:val="auto"/>
                <w:highlight w:val="none"/>
                <w:lang w:val="en-US" w:eastAsia="zh-CN"/>
              </w:rPr>
              <w:t>酶洗</w:t>
            </w:r>
            <w:r>
              <w:rPr>
                <w:rFonts w:hint="eastAsia"/>
                <w:b w:val="0"/>
                <w:bCs w:val="0"/>
                <w:color w:val="auto"/>
                <w:highlight w:val="none"/>
                <w:lang w:val="en-US" w:eastAsia="zh-CN"/>
              </w:rPr>
              <w:t>，</w:t>
            </w:r>
            <w:r>
              <w:rPr>
                <w:rFonts w:hint="eastAsia"/>
                <w:color w:val="auto"/>
                <w:highlight w:val="none"/>
                <w:lang w:val="en-US" w:eastAsia="zh-CN"/>
              </w:rPr>
              <w:t>将多酶清洗剂加入</w:t>
            </w:r>
            <w:r>
              <w:rPr>
                <w:rFonts w:hint="eastAsia"/>
                <w:b w:val="0"/>
                <w:bCs w:val="0"/>
                <w:color w:val="auto"/>
                <w:highlight w:val="none"/>
                <w:lang w:val="en-US" w:eastAsia="zh-CN"/>
              </w:rPr>
              <w:t>全自动清洗消毒器</w:t>
            </w:r>
            <w:r>
              <w:rPr>
                <w:rFonts w:hint="eastAsia"/>
                <w:color w:val="auto"/>
                <w:highlight w:val="none"/>
                <w:lang w:val="en-US" w:eastAsia="zh-CN"/>
              </w:rPr>
              <w:t>中，设备自动按量添加多酶清洗剂兑水调配，与纯水调配比例为1:100，调配好后对器械进行浸泡处理，根据建设单位提供的资料，平均每月约消耗5瓶多酶清洗剂（500ml/瓶），则年使用约30000ml多酶清洗剂，与纯水调配后，纯水使用量约3000L/a（3t/a、0.0082t/d），损耗可忽略不计，则产生的酶洗废水量约0.0083t/d，3.03t/a（含0.03t多酶清洗剂）。</w:t>
            </w:r>
          </w:p>
          <w:p w14:paraId="3DE1EC5F">
            <w:pPr>
              <w:pStyle w:val="121"/>
              <w:bidi w:val="0"/>
              <w:rPr>
                <w:rFonts w:hint="default"/>
                <w:color w:val="auto"/>
                <w:highlight w:val="none"/>
                <w:lang w:val="en-US" w:eastAsia="zh-CN"/>
              </w:rPr>
            </w:pPr>
            <w:r>
              <w:rPr>
                <w:rFonts w:hint="eastAsia"/>
                <w:b/>
                <w:bCs/>
                <w:color w:val="auto"/>
                <w:highlight w:val="none"/>
                <w:lang w:val="en-US" w:eastAsia="zh-CN"/>
              </w:rPr>
              <w:t>终末漂洗：</w:t>
            </w:r>
            <w:r>
              <w:rPr>
                <w:rFonts w:hint="eastAsia"/>
                <w:color w:val="auto"/>
                <w:highlight w:val="none"/>
                <w:lang w:val="en-US" w:eastAsia="zh-CN"/>
              </w:rPr>
              <w:t>酶洗后的器械同样在</w:t>
            </w:r>
            <w:r>
              <w:rPr>
                <w:rFonts w:hint="eastAsia"/>
                <w:b w:val="0"/>
                <w:bCs w:val="0"/>
                <w:color w:val="auto"/>
                <w:highlight w:val="none"/>
                <w:lang w:val="en-US" w:eastAsia="zh-CN"/>
              </w:rPr>
              <w:t>全自动清洗消毒器内</w:t>
            </w:r>
            <w:r>
              <w:rPr>
                <w:rFonts w:hint="eastAsia"/>
                <w:color w:val="auto"/>
                <w:highlight w:val="none"/>
                <w:lang w:val="en-US" w:eastAsia="zh-CN"/>
              </w:rPr>
              <w:t>使用纯水进行最后漂洗一次，确保器械表面不会残留酶洗液和其他污染物，漂洗纯水用量约5L/器械，则使用纯水1t/d，365t/a，损耗可忽略不计，产生漂洗废水1t/d，365t/a。</w:t>
            </w:r>
          </w:p>
          <w:p w14:paraId="72E53BDD">
            <w:pPr>
              <w:pStyle w:val="121"/>
              <w:bidi w:val="0"/>
              <w:rPr>
                <w:rFonts w:hint="default"/>
                <w:color w:val="auto"/>
                <w:highlight w:val="none"/>
                <w:lang w:val="en-US" w:eastAsia="zh-CN"/>
              </w:rPr>
            </w:pPr>
            <w:r>
              <w:rPr>
                <w:rFonts w:hint="eastAsia"/>
                <w:b/>
                <w:bCs/>
                <w:color w:val="auto"/>
                <w:highlight w:val="none"/>
                <w:lang w:val="en-US" w:eastAsia="zh-CN"/>
              </w:rPr>
              <w:t>蒸汽灭菌：</w:t>
            </w:r>
            <w:r>
              <w:rPr>
                <w:rFonts w:hint="eastAsia"/>
                <w:b w:val="0"/>
                <w:bCs w:val="0"/>
                <w:color w:val="auto"/>
                <w:highlight w:val="none"/>
                <w:lang w:val="en-US" w:eastAsia="zh-CN"/>
              </w:rPr>
              <w:t>清洗完成后进行蒸汽灭菌，本项目设置2台</w:t>
            </w:r>
            <w:r>
              <w:rPr>
                <w:rFonts w:hint="eastAsia" w:ascii="Times New Roman" w:hAnsi="Times New Roman" w:eastAsia="宋体" w:cs="Times New Roman"/>
                <w:sz w:val="24"/>
                <w:szCs w:val="24"/>
                <w:lang w:val="en-US" w:eastAsia="zh-CN"/>
              </w:rPr>
              <w:t>平移门脉动真空灭菌器</w:t>
            </w:r>
            <w:r>
              <w:rPr>
                <w:rFonts w:hint="eastAsia"/>
                <w:b w:val="0"/>
                <w:bCs w:val="0"/>
                <w:color w:val="auto"/>
                <w:sz w:val="24"/>
                <w:szCs w:val="24"/>
                <w:highlight w:val="none"/>
                <w:lang w:val="en-US" w:eastAsia="zh-CN"/>
              </w:rPr>
              <w:t>，</w:t>
            </w:r>
            <w:r>
              <w:rPr>
                <w:rFonts w:hint="eastAsia"/>
                <w:b w:val="0"/>
                <w:bCs w:val="0"/>
                <w:color w:val="auto"/>
                <w:highlight w:val="none"/>
                <w:lang w:val="en-US" w:eastAsia="zh-CN"/>
              </w:rPr>
              <w:t>并分别配套1台1.2t/h的电蒸汽发生器，蒸汽灭菌每日约工作两次，1次工作标准循环时间约1h，即本次扩建项目2台1.2t/h的电蒸汽发生器每日运行时间约2h，则每日蒸汽量为4.8t/d。电蒸汽发生器</w:t>
            </w:r>
            <w:r>
              <w:rPr>
                <w:rFonts w:hint="eastAsia" w:cs="Times New Roman"/>
                <w:color w:val="auto"/>
                <w:sz w:val="24"/>
                <w:szCs w:val="24"/>
                <w:lang w:val="en-US" w:eastAsia="zh-CN"/>
              </w:rPr>
              <w:t>蒸汽需要用到</w:t>
            </w:r>
            <w:r>
              <w:rPr>
                <w:rFonts w:hint="eastAsia" w:cs="Times New Roman"/>
                <w:b w:val="0"/>
                <w:bCs w:val="0"/>
                <w:color w:val="auto"/>
                <w:sz w:val="24"/>
                <w:lang w:eastAsia="zh-CN"/>
              </w:rPr>
              <w:t>纯水，</w:t>
            </w:r>
            <w:r>
              <w:rPr>
                <w:rFonts w:hint="eastAsia" w:cs="Times New Roman"/>
                <w:color w:val="auto"/>
                <w:sz w:val="24"/>
                <w:lang w:eastAsia="zh-CN"/>
              </w:rPr>
              <w:t>纯水进入</w:t>
            </w:r>
            <w:r>
              <w:rPr>
                <w:rFonts w:hint="eastAsia"/>
                <w:b w:val="0"/>
                <w:bCs w:val="0"/>
                <w:color w:val="auto"/>
                <w:highlight w:val="none"/>
                <w:lang w:val="en-US" w:eastAsia="zh-CN"/>
              </w:rPr>
              <w:t>电蒸汽发生器</w:t>
            </w:r>
            <w:r>
              <w:rPr>
                <w:rFonts w:hint="eastAsia" w:cs="Times New Roman"/>
                <w:color w:val="auto"/>
                <w:sz w:val="24"/>
                <w:lang w:eastAsia="zh-CN"/>
              </w:rPr>
              <w:t>蒸汽时，因蒸汽效率会有少量水未能蒸发成蒸汽积攒在</w:t>
            </w:r>
            <w:r>
              <w:rPr>
                <w:rFonts w:hint="eastAsia"/>
                <w:b w:val="0"/>
                <w:bCs w:val="0"/>
                <w:color w:val="auto"/>
                <w:highlight w:val="none"/>
                <w:lang w:val="en-US" w:eastAsia="zh-CN"/>
              </w:rPr>
              <w:t>电蒸汽发生器</w:t>
            </w:r>
            <w:r>
              <w:rPr>
                <w:rFonts w:hint="eastAsia" w:cs="Times New Roman"/>
                <w:color w:val="auto"/>
                <w:sz w:val="24"/>
                <w:lang w:eastAsia="zh-CN"/>
              </w:rPr>
              <w:t>内形成</w:t>
            </w:r>
            <w:r>
              <w:rPr>
                <w:rFonts w:hint="eastAsia" w:cs="Times New Roman"/>
                <w:color w:val="auto"/>
                <w:sz w:val="24"/>
                <w:lang w:val="en-US" w:eastAsia="zh-CN"/>
              </w:rPr>
              <w:t>浓水</w:t>
            </w:r>
            <w:r>
              <w:rPr>
                <w:rFonts w:hint="eastAsia" w:cs="Times New Roman"/>
                <w:color w:val="auto"/>
                <w:sz w:val="24"/>
                <w:lang w:eastAsia="zh-CN"/>
              </w:rPr>
              <w:t>，蒸汽与进入</w:t>
            </w:r>
            <w:r>
              <w:rPr>
                <w:rFonts w:hint="eastAsia"/>
                <w:b w:val="0"/>
                <w:bCs w:val="0"/>
                <w:color w:val="auto"/>
                <w:highlight w:val="none"/>
                <w:lang w:val="en-US" w:eastAsia="zh-CN"/>
              </w:rPr>
              <w:t>电蒸汽发生器</w:t>
            </w:r>
            <w:r>
              <w:rPr>
                <w:rFonts w:hint="eastAsia" w:cs="Times New Roman"/>
                <w:color w:val="auto"/>
                <w:sz w:val="24"/>
                <w:lang w:eastAsia="zh-CN"/>
              </w:rPr>
              <w:t>的纯水比例为</w:t>
            </w:r>
            <w:r>
              <w:rPr>
                <w:rFonts w:hint="eastAsia" w:cs="Times New Roman"/>
                <w:color w:val="auto"/>
                <w:sz w:val="24"/>
                <w:lang w:val="en-US" w:eastAsia="zh-CN"/>
              </w:rPr>
              <w:t>1:1.03</w:t>
            </w:r>
            <w:r>
              <w:rPr>
                <w:rFonts w:hint="eastAsia" w:cs="Times New Roman"/>
                <w:color w:val="auto"/>
                <w:sz w:val="24"/>
                <w:lang w:eastAsia="zh-CN"/>
              </w:rPr>
              <w:t>，则</w:t>
            </w:r>
            <w:r>
              <w:rPr>
                <w:rFonts w:hint="eastAsia" w:cs="Times New Roman"/>
                <w:color w:val="auto"/>
                <w:sz w:val="24"/>
                <w:lang w:val="en-US" w:eastAsia="zh-CN"/>
              </w:rPr>
              <w:t>本项目</w:t>
            </w:r>
            <w:r>
              <w:rPr>
                <w:rFonts w:hint="eastAsia"/>
                <w:b w:val="0"/>
                <w:bCs w:val="0"/>
                <w:color w:val="auto"/>
                <w:highlight w:val="none"/>
                <w:lang w:val="en-US" w:eastAsia="zh-CN"/>
              </w:rPr>
              <w:t>电蒸汽发生器</w:t>
            </w:r>
            <w:r>
              <w:rPr>
                <w:rFonts w:hint="eastAsia" w:cs="Times New Roman"/>
                <w:color w:val="auto"/>
                <w:sz w:val="24"/>
                <w:lang w:val="en-US" w:eastAsia="zh-CN"/>
              </w:rPr>
              <w:t>运转所需纯水量约为4.944t/d（1804.56t/a），</w:t>
            </w:r>
            <w:r>
              <w:rPr>
                <w:rFonts w:hint="eastAsia"/>
                <w:b w:val="0"/>
                <w:bCs w:val="0"/>
                <w:color w:val="auto"/>
                <w:highlight w:val="none"/>
                <w:lang w:val="en-US" w:eastAsia="zh-CN"/>
              </w:rPr>
              <w:t>电蒸汽发生器</w:t>
            </w:r>
            <w:r>
              <w:rPr>
                <w:rFonts w:hint="eastAsia" w:cs="Times New Roman"/>
                <w:color w:val="auto"/>
                <w:sz w:val="24"/>
                <w:lang w:eastAsia="zh-CN"/>
              </w:rPr>
              <w:t>积攒的浓水</w:t>
            </w:r>
            <w:r>
              <w:rPr>
                <w:rFonts w:hint="eastAsia" w:cs="Times New Roman"/>
                <w:color w:val="auto"/>
                <w:sz w:val="24"/>
                <w:lang w:val="en-US" w:eastAsia="zh-CN"/>
              </w:rPr>
              <w:t>产生量约为0.144t/d（52.56t/a）。蒸汽在使用过程损耗量按10%计，剩余蒸汽冷凝产生</w:t>
            </w:r>
            <w:r>
              <w:rPr>
                <w:rFonts w:hint="eastAsia"/>
                <w:color w:val="auto"/>
                <w:highlight w:val="none"/>
                <w:lang w:val="en-US" w:eastAsia="zh-CN"/>
              </w:rPr>
              <w:t>蒸汽灭菌废水，废水量</w:t>
            </w:r>
            <w:r>
              <w:rPr>
                <w:rFonts w:hint="eastAsia" w:cs="Times New Roman"/>
                <w:color w:val="auto"/>
                <w:sz w:val="24"/>
                <w:lang w:val="en-US" w:eastAsia="zh-CN"/>
              </w:rPr>
              <w:t>约为4.32t/d（1576.8t/a）</w:t>
            </w:r>
            <w:r>
              <w:rPr>
                <w:rFonts w:hint="eastAsia"/>
                <w:color w:val="auto"/>
                <w:highlight w:val="none"/>
                <w:lang w:val="en-US" w:eastAsia="zh-CN"/>
              </w:rPr>
              <w:t>。</w:t>
            </w:r>
          </w:p>
          <w:p w14:paraId="4B238E40">
            <w:pPr>
              <w:adjustRightInd w:val="0"/>
              <w:snapToGrid w:val="0"/>
              <w:spacing w:line="360" w:lineRule="auto"/>
              <w:ind w:firstLine="482" w:firstLineChars="200"/>
              <w:rPr>
                <w:sz w:val="24"/>
              </w:rPr>
            </w:pPr>
            <w:r>
              <w:rPr>
                <w:rFonts w:hint="eastAsia"/>
                <w:b/>
                <w:bCs/>
                <w:sz w:val="24"/>
                <w:lang w:eastAsia="zh-CN"/>
              </w:rPr>
              <w:t>纯水制备：</w:t>
            </w:r>
            <w:r>
              <w:rPr>
                <w:rFonts w:hint="eastAsia"/>
                <w:sz w:val="24"/>
                <w:lang w:eastAsia="zh-CN"/>
              </w:rPr>
              <w:t>本项目</w:t>
            </w:r>
            <w:r>
              <w:rPr>
                <w:rFonts w:hint="eastAsia" w:cs="Times New Roman"/>
                <w:bCs/>
                <w:color w:val="auto"/>
                <w:sz w:val="24"/>
                <w:szCs w:val="24"/>
                <w:lang w:eastAsia="zh-CN"/>
              </w:rPr>
              <w:t>医疗器械洗消过程多个环节采用纯水，</w:t>
            </w:r>
            <w:r>
              <w:rPr>
                <w:rFonts w:hint="eastAsia" w:cs="Times New Roman"/>
                <w:bCs/>
                <w:color w:val="auto"/>
                <w:sz w:val="24"/>
                <w:szCs w:val="24"/>
                <w:lang w:val="en-US" w:eastAsia="zh-CN"/>
              </w:rPr>
              <w:t>依托医院现有纯水制备器制备纯水，</w:t>
            </w:r>
            <w:r>
              <w:rPr>
                <w:rFonts w:hint="eastAsia" w:cs="Times New Roman"/>
                <w:bCs/>
                <w:color w:val="auto"/>
                <w:sz w:val="24"/>
                <w:szCs w:val="24"/>
                <w:lang w:eastAsia="zh-CN"/>
              </w:rPr>
              <w:t>根据上述内容可知本项目纯水用量总计约为</w:t>
            </w:r>
            <w:r>
              <w:rPr>
                <w:rFonts w:hint="eastAsia" w:cs="Times New Roman"/>
                <w:bCs/>
                <w:color w:val="auto"/>
                <w:sz w:val="24"/>
                <w:szCs w:val="24"/>
                <w:lang w:val="en-US" w:eastAsia="zh-CN"/>
              </w:rPr>
              <w:t>6.3522t/d，纯水制备器制备</w:t>
            </w:r>
            <w:r>
              <w:rPr>
                <w:rFonts w:hint="eastAsia" w:cs="Times New Roman"/>
                <w:color w:val="auto"/>
                <w:kern w:val="1"/>
                <w:sz w:val="24"/>
                <w:lang w:val="en-US" w:eastAsia="zh-CN"/>
              </w:rPr>
              <w:t>纯水效率按80%计，则</w:t>
            </w:r>
            <w:r>
              <w:rPr>
                <w:rFonts w:hint="eastAsia" w:cs="Times New Roman"/>
                <w:color w:val="auto"/>
                <w:sz w:val="24"/>
                <w:szCs w:val="24"/>
                <w:lang w:eastAsia="zh-CN"/>
              </w:rPr>
              <w:t>所需</w:t>
            </w:r>
            <w:r>
              <w:rPr>
                <w:rFonts w:hint="default" w:ascii="Times New Roman" w:hAnsi="Times New Roman" w:cs="Times New Roman"/>
                <w:color w:val="auto"/>
                <w:sz w:val="24"/>
                <w:szCs w:val="24"/>
                <w:lang w:eastAsia="zh-CN"/>
              </w:rPr>
              <w:t>用水量</w:t>
            </w:r>
            <w:r>
              <w:rPr>
                <w:rFonts w:hint="eastAsia" w:ascii="Times New Roman" w:hAnsi="Times New Roman" w:cs="Times New Roman"/>
                <w:color w:val="auto"/>
                <w:sz w:val="24"/>
                <w:szCs w:val="24"/>
                <w:lang w:eastAsia="zh-CN"/>
              </w:rPr>
              <w:t>约</w:t>
            </w:r>
            <w:r>
              <w:rPr>
                <w:rFonts w:hint="default" w:ascii="Times New Roman" w:hAnsi="Times New Roman" w:cs="Times New Roman"/>
                <w:color w:val="auto"/>
                <w:sz w:val="24"/>
                <w:szCs w:val="24"/>
                <w:lang w:eastAsia="zh-CN"/>
              </w:rPr>
              <w:t>为</w:t>
            </w:r>
            <w:r>
              <w:rPr>
                <w:rFonts w:hint="eastAsia" w:ascii="Times New Roman" w:hAnsi="Times New Roman" w:cs="Times New Roman"/>
                <w:color w:val="auto"/>
                <w:sz w:val="24"/>
                <w:szCs w:val="24"/>
                <w:lang w:val="en-US" w:eastAsia="zh-CN"/>
              </w:rPr>
              <w:t>7.9403</w:t>
            </w:r>
            <w:r>
              <w:rPr>
                <w:rFonts w:hint="default" w:ascii="Times New Roman" w:hAnsi="Times New Roman" w:cs="Times New Roman"/>
                <w:color w:val="auto"/>
                <w:sz w:val="24"/>
                <w:szCs w:val="24"/>
                <w:lang w:eastAsia="zh-CN"/>
              </w:rPr>
              <w:t>t/</w:t>
            </w:r>
            <w:r>
              <w:rPr>
                <w:rFonts w:hint="eastAsia" w:ascii="Times New Roman" w:hAnsi="Times New Roman" w:cs="Times New Roman"/>
                <w:color w:val="auto"/>
                <w:sz w:val="24"/>
                <w:szCs w:val="24"/>
                <w:lang w:val="en-US" w:eastAsia="zh-CN"/>
              </w:rPr>
              <w:t>d</w:t>
            </w:r>
            <w:r>
              <w:rPr>
                <w:rFonts w:hint="eastAsia" w:cs="Times New Roman"/>
                <w:color w:val="auto"/>
                <w:sz w:val="24"/>
                <w:szCs w:val="24"/>
                <w:lang w:eastAsia="zh-CN"/>
              </w:rPr>
              <w:t>（</w:t>
            </w:r>
            <w:r>
              <w:rPr>
                <w:rFonts w:hint="eastAsia" w:cs="Times New Roman"/>
                <w:color w:val="auto"/>
                <w:sz w:val="24"/>
                <w:szCs w:val="24"/>
                <w:lang w:val="en-US" w:eastAsia="zh-CN"/>
              </w:rPr>
              <w:t>2898.2</w:t>
            </w:r>
            <w:r>
              <w:rPr>
                <w:rFonts w:hint="default" w:ascii="Times New Roman" w:hAnsi="Times New Roman" w:cs="Times New Roman"/>
                <w:color w:val="auto"/>
                <w:sz w:val="24"/>
                <w:szCs w:val="24"/>
                <w:lang w:eastAsia="zh-CN"/>
              </w:rPr>
              <w:t>t/a</w:t>
            </w:r>
            <w:r>
              <w:rPr>
                <w:rFonts w:hint="eastAsia" w:cs="Times New Roman"/>
                <w:color w:val="auto"/>
                <w:sz w:val="24"/>
                <w:szCs w:val="24"/>
                <w:lang w:eastAsia="zh-CN"/>
              </w:rPr>
              <w:t>），则纯水制备过程产生的浓水约为</w:t>
            </w:r>
            <w:r>
              <w:rPr>
                <w:rFonts w:hint="eastAsia" w:cs="Times New Roman"/>
                <w:color w:val="auto"/>
                <w:sz w:val="24"/>
                <w:szCs w:val="24"/>
                <w:lang w:val="en-US" w:eastAsia="zh-CN"/>
              </w:rPr>
              <w:t>1.5881t/d（579.64t/a）</w:t>
            </w:r>
            <w:r>
              <w:rPr>
                <w:rFonts w:hint="eastAsia"/>
                <w:sz w:val="24"/>
              </w:rPr>
              <w:t>。</w:t>
            </w:r>
          </w:p>
          <w:p w14:paraId="7CE56FD9">
            <w:pPr>
              <w:spacing w:line="360" w:lineRule="auto"/>
              <w:ind w:firstLine="480" w:firstLineChars="200"/>
              <w:rPr>
                <w:rFonts w:hint="eastAsia"/>
                <w:b w:val="0"/>
                <w:bCs w:val="0"/>
                <w:sz w:val="24"/>
                <w:lang w:eastAsia="zh-CN"/>
              </w:rPr>
            </w:pPr>
            <w:r>
              <w:rPr>
                <w:rFonts w:hint="eastAsia" w:ascii="Times New Roman" w:hAnsi="Times New Roman" w:eastAsia="宋体" w:cs="Times New Roman"/>
                <w:color w:val="auto"/>
                <w:sz w:val="24"/>
                <w:szCs w:val="24"/>
                <w:lang w:val="en-US" w:eastAsia="zh-CN"/>
              </w:rPr>
              <w:t>⑥</w:t>
            </w:r>
            <w:r>
              <w:rPr>
                <w:rFonts w:hint="eastAsia"/>
                <w:b w:val="0"/>
                <w:bCs w:val="0"/>
                <w:sz w:val="24"/>
                <w:lang w:eastAsia="zh-CN"/>
              </w:rPr>
              <w:t>地面</w:t>
            </w:r>
            <w:r>
              <w:rPr>
                <w:rFonts w:hint="eastAsia" w:cs="Times New Roman"/>
                <w:bCs/>
                <w:color w:val="auto"/>
                <w:sz w:val="24"/>
                <w:szCs w:val="24"/>
                <w:lang w:eastAsia="zh-CN"/>
              </w:rPr>
              <w:t>保洁</w:t>
            </w:r>
            <w:r>
              <w:rPr>
                <w:rFonts w:hint="eastAsia"/>
                <w:b w:val="0"/>
                <w:bCs w:val="0"/>
                <w:sz w:val="24"/>
                <w:lang w:eastAsia="zh-CN"/>
              </w:rPr>
              <w:t>用水</w:t>
            </w:r>
          </w:p>
          <w:p w14:paraId="026D786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highlight w:val="none"/>
                <w:lang w:val="en-US" w:eastAsia="zh-CN"/>
              </w:rPr>
            </w:pPr>
            <w:r>
              <w:rPr>
                <w:rFonts w:hint="eastAsia"/>
                <w:color w:val="auto"/>
                <w:sz w:val="24"/>
                <w:szCs w:val="24"/>
                <w:highlight w:val="none"/>
              </w:rPr>
              <w:t>本</w:t>
            </w:r>
            <w:r>
              <w:rPr>
                <w:rFonts w:hint="default" w:ascii="Times New Roman" w:hAnsi="Times New Roman" w:cs="Times New Roman"/>
                <w:color w:val="auto"/>
                <w:sz w:val="24"/>
                <w:szCs w:val="24"/>
                <w:highlight w:val="none"/>
                <w:lang w:eastAsia="zh-CN"/>
              </w:rPr>
              <w:t>次扩建</w:t>
            </w:r>
            <w:r>
              <w:rPr>
                <w:rFonts w:hint="default" w:ascii="Times New Roman" w:hAnsi="Times New Roman" w:cs="Times New Roman"/>
                <w:color w:val="auto"/>
                <w:sz w:val="24"/>
                <w:szCs w:val="24"/>
                <w:highlight w:val="none"/>
              </w:rPr>
              <w:t>项目</w:t>
            </w:r>
            <w:r>
              <w:rPr>
                <w:rFonts w:hint="default" w:ascii="Times New Roman" w:hAnsi="Times New Roman" w:cs="Times New Roman"/>
                <w:sz w:val="24"/>
                <w:szCs w:val="24"/>
                <w:lang w:val="en-US" w:eastAsia="zh-CN"/>
              </w:rPr>
              <w:t>住院综合楼</w:t>
            </w:r>
            <w:r>
              <w:rPr>
                <w:rFonts w:hint="default" w:ascii="Times New Roman" w:hAnsi="Times New Roman" w:cs="Times New Roman"/>
                <w:color w:val="auto"/>
                <w:sz w:val="24"/>
                <w:szCs w:val="24"/>
                <w:highlight w:val="none"/>
                <w:lang w:val="en-US" w:eastAsia="zh-CN"/>
              </w:rPr>
              <w:t>各层</w:t>
            </w:r>
            <w:r>
              <w:rPr>
                <w:rFonts w:hint="default" w:ascii="Times New Roman" w:hAnsi="Times New Roman" w:cs="Times New Roman"/>
                <w:color w:val="auto"/>
                <w:sz w:val="24"/>
                <w:szCs w:val="24"/>
                <w:highlight w:val="none"/>
              </w:rPr>
              <w:t>地面每日需要进行湿拖，根据《建筑给水排水设计手册》（中国建筑工业出版社，作者：中国建筑设计研究院），场地清洗用水量为1.0~2.0L</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次</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，本项目不直接冲洗地面，采用拖布保洁方式，清洗拖布用水量按标准的5</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（0.05~0.1L</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次</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）计算，取0.1L</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次</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。保洁面积按</w:t>
            </w:r>
            <w:r>
              <w:rPr>
                <w:rFonts w:hint="default" w:ascii="Times New Roman" w:hAnsi="Times New Roman" w:cs="Times New Roman"/>
                <w:color w:val="auto"/>
                <w:sz w:val="24"/>
                <w:szCs w:val="24"/>
                <w:highlight w:val="none"/>
                <w:lang w:val="en-US" w:eastAsia="zh-CN"/>
              </w:rPr>
              <w:t>12698.8m</w:t>
            </w:r>
            <w:r>
              <w:rPr>
                <w:rFonts w:hint="default" w:ascii="Times New Roman" w:hAnsi="Times New Roman" w:cs="Times New Roman"/>
                <w:color w:val="auto"/>
                <w:sz w:val="24"/>
                <w:szCs w:val="24"/>
                <w:highlight w:val="none"/>
                <w:vertAlign w:val="superscript"/>
                <w:lang w:val="en-US" w:eastAsia="zh-CN"/>
              </w:rPr>
              <w:t>2</w:t>
            </w:r>
            <w:r>
              <w:rPr>
                <w:rFonts w:hint="default" w:ascii="Times New Roman" w:hAnsi="Times New Roman" w:cs="Times New Roman"/>
                <w:color w:val="auto"/>
                <w:sz w:val="24"/>
                <w:szCs w:val="24"/>
                <w:highlight w:val="none"/>
                <w:lang w:val="en-US" w:eastAsia="zh-CN"/>
              </w:rPr>
              <w:t>计</w:t>
            </w:r>
            <w:r>
              <w:rPr>
                <w:rFonts w:hint="default" w:ascii="Times New Roman" w:hAnsi="Times New Roman" w:cs="Times New Roman"/>
                <w:color w:val="auto"/>
                <w:sz w:val="24"/>
                <w:szCs w:val="24"/>
                <w:highlight w:val="none"/>
              </w:rPr>
              <w:t>，年工作</w:t>
            </w:r>
            <w:r>
              <w:rPr>
                <w:rFonts w:hint="default" w:ascii="Times New Roman" w:hAnsi="Times New Roman" w:cs="Times New Roman"/>
                <w:color w:val="auto"/>
                <w:sz w:val="24"/>
                <w:szCs w:val="24"/>
                <w:highlight w:val="none"/>
                <w:lang w:val="en-US" w:eastAsia="zh-CN"/>
              </w:rPr>
              <w:t>365</w:t>
            </w:r>
            <w:r>
              <w:rPr>
                <w:rFonts w:hint="default" w:ascii="Times New Roman" w:hAnsi="Times New Roman" w:cs="Times New Roman"/>
                <w:color w:val="auto"/>
                <w:sz w:val="24"/>
                <w:szCs w:val="24"/>
                <w:highlight w:val="none"/>
              </w:rPr>
              <w:t>次，则</w:t>
            </w:r>
            <w:r>
              <w:rPr>
                <w:rFonts w:hint="default" w:ascii="Times New Roman" w:hAnsi="Times New Roman" w:cs="Times New Roman"/>
                <w:color w:val="auto"/>
                <w:sz w:val="24"/>
                <w:szCs w:val="24"/>
                <w:highlight w:val="none"/>
                <w:lang w:val="en-US" w:eastAsia="zh-CN"/>
              </w:rPr>
              <w:t>地面</w:t>
            </w:r>
            <w:r>
              <w:rPr>
                <w:rFonts w:hint="default" w:ascii="Times New Roman" w:hAnsi="Times New Roman" w:cs="Times New Roman"/>
                <w:color w:val="auto"/>
                <w:sz w:val="24"/>
                <w:szCs w:val="24"/>
                <w:highlight w:val="none"/>
              </w:rPr>
              <w:t>湿拖用水量为</w:t>
            </w:r>
            <w:r>
              <w:rPr>
                <w:rFonts w:hint="eastAsia" w:ascii="Times New Roman" w:hAnsi="Times New Roman" w:cs="Times New Roman"/>
                <w:color w:val="auto"/>
                <w:sz w:val="24"/>
                <w:szCs w:val="24"/>
                <w:highlight w:val="none"/>
                <w:lang w:val="en-US" w:eastAsia="zh-CN"/>
              </w:rPr>
              <w:t>1.27</w:t>
            </w:r>
            <w:r>
              <w:rPr>
                <w:rFonts w:hint="default" w:ascii="Times New Roman" w:hAnsi="Times New Roman" w:cs="Times New Roman"/>
                <w:color w:val="auto"/>
                <w:sz w:val="24"/>
                <w:szCs w:val="24"/>
                <w:highlight w:val="none"/>
                <w:lang w:val="en-US" w:eastAsia="zh-CN"/>
              </w:rPr>
              <w:t>t/d，</w:t>
            </w:r>
            <w:r>
              <w:rPr>
                <w:rFonts w:hint="eastAsia" w:ascii="Times New Roman" w:hAnsi="Times New Roman" w:cs="Times New Roman"/>
                <w:color w:val="auto"/>
                <w:sz w:val="24"/>
                <w:szCs w:val="24"/>
                <w:highlight w:val="none"/>
                <w:lang w:val="en-US" w:eastAsia="zh-CN"/>
              </w:rPr>
              <w:t>463.51</w:t>
            </w:r>
            <w:r>
              <w:rPr>
                <w:rFonts w:hint="default" w:ascii="Times New Roman" w:hAnsi="Times New Roman" w:cs="Times New Roman"/>
                <w:color w:val="auto"/>
                <w:sz w:val="24"/>
                <w:szCs w:val="24"/>
                <w:highlight w:val="none"/>
                <w:lang w:val="en-US" w:eastAsia="zh-CN"/>
              </w:rPr>
              <w:t>t/a</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eastAsia="zh-CN"/>
              </w:rPr>
              <w:t>地面保洁用水全部蒸发损耗，无废水产生</w:t>
            </w:r>
            <w:r>
              <w:rPr>
                <w:rFonts w:hint="eastAsia" w:cs="Times New Roman"/>
                <w:b w:val="0"/>
                <w:bCs w:val="0"/>
                <w:color w:val="auto"/>
                <w:sz w:val="24"/>
                <w:szCs w:val="24"/>
                <w:highlight w:val="none"/>
                <w:vertAlign w:val="baseline"/>
                <w:lang w:val="en-US" w:eastAsia="zh-CN"/>
              </w:rPr>
              <w:t>。</w:t>
            </w:r>
          </w:p>
          <w:p w14:paraId="13A07BA3">
            <w:pPr>
              <w:pStyle w:val="69"/>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eastAsia="宋体" w:cs="Times New Roman"/>
                <w:b w:val="0"/>
                <w:bCs w:val="0"/>
                <w:color w:val="auto"/>
                <w:sz w:val="24"/>
                <w:szCs w:val="24"/>
                <w:highlight w:val="none"/>
                <w:lang w:val="en-US" w:eastAsia="zh-CN"/>
              </w:rPr>
            </w:pPr>
            <w:r>
              <w:rPr>
                <w:rFonts w:hint="eastAsia" w:eastAsia="宋体" w:cs="Times New Roman"/>
                <w:b w:val="0"/>
                <w:bCs w:val="0"/>
                <w:color w:val="auto"/>
                <w:sz w:val="24"/>
                <w:szCs w:val="24"/>
                <w:highlight w:val="none"/>
                <w:lang w:val="en-US" w:eastAsia="zh-CN"/>
              </w:rPr>
              <w:t>本项目不设传染病科和传染病房，无传染病废水产生。</w:t>
            </w:r>
          </w:p>
          <w:p w14:paraId="0ECC3320">
            <w:pPr>
              <w:pStyle w:val="69"/>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eastAsia="宋体" w:cs="Times New Roman"/>
                <w:b w:val="0"/>
                <w:bCs w:val="0"/>
                <w:color w:val="auto"/>
                <w:sz w:val="24"/>
                <w:szCs w:val="24"/>
                <w:highlight w:val="none"/>
                <w:lang w:val="en-US" w:eastAsia="zh-CN"/>
              </w:rPr>
              <w:t>污水污染物与污染负荷</w:t>
            </w:r>
            <w:r>
              <w:rPr>
                <w:rFonts w:hint="eastAsia" w:ascii="Times New Roman" w:hAnsi="Times New Roman" w:eastAsia="宋体" w:cs="Times New Roman"/>
                <w:b w:val="0"/>
                <w:bCs w:val="0"/>
                <w:color w:val="auto"/>
                <w:sz w:val="24"/>
                <w:szCs w:val="24"/>
                <w:highlight w:val="none"/>
                <w:lang w:val="en-US" w:eastAsia="zh-CN"/>
              </w:rPr>
              <w:t>参考《医院污水处理工程技术规范》</w:t>
            </w:r>
            <w:r>
              <w:rPr>
                <w:rFonts w:hint="eastAsia" w:eastAsia="宋体" w:cs="Times New Roman"/>
                <w:b w:val="0"/>
                <w:bCs w:val="0"/>
                <w:color w:val="auto"/>
                <w:sz w:val="24"/>
                <w:szCs w:val="24"/>
                <w:highlight w:val="none"/>
                <w:lang w:val="en-US" w:eastAsia="zh-CN"/>
              </w:rPr>
              <w:t>（</w:t>
            </w:r>
            <w:r>
              <w:rPr>
                <w:rFonts w:hint="eastAsia" w:ascii="Times New Roman" w:hAnsi="Times New Roman" w:eastAsia="宋体" w:cs="Times New Roman"/>
                <w:b w:val="0"/>
                <w:bCs w:val="0"/>
                <w:color w:val="auto"/>
                <w:sz w:val="24"/>
                <w:szCs w:val="24"/>
                <w:highlight w:val="none"/>
                <w:lang w:val="en-US" w:eastAsia="zh-CN"/>
              </w:rPr>
              <w:t>HJ2029--2013</w:t>
            </w:r>
            <w:r>
              <w:rPr>
                <w:rFonts w:hint="eastAsia" w:eastAsia="宋体" w:cs="Times New Roman"/>
                <w:b w:val="0"/>
                <w:bCs w:val="0"/>
                <w:color w:val="auto"/>
                <w:sz w:val="24"/>
                <w:szCs w:val="24"/>
                <w:highlight w:val="none"/>
                <w:lang w:val="en-US" w:eastAsia="zh-CN"/>
              </w:rPr>
              <w:t>）</w:t>
            </w:r>
            <w:r>
              <w:rPr>
                <w:rFonts w:hint="eastAsia" w:ascii="Times New Roman" w:hAnsi="Times New Roman" w:eastAsia="宋体" w:cs="Times New Roman"/>
                <w:b w:val="0"/>
                <w:bCs w:val="0"/>
                <w:color w:val="auto"/>
                <w:sz w:val="24"/>
                <w:szCs w:val="24"/>
                <w:highlight w:val="none"/>
                <w:lang w:val="en-US" w:eastAsia="zh-CN"/>
              </w:rPr>
              <w:t>中</w:t>
            </w:r>
            <w:r>
              <w:rPr>
                <w:rFonts w:hint="eastAsia" w:eastAsia="宋体" w:cs="Times New Roman"/>
                <w:b w:val="0"/>
                <w:bCs w:val="0"/>
                <w:color w:val="auto"/>
                <w:sz w:val="24"/>
                <w:szCs w:val="24"/>
                <w:highlight w:val="none"/>
                <w:lang w:val="en-US" w:eastAsia="zh-CN"/>
              </w:rPr>
              <w:t>表1医院污水水质指标参考数据，</w:t>
            </w:r>
            <w:r>
              <w:rPr>
                <w:rFonts w:hint="eastAsia" w:ascii="Times New Roman" w:hAnsi="Times New Roman" w:eastAsia="宋体" w:cs="Times New Roman"/>
                <w:b w:val="0"/>
                <w:bCs w:val="0"/>
                <w:color w:val="auto"/>
                <w:sz w:val="24"/>
                <w:szCs w:val="24"/>
                <w:highlight w:val="none"/>
                <w:lang w:val="en-US" w:eastAsia="zh-CN"/>
              </w:rPr>
              <w:t>具体如下表</w:t>
            </w:r>
            <w:r>
              <w:rPr>
                <w:rFonts w:hint="eastAsia" w:eastAsia="宋体" w:cs="Times New Roman"/>
                <w:b w:val="0"/>
                <w:bCs w:val="0"/>
                <w:color w:val="auto"/>
                <w:sz w:val="24"/>
                <w:szCs w:val="24"/>
                <w:highlight w:val="none"/>
                <w:lang w:val="en-US" w:eastAsia="zh-CN"/>
              </w:rPr>
              <w:t>，本项目取平均值</w:t>
            </w:r>
            <w:r>
              <w:rPr>
                <w:rFonts w:hint="default" w:ascii="Times New Roman" w:hAnsi="Times New Roman" w:eastAsia="宋体" w:cs="Times New Roman"/>
                <w:b w:val="0"/>
                <w:bCs w:val="0"/>
                <w:color w:val="auto"/>
                <w:sz w:val="24"/>
                <w:szCs w:val="24"/>
                <w:highlight w:val="none"/>
                <w:lang w:val="en-US" w:eastAsia="zh-CN"/>
              </w:rPr>
              <w:t>：</w:t>
            </w:r>
          </w:p>
          <w:p w14:paraId="5A09E392">
            <w:pPr>
              <w:keepNext w:val="0"/>
              <w:keepLines w:val="0"/>
              <w:pageBreakBefore w:val="0"/>
              <w:widowControl w:val="0"/>
              <w:suppressLineNumbers w:val="0"/>
              <w:tabs>
                <w:tab w:val="left" w:pos="3255"/>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kern w:val="2"/>
                <w:sz w:val="24"/>
                <w:szCs w:val="24"/>
                <w:lang w:val="en-US" w:eastAsia="zh-CN"/>
              </w:rPr>
            </w:pPr>
            <w:r>
              <w:rPr>
                <w:rFonts w:hint="eastAsia" w:ascii="Times New Roman" w:hAnsi="Times New Roman" w:eastAsia="宋体" w:cs="Times New Roman"/>
                <w:b/>
                <w:color w:val="auto"/>
                <w:kern w:val="2"/>
                <w:sz w:val="24"/>
                <w:szCs w:val="24"/>
                <w:lang w:val="en-US" w:eastAsia="zh-CN"/>
              </w:rPr>
              <w:t>表4-</w:t>
            </w:r>
            <w:r>
              <w:rPr>
                <w:rFonts w:hint="eastAsia" w:cs="Times New Roman"/>
                <w:b/>
                <w:color w:val="auto"/>
                <w:kern w:val="2"/>
                <w:sz w:val="24"/>
                <w:szCs w:val="24"/>
                <w:lang w:val="en-US" w:eastAsia="zh-CN"/>
              </w:rPr>
              <w:t>8</w:t>
            </w:r>
            <w:r>
              <w:rPr>
                <w:rFonts w:hint="eastAsia" w:ascii="Times New Roman" w:hAnsi="Times New Roman" w:eastAsia="宋体" w:cs="Times New Roman"/>
                <w:b/>
                <w:color w:val="auto"/>
                <w:kern w:val="2"/>
                <w:sz w:val="24"/>
                <w:szCs w:val="24"/>
                <w:lang w:val="en-US" w:eastAsia="zh-CN"/>
              </w:rPr>
              <w:t xml:space="preserve">  医院污水水质指标参考数据  单位：mg/L</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023"/>
              <w:gridCol w:w="1268"/>
              <w:gridCol w:w="1142"/>
              <w:gridCol w:w="1142"/>
              <w:gridCol w:w="1014"/>
              <w:gridCol w:w="2017"/>
            </w:tblGrid>
            <w:tr w14:paraId="51E7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1175" w:type="pct"/>
                  <w:tcBorders>
                    <w:tl2br w:val="nil"/>
                    <w:tr2bl w:val="nil"/>
                  </w:tcBorders>
                  <w:shd w:val="clear" w:color="auto" w:fill="auto"/>
                  <w:vAlign w:val="center"/>
                </w:tcPr>
                <w:p w14:paraId="17BA2E8E">
                  <w:pPr>
                    <w:pStyle w:val="120"/>
                    <w:bidi w:val="0"/>
                    <w:rPr>
                      <w:color w:val="auto"/>
                      <w:highlight w:val="none"/>
                    </w:rPr>
                  </w:pPr>
                  <w:r>
                    <w:rPr>
                      <w:color w:val="auto"/>
                      <w:highlight w:val="none"/>
                      <w:lang w:val="en-US" w:eastAsia="zh-CN"/>
                    </w:rPr>
                    <w:t>指标</w:t>
                  </w:r>
                </w:p>
              </w:tc>
              <w:tc>
                <w:tcPr>
                  <w:tcW w:w="736" w:type="pct"/>
                  <w:tcBorders>
                    <w:tl2br w:val="nil"/>
                    <w:tr2bl w:val="nil"/>
                  </w:tcBorders>
                  <w:shd w:val="clear" w:color="auto" w:fill="auto"/>
                  <w:vAlign w:val="center"/>
                </w:tcPr>
                <w:p w14:paraId="6F6B26F6">
                  <w:pPr>
                    <w:pStyle w:val="120"/>
                    <w:bidi w:val="0"/>
                    <w:rPr>
                      <w:color w:val="auto"/>
                      <w:highlight w:val="none"/>
                    </w:rPr>
                  </w:pPr>
                  <w:r>
                    <w:rPr>
                      <w:color w:val="auto"/>
                      <w:highlight w:val="none"/>
                      <w:lang w:val="en-US" w:eastAsia="zh-CN"/>
                    </w:rPr>
                    <w:t>CODcr</w:t>
                  </w:r>
                </w:p>
              </w:tc>
              <w:tc>
                <w:tcPr>
                  <w:tcW w:w="663" w:type="pct"/>
                  <w:tcBorders>
                    <w:tl2br w:val="nil"/>
                    <w:tr2bl w:val="nil"/>
                  </w:tcBorders>
                  <w:shd w:val="clear" w:color="auto" w:fill="auto"/>
                  <w:vAlign w:val="center"/>
                </w:tcPr>
                <w:p w14:paraId="2DD53B27">
                  <w:pPr>
                    <w:pStyle w:val="120"/>
                    <w:bidi w:val="0"/>
                    <w:rPr>
                      <w:rFonts w:hint="default"/>
                      <w:color w:val="auto"/>
                      <w:highlight w:val="none"/>
                      <w:lang w:val="en-US"/>
                    </w:rPr>
                  </w:pPr>
                  <w:r>
                    <w:rPr>
                      <w:color w:val="auto"/>
                      <w:highlight w:val="none"/>
                      <w:lang w:val="en-US" w:eastAsia="zh-CN"/>
                    </w:rPr>
                    <w:t>BOD</w:t>
                  </w:r>
                  <w:r>
                    <w:rPr>
                      <w:rFonts w:hint="eastAsia"/>
                      <w:color w:val="auto"/>
                      <w:highlight w:val="none"/>
                      <w:vertAlign w:val="subscript"/>
                      <w:lang w:val="en-US" w:eastAsia="zh-CN"/>
                    </w:rPr>
                    <w:t>5</w:t>
                  </w:r>
                </w:p>
              </w:tc>
              <w:tc>
                <w:tcPr>
                  <w:tcW w:w="663" w:type="pct"/>
                  <w:tcBorders>
                    <w:tl2br w:val="nil"/>
                    <w:tr2bl w:val="nil"/>
                  </w:tcBorders>
                  <w:shd w:val="clear" w:color="auto" w:fill="auto"/>
                  <w:vAlign w:val="center"/>
                </w:tcPr>
                <w:p w14:paraId="2FAC2E01">
                  <w:pPr>
                    <w:pStyle w:val="120"/>
                    <w:bidi w:val="0"/>
                    <w:rPr>
                      <w:color w:val="auto"/>
                      <w:highlight w:val="none"/>
                    </w:rPr>
                  </w:pPr>
                  <w:r>
                    <w:rPr>
                      <w:color w:val="auto"/>
                      <w:highlight w:val="none"/>
                      <w:lang w:val="en-US" w:eastAsia="zh-CN"/>
                    </w:rPr>
                    <w:t>SS</w:t>
                  </w:r>
                </w:p>
              </w:tc>
              <w:tc>
                <w:tcPr>
                  <w:tcW w:w="589" w:type="pct"/>
                  <w:tcBorders>
                    <w:tl2br w:val="nil"/>
                    <w:tr2bl w:val="nil"/>
                  </w:tcBorders>
                  <w:shd w:val="clear" w:color="auto" w:fill="auto"/>
                  <w:vAlign w:val="center"/>
                </w:tcPr>
                <w:p w14:paraId="0A4AB72E">
                  <w:pPr>
                    <w:pStyle w:val="120"/>
                    <w:bidi w:val="0"/>
                    <w:rPr>
                      <w:color w:val="auto"/>
                      <w:highlight w:val="none"/>
                    </w:rPr>
                  </w:pPr>
                  <w:r>
                    <w:rPr>
                      <w:color w:val="auto"/>
                      <w:highlight w:val="none"/>
                      <w:lang w:val="en-US" w:eastAsia="zh-CN"/>
                    </w:rPr>
                    <w:t>NH</w:t>
                  </w:r>
                  <w:r>
                    <w:rPr>
                      <w:rFonts w:hint="eastAsia"/>
                      <w:color w:val="auto"/>
                      <w:highlight w:val="none"/>
                      <w:vertAlign w:val="subscript"/>
                      <w:lang w:val="en-US" w:eastAsia="zh-CN"/>
                    </w:rPr>
                    <w:t>3</w:t>
                  </w:r>
                  <w:r>
                    <w:rPr>
                      <w:color w:val="auto"/>
                      <w:highlight w:val="none"/>
                      <w:lang w:val="en-US" w:eastAsia="zh-CN"/>
                    </w:rPr>
                    <w:t>-N</w:t>
                  </w:r>
                </w:p>
              </w:tc>
              <w:tc>
                <w:tcPr>
                  <w:tcW w:w="1171" w:type="pct"/>
                  <w:tcBorders>
                    <w:tl2br w:val="nil"/>
                    <w:tr2bl w:val="nil"/>
                  </w:tcBorders>
                  <w:shd w:val="clear" w:color="auto" w:fill="auto"/>
                  <w:vAlign w:val="center"/>
                </w:tcPr>
                <w:p w14:paraId="368B0D34">
                  <w:pPr>
                    <w:pStyle w:val="120"/>
                    <w:bidi w:val="0"/>
                    <w:rPr>
                      <w:color w:val="auto"/>
                      <w:highlight w:val="none"/>
                    </w:rPr>
                  </w:pPr>
                  <w:r>
                    <w:rPr>
                      <w:color w:val="auto"/>
                      <w:highlight w:val="none"/>
                      <w:lang w:val="en-US" w:eastAsia="zh-CN"/>
                    </w:rPr>
                    <w:t>粪大肠杆菌</w:t>
                  </w:r>
                  <w:r>
                    <w:rPr>
                      <w:color w:val="auto"/>
                      <w:highlight w:val="none"/>
                      <w:lang w:val="en-US" w:eastAsia="zh-CN"/>
                    </w:rPr>
                    <w:br w:type="textWrapping"/>
                  </w:r>
                  <w:r>
                    <w:rPr>
                      <w:color w:val="auto"/>
                      <w:highlight w:val="none"/>
                      <w:lang w:val="en-US" w:eastAsia="zh-CN"/>
                    </w:rPr>
                    <w:t>(个/L)</w:t>
                  </w:r>
                </w:p>
              </w:tc>
            </w:tr>
            <w:tr w14:paraId="169BA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75" w:type="pct"/>
                  <w:tcBorders>
                    <w:tl2br w:val="nil"/>
                    <w:tr2bl w:val="nil"/>
                  </w:tcBorders>
                  <w:shd w:val="clear" w:color="auto" w:fill="auto"/>
                  <w:vAlign w:val="center"/>
                </w:tcPr>
                <w:p w14:paraId="121B728C">
                  <w:pPr>
                    <w:pStyle w:val="120"/>
                    <w:bidi w:val="0"/>
                    <w:rPr>
                      <w:color w:val="auto"/>
                      <w:highlight w:val="none"/>
                    </w:rPr>
                  </w:pPr>
                  <w:r>
                    <w:rPr>
                      <w:color w:val="auto"/>
                      <w:highlight w:val="none"/>
                      <w:lang w:val="en-US" w:eastAsia="zh-CN"/>
                    </w:rPr>
                    <w:t>污染物浓度范围</w:t>
                  </w:r>
                </w:p>
              </w:tc>
              <w:tc>
                <w:tcPr>
                  <w:tcW w:w="736" w:type="pct"/>
                  <w:tcBorders>
                    <w:tl2br w:val="nil"/>
                    <w:tr2bl w:val="nil"/>
                  </w:tcBorders>
                  <w:shd w:val="clear" w:color="auto" w:fill="auto"/>
                  <w:vAlign w:val="center"/>
                </w:tcPr>
                <w:p w14:paraId="7BEF0518">
                  <w:pPr>
                    <w:pStyle w:val="120"/>
                    <w:bidi w:val="0"/>
                    <w:rPr>
                      <w:color w:val="auto"/>
                      <w:highlight w:val="none"/>
                    </w:rPr>
                  </w:pPr>
                  <w:r>
                    <w:rPr>
                      <w:color w:val="auto"/>
                      <w:highlight w:val="none"/>
                      <w:lang w:val="en-US" w:eastAsia="zh-CN"/>
                    </w:rPr>
                    <w:t>150～300</w:t>
                  </w:r>
                </w:p>
              </w:tc>
              <w:tc>
                <w:tcPr>
                  <w:tcW w:w="663" w:type="pct"/>
                  <w:tcBorders>
                    <w:tl2br w:val="nil"/>
                    <w:tr2bl w:val="nil"/>
                  </w:tcBorders>
                  <w:shd w:val="clear" w:color="auto" w:fill="auto"/>
                  <w:vAlign w:val="center"/>
                </w:tcPr>
                <w:p w14:paraId="58064EC1">
                  <w:pPr>
                    <w:pStyle w:val="120"/>
                    <w:bidi w:val="0"/>
                    <w:rPr>
                      <w:color w:val="auto"/>
                      <w:highlight w:val="none"/>
                    </w:rPr>
                  </w:pPr>
                  <w:r>
                    <w:rPr>
                      <w:color w:val="auto"/>
                      <w:highlight w:val="none"/>
                      <w:lang w:val="en-US" w:eastAsia="zh-CN"/>
                    </w:rPr>
                    <w:t>80～150</w:t>
                  </w:r>
                </w:p>
              </w:tc>
              <w:tc>
                <w:tcPr>
                  <w:tcW w:w="663" w:type="pct"/>
                  <w:tcBorders>
                    <w:tl2br w:val="nil"/>
                    <w:tr2bl w:val="nil"/>
                  </w:tcBorders>
                  <w:shd w:val="clear" w:color="auto" w:fill="auto"/>
                  <w:vAlign w:val="center"/>
                </w:tcPr>
                <w:p w14:paraId="198B3441">
                  <w:pPr>
                    <w:pStyle w:val="120"/>
                    <w:bidi w:val="0"/>
                    <w:rPr>
                      <w:color w:val="auto"/>
                      <w:highlight w:val="none"/>
                    </w:rPr>
                  </w:pPr>
                  <w:r>
                    <w:rPr>
                      <w:color w:val="auto"/>
                      <w:highlight w:val="none"/>
                      <w:lang w:val="en-US" w:eastAsia="zh-CN"/>
                    </w:rPr>
                    <w:t>40～120</w:t>
                  </w:r>
                </w:p>
              </w:tc>
              <w:tc>
                <w:tcPr>
                  <w:tcW w:w="589" w:type="pct"/>
                  <w:tcBorders>
                    <w:tl2br w:val="nil"/>
                    <w:tr2bl w:val="nil"/>
                  </w:tcBorders>
                  <w:shd w:val="clear" w:color="auto" w:fill="auto"/>
                  <w:vAlign w:val="center"/>
                </w:tcPr>
                <w:p w14:paraId="234730DA">
                  <w:pPr>
                    <w:pStyle w:val="120"/>
                    <w:bidi w:val="0"/>
                    <w:rPr>
                      <w:color w:val="auto"/>
                      <w:highlight w:val="none"/>
                    </w:rPr>
                  </w:pPr>
                  <w:r>
                    <w:rPr>
                      <w:color w:val="auto"/>
                      <w:highlight w:val="none"/>
                      <w:lang w:val="en-US" w:eastAsia="zh-CN"/>
                    </w:rPr>
                    <w:t>10～50</w:t>
                  </w:r>
                </w:p>
              </w:tc>
              <w:tc>
                <w:tcPr>
                  <w:tcW w:w="1171" w:type="pct"/>
                  <w:tcBorders>
                    <w:tl2br w:val="nil"/>
                    <w:tr2bl w:val="nil"/>
                  </w:tcBorders>
                  <w:shd w:val="clear" w:color="auto" w:fill="auto"/>
                  <w:vAlign w:val="center"/>
                </w:tcPr>
                <w:p w14:paraId="7488F6F7">
                  <w:pPr>
                    <w:pStyle w:val="120"/>
                    <w:bidi w:val="0"/>
                    <w:rPr>
                      <w:color w:val="auto"/>
                      <w:highlight w:val="none"/>
                    </w:rPr>
                  </w:pPr>
                  <w:r>
                    <w:rPr>
                      <w:color w:val="auto"/>
                      <w:highlight w:val="none"/>
                      <w:lang w:val="en-US" w:eastAsia="zh-CN"/>
                    </w:rPr>
                    <w:t>1.0×10</w:t>
                  </w:r>
                  <w:r>
                    <w:rPr>
                      <w:rFonts w:hint="eastAsia"/>
                      <w:color w:val="auto"/>
                      <w:highlight w:val="none"/>
                      <w:vertAlign w:val="superscript"/>
                      <w:lang w:val="en-US" w:eastAsia="zh-CN"/>
                    </w:rPr>
                    <w:t>6</w:t>
                  </w:r>
                  <w:r>
                    <w:rPr>
                      <w:color w:val="auto"/>
                      <w:highlight w:val="none"/>
                      <w:lang w:val="en-US" w:eastAsia="zh-CN"/>
                    </w:rPr>
                    <w:t>~3.0×10</w:t>
                  </w:r>
                  <w:r>
                    <w:rPr>
                      <w:color w:val="auto"/>
                      <w:highlight w:val="none"/>
                      <w:vertAlign w:val="superscript"/>
                      <w:lang w:val="en-US" w:eastAsia="zh-CN"/>
                    </w:rPr>
                    <w:t>8</w:t>
                  </w:r>
                </w:p>
              </w:tc>
            </w:tr>
            <w:tr w14:paraId="150D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75" w:type="pct"/>
                  <w:tcBorders>
                    <w:tl2br w:val="nil"/>
                    <w:tr2bl w:val="nil"/>
                  </w:tcBorders>
                  <w:shd w:val="clear" w:color="auto" w:fill="auto"/>
                  <w:vAlign w:val="center"/>
                </w:tcPr>
                <w:p w14:paraId="4B76DE36">
                  <w:pPr>
                    <w:pStyle w:val="120"/>
                    <w:bidi w:val="0"/>
                    <w:rPr>
                      <w:color w:val="auto"/>
                      <w:highlight w:val="none"/>
                    </w:rPr>
                  </w:pPr>
                  <w:r>
                    <w:rPr>
                      <w:color w:val="auto"/>
                      <w:highlight w:val="none"/>
                      <w:lang w:val="en-US" w:eastAsia="zh-CN"/>
                    </w:rPr>
                    <w:t>平均值</w:t>
                  </w:r>
                </w:p>
              </w:tc>
              <w:tc>
                <w:tcPr>
                  <w:tcW w:w="736" w:type="pct"/>
                  <w:tcBorders>
                    <w:tl2br w:val="nil"/>
                    <w:tr2bl w:val="nil"/>
                  </w:tcBorders>
                  <w:shd w:val="clear" w:color="auto" w:fill="auto"/>
                  <w:vAlign w:val="center"/>
                </w:tcPr>
                <w:p w14:paraId="38D430BD">
                  <w:pPr>
                    <w:pStyle w:val="120"/>
                    <w:bidi w:val="0"/>
                    <w:rPr>
                      <w:color w:val="auto"/>
                      <w:highlight w:val="none"/>
                    </w:rPr>
                  </w:pPr>
                  <w:r>
                    <w:rPr>
                      <w:color w:val="auto"/>
                      <w:highlight w:val="none"/>
                      <w:lang w:val="en-US" w:eastAsia="zh-CN"/>
                    </w:rPr>
                    <w:t>250</w:t>
                  </w:r>
                </w:p>
              </w:tc>
              <w:tc>
                <w:tcPr>
                  <w:tcW w:w="663" w:type="pct"/>
                  <w:tcBorders>
                    <w:tl2br w:val="nil"/>
                    <w:tr2bl w:val="nil"/>
                  </w:tcBorders>
                  <w:shd w:val="clear" w:color="auto" w:fill="auto"/>
                  <w:vAlign w:val="center"/>
                </w:tcPr>
                <w:p w14:paraId="75925353">
                  <w:pPr>
                    <w:pStyle w:val="120"/>
                    <w:bidi w:val="0"/>
                    <w:rPr>
                      <w:color w:val="auto"/>
                      <w:highlight w:val="none"/>
                    </w:rPr>
                  </w:pPr>
                  <w:r>
                    <w:rPr>
                      <w:color w:val="auto"/>
                      <w:highlight w:val="none"/>
                      <w:lang w:val="en-US" w:eastAsia="zh-CN"/>
                    </w:rPr>
                    <w:t>100</w:t>
                  </w:r>
                </w:p>
              </w:tc>
              <w:tc>
                <w:tcPr>
                  <w:tcW w:w="663" w:type="pct"/>
                  <w:tcBorders>
                    <w:tl2br w:val="nil"/>
                    <w:tr2bl w:val="nil"/>
                  </w:tcBorders>
                  <w:shd w:val="clear" w:color="auto" w:fill="auto"/>
                  <w:vAlign w:val="center"/>
                </w:tcPr>
                <w:p w14:paraId="44F3CB6E">
                  <w:pPr>
                    <w:pStyle w:val="120"/>
                    <w:bidi w:val="0"/>
                    <w:rPr>
                      <w:color w:val="auto"/>
                      <w:highlight w:val="none"/>
                    </w:rPr>
                  </w:pPr>
                  <w:r>
                    <w:rPr>
                      <w:color w:val="auto"/>
                      <w:highlight w:val="none"/>
                      <w:lang w:val="en-US" w:eastAsia="zh-CN"/>
                    </w:rPr>
                    <w:t>80</w:t>
                  </w:r>
                </w:p>
              </w:tc>
              <w:tc>
                <w:tcPr>
                  <w:tcW w:w="589" w:type="pct"/>
                  <w:tcBorders>
                    <w:tl2br w:val="nil"/>
                    <w:tr2bl w:val="nil"/>
                  </w:tcBorders>
                  <w:shd w:val="clear" w:color="auto" w:fill="auto"/>
                  <w:vAlign w:val="center"/>
                </w:tcPr>
                <w:p w14:paraId="5C4B370F">
                  <w:pPr>
                    <w:pStyle w:val="120"/>
                    <w:bidi w:val="0"/>
                    <w:rPr>
                      <w:color w:val="auto"/>
                      <w:highlight w:val="none"/>
                    </w:rPr>
                  </w:pPr>
                  <w:r>
                    <w:rPr>
                      <w:color w:val="auto"/>
                      <w:highlight w:val="none"/>
                      <w:lang w:val="en-US" w:eastAsia="zh-CN"/>
                    </w:rPr>
                    <w:t>30</w:t>
                  </w:r>
                </w:p>
              </w:tc>
              <w:tc>
                <w:tcPr>
                  <w:tcW w:w="1171" w:type="pct"/>
                  <w:tcBorders>
                    <w:tl2br w:val="nil"/>
                    <w:tr2bl w:val="nil"/>
                  </w:tcBorders>
                  <w:shd w:val="clear" w:color="auto" w:fill="auto"/>
                  <w:vAlign w:val="center"/>
                </w:tcPr>
                <w:p w14:paraId="72E044E4">
                  <w:pPr>
                    <w:pStyle w:val="120"/>
                    <w:bidi w:val="0"/>
                    <w:rPr>
                      <w:rFonts w:hint="default"/>
                      <w:color w:val="auto"/>
                      <w:highlight w:val="none"/>
                    </w:rPr>
                  </w:pPr>
                  <w:r>
                    <w:rPr>
                      <w:color w:val="auto"/>
                      <w:highlight w:val="none"/>
                      <w:lang w:val="en-US" w:eastAsia="zh-CN"/>
                    </w:rPr>
                    <w:t>1.6×10</w:t>
                  </w:r>
                  <w:r>
                    <w:rPr>
                      <w:rFonts w:hint="eastAsia"/>
                      <w:color w:val="auto"/>
                      <w:highlight w:val="none"/>
                      <w:vertAlign w:val="superscript"/>
                      <w:lang w:val="en-US" w:eastAsia="zh-CN"/>
                    </w:rPr>
                    <w:t>8</w:t>
                  </w:r>
                </w:p>
              </w:tc>
            </w:tr>
          </w:tbl>
          <w:p w14:paraId="56E0D68D">
            <w:pPr>
              <w:pStyle w:val="11"/>
              <w:keepNext w:val="0"/>
              <w:keepLines w:val="0"/>
              <w:pageBreakBefore w:val="0"/>
              <w:kinsoku/>
              <w:wordWrap/>
              <w:overflowPunct/>
              <w:topLinePunct w:val="0"/>
              <w:autoSpaceDE/>
              <w:autoSpaceDN/>
              <w:bidi w:val="0"/>
              <w:spacing w:before="0" w:after="0" w:line="360" w:lineRule="auto"/>
              <w:ind w:right="0"/>
              <w:jc w:val="both"/>
              <w:textAlignment w:val="auto"/>
              <w:rPr>
                <w:rFonts w:hint="eastAsia" w:eastAsia="宋体"/>
                <w:color w:val="FF0000"/>
                <w:vertAlign w:val="baseline"/>
                <w:lang w:eastAsia="zh-CN"/>
              </w:rPr>
            </w:pPr>
          </w:p>
        </w:tc>
      </w:tr>
    </w:tbl>
    <w:p w14:paraId="5AE833B4">
      <w:pPr>
        <w:pStyle w:val="23"/>
        <w:jc w:val="center"/>
        <w:outlineLvl w:val="0"/>
        <w:rPr>
          <w:rFonts w:hint="default" w:ascii="Times New Roman" w:hAnsi="Times New Roman" w:eastAsia="黑体" w:cs="Times New Roman"/>
          <w:snapToGrid w:val="0"/>
          <w:color w:val="FF0000"/>
          <w:sz w:val="36"/>
          <w:szCs w:val="36"/>
        </w:rPr>
        <w:sectPr>
          <w:pgSz w:w="11907" w:h="16840"/>
          <w:pgMar w:top="1417" w:right="1417" w:bottom="1417" w:left="1417" w:header="851" w:footer="851" w:gutter="0"/>
          <w:pgNumType w:fmt="decimal"/>
          <w:cols w:space="720" w:num="1"/>
          <w:docGrid w:linePitch="312" w:charSpace="0"/>
        </w:sectPr>
      </w:pPr>
      <w:r>
        <w:rPr>
          <w:rFonts w:hint="default" w:ascii="Times New Roman" w:hAnsi="Times New Roman" w:eastAsia="黑体" w:cs="Times New Roman"/>
          <w:snapToGrid w:val="0"/>
          <w:color w:val="FF0000"/>
          <w:sz w:val="36"/>
          <w:szCs w:val="36"/>
        </w:rPr>
        <w:br w:type="page"/>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
        <w:gridCol w:w="13577"/>
      </w:tblGrid>
      <w:tr w14:paraId="60A38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5" w:hRule="atLeast"/>
          <w:jc w:val="center"/>
        </w:trPr>
        <w:tc>
          <w:tcPr>
            <w:tcW w:w="454" w:type="dxa"/>
            <w:vAlign w:val="center"/>
          </w:tcPr>
          <w:p w14:paraId="34F622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color w:val="auto"/>
                <w:kern w:val="0"/>
                <w:sz w:val="28"/>
                <w:szCs w:val="28"/>
                <w:vertAlign w:val="baseline"/>
              </w:rPr>
            </w:pPr>
            <w:r>
              <w:rPr>
                <w:rFonts w:hint="default" w:ascii="Times New Roman" w:hAnsi="Times New Roman" w:cs="Times New Roman"/>
                <w:b/>
                <w:bCs/>
                <w:color w:val="auto"/>
                <w:sz w:val="24"/>
                <w:szCs w:val="32"/>
              </w:rPr>
              <w:t>运营期环境影响和保护措施</w:t>
            </w:r>
          </w:p>
        </w:tc>
        <w:tc>
          <w:tcPr>
            <w:tcW w:w="13577" w:type="dxa"/>
          </w:tcPr>
          <w:p w14:paraId="21B343E6">
            <w:pPr>
              <w:keepNext w:val="0"/>
              <w:keepLines w:val="0"/>
              <w:pageBreakBefore w:val="0"/>
              <w:widowControl w:val="0"/>
              <w:suppressLineNumbers w:val="0"/>
              <w:tabs>
                <w:tab w:val="left" w:pos="3255"/>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kern w:val="2"/>
                <w:sz w:val="24"/>
                <w:szCs w:val="24"/>
                <w:lang w:val="en-US" w:eastAsia="zh-CN"/>
              </w:rPr>
            </w:pPr>
            <w:r>
              <w:rPr>
                <w:rFonts w:hint="eastAsia" w:ascii="Times New Roman" w:hAnsi="Times New Roman" w:eastAsia="宋体" w:cs="Times New Roman"/>
                <w:b/>
                <w:color w:val="auto"/>
                <w:kern w:val="2"/>
                <w:sz w:val="24"/>
                <w:szCs w:val="24"/>
                <w:lang w:val="en-US" w:eastAsia="zh-CN"/>
              </w:rPr>
              <w:t>表4-</w:t>
            </w:r>
            <w:r>
              <w:rPr>
                <w:rFonts w:hint="eastAsia" w:cs="Times New Roman"/>
                <w:b/>
                <w:color w:val="auto"/>
                <w:kern w:val="2"/>
                <w:sz w:val="24"/>
                <w:szCs w:val="24"/>
                <w:lang w:val="en-US" w:eastAsia="zh-CN"/>
              </w:rPr>
              <w:t>9</w:t>
            </w:r>
            <w:r>
              <w:rPr>
                <w:rFonts w:hint="eastAsia" w:ascii="Times New Roman" w:hAnsi="Times New Roman" w:eastAsia="宋体" w:cs="Times New Roman"/>
                <w:b/>
                <w:color w:val="auto"/>
                <w:kern w:val="2"/>
                <w:sz w:val="24"/>
                <w:szCs w:val="24"/>
                <w:lang w:val="en-US" w:eastAsia="zh-CN"/>
              </w:rPr>
              <w:t xml:space="preserve">  本项目废水产生及排放情况一览表</w:t>
            </w:r>
          </w:p>
          <w:tbl>
            <w:tblPr>
              <w:tblStyle w:val="27"/>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600"/>
              <w:gridCol w:w="1095"/>
              <w:gridCol w:w="1050"/>
              <w:gridCol w:w="915"/>
              <w:gridCol w:w="975"/>
              <w:gridCol w:w="885"/>
              <w:gridCol w:w="675"/>
              <w:gridCol w:w="825"/>
              <w:gridCol w:w="900"/>
              <w:gridCol w:w="1035"/>
              <w:gridCol w:w="750"/>
              <w:gridCol w:w="990"/>
              <w:gridCol w:w="898"/>
              <w:gridCol w:w="978"/>
            </w:tblGrid>
            <w:tr w14:paraId="725A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6" w:type="pct"/>
                  <w:vMerge w:val="restart"/>
                  <w:shd w:val="clear" w:color="000000" w:fill="FFFFFF"/>
                  <w:noWrap w:val="0"/>
                  <w:vAlign w:val="center"/>
                </w:tcPr>
                <w:p w14:paraId="6D360FF0">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产污环节</w:t>
                  </w:r>
                </w:p>
              </w:tc>
              <w:tc>
                <w:tcPr>
                  <w:tcW w:w="224" w:type="pct"/>
                  <w:vMerge w:val="restart"/>
                  <w:shd w:val="clear" w:color="000000" w:fill="FFFFFF"/>
                  <w:noWrap w:val="0"/>
                  <w:vAlign w:val="center"/>
                </w:tcPr>
                <w:p w14:paraId="1E7B9F7D">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类别</w:t>
                  </w:r>
                </w:p>
              </w:tc>
              <w:tc>
                <w:tcPr>
                  <w:tcW w:w="410" w:type="pct"/>
                  <w:vMerge w:val="restart"/>
                  <w:shd w:val="clear" w:color="000000" w:fill="FFFFFF"/>
                  <w:noWrap w:val="0"/>
                  <w:vAlign w:val="center"/>
                </w:tcPr>
                <w:p w14:paraId="33DB8DC7">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污染物种类</w:t>
                  </w:r>
                </w:p>
              </w:tc>
              <w:tc>
                <w:tcPr>
                  <w:tcW w:w="1102" w:type="pct"/>
                  <w:gridSpan w:val="3"/>
                  <w:shd w:val="clear" w:color="000000" w:fill="FFFFFF"/>
                  <w:noWrap w:val="0"/>
                  <w:vAlign w:val="center"/>
                </w:tcPr>
                <w:p w14:paraId="08A6E4AF">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污染物产生情况</w:t>
                  </w:r>
                </w:p>
              </w:tc>
              <w:tc>
                <w:tcPr>
                  <w:tcW w:w="1231" w:type="pct"/>
                  <w:gridSpan w:val="4"/>
                  <w:shd w:val="clear" w:color="000000" w:fill="FFFFFF"/>
                  <w:noWrap w:val="0"/>
                  <w:vAlign w:val="center"/>
                </w:tcPr>
                <w:p w14:paraId="711F186F">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主要污染治理设施</w:t>
                  </w:r>
                </w:p>
              </w:tc>
              <w:tc>
                <w:tcPr>
                  <w:tcW w:w="1040" w:type="pct"/>
                  <w:gridSpan w:val="3"/>
                  <w:shd w:val="clear" w:color="000000" w:fill="FFFFFF"/>
                  <w:noWrap w:val="0"/>
                  <w:vAlign w:val="center"/>
                </w:tcPr>
                <w:p w14:paraId="12B37F68">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污染物排放情况</w:t>
                  </w:r>
                </w:p>
              </w:tc>
              <w:tc>
                <w:tcPr>
                  <w:tcW w:w="336" w:type="pct"/>
                  <w:vMerge w:val="restart"/>
                  <w:shd w:val="clear" w:color="000000" w:fill="FFFFFF"/>
                  <w:noWrap w:val="0"/>
                  <w:vAlign w:val="center"/>
                </w:tcPr>
                <w:p w14:paraId="4089C6D8">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排放口编号</w:t>
                  </w:r>
                </w:p>
              </w:tc>
              <w:tc>
                <w:tcPr>
                  <w:tcW w:w="366" w:type="pct"/>
                  <w:shd w:val="clear" w:color="000000" w:fill="FFFFFF"/>
                  <w:noWrap w:val="0"/>
                  <w:vAlign w:val="center"/>
                </w:tcPr>
                <w:p w14:paraId="3F7968EA">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排放标准</w:t>
                  </w:r>
                </w:p>
              </w:tc>
            </w:tr>
            <w:tr w14:paraId="79624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6" w:type="pct"/>
                  <w:vMerge w:val="continue"/>
                  <w:shd w:val="clear" w:color="auto" w:fill="FFFFFF"/>
                  <w:noWrap w:val="0"/>
                  <w:vAlign w:val="center"/>
                </w:tcPr>
                <w:p w14:paraId="43787733">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224" w:type="pct"/>
                  <w:vMerge w:val="continue"/>
                  <w:shd w:val="clear" w:color="auto" w:fill="FFFFFF"/>
                  <w:noWrap w:val="0"/>
                  <w:vAlign w:val="center"/>
                </w:tcPr>
                <w:p w14:paraId="6013EE46">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410" w:type="pct"/>
                  <w:vMerge w:val="continue"/>
                  <w:shd w:val="clear" w:color="auto" w:fill="FFFFFF"/>
                  <w:noWrap w:val="0"/>
                  <w:vAlign w:val="center"/>
                </w:tcPr>
                <w:p w14:paraId="54DC11B5">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93" w:type="pct"/>
                  <w:shd w:val="clear" w:color="000000" w:fill="FFFFFF"/>
                  <w:noWrap w:val="0"/>
                  <w:vAlign w:val="center"/>
                </w:tcPr>
                <w:p w14:paraId="07E08C02">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废水产生量</w:t>
                  </w:r>
                  <w:r>
                    <w:rPr>
                      <w:rFonts w:hint="eastAsia" w:cs="Times New Roman"/>
                      <w:color w:val="auto"/>
                      <w:kern w:val="0"/>
                      <w:sz w:val="21"/>
                      <w:szCs w:val="21"/>
                      <w:lang w:val="en-US" w:eastAsia="zh-CN"/>
                    </w:rPr>
                    <w:t>t</w:t>
                  </w:r>
                  <w:r>
                    <w:rPr>
                      <w:rFonts w:hint="default" w:ascii="Times New Roman" w:hAnsi="Times New Roman" w:cs="Times New Roman"/>
                      <w:color w:val="auto"/>
                      <w:kern w:val="0"/>
                      <w:sz w:val="21"/>
                      <w:szCs w:val="21"/>
                    </w:rPr>
                    <w:t>/a</w:t>
                  </w:r>
                </w:p>
              </w:tc>
              <w:tc>
                <w:tcPr>
                  <w:tcW w:w="343" w:type="pct"/>
                  <w:shd w:val="clear" w:color="000000" w:fill="FFFFFF"/>
                  <w:noWrap w:val="0"/>
                  <w:vAlign w:val="center"/>
                </w:tcPr>
                <w:p w14:paraId="4C4A9F27">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产生浓度mg/L</w:t>
                  </w:r>
                </w:p>
              </w:tc>
              <w:tc>
                <w:tcPr>
                  <w:tcW w:w="365" w:type="pct"/>
                  <w:shd w:val="clear" w:color="000000" w:fill="FFFFFF"/>
                  <w:noWrap w:val="0"/>
                  <w:vAlign w:val="center"/>
                </w:tcPr>
                <w:p w14:paraId="3E560B1D">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产生量t/a</w:t>
                  </w:r>
                </w:p>
              </w:tc>
              <w:tc>
                <w:tcPr>
                  <w:tcW w:w="331" w:type="pct"/>
                  <w:shd w:val="clear" w:color="000000" w:fill="FFFFFF"/>
                  <w:noWrap w:val="0"/>
                  <w:vAlign w:val="center"/>
                </w:tcPr>
                <w:p w14:paraId="3C9BA7C3">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处理工艺</w:t>
                  </w:r>
                </w:p>
              </w:tc>
              <w:tc>
                <w:tcPr>
                  <w:tcW w:w="253" w:type="pct"/>
                  <w:shd w:val="clear" w:color="000000" w:fill="FFFFFF"/>
                  <w:noWrap w:val="0"/>
                  <w:vAlign w:val="center"/>
                </w:tcPr>
                <w:p w14:paraId="3F97F2AB">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处理能力</w:t>
                  </w:r>
                  <w:r>
                    <w:rPr>
                      <w:rFonts w:hint="eastAsia" w:cs="Times New Roman"/>
                      <w:color w:val="auto"/>
                      <w:kern w:val="0"/>
                      <w:sz w:val="21"/>
                      <w:szCs w:val="21"/>
                      <w:lang w:val="en-US" w:eastAsia="zh-CN"/>
                    </w:rPr>
                    <w:t>t</w:t>
                  </w:r>
                  <w:r>
                    <w:rPr>
                      <w:rFonts w:hint="default" w:ascii="Times New Roman" w:hAnsi="Times New Roman" w:cs="Times New Roman"/>
                      <w:color w:val="auto"/>
                      <w:kern w:val="0"/>
                      <w:sz w:val="21"/>
                      <w:szCs w:val="21"/>
                    </w:rPr>
                    <w:t>/d</w:t>
                  </w:r>
                </w:p>
              </w:tc>
              <w:tc>
                <w:tcPr>
                  <w:tcW w:w="309" w:type="pct"/>
                  <w:shd w:val="clear" w:color="000000" w:fill="FFFFFF"/>
                  <w:noWrap w:val="0"/>
                  <w:vAlign w:val="center"/>
                </w:tcPr>
                <w:p w14:paraId="0AA65FB3">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治理效率%</w:t>
                  </w:r>
                </w:p>
              </w:tc>
              <w:tc>
                <w:tcPr>
                  <w:tcW w:w="337" w:type="pct"/>
                  <w:shd w:val="clear" w:color="000000" w:fill="FFFFFF"/>
                  <w:noWrap w:val="0"/>
                  <w:vAlign w:val="center"/>
                </w:tcPr>
                <w:p w14:paraId="5F4771A3">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是否为可行技术</w:t>
                  </w:r>
                </w:p>
              </w:tc>
              <w:tc>
                <w:tcPr>
                  <w:tcW w:w="388" w:type="pct"/>
                  <w:shd w:val="clear" w:color="000000" w:fill="FFFFFF"/>
                  <w:noWrap w:val="0"/>
                  <w:vAlign w:val="center"/>
                </w:tcPr>
                <w:p w14:paraId="5D6B4FA0">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废水排放量</w:t>
                  </w:r>
                  <w:r>
                    <w:rPr>
                      <w:rFonts w:hint="eastAsia" w:cs="Times New Roman"/>
                      <w:color w:val="auto"/>
                      <w:kern w:val="0"/>
                      <w:sz w:val="21"/>
                      <w:szCs w:val="21"/>
                      <w:lang w:val="en-US" w:eastAsia="zh-CN"/>
                    </w:rPr>
                    <w:t>t</w:t>
                  </w:r>
                  <w:r>
                    <w:rPr>
                      <w:rFonts w:hint="default" w:ascii="Times New Roman" w:hAnsi="Times New Roman" w:cs="Times New Roman"/>
                      <w:color w:val="auto"/>
                      <w:kern w:val="0"/>
                      <w:sz w:val="21"/>
                      <w:szCs w:val="21"/>
                    </w:rPr>
                    <w:t>/a</w:t>
                  </w:r>
                </w:p>
              </w:tc>
              <w:tc>
                <w:tcPr>
                  <w:tcW w:w="281" w:type="pct"/>
                  <w:shd w:val="clear" w:color="000000" w:fill="FFFFFF"/>
                  <w:noWrap w:val="0"/>
                  <w:vAlign w:val="center"/>
                </w:tcPr>
                <w:p w14:paraId="07A81FB8">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排放浓度mg/</w:t>
                  </w:r>
                  <w:r>
                    <w:rPr>
                      <w:rFonts w:hint="default" w:ascii="Times New Roman" w:hAnsi="Times New Roman" w:cs="Times New Roman"/>
                      <w:color w:val="auto"/>
                      <w:kern w:val="0"/>
                      <w:sz w:val="21"/>
                      <w:szCs w:val="21"/>
                      <w:lang w:val="en-US" w:eastAsia="zh-CN"/>
                    </w:rPr>
                    <w:t>L</w:t>
                  </w:r>
                </w:p>
              </w:tc>
              <w:tc>
                <w:tcPr>
                  <w:tcW w:w="371" w:type="pct"/>
                  <w:shd w:val="clear" w:color="000000" w:fill="FFFFFF"/>
                  <w:noWrap w:val="0"/>
                  <w:vAlign w:val="center"/>
                </w:tcPr>
                <w:p w14:paraId="4B234CAD">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排放量t/a</w:t>
                  </w:r>
                </w:p>
              </w:tc>
              <w:tc>
                <w:tcPr>
                  <w:tcW w:w="336" w:type="pct"/>
                  <w:vMerge w:val="continue"/>
                  <w:shd w:val="clear" w:color="auto" w:fill="FFFFFF"/>
                  <w:noWrap w:val="0"/>
                  <w:vAlign w:val="center"/>
                </w:tcPr>
                <w:p w14:paraId="3BD98CE3">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66" w:type="pct"/>
                  <w:shd w:val="clear" w:color="000000" w:fill="FFFFFF"/>
                  <w:noWrap w:val="0"/>
                  <w:vAlign w:val="center"/>
                </w:tcPr>
                <w:p w14:paraId="3A9776DF">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浓度限值mg/L</w:t>
                  </w:r>
                </w:p>
              </w:tc>
            </w:tr>
            <w:tr w14:paraId="7D85B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6" w:type="pct"/>
                  <w:vMerge w:val="restart"/>
                  <w:shd w:val="clear" w:color="auto" w:fill="FFFFFF"/>
                  <w:noWrap/>
                  <w:vAlign w:val="center"/>
                </w:tcPr>
                <w:p w14:paraId="5458EFB5">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医院运营</w:t>
                  </w:r>
                </w:p>
              </w:tc>
              <w:tc>
                <w:tcPr>
                  <w:tcW w:w="224" w:type="pct"/>
                  <w:vMerge w:val="restart"/>
                  <w:shd w:val="clear" w:color="auto" w:fill="FFFFFF"/>
                  <w:noWrap/>
                  <w:vAlign w:val="center"/>
                </w:tcPr>
                <w:p w14:paraId="47CDF420">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医院综合废水</w:t>
                  </w:r>
                </w:p>
              </w:tc>
              <w:tc>
                <w:tcPr>
                  <w:tcW w:w="410" w:type="pct"/>
                  <w:shd w:val="clear" w:color="auto" w:fill="FFFFFF"/>
                  <w:noWrap w:val="0"/>
                  <w:vAlign w:val="center"/>
                </w:tcPr>
                <w:p w14:paraId="658FC05C">
                  <w:pPr>
                    <w:pStyle w:val="120"/>
                    <w:bidi w:val="0"/>
                    <w:ind w:firstLine="0" w:firstLineChars="0"/>
                    <w:jc w:val="center"/>
                    <w:rPr>
                      <w:rFonts w:hint="default" w:ascii="Times New Roman" w:hAnsi="Times New Roman" w:cs="Times New Roman"/>
                      <w:color w:val="auto"/>
                      <w:kern w:val="0"/>
                      <w:sz w:val="21"/>
                      <w:szCs w:val="21"/>
                    </w:rPr>
                  </w:pPr>
                  <w:r>
                    <w:rPr>
                      <w:rFonts w:hint="default"/>
                      <w:color w:val="auto"/>
                      <w:highlight w:val="none"/>
                      <w:lang w:val="en-US" w:eastAsia="zh-CN"/>
                    </w:rPr>
                    <w:t>pH</w:t>
                  </w:r>
                </w:p>
              </w:tc>
              <w:tc>
                <w:tcPr>
                  <w:tcW w:w="393" w:type="pct"/>
                  <w:vMerge w:val="restart"/>
                  <w:shd w:val="clear" w:color="auto" w:fill="FFFFFF"/>
                  <w:noWrap w:val="0"/>
                  <w:vAlign w:val="center"/>
                </w:tcPr>
                <w:p w14:paraId="7DED55F6">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54446.43</w:t>
                  </w:r>
                </w:p>
              </w:tc>
              <w:tc>
                <w:tcPr>
                  <w:tcW w:w="343" w:type="pct"/>
                  <w:shd w:val="clear" w:color="auto" w:fill="FFFFFF"/>
                  <w:noWrap w:val="0"/>
                  <w:vAlign w:val="center"/>
                </w:tcPr>
                <w:p w14:paraId="513D6022">
                  <w:pPr>
                    <w:keepNext w:val="0"/>
                    <w:keepLines w:val="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6-9</w:t>
                  </w:r>
                </w:p>
              </w:tc>
              <w:tc>
                <w:tcPr>
                  <w:tcW w:w="365" w:type="pct"/>
                  <w:shd w:val="clear" w:color="auto" w:fill="FFFFFF"/>
                  <w:noWrap/>
                  <w:vAlign w:val="center"/>
                </w:tcPr>
                <w:p w14:paraId="5638E6E0">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331" w:type="pct"/>
                  <w:vMerge w:val="restart"/>
                  <w:shd w:val="clear" w:color="auto" w:fill="FFFFFF"/>
                  <w:noWrap w:val="0"/>
                  <w:vAlign w:val="center"/>
                </w:tcPr>
                <w:p w14:paraId="01008E94">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隔油池+化粪池+格栅井+调节池+</w:t>
                  </w:r>
                  <w:r>
                    <w:rPr>
                      <w:rFonts w:hint="eastAsia" w:ascii="Times New Roman" w:hAnsi="Times New Roman" w:eastAsia="宋体" w:cs="Times New Roman"/>
                      <w:color w:val="auto"/>
                      <w:spacing w:val="0"/>
                      <w:sz w:val="21"/>
                      <w:szCs w:val="21"/>
                      <w:lang w:val="en-US" w:eastAsia="zh-CN" w:bidi="zh-CN"/>
                    </w:rPr>
                    <w:t>水解酸化</w:t>
                  </w:r>
                  <w:r>
                    <w:rPr>
                      <w:rFonts w:hint="default" w:ascii="Times New Roman" w:hAnsi="Times New Roman" w:eastAsia="宋体" w:cs="Times New Roman"/>
                      <w:color w:val="auto"/>
                      <w:spacing w:val="0"/>
                      <w:sz w:val="21"/>
                      <w:szCs w:val="21"/>
                      <w:lang w:val="en-US" w:eastAsia="zh-CN" w:bidi="zh-CN"/>
                    </w:rPr>
                    <w:t>+</w:t>
                  </w:r>
                  <w:r>
                    <w:rPr>
                      <w:rFonts w:hint="eastAsia" w:ascii="Times New Roman" w:hAnsi="Times New Roman" w:eastAsia="宋体" w:cs="Times New Roman"/>
                      <w:color w:val="auto"/>
                      <w:spacing w:val="0"/>
                      <w:sz w:val="21"/>
                      <w:szCs w:val="21"/>
                      <w:lang w:val="en-US" w:eastAsia="zh-CN" w:bidi="zh-CN"/>
                    </w:rPr>
                    <w:t>接触氧化</w:t>
                  </w:r>
                  <w:r>
                    <w:rPr>
                      <w:rFonts w:hint="default" w:ascii="Times New Roman" w:hAnsi="Times New Roman" w:eastAsia="宋体" w:cs="Times New Roman"/>
                      <w:color w:val="auto"/>
                      <w:spacing w:val="0"/>
                      <w:sz w:val="21"/>
                      <w:szCs w:val="21"/>
                      <w:lang w:val="en-US" w:eastAsia="zh-CN" w:bidi="zh-CN"/>
                    </w:rPr>
                    <w:t>+</w:t>
                  </w:r>
                  <w:r>
                    <w:rPr>
                      <w:rFonts w:hint="eastAsia" w:ascii="Times New Roman" w:hAnsi="Times New Roman" w:eastAsia="宋体" w:cs="Times New Roman"/>
                      <w:color w:val="auto"/>
                      <w:spacing w:val="0"/>
                      <w:sz w:val="21"/>
                      <w:szCs w:val="21"/>
                      <w:lang w:val="en-US" w:eastAsia="zh-CN" w:bidi="zh-CN"/>
                    </w:rPr>
                    <w:t>消毒</w:t>
                  </w:r>
                </w:p>
              </w:tc>
              <w:tc>
                <w:tcPr>
                  <w:tcW w:w="253" w:type="pct"/>
                  <w:vMerge w:val="restart"/>
                  <w:shd w:val="clear" w:color="auto" w:fill="FFFFFF"/>
                  <w:noWrap/>
                  <w:vAlign w:val="center"/>
                </w:tcPr>
                <w:p w14:paraId="6B374546">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300</w:t>
                  </w:r>
                </w:p>
              </w:tc>
              <w:tc>
                <w:tcPr>
                  <w:tcW w:w="309" w:type="pct"/>
                  <w:shd w:val="clear" w:color="auto" w:fill="FFFFFF"/>
                  <w:noWrap/>
                  <w:vAlign w:val="center"/>
                </w:tcPr>
                <w:p w14:paraId="4FFE07AA">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21"/>
                      <w:lang w:eastAsia="zh-CN"/>
                    </w:rPr>
                  </w:pPr>
                  <w:r>
                    <w:rPr>
                      <w:rFonts w:hint="eastAsia" w:ascii="Times New Roman" w:hAnsi="Times New Roman" w:cs="Times New Roman"/>
                      <w:color w:val="auto"/>
                      <w:kern w:val="0"/>
                      <w:sz w:val="21"/>
                      <w:szCs w:val="21"/>
                      <w:lang w:val="en-US" w:eastAsia="zh-CN"/>
                    </w:rPr>
                    <w:t>/</w:t>
                  </w:r>
                </w:p>
              </w:tc>
              <w:tc>
                <w:tcPr>
                  <w:tcW w:w="337" w:type="pct"/>
                  <w:vMerge w:val="restart"/>
                  <w:shd w:val="clear" w:color="auto" w:fill="FFFFFF"/>
                  <w:noWrap/>
                  <w:vAlign w:val="center"/>
                </w:tcPr>
                <w:p w14:paraId="49A427AB">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是</w:t>
                  </w:r>
                </w:p>
              </w:tc>
              <w:tc>
                <w:tcPr>
                  <w:tcW w:w="388" w:type="pct"/>
                  <w:vMerge w:val="restart"/>
                  <w:shd w:val="clear" w:color="auto" w:fill="FFFFFF"/>
                  <w:noWrap/>
                  <w:vAlign w:val="center"/>
                </w:tcPr>
                <w:p w14:paraId="0113731F">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54446.43</w:t>
                  </w:r>
                </w:p>
              </w:tc>
              <w:tc>
                <w:tcPr>
                  <w:tcW w:w="281" w:type="pct"/>
                  <w:shd w:val="clear" w:color="auto" w:fill="FFFFFF"/>
                  <w:noWrap/>
                  <w:vAlign w:val="center"/>
                </w:tcPr>
                <w:p w14:paraId="4A4CB764">
                  <w:pPr>
                    <w:keepNext w:val="0"/>
                    <w:keepLines w:val="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sz w:val="21"/>
                      <w:szCs w:val="21"/>
                      <w:lang w:val="en-US"/>
                    </w:rPr>
                  </w:pPr>
                  <w:r>
                    <w:rPr>
                      <w:rFonts w:hint="eastAsia" w:cs="Times New Roman"/>
                      <w:color w:val="auto"/>
                      <w:sz w:val="21"/>
                      <w:szCs w:val="21"/>
                      <w:lang w:val="en-US" w:eastAsia="zh-CN"/>
                    </w:rPr>
                    <w:t>6-9</w:t>
                  </w:r>
                </w:p>
              </w:tc>
              <w:tc>
                <w:tcPr>
                  <w:tcW w:w="371" w:type="pct"/>
                  <w:shd w:val="clear" w:color="auto" w:fill="FFFFFF"/>
                  <w:noWrap/>
                  <w:vAlign w:val="center"/>
                </w:tcPr>
                <w:p w14:paraId="221B032C">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336" w:type="pct"/>
                  <w:vMerge w:val="restart"/>
                  <w:shd w:val="clear" w:color="auto" w:fill="FFFFFF"/>
                  <w:noWrap/>
                  <w:vAlign w:val="center"/>
                </w:tcPr>
                <w:p w14:paraId="507668A2">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DW001</w:t>
                  </w:r>
                </w:p>
              </w:tc>
              <w:tc>
                <w:tcPr>
                  <w:tcW w:w="366" w:type="pct"/>
                  <w:shd w:val="clear" w:color="auto" w:fill="FFFFFF"/>
                  <w:noWrap/>
                  <w:vAlign w:val="center"/>
                </w:tcPr>
                <w:p w14:paraId="3D1FDE49">
                  <w:pPr>
                    <w:pStyle w:val="95"/>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lang w:val="en-US"/>
                    </w:rPr>
                  </w:pPr>
                  <w:r>
                    <w:rPr>
                      <w:rFonts w:hint="eastAsia"/>
                      <w:color w:val="auto"/>
                      <w:sz w:val="21"/>
                      <w:szCs w:val="21"/>
                      <w:highlight w:val="none"/>
                      <w:lang w:val="en-US" w:eastAsia="zh-CN"/>
                    </w:rPr>
                    <w:t>6-9</w:t>
                  </w:r>
                </w:p>
              </w:tc>
            </w:tr>
            <w:tr w14:paraId="05337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6" w:type="pct"/>
                  <w:vMerge w:val="continue"/>
                  <w:shd w:val="clear" w:color="auto" w:fill="FFFFFF"/>
                  <w:noWrap/>
                  <w:vAlign w:val="center"/>
                </w:tcPr>
                <w:p w14:paraId="57B07F98">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ascii="Times New Roman" w:hAnsi="Times New Roman" w:cs="Times New Roman"/>
                      <w:color w:val="auto"/>
                      <w:kern w:val="0"/>
                      <w:sz w:val="21"/>
                      <w:szCs w:val="21"/>
                      <w:lang w:val="en-US" w:eastAsia="zh-CN"/>
                    </w:rPr>
                  </w:pPr>
                </w:p>
              </w:tc>
              <w:tc>
                <w:tcPr>
                  <w:tcW w:w="224" w:type="pct"/>
                  <w:vMerge w:val="continue"/>
                  <w:shd w:val="clear" w:color="auto" w:fill="FFFFFF"/>
                  <w:noWrap/>
                  <w:vAlign w:val="center"/>
                </w:tcPr>
                <w:p w14:paraId="78366CE3">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ascii="Times New Roman" w:hAnsi="Times New Roman" w:cs="Times New Roman"/>
                      <w:color w:val="auto"/>
                      <w:kern w:val="0"/>
                      <w:sz w:val="21"/>
                      <w:szCs w:val="21"/>
                      <w:lang w:val="en-US" w:eastAsia="zh-CN"/>
                    </w:rPr>
                  </w:pPr>
                </w:p>
              </w:tc>
              <w:tc>
                <w:tcPr>
                  <w:tcW w:w="410" w:type="pct"/>
                  <w:shd w:val="clear" w:color="auto" w:fill="FFFFFF"/>
                  <w:noWrap w:val="0"/>
                  <w:vAlign w:val="center"/>
                </w:tcPr>
                <w:p w14:paraId="1BC61A70">
                  <w:pPr>
                    <w:pStyle w:val="120"/>
                    <w:bidi w:val="0"/>
                    <w:ind w:firstLine="0" w:firstLineChars="0"/>
                    <w:jc w:val="center"/>
                    <w:rPr>
                      <w:rFonts w:hint="default" w:ascii="Times New Roman" w:hAnsi="Times New Roman" w:cs="Times New Roman"/>
                      <w:color w:val="auto"/>
                      <w:kern w:val="0"/>
                      <w:sz w:val="21"/>
                      <w:szCs w:val="21"/>
                    </w:rPr>
                  </w:pPr>
                  <w:r>
                    <w:rPr>
                      <w:rFonts w:hint="default"/>
                      <w:color w:val="auto"/>
                      <w:highlight w:val="none"/>
                      <w:lang w:val="en-US" w:eastAsia="zh-CN"/>
                    </w:rPr>
                    <w:t>COD</w:t>
                  </w:r>
                </w:p>
              </w:tc>
              <w:tc>
                <w:tcPr>
                  <w:tcW w:w="393" w:type="pct"/>
                  <w:vMerge w:val="continue"/>
                  <w:shd w:val="clear" w:color="auto" w:fill="FFFFFF"/>
                  <w:noWrap w:val="0"/>
                  <w:vAlign w:val="center"/>
                </w:tcPr>
                <w:p w14:paraId="202DA747">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cs="Times New Roman"/>
                      <w:color w:val="auto"/>
                      <w:kern w:val="0"/>
                      <w:sz w:val="21"/>
                      <w:szCs w:val="21"/>
                      <w:lang w:val="en-US" w:eastAsia="zh-CN"/>
                    </w:rPr>
                  </w:pPr>
                </w:p>
              </w:tc>
              <w:tc>
                <w:tcPr>
                  <w:tcW w:w="343" w:type="pct"/>
                  <w:shd w:val="clear" w:color="auto" w:fill="FFFFFF"/>
                  <w:noWrap w:val="0"/>
                  <w:vAlign w:val="center"/>
                </w:tcPr>
                <w:p w14:paraId="51647860">
                  <w:pPr>
                    <w:pStyle w:val="12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highlight w:val="none"/>
                      <w:lang w:val="en-US" w:eastAsia="zh-CN" w:bidi="ar-SA"/>
                    </w:rPr>
                    <w:t>250</w:t>
                  </w:r>
                </w:p>
              </w:tc>
              <w:tc>
                <w:tcPr>
                  <w:tcW w:w="365" w:type="pct"/>
                  <w:shd w:val="clear" w:color="auto" w:fill="FFFFFF"/>
                  <w:noWrap/>
                  <w:vAlign w:val="center"/>
                </w:tcPr>
                <w:p w14:paraId="52E81D9F">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13.612</w:t>
                  </w:r>
                </w:p>
              </w:tc>
              <w:tc>
                <w:tcPr>
                  <w:tcW w:w="331" w:type="pct"/>
                  <w:vMerge w:val="continue"/>
                  <w:shd w:val="clear" w:color="auto" w:fill="FFFFFF"/>
                  <w:noWrap w:val="0"/>
                  <w:vAlign w:val="center"/>
                </w:tcPr>
                <w:p w14:paraId="76C00A93">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253" w:type="pct"/>
                  <w:vMerge w:val="continue"/>
                  <w:shd w:val="clear" w:color="auto" w:fill="FFFFFF"/>
                  <w:noWrap/>
                  <w:vAlign w:val="center"/>
                </w:tcPr>
                <w:p w14:paraId="72175855">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cs="Times New Roman"/>
                      <w:color w:val="auto"/>
                      <w:kern w:val="0"/>
                      <w:sz w:val="21"/>
                      <w:szCs w:val="21"/>
                      <w:lang w:val="en-US" w:eastAsia="zh-CN"/>
                    </w:rPr>
                  </w:pPr>
                </w:p>
              </w:tc>
              <w:tc>
                <w:tcPr>
                  <w:tcW w:w="309" w:type="pct"/>
                  <w:shd w:val="clear" w:color="auto" w:fill="FFFFFF"/>
                  <w:noWrap/>
                  <w:vAlign w:val="center"/>
                </w:tcPr>
                <w:p w14:paraId="191EA6E2">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80</w:t>
                  </w:r>
                </w:p>
              </w:tc>
              <w:tc>
                <w:tcPr>
                  <w:tcW w:w="337" w:type="pct"/>
                  <w:vMerge w:val="continue"/>
                  <w:shd w:val="clear" w:color="auto" w:fill="FFFFFF"/>
                  <w:noWrap/>
                  <w:vAlign w:val="center"/>
                </w:tcPr>
                <w:p w14:paraId="08730719">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88" w:type="pct"/>
                  <w:vMerge w:val="continue"/>
                  <w:shd w:val="clear" w:color="auto" w:fill="FFFFFF"/>
                  <w:noWrap/>
                  <w:vAlign w:val="center"/>
                </w:tcPr>
                <w:p w14:paraId="6798DE8E">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cs="Times New Roman"/>
                      <w:color w:val="auto"/>
                      <w:kern w:val="0"/>
                      <w:sz w:val="21"/>
                      <w:szCs w:val="21"/>
                      <w:lang w:val="en-US" w:eastAsia="zh-CN"/>
                    </w:rPr>
                  </w:pPr>
                </w:p>
              </w:tc>
              <w:tc>
                <w:tcPr>
                  <w:tcW w:w="281" w:type="pct"/>
                  <w:shd w:val="clear" w:color="auto" w:fill="FFFFFF"/>
                  <w:noWrap/>
                  <w:vAlign w:val="center"/>
                </w:tcPr>
                <w:p w14:paraId="624817ED">
                  <w:pPr>
                    <w:keepNext w:val="0"/>
                    <w:keepLines w:val="0"/>
                    <w:pageBreakBefore w:val="0"/>
                    <w:kinsoku/>
                    <w:wordWrap/>
                    <w:overflowPunct/>
                    <w:topLinePunct w:val="0"/>
                    <w:autoSpaceDE/>
                    <w:autoSpaceDN/>
                    <w:bidi w:val="0"/>
                    <w:spacing w:line="240" w:lineRule="auto"/>
                    <w:ind w:firstLine="0" w:firstLineChars="0"/>
                    <w:jc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50</w:t>
                  </w:r>
                </w:p>
              </w:tc>
              <w:tc>
                <w:tcPr>
                  <w:tcW w:w="371" w:type="pct"/>
                  <w:shd w:val="clear" w:color="auto" w:fill="FFFFFF"/>
                  <w:noWrap/>
                  <w:vAlign w:val="center"/>
                </w:tcPr>
                <w:p w14:paraId="085603D1">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2.722</w:t>
                  </w:r>
                </w:p>
              </w:tc>
              <w:tc>
                <w:tcPr>
                  <w:tcW w:w="336" w:type="pct"/>
                  <w:vMerge w:val="continue"/>
                  <w:shd w:val="clear" w:color="auto" w:fill="FFFFFF"/>
                  <w:noWrap/>
                  <w:vAlign w:val="center"/>
                </w:tcPr>
                <w:p w14:paraId="0CE72272">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lang w:val="en-US" w:eastAsia="zh-CN"/>
                    </w:rPr>
                  </w:pPr>
                </w:p>
              </w:tc>
              <w:tc>
                <w:tcPr>
                  <w:tcW w:w="366" w:type="pct"/>
                  <w:shd w:val="clear" w:color="auto" w:fill="FFFFFF"/>
                  <w:noWrap/>
                  <w:vAlign w:val="center"/>
                </w:tcPr>
                <w:p w14:paraId="2C5A7895">
                  <w:pPr>
                    <w:pStyle w:val="95"/>
                    <w:keepNext w:val="0"/>
                    <w:keepLines w:val="0"/>
                    <w:pageBreakBefore w:val="0"/>
                    <w:kinsoku/>
                    <w:wordWrap/>
                    <w:overflowPunct/>
                    <w:topLinePunct w:val="0"/>
                    <w:autoSpaceDE/>
                    <w:autoSpaceDN/>
                    <w:bidi w:val="0"/>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250</w:t>
                  </w:r>
                </w:p>
              </w:tc>
            </w:tr>
            <w:tr w14:paraId="55DB7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6" w:type="pct"/>
                  <w:vMerge w:val="continue"/>
                  <w:shd w:val="clear" w:color="auto" w:fill="FFFFFF"/>
                  <w:noWrap/>
                  <w:vAlign w:val="center"/>
                </w:tcPr>
                <w:p w14:paraId="287EADFE">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ascii="Times New Roman" w:hAnsi="Times New Roman" w:cs="Times New Roman"/>
                      <w:color w:val="auto"/>
                      <w:kern w:val="0"/>
                      <w:sz w:val="21"/>
                      <w:szCs w:val="21"/>
                      <w:lang w:val="en-US" w:eastAsia="zh-CN"/>
                    </w:rPr>
                  </w:pPr>
                </w:p>
              </w:tc>
              <w:tc>
                <w:tcPr>
                  <w:tcW w:w="224" w:type="pct"/>
                  <w:vMerge w:val="continue"/>
                  <w:shd w:val="clear" w:color="auto" w:fill="FFFFFF"/>
                  <w:noWrap/>
                  <w:vAlign w:val="center"/>
                </w:tcPr>
                <w:p w14:paraId="239EBBB8">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ascii="Times New Roman" w:hAnsi="Times New Roman" w:cs="Times New Roman"/>
                      <w:color w:val="auto"/>
                      <w:kern w:val="0"/>
                      <w:sz w:val="21"/>
                      <w:szCs w:val="21"/>
                      <w:lang w:val="en-US" w:eastAsia="zh-CN"/>
                    </w:rPr>
                  </w:pPr>
                </w:p>
              </w:tc>
              <w:tc>
                <w:tcPr>
                  <w:tcW w:w="410" w:type="pct"/>
                  <w:shd w:val="clear" w:color="auto" w:fill="FFFFFF"/>
                  <w:noWrap w:val="0"/>
                  <w:vAlign w:val="center"/>
                </w:tcPr>
                <w:p w14:paraId="2FF09669">
                  <w:pPr>
                    <w:pStyle w:val="120"/>
                    <w:bidi w:val="0"/>
                    <w:ind w:firstLine="0" w:firstLineChars="0"/>
                    <w:jc w:val="center"/>
                    <w:rPr>
                      <w:rFonts w:hint="default" w:ascii="Times New Roman" w:hAnsi="Times New Roman" w:cs="Times New Roman"/>
                      <w:color w:val="auto"/>
                      <w:kern w:val="0"/>
                      <w:sz w:val="21"/>
                      <w:szCs w:val="21"/>
                    </w:rPr>
                  </w:pPr>
                  <w:r>
                    <w:rPr>
                      <w:rFonts w:hint="default"/>
                      <w:color w:val="auto"/>
                      <w:highlight w:val="none"/>
                      <w:lang w:val="en-US" w:eastAsia="zh-CN"/>
                    </w:rPr>
                    <w:t>BOD</w:t>
                  </w:r>
                  <w:r>
                    <w:rPr>
                      <w:rFonts w:hint="default"/>
                      <w:color w:val="auto"/>
                      <w:highlight w:val="none"/>
                      <w:vertAlign w:val="subscript"/>
                      <w:lang w:val="en-US" w:eastAsia="zh-CN"/>
                    </w:rPr>
                    <w:t>5</w:t>
                  </w:r>
                </w:p>
              </w:tc>
              <w:tc>
                <w:tcPr>
                  <w:tcW w:w="393" w:type="pct"/>
                  <w:vMerge w:val="continue"/>
                  <w:shd w:val="clear" w:color="auto" w:fill="FFFFFF"/>
                  <w:noWrap w:val="0"/>
                  <w:vAlign w:val="center"/>
                </w:tcPr>
                <w:p w14:paraId="5C2479BF">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cs="Times New Roman"/>
                      <w:color w:val="auto"/>
                      <w:kern w:val="0"/>
                      <w:sz w:val="21"/>
                      <w:szCs w:val="21"/>
                      <w:lang w:val="en-US" w:eastAsia="zh-CN"/>
                    </w:rPr>
                  </w:pPr>
                </w:p>
              </w:tc>
              <w:tc>
                <w:tcPr>
                  <w:tcW w:w="343" w:type="pct"/>
                  <w:shd w:val="clear" w:color="auto" w:fill="FFFFFF"/>
                  <w:noWrap w:val="0"/>
                  <w:vAlign w:val="center"/>
                </w:tcPr>
                <w:p w14:paraId="5C6041CA">
                  <w:pPr>
                    <w:pStyle w:val="12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highlight w:val="none"/>
                      <w:lang w:val="en-US" w:eastAsia="zh-CN" w:bidi="ar-SA"/>
                    </w:rPr>
                    <w:t>100</w:t>
                  </w:r>
                </w:p>
              </w:tc>
              <w:tc>
                <w:tcPr>
                  <w:tcW w:w="365" w:type="pct"/>
                  <w:shd w:val="clear" w:color="auto" w:fill="FFFFFF"/>
                  <w:noWrap/>
                  <w:vAlign w:val="center"/>
                </w:tcPr>
                <w:p w14:paraId="272A3D2A">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5.445</w:t>
                  </w:r>
                </w:p>
              </w:tc>
              <w:tc>
                <w:tcPr>
                  <w:tcW w:w="331" w:type="pct"/>
                  <w:vMerge w:val="continue"/>
                  <w:shd w:val="clear" w:color="auto" w:fill="FFFFFF"/>
                  <w:noWrap w:val="0"/>
                  <w:vAlign w:val="center"/>
                </w:tcPr>
                <w:p w14:paraId="48AF259A">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253" w:type="pct"/>
                  <w:vMerge w:val="continue"/>
                  <w:shd w:val="clear" w:color="auto" w:fill="FFFFFF"/>
                  <w:noWrap/>
                  <w:vAlign w:val="center"/>
                </w:tcPr>
                <w:p w14:paraId="025F323A">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cs="Times New Roman"/>
                      <w:color w:val="auto"/>
                      <w:kern w:val="0"/>
                      <w:sz w:val="21"/>
                      <w:szCs w:val="21"/>
                      <w:lang w:val="en-US" w:eastAsia="zh-CN"/>
                    </w:rPr>
                  </w:pPr>
                </w:p>
              </w:tc>
              <w:tc>
                <w:tcPr>
                  <w:tcW w:w="309" w:type="pct"/>
                  <w:shd w:val="clear" w:color="auto" w:fill="FFFFFF"/>
                  <w:noWrap/>
                  <w:vAlign w:val="center"/>
                </w:tcPr>
                <w:p w14:paraId="0E9B624C">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30</w:t>
                  </w:r>
                </w:p>
              </w:tc>
              <w:tc>
                <w:tcPr>
                  <w:tcW w:w="337" w:type="pct"/>
                  <w:vMerge w:val="continue"/>
                  <w:shd w:val="clear" w:color="auto" w:fill="FFFFFF"/>
                  <w:noWrap/>
                  <w:vAlign w:val="center"/>
                </w:tcPr>
                <w:p w14:paraId="2788BACE">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88" w:type="pct"/>
                  <w:vMerge w:val="continue"/>
                  <w:shd w:val="clear" w:color="auto" w:fill="FFFFFF"/>
                  <w:noWrap/>
                  <w:vAlign w:val="center"/>
                </w:tcPr>
                <w:p w14:paraId="405FCA17">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cs="Times New Roman"/>
                      <w:color w:val="auto"/>
                      <w:kern w:val="0"/>
                      <w:sz w:val="21"/>
                      <w:szCs w:val="21"/>
                      <w:lang w:val="en-US" w:eastAsia="zh-CN"/>
                    </w:rPr>
                  </w:pPr>
                </w:p>
              </w:tc>
              <w:tc>
                <w:tcPr>
                  <w:tcW w:w="281" w:type="pct"/>
                  <w:shd w:val="clear" w:color="auto" w:fill="FFFFFF"/>
                  <w:noWrap/>
                  <w:vAlign w:val="center"/>
                </w:tcPr>
                <w:p w14:paraId="6C8FF1FE">
                  <w:pPr>
                    <w:keepNext w:val="0"/>
                    <w:keepLines w:val="0"/>
                    <w:pageBreakBefore w:val="0"/>
                    <w:kinsoku/>
                    <w:wordWrap/>
                    <w:overflowPunct/>
                    <w:topLinePunct w:val="0"/>
                    <w:autoSpaceDE/>
                    <w:autoSpaceDN/>
                    <w:bidi w:val="0"/>
                    <w:spacing w:line="240" w:lineRule="auto"/>
                    <w:ind w:firstLine="0" w:firstLineChars="0"/>
                    <w:jc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70</w:t>
                  </w:r>
                </w:p>
              </w:tc>
              <w:tc>
                <w:tcPr>
                  <w:tcW w:w="371" w:type="pct"/>
                  <w:shd w:val="clear" w:color="auto" w:fill="FFFFFF"/>
                  <w:noWrap/>
                  <w:vAlign w:val="center"/>
                </w:tcPr>
                <w:p w14:paraId="53048C2F">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3.812</w:t>
                  </w:r>
                </w:p>
              </w:tc>
              <w:tc>
                <w:tcPr>
                  <w:tcW w:w="336" w:type="pct"/>
                  <w:vMerge w:val="continue"/>
                  <w:shd w:val="clear" w:color="auto" w:fill="FFFFFF"/>
                  <w:noWrap/>
                  <w:vAlign w:val="center"/>
                </w:tcPr>
                <w:p w14:paraId="15FB586D">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lang w:val="en-US" w:eastAsia="zh-CN"/>
                    </w:rPr>
                  </w:pPr>
                </w:p>
              </w:tc>
              <w:tc>
                <w:tcPr>
                  <w:tcW w:w="366" w:type="pct"/>
                  <w:shd w:val="clear" w:color="auto" w:fill="FFFFFF"/>
                  <w:noWrap/>
                  <w:vAlign w:val="center"/>
                </w:tcPr>
                <w:p w14:paraId="65B2B899">
                  <w:pPr>
                    <w:pStyle w:val="95"/>
                    <w:keepNext w:val="0"/>
                    <w:keepLines w:val="0"/>
                    <w:pageBreakBefore w:val="0"/>
                    <w:kinsoku/>
                    <w:wordWrap/>
                    <w:overflowPunct/>
                    <w:topLinePunct w:val="0"/>
                    <w:autoSpaceDE/>
                    <w:autoSpaceDN/>
                    <w:bidi w:val="0"/>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100</w:t>
                  </w:r>
                </w:p>
              </w:tc>
            </w:tr>
            <w:tr w14:paraId="4952F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6" w:type="pct"/>
                  <w:vMerge w:val="continue"/>
                  <w:shd w:val="clear" w:color="auto" w:fill="FFFFFF"/>
                  <w:noWrap/>
                  <w:vAlign w:val="center"/>
                </w:tcPr>
                <w:p w14:paraId="670EADFE">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ascii="Times New Roman" w:hAnsi="Times New Roman" w:cs="Times New Roman"/>
                      <w:color w:val="auto"/>
                      <w:kern w:val="0"/>
                      <w:sz w:val="21"/>
                      <w:szCs w:val="21"/>
                      <w:lang w:val="en-US" w:eastAsia="zh-CN"/>
                    </w:rPr>
                  </w:pPr>
                </w:p>
              </w:tc>
              <w:tc>
                <w:tcPr>
                  <w:tcW w:w="224" w:type="pct"/>
                  <w:vMerge w:val="continue"/>
                  <w:shd w:val="clear" w:color="auto" w:fill="FFFFFF"/>
                  <w:noWrap/>
                  <w:vAlign w:val="center"/>
                </w:tcPr>
                <w:p w14:paraId="6DDC3712">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ascii="Times New Roman" w:hAnsi="Times New Roman" w:cs="Times New Roman"/>
                      <w:color w:val="auto"/>
                      <w:kern w:val="0"/>
                      <w:sz w:val="21"/>
                      <w:szCs w:val="21"/>
                      <w:lang w:val="en-US" w:eastAsia="zh-CN"/>
                    </w:rPr>
                  </w:pPr>
                </w:p>
              </w:tc>
              <w:tc>
                <w:tcPr>
                  <w:tcW w:w="410" w:type="pct"/>
                  <w:shd w:val="clear" w:color="auto" w:fill="FFFFFF"/>
                  <w:noWrap w:val="0"/>
                  <w:vAlign w:val="center"/>
                </w:tcPr>
                <w:p w14:paraId="57274A09">
                  <w:pPr>
                    <w:pStyle w:val="120"/>
                    <w:bidi w:val="0"/>
                    <w:ind w:firstLine="0" w:firstLineChars="0"/>
                    <w:jc w:val="center"/>
                    <w:rPr>
                      <w:rFonts w:hint="default" w:ascii="Times New Roman" w:hAnsi="Times New Roman" w:cs="Times New Roman"/>
                      <w:color w:val="auto"/>
                      <w:kern w:val="0"/>
                      <w:sz w:val="21"/>
                      <w:szCs w:val="21"/>
                    </w:rPr>
                  </w:pPr>
                  <w:r>
                    <w:rPr>
                      <w:rFonts w:hint="default"/>
                      <w:color w:val="auto"/>
                      <w:highlight w:val="none"/>
                      <w:lang w:val="en-US" w:eastAsia="zh-CN"/>
                    </w:rPr>
                    <w:t>SS</w:t>
                  </w:r>
                </w:p>
              </w:tc>
              <w:tc>
                <w:tcPr>
                  <w:tcW w:w="393" w:type="pct"/>
                  <w:vMerge w:val="continue"/>
                  <w:shd w:val="clear" w:color="auto" w:fill="FFFFFF"/>
                  <w:noWrap w:val="0"/>
                  <w:vAlign w:val="center"/>
                </w:tcPr>
                <w:p w14:paraId="18DF77E1">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cs="Times New Roman"/>
                      <w:color w:val="auto"/>
                      <w:kern w:val="0"/>
                      <w:sz w:val="21"/>
                      <w:szCs w:val="21"/>
                      <w:lang w:val="en-US" w:eastAsia="zh-CN"/>
                    </w:rPr>
                  </w:pPr>
                </w:p>
              </w:tc>
              <w:tc>
                <w:tcPr>
                  <w:tcW w:w="343" w:type="pct"/>
                  <w:shd w:val="clear" w:color="auto" w:fill="FFFFFF"/>
                  <w:noWrap w:val="0"/>
                  <w:vAlign w:val="center"/>
                </w:tcPr>
                <w:p w14:paraId="23C51B97">
                  <w:pPr>
                    <w:pStyle w:val="12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highlight w:val="none"/>
                      <w:lang w:val="en-US" w:eastAsia="zh-CN" w:bidi="ar-SA"/>
                    </w:rPr>
                    <w:t>80</w:t>
                  </w:r>
                </w:p>
              </w:tc>
              <w:tc>
                <w:tcPr>
                  <w:tcW w:w="365" w:type="pct"/>
                  <w:shd w:val="clear" w:color="auto" w:fill="FFFFFF"/>
                  <w:noWrap/>
                  <w:vAlign w:val="center"/>
                </w:tcPr>
                <w:p w14:paraId="4115F4EE">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4.356</w:t>
                  </w:r>
                </w:p>
              </w:tc>
              <w:tc>
                <w:tcPr>
                  <w:tcW w:w="331" w:type="pct"/>
                  <w:vMerge w:val="continue"/>
                  <w:shd w:val="clear" w:color="auto" w:fill="FFFFFF"/>
                  <w:noWrap w:val="0"/>
                  <w:vAlign w:val="center"/>
                </w:tcPr>
                <w:p w14:paraId="58A76C1F">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253" w:type="pct"/>
                  <w:vMerge w:val="continue"/>
                  <w:shd w:val="clear" w:color="auto" w:fill="FFFFFF"/>
                  <w:noWrap/>
                  <w:vAlign w:val="center"/>
                </w:tcPr>
                <w:p w14:paraId="718FF6AC">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cs="Times New Roman"/>
                      <w:color w:val="auto"/>
                      <w:kern w:val="0"/>
                      <w:sz w:val="21"/>
                      <w:szCs w:val="21"/>
                      <w:lang w:val="en-US" w:eastAsia="zh-CN"/>
                    </w:rPr>
                  </w:pPr>
                </w:p>
              </w:tc>
              <w:tc>
                <w:tcPr>
                  <w:tcW w:w="309" w:type="pct"/>
                  <w:shd w:val="clear" w:color="auto" w:fill="FFFFFF"/>
                  <w:noWrap/>
                  <w:vAlign w:val="center"/>
                </w:tcPr>
                <w:p w14:paraId="24225629">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50</w:t>
                  </w:r>
                </w:p>
              </w:tc>
              <w:tc>
                <w:tcPr>
                  <w:tcW w:w="337" w:type="pct"/>
                  <w:vMerge w:val="continue"/>
                  <w:shd w:val="clear" w:color="auto" w:fill="FFFFFF"/>
                  <w:noWrap/>
                  <w:vAlign w:val="center"/>
                </w:tcPr>
                <w:p w14:paraId="7071BF1A">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88" w:type="pct"/>
                  <w:vMerge w:val="continue"/>
                  <w:shd w:val="clear" w:color="auto" w:fill="FFFFFF"/>
                  <w:noWrap/>
                  <w:vAlign w:val="center"/>
                </w:tcPr>
                <w:p w14:paraId="2BC5B6EB">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cs="Times New Roman"/>
                      <w:color w:val="auto"/>
                      <w:kern w:val="0"/>
                      <w:sz w:val="21"/>
                      <w:szCs w:val="21"/>
                      <w:lang w:val="en-US" w:eastAsia="zh-CN"/>
                    </w:rPr>
                  </w:pPr>
                </w:p>
              </w:tc>
              <w:tc>
                <w:tcPr>
                  <w:tcW w:w="281" w:type="pct"/>
                  <w:shd w:val="clear" w:color="auto" w:fill="FFFFFF"/>
                  <w:noWrap/>
                  <w:vAlign w:val="center"/>
                </w:tcPr>
                <w:p w14:paraId="18D1CFF4">
                  <w:pPr>
                    <w:keepNext w:val="0"/>
                    <w:keepLines w:val="0"/>
                    <w:pageBreakBefore w:val="0"/>
                    <w:kinsoku/>
                    <w:wordWrap/>
                    <w:overflowPunct/>
                    <w:topLinePunct w:val="0"/>
                    <w:autoSpaceDE/>
                    <w:autoSpaceDN/>
                    <w:bidi w:val="0"/>
                    <w:spacing w:line="240" w:lineRule="auto"/>
                    <w:ind w:firstLine="0" w:firstLineChars="0"/>
                    <w:jc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40</w:t>
                  </w:r>
                </w:p>
              </w:tc>
              <w:tc>
                <w:tcPr>
                  <w:tcW w:w="371" w:type="pct"/>
                  <w:shd w:val="clear" w:color="auto" w:fill="FFFFFF"/>
                  <w:noWrap/>
                  <w:vAlign w:val="center"/>
                </w:tcPr>
                <w:p w14:paraId="110F8394">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2.178</w:t>
                  </w:r>
                </w:p>
              </w:tc>
              <w:tc>
                <w:tcPr>
                  <w:tcW w:w="336" w:type="pct"/>
                  <w:vMerge w:val="continue"/>
                  <w:shd w:val="clear" w:color="auto" w:fill="FFFFFF"/>
                  <w:noWrap/>
                  <w:vAlign w:val="center"/>
                </w:tcPr>
                <w:p w14:paraId="03719B21">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lang w:val="en-US" w:eastAsia="zh-CN"/>
                    </w:rPr>
                  </w:pPr>
                </w:p>
              </w:tc>
              <w:tc>
                <w:tcPr>
                  <w:tcW w:w="366" w:type="pct"/>
                  <w:shd w:val="clear" w:color="auto" w:fill="FFFFFF"/>
                  <w:noWrap/>
                  <w:vAlign w:val="center"/>
                </w:tcPr>
                <w:p w14:paraId="3086B109">
                  <w:pPr>
                    <w:pStyle w:val="95"/>
                    <w:keepNext w:val="0"/>
                    <w:keepLines w:val="0"/>
                    <w:pageBreakBefore w:val="0"/>
                    <w:kinsoku/>
                    <w:wordWrap/>
                    <w:overflowPunct/>
                    <w:topLinePunct w:val="0"/>
                    <w:autoSpaceDE/>
                    <w:autoSpaceDN/>
                    <w:bidi w:val="0"/>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60</w:t>
                  </w:r>
                </w:p>
              </w:tc>
            </w:tr>
            <w:tr w14:paraId="471A0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6" w:type="pct"/>
                  <w:vMerge w:val="continue"/>
                  <w:shd w:val="clear" w:color="auto" w:fill="FFFFFF"/>
                  <w:noWrap/>
                  <w:vAlign w:val="center"/>
                </w:tcPr>
                <w:p w14:paraId="0FB6FA7C">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ascii="Times New Roman" w:hAnsi="Times New Roman" w:cs="Times New Roman"/>
                      <w:color w:val="auto"/>
                      <w:kern w:val="0"/>
                      <w:sz w:val="21"/>
                      <w:szCs w:val="21"/>
                      <w:lang w:val="en-US" w:eastAsia="zh-CN"/>
                    </w:rPr>
                  </w:pPr>
                </w:p>
              </w:tc>
              <w:tc>
                <w:tcPr>
                  <w:tcW w:w="224" w:type="pct"/>
                  <w:vMerge w:val="continue"/>
                  <w:shd w:val="clear" w:color="auto" w:fill="FFFFFF"/>
                  <w:noWrap/>
                  <w:vAlign w:val="center"/>
                </w:tcPr>
                <w:p w14:paraId="5BF317FE">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ascii="Times New Roman" w:hAnsi="Times New Roman" w:cs="Times New Roman"/>
                      <w:color w:val="auto"/>
                      <w:kern w:val="0"/>
                      <w:sz w:val="21"/>
                      <w:szCs w:val="21"/>
                      <w:lang w:val="en-US" w:eastAsia="zh-CN"/>
                    </w:rPr>
                  </w:pPr>
                </w:p>
              </w:tc>
              <w:tc>
                <w:tcPr>
                  <w:tcW w:w="410" w:type="pct"/>
                  <w:shd w:val="clear" w:color="auto" w:fill="FFFFFF"/>
                  <w:noWrap w:val="0"/>
                  <w:vAlign w:val="center"/>
                </w:tcPr>
                <w:p w14:paraId="684D5082">
                  <w:pPr>
                    <w:pStyle w:val="120"/>
                    <w:bidi w:val="0"/>
                    <w:ind w:firstLine="0" w:firstLineChars="0"/>
                    <w:jc w:val="center"/>
                    <w:rPr>
                      <w:rFonts w:hint="default" w:ascii="Times New Roman" w:hAnsi="Times New Roman" w:cs="Times New Roman"/>
                      <w:color w:val="auto"/>
                      <w:kern w:val="0"/>
                      <w:sz w:val="21"/>
                      <w:szCs w:val="21"/>
                    </w:rPr>
                  </w:pPr>
                  <w:r>
                    <w:rPr>
                      <w:rFonts w:hint="default"/>
                      <w:color w:val="auto"/>
                      <w:highlight w:val="none"/>
                      <w:lang w:val="en-US" w:eastAsia="zh-CN"/>
                    </w:rPr>
                    <w:t>NH</w:t>
                  </w:r>
                  <w:r>
                    <w:rPr>
                      <w:rFonts w:hint="default"/>
                      <w:color w:val="auto"/>
                      <w:highlight w:val="none"/>
                      <w:vertAlign w:val="subscript"/>
                      <w:lang w:val="en-US" w:eastAsia="zh-CN"/>
                    </w:rPr>
                    <w:t>3</w:t>
                  </w:r>
                  <w:r>
                    <w:rPr>
                      <w:rFonts w:hint="default"/>
                      <w:color w:val="auto"/>
                      <w:highlight w:val="none"/>
                      <w:lang w:val="en-US" w:eastAsia="zh-CN"/>
                    </w:rPr>
                    <w:t>-N</w:t>
                  </w:r>
                </w:p>
              </w:tc>
              <w:tc>
                <w:tcPr>
                  <w:tcW w:w="393" w:type="pct"/>
                  <w:vMerge w:val="continue"/>
                  <w:shd w:val="clear" w:color="auto" w:fill="FFFFFF"/>
                  <w:noWrap w:val="0"/>
                  <w:vAlign w:val="center"/>
                </w:tcPr>
                <w:p w14:paraId="3CC73DE3">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cs="Times New Roman"/>
                      <w:color w:val="auto"/>
                      <w:kern w:val="0"/>
                      <w:sz w:val="21"/>
                      <w:szCs w:val="21"/>
                      <w:lang w:val="en-US" w:eastAsia="zh-CN"/>
                    </w:rPr>
                  </w:pPr>
                </w:p>
              </w:tc>
              <w:tc>
                <w:tcPr>
                  <w:tcW w:w="343" w:type="pct"/>
                  <w:shd w:val="clear" w:color="auto" w:fill="FFFFFF"/>
                  <w:noWrap w:val="0"/>
                  <w:vAlign w:val="center"/>
                </w:tcPr>
                <w:p w14:paraId="57D1E393">
                  <w:pPr>
                    <w:pStyle w:val="12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highlight w:val="none"/>
                      <w:lang w:val="en-US" w:eastAsia="zh-CN" w:bidi="ar-SA"/>
                    </w:rPr>
                    <w:t>30</w:t>
                  </w:r>
                </w:p>
              </w:tc>
              <w:tc>
                <w:tcPr>
                  <w:tcW w:w="365" w:type="pct"/>
                  <w:shd w:val="clear" w:color="auto" w:fill="FFFFFF"/>
                  <w:noWrap/>
                  <w:vAlign w:val="center"/>
                </w:tcPr>
                <w:p w14:paraId="2A795922">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1.633</w:t>
                  </w:r>
                </w:p>
              </w:tc>
              <w:tc>
                <w:tcPr>
                  <w:tcW w:w="331" w:type="pct"/>
                  <w:vMerge w:val="continue"/>
                  <w:shd w:val="clear" w:color="auto" w:fill="FFFFFF"/>
                  <w:noWrap w:val="0"/>
                  <w:vAlign w:val="center"/>
                </w:tcPr>
                <w:p w14:paraId="65A98BDE">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253" w:type="pct"/>
                  <w:vMerge w:val="continue"/>
                  <w:shd w:val="clear" w:color="auto" w:fill="FFFFFF"/>
                  <w:noWrap/>
                  <w:vAlign w:val="center"/>
                </w:tcPr>
                <w:p w14:paraId="202652F9">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cs="Times New Roman"/>
                      <w:color w:val="auto"/>
                      <w:kern w:val="0"/>
                      <w:sz w:val="21"/>
                      <w:szCs w:val="21"/>
                      <w:lang w:val="en-US" w:eastAsia="zh-CN"/>
                    </w:rPr>
                  </w:pPr>
                </w:p>
              </w:tc>
              <w:tc>
                <w:tcPr>
                  <w:tcW w:w="309" w:type="pct"/>
                  <w:shd w:val="clear" w:color="auto" w:fill="FFFFFF"/>
                  <w:noWrap/>
                  <w:vAlign w:val="center"/>
                </w:tcPr>
                <w:p w14:paraId="2AF3465F">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20</w:t>
                  </w:r>
                </w:p>
              </w:tc>
              <w:tc>
                <w:tcPr>
                  <w:tcW w:w="337" w:type="pct"/>
                  <w:vMerge w:val="continue"/>
                  <w:shd w:val="clear" w:color="auto" w:fill="FFFFFF"/>
                  <w:noWrap/>
                  <w:vAlign w:val="center"/>
                </w:tcPr>
                <w:p w14:paraId="1E23DCBC">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88" w:type="pct"/>
                  <w:vMerge w:val="continue"/>
                  <w:shd w:val="clear" w:color="auto" w:fill="FFFFFF"/>
                  <w:noWrap/>
                  <w:vAlign w:val="center"/>
                </w:tcPr>
                <w:p w14:paraId="798926AA">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cs="Times New Roman"/>
                      <w:color w:val="auto"/>
                      <w:kern w:val="0"/>
                      <w:sz w:val="21"/>
                      <w:szCs w:val="21"/>
                      <w:lang w:val="en-US" w:eastAsia="zh-CN"/>
                    </w:rPr>
                  </w:pPr>
                </w:p>
              </w:tc>
              <w:tc>
                <w:tcPr>
                  <w:tcW w:w="281" w:type="pct"/>
                  <w:shd w:val="clear" w:color="auto" w:fill="FFFFFF"/>
                  <w:noWrap/>
                  <w:vAlign w:val="center"/>
                </w:tcPr>
                <w:p w14:paraId="43554078">
                  <w:pPr>
                    <w:keepNext w:val="0"/>
                    <w:keepLines w:val="0"/>
                    <w:pageBreakBefore w:val="0"/>
                    <w:kinsoku/>
                    <w:wordWrap/>
                    <w:overflowPunct/>
                    <w:topLinePunct w:val="0"/>
                    <w:autoSpaceDE/>
                    <w:autoSpaceDN/>
                    <w:bidi w:val="0"/>
                    <w:spacing w:line="240" w:lineRule="auto"/>
                    <w:ind w:firstLine="0" w:firstLineChars="0"/>
                    <w:jc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24</w:t>
                  </w:r>
                </w:p>
              </w:tc>
              <w:tc>
                <w:tcPr>
                  <w:tcW w:w="371" w:type="pct"/>
                  <w:shd w:val="clear" w:color="auto" w:fill="FFFFFF"/>
                  <w:noWrap/>
                  <w:vAlign w:val="center"/>
                </w:tcPr>
                <w:p w14:paraId="046D9354">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1.306</w:t>
                  </w:r>
                </w:p>
              </w:tc>
              <w:tc>
                <w:tcPr>
                  <w:tcW w:w="336" w:type="pct"/>
                  <w:vMerge w:val="continue"/>
                  <w:shd w:val="clear" w:color="auto" w:fill="FFFFFF"/>
                  <w:noWrap/>
                  <w:vAlign w:val="center"/>
                </w:tcPr>
                <w:p w14:paraId="20984804">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lang w:val="en-US" w:eastAsia="zh-CN"/>
                    </w:rPr>
                  </w:pPr>
                </w:p>
              </w:tc>
              <w:tc>
                <w:tcPr>
                  <w:tcW w:w="366" w:type="pct"/>
                  <w:shd w:val="clear" w:color="auto" w:fill="FFFFFF"/>
                  <w:noWrap/>
                  <w:vAlign w:val="center"/>
                </w:tcPr>
                <w:p w14:paraId="705A97DC">
                  <w:pPr>
                    <w:pStyle w:val="95"/>
                    <w:keepNext w:val="0"/>
                    <w:keepLines w:val="0"/>
                    <w:pageBreakBefore w:val="0"/>
                    <w:kinsoku/>
                    <w:wordWrap/>
                    <w:overflowPunct/>
                    <w:topLinePunct w:val="0"/>
                    <w:autoSpaceDE/>
                    <w:autoSpaceDN/>
                    <w:bidi w:val="0"/>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25</w:t>
                  </w:r>
                </w:p>
              </w:tc>
            </w:tr>
            <w:tr w14:paraId="1C41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6" w:type="pct"/>
                  <w:vMerge w:val="continue"/>
                  <w:shd w:val="clear" w:color="auto" w:fill="FFFFFF"/>
                  <w:noWrap w:val="0"/>
                  <w:vAlign w:val="center"/>
                </w:tcPr>
                <w:p w14:paraId="5B08115B">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224" w:type="pct"/>
                  <w:vMerge w:val="continue"/>
                  <w:shd w:val="clear" w:color="auto" w:fill="FFFFFF"/>
                  <w:noWrap w:val="0"/>
                  <w:vAlign w:val="center"/>
                </w:tcPr>
                <w:p w14:paraId="23823BF5">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410" w:type="pct"/>
                  <w:shd w:val="clear" w:color="auto" w:fill="FFFFFF"/>
                  <w:noWrap w:val="0"/>
                  <w:vAlign w:val="center"/>
                </w:tcPr>
                <w:p w14:paraId="29B13A8E">
                  <w:pPr>
                    <w:pStyle w:val="120"/>
                    <w:bidi w:val="0"/>
                    <w:ind w:firstLine="0" w:firstLineChars="0"/>
                    <w:jc w:val="center"/>
                    <w:rPr>
                      <w:rFonts w:hint="default" w:ascii="Times New Roman" w:hAnsi="Times New Roman" w:cs="Times New Roman"/>
                      <w:color w:val="auto"/>
                      <w:kern w:val="0"/>
                      <w:sz w:val="21"/>
                      <w:szCs w:val="21"/>
                    </w:rPr>
                  </w:pPr>
                  <w:r>
                    <w:rPr>
                      <w:rFonts w:hint="eastAsia"/>
                      <w:color w:val="auto"/>
                      <w:highlight w:val="none"/>
                      <w:lang w:val="en-US" w:eastAsia="zh-CN"/>
                    </w:rPr>
                    <w:t>LAS</w:t>
                  </w:r>
                </w:p>
              </w:tc>
              <w:tc>
                <w:tcPr>
                  <w:tcW w:w="393" w:type="pct"/>
                  <w:vMerge w:val="continue"/>
                  <w:shd w:val="clear" w:color="auto" w:fill="FFFFFF"/>
                  <w:noWrap w:val="0"/>
                  <w:vAlign w:val="center"/>
                </w:tcPr>
                <w:p w14:paraId="1EE3275A">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43" w:type="pct"/>
                  <w:shd w:val="clear" w:color="auto" w:fill="FFFFFF"/>
                  <w:noWrap w:val="0"/>
                  <w:vAlign w:val="center"/>
                </w:tcPr>
                <w:p w14:paraId="1D077AF4">
                  <w:pPr>
                    <w:pStyle w:val="12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highlight w:val="none"/>
                      <w:lang w:val="en-US" w:eastAsia="zh-CN" w:bidi="ar-SA"/>
                    </w:rPr>
                    <w:t>10</w:t>
                  </w:r>
                </w:p>
              </w:tc>
              <w:tc>
                <w:tcPr>
                  <w:tcW w:w="365" w:type="pct"/>
                  <w:shd w:val="clear" w:color="auto" w:fill="FFFFFF"/>
                  <w:noWrap/>
                  <w:vAlign w:val="center"/>
                </w:tcPr>
                <w:p w14:paraId="04AE3792">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0.544</w:t>
                  </w:r>
                </w:p>
              </w:tc>
              <w:tc>
                <w:tcPr>
                  <w:tcW w:w="331" w:type="pct"/>
                  <w:vMerge w:val="continue"/>
                  <w:shd w:val="clear" w:color="auto" w:fill="FFFFFF"/>
                  <w:noWrap w:val="0"/>
                  <w:vAlign w:val="center"/>
                </w:tcPr>
                <w:p w14:paraId="5617F514">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253" w:type="pct"/>
                  <w:vMerge w:val="continue"/>
                  <w:shd w:val="clear" w:color="auto" w:fill="FFFFFF"/>
                  <w:noWrap w:val="0"/>
                  <w:vAlign w:val="center"/>
                </w:tcPr>
                <w:p w14:paraId="0F300033">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09" w:type="pct"/>
                  <w:shd w:val="clear" w:color="auto" w:fill="FFFFFF"/>
                  <w:noWrap/>
                  <w:vAlign w:val="center"/>
                </w:tcPr>
                <w:p w14:paraId="44753C6B">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20</w:t>
                  </w:r>
                </w:p>
              </w:tc>
              <w:tc>
                <w:tcPr>
                  <w:tcW w:w="337" w:type="pct"/>
                  <w:vMerge w:val="continue"/>
                  <w:shd w:val="clear" w:color="auto" w:fill="FFFFFF"/>
                  <w:noWrap w:val="0"/>
                  <w:vAlign w:val="center"/>
                </w:tcPr>
                <w:p w14:paraId="70D1A793">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88" w:type="pct"/>
                  <w:vMerge w:val="continue"/>
                  <w:shd w:val="clear" w:color="auto" w:fill="FFFFFF"/>
                  <w:noWrap w:val="0"/>
                  <w:vAlign w:val="center"/>
                </w:tcPr>
                <w:p w14:paraId="10CE3DF9">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281" w:type="pct"/>
                  <w:shd w:val="clear" w:color="auto" w:fill="FFFFFF"/>
                  <w:noWrap/>
                  <w:vAlign w:val="center"/>
                </w:tcPr>
                <w:p w14:paraId="0223F2AD">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8</w:t>
                  </w:r>
                </w:p>
              </w:tc>
              <w:tc>
                <w:tcPr>
                  <w:tcW w:w="371" w:type="pct"/>
                  <w:shd w:val="clear" w:color="auto" w:fill="FFFFFF"/>
                  <w:noWrap/>
                  <w:vAlign w:val="center"/>
                </w:tcPr>
                <w:p w14:paraId="0BEDA8CE">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0.435</w:t>
                  </w:r>
                </w:p>
              </w:tc>
              <w:tc>
                <w:tcPr>
                  <w:tcW w:w="336" w:type="pct"/>
                  <w:vMerge w:val="continue"/>
                  <w:shd w:val="clear" w:color="auto" w:fill="FFFFFF"/>
                  <w:noWrap/>
                  <w:vAlign w:val="center"/>
                </w:tcPr>
                <w:p w14:paraId="6844793F">
                  <w:pPr>
                    <w:keepNext w:val="0"/>
                    <w:keepLines w:val="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66" w:type="pct"/>
                  <w:shd w:val="clear" w:color="auto" w:fill="FFFFFF"/>
                  <w:noWrap/>
                  <w:vAlign w:val="center"/>
                </w:tcPr>
                <w:p w14:paraId="1899BAF3">
                  <w:pPr>
                    <w:pStyle w:val="95"/>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10</w:t>
                  </w:r>
                </w:p>
              </w:tc>
            </w:tr>
            <w:tr w14:paraId="4FB9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6" w:type="pct"/>
                  <w:vMerge w:val="continue"/>
                  <w:shd w:val="clear" w:color="auto" w:fill="FFFFFF"/>
                  <w:noWrap w:val="0"/>
                  <w:vAlign w:val="center"/>
                </w:tcPr>
                <w:p w14:paraId="797598D5">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224" w:type="pct"/>
                  <w:vMerge w:val="continue"/>
                  <w:shd w:val="clear" w:color="auto" w:fill="FFFFFF"/>
                  <w:noWrap w:val="0"/>
                  <w:vAlign w:val="center"/>
                </w:tcPr>
                <w:p w14:paraId="5EB03A8E">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410" w:type="pct"/>
                  <w:shd w:val="clear" w:color="auto" w:fill="FFFFFF"/>
                  <w:noWrap w:val="0"/>
                  <w:vAlign w:val="center"/>
                </w:tcPr>
                <w:p w14:paraId="0EDF6ABF">
                  <w:pPr>
                    <w:pStyle w:val="120"/>
                    <w:bidi w:val="0"/>
                    <w:ind w:firstLine="0" w:firstLineChars="0"/>
                    <w:jc w:val="center"/>
                    <w:rPr>
                      <w:rFonts w:hint="default" w:ascii="Times New Roman" w:hAnsi="Times New Roman" w:cs="Times New Roman"/>
                      <w:color w:val="auto"/>
                      <w:kern w:val="0"/>
                      <w:sz w:val="21"/>
                      <w:szCs w:val="21"/>
                    </w:rPr>
                  </w:pPr>
                  <w:r>
                    <w:rPr>
                      <w:rFonts w:hint="eastAsia"/>
                      <w:color w:val="auto"/>
                      <w:highlight w:val="none"/>
                      <w:lang w:val="en-US" w:eastAsia="zh-CN"/>
                    </w:rPr>
                    <w:t>动植物油</w:t>
                  </w:r>
                </w:p>
              </w:tc>
              <w:tc>
                <w:tcPr>
                  <w:tcW w:w="393" w:type="pct"/>
                  <w:vMerge w:val="continue"/>
                  <w:shd w:val="clear" w:color="auto" w:fill="FFFFFF"/>
                  <w:noWrap w:val="0"/>
                  <w:vAlign w:val="center"/>
                </w:tcPr>
                <w:p w14:paraId="1A8FB013">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43" w:type="pct"/>
                  <w:shd w:val="clear" w:color="auto" w:fill="FFFFFF"/>
                  <w:noWrap w:val="0"/>
                  <w:vAlign w:val="center"/>
                </w:tcPr>
                <w:p w14:paraId="59520484">
                  <w:pPr>
                    <w:pStyle w:val="12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color w:val="auto"/>
                      <w:sz w:val="21"/>
                      <w:szCs w:val="21"/>
                      <w:lang w:val="en-US"/>
                    </w:rPr>
                  </w:pPr>
                  <w:r>
                    <w:rPr>
                      <w:rFonts w:hint="eastAsia"/>
                      <w:color w:val="auto"/>
                      <w:highlight w:val="none"/>
                      <w:lang w:val="en-US" w:eastAsia="zh-CN"/>
                    </w:rPr>
                    <w:t>20</w:t>
                  </w:r>
                </w:p>
              </w:tc>
              <w:tc>
                <w:tcPr>
                  <w:tcW w:w="365" w:type="pct"/>
                  <w:shd w:val="clear" w:color="auto" w:fill="FFFFFF"/>
                  <w:noWrap/>
                  <w:vAlign w:val="center"/>
                </w:tcPr>
                <w:p w14:paraId="755A896D">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1.089</w:t>
                  </w:r>
                </w:p>
              </w:tc>
              <w:tc>
                <w:tcPr>
                  <w:tcW w:w="331" w:type="pct"/>
                  <w:vMerge w:val="continue"/>
                  <w:shd w:val="clear" w:color="auto" w:fill="FFFFFF"/>
                  <w:noWrap w:val="0"/>
                  <w:vAlign w:val="center"/>
                </w:tcPr>
                <w:p w14:paraId="2C292D3A">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253" w:type="pct"/>
                  <w:vMerge w:val="continue"/>
                  <w:shd w:val="clear" w:color="auto" w:fill="FFFFFF"/>
                  <w:noWrap w:val="0"/>
                  <w:vAlign w:val="center"/>
                </w:tcPr>
                <w:p w14:paraId="6BEB4DC8">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09" w:type="pct"/>
                  <w:shd w:val="clear" w:color="auto" w:fill="FFFFFF"/>
                  <w:noWrap/>
                  <w:vAlign w:val="center"/>
                </w:tcPr>
                <w:p w14:paraId="787C786A">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40</w:t>
                  </w:r>
                </w:p>
              </w:tc>
              <w:tc>
                <w:tcPr>
                  <w:tcW w:w="337" w:type="pct"/>
                  <w:vMerge w:val="continue"/>
                  <w:shd w:val="clear" w:color="auto" w:fill="FFFFFF"/>
                  <w:noWrap w:val="0"/>
                  <w:vAlign w:val="center"/>
                </w:tcPr>
                <w:p w14:paraId="218587EE">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88" w:type="pct"/>
                  <w:vMerge w:val="continue"/>
                  <w:shd w:val="clear" w:color="auto" w:fill="FFFFFF"/>
                  <w:noWrap w:val="0"/>
                  <w:vAlign w:val="center"/>
                </w:tcPr>
                <w:p w14:paraId="1CE77BEB">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281" w:type="pct"/>
                  <w:shd w:val="clear" w:color="auto" w:fill="FFFFFF"/>
                  <w:noWrap/>
                  <w:vAlign w:val="center"/>
                </w:tcPr>
                <w:p w14:paraId="4FE0DCE8">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12</w:t>
                  </w:r>
                </w:p>
              </w:tc>
              <w:tc>
                <w:tcPr>
                  <w:tcW w:w="371" w:type="pct"/>
                  <w:shd w:val="clear" w:color="auto" w:fill="FFFFFF"/>
                  <w:noWrap/>
                  <w:vAlign w:val="center"/>
                </w:tcPr>
                <w:p w14:paraId="40F90976">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0.653</w:t>
                  </w:r>
                </w:p>
              </w:tc>
              <w:tc>
                <w:tcPr>
                  <w:tcW w:w="336" w:type="pct"/>
                  <w:vMerge w:val="continue"/>
                  <w:shd w:val="clear" w:color="auto" w:fill="FFFFFF"/>
                  <w:noWrap/>
                  <w:vAlign w:val="center"/>
                </w:tcPr>
                <w:p w14:paraId="6563B54C">
                  <w:pPr>
                    <w:keepNext w:val="0"/>
                    <w:keepLines w:val="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66" w:type="pct"/>
                  <w:shd w:val="clear" w:color="auto" w:fill="FFFFFF"/>
                  <w:noWrap/>
                  <w:vAlign w:val="center"/>
                </w:tcPr>
                <w:p w14:paraId="0D0EE62F">
                  <w:pPr>
                    <w:pStyle w:val="95"/>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20</w:t>
                  </w:r>
                </w:p>
              </w:tc>
            </w:tr>
            <w:tr w14:paraId="3039E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6" w:type="pct"/>
                  <w:vMerge w:val="continue"/>
                  <w:shd w:val="clear" w:color="auto" w:fill="FFFFFF"/>
                  <w:noWrap w:val="0"/>
                  <w:vAlign w:val="center"/>
                </w:tcPr>
                <w:p w14:paraId="3DFC51EA">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224" w:type="pct"/>
                  <w:vMerge w:val="continue"/>
                  <w:shd w:val="clear" w:color="auto" w:fill="FFFFFF"/>
                  <w:noWrap w:val="0"/>
                  <w:vAlign w:val="center"/>
                </w:tcPr>
                <w:p w14:paraId="407BD238">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410" w:type="pct"/>
                  <w:shd w:val="clear" w:color="auto" w:fill="FFFFFF"/>
                  <w:noWrap w:val="0"/>
                  <w:vAlign w:val="center"/>
                </w:tcPr>
                <w:p w14:paraId="6E588C62">
                  <w:pPr>
                    <w:pStyle w:val="120"/>
                    <w:bidi w:val="0"/>
                    <w:ind w:firstLine="0" w:firstLineChars="0"/>
                    <w:jc w:val="center"/>
                    <w:rPr>
                      <w:rFonts w:hint="eastAsia"/>
                      <w:color w:val="auto"/>
                      <w:highlight w:val="none"/>
                      <w:lang w:val="en-US" w:eastAsia="zh-CN"/>
                    </w:rPr>
                  </w:pPr>
                  <w:r>
                    <w:rPr>
                      <w:rFonts w:hint="eastAsia"/>
                      <w:color w:val="auto"/>
                      <w:highlight w:val="none"/>
                      <w:lang w:val="en-US" w:eastAsia="zh-CN"/>
                    </w:rPr>
                    <w:t>粪大肠杆菌</w:t>
                  </w:r>
                </w:p>
                <w:p w14:paraId="6113D769">
                  <w:pPr>
                    <w:pStyle w:val="120"/>
                    <w:bidi w:val="0"/>
                    <w:ind w:firstLine="0" w:firstLineChars="0"/>
                    <w:jc w:val="center"/>
                    <w:rPr>
                      <w:rFonts w:hint="default" w:ascii="Times New Roman" w:hAnsi="Times New Roman" w:cs="Times New Roman"/>
                      <w:color w:val="auto"/>
                      <w:kern w:val="0"/>
                      <w:sz w:val="21"/>
                      <w:szCs w:val="21"/>
                    </w:rPr>
                  </w:pPr>
                  <w:r>
                    <w:rPr>
                      <w:rFonts w:hint="eastAsia"/>
                      <w:color w:val="auto"/>
                      <w:highlight w:val="none"/>
                      <w:lang w:val="en-US" w:eastAsia="zh-CN"/>
                    </w:rPr>
                    <w:t>(个/L)</w:t>
                  </w:r>
                </w:p>
              </w:tc>
              <w:tc>
                <w:tcPr>
                  <w:tcW w:w="393" w:type="pct"/>
                  <w:vMerge w:val="continue"/>
                  <w:shd w:val="clear" w:color="auto" w:fill="FFFFFF"/>
                  <w:noWrap w:val="0"/>
                  <w:vAlign w:val="center"/>
                </w:tcPr>
                <w:p w14:paraId="122DB0AA">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43" w:type="pct"/>
                  <w:shd w:val="clear" w:color="auto" w:fill="FFFFFF"/>
                  <w:noWrap w:val="0"/>
                  <w:vAlign w:val="center"/>
                </w:tcPr>
                <w:p w14:paraId="1105C64B">
                  <w:pPr>
                    <w:pStyle w:val="12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highlight w:val="none"/>
                      <w:vertAlign w:val="superscript"/>
                      <w:lang w:val="en-US" w:eastAsia="zh-CN"/>
                    </w:rPr>
                  </w:pPr>
                  <w:r>
                    <w:rPr>
                      <w:color w:val="auto"/>
                      <w:highlight w:val="none"/>
                      <w:lang w:val="en-US" w:eastAsia="zh-CN"/>
                    </w:rPr>
                    <w:t>1.6×10</w:t>
                  </w:r>
                  <w:r>
                    <w:rPr>
                      <w:rFonts w:hint="eastAsia"/>
                      <w:color w:val="auto"/>
                      <w:highlight w:val="none"/>
                      <w:vertAlign w:val="superscript"/>
                      <w:lang w:val="en-US" w:eastAsia="zh-CN"/>
                    </w:rPr>
                    <w:t>8</w:t>
                  </w:r>
                </w:p>
                <w:p w14:paraId="64D4FB46">
                  <w:pPr>
                    <w:pStyle w:val="12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olor w:val="auto"/>
                      <w:highlight w:val="none"/>
                      <w:lang w:val="en-US" w:eastAsia="zh-CN"/>
                    </w:rPr>
                    <w:t>(个/L)</w:t>
                  </w:r>
                </w:p>
              </w:tc>
              <w:tc>
                <w:tcPr>
                  <w:tcW w:w="365" w:type="pct"/>
                  <w:shd w:val="clear" w:color="auto" w:fill="FFFFFF"/>
                  <w:noWrap/>
                  <w:vAlign w:val="center"/>
                </w:tcPr>
                <w:p w14:paraId="3FE31BED">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lang w:val="en-US" w:eastAsia="zh-CN"/>
                    </w:rPr>
                    <w:t>8.7</w:t>
                  </w:r>
                  <w:r>
                    <w:rPr>
                      <w:color w:val="auto"/>
                      <w:highlight w:val="none"/>
                      <w:lang w:val="en-US" w:eastAsia="zh-CN"/>
                    </w:rPr>
                    <w:t>×10</w:t>
                  </w:r>
                  <w:r>
                    <w:rPr>
                      <w:rFonts w:hint="eastAsia"/>
                      <w:color w:val="auto"/>
                      <w:highlight w:val="none"/>
                      <w:vertAlign w:val="superscript"/>
                      <w:lang w:val="en-US" w:eastAsia="zh-CN"/>
                    </w:rPr>
                    <w:t>15</w:t>
                  </w:r>
                  <w:r>
                    <w:rPr>
                      <w:rFonts w:hint="eastAsia"/>
                      <w:color w:val="auto"/>
                      <w:highlight w:val="none"/>
                      <w:vertAlign w:val="baseline"/>
                      <w:lang w:val="en-US" w:eastAsia="zh-CN"/>
                    </w:rPr>
                    <w:t>个</w:t>
                  </w:r>
                </w:p>
              </w:tc>
              <w:tc>
                <w:tcPr>
                  <w:tcW w:w="331" w:type="pct"/>
                  <w:vMerge w:val="continue"/>
                  <w:shd w:val="clear" w:color="auto" w:fill="FFFFFF"/>
                  <w:noWrap w:val="0"/>
                  <w:vAlign w:val="center"/>
                </w:tcPr>
                <w:p w14:paraId="0DAE845A">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253" w:type="pct"/>
                  <w:vMerge w:val="continue"/>
                  <w:shd w:val="clear" w:color="auto" w:fill="FFFFFF"/>
                  <w:noWrap w:val="0"/>
                  <w:vAlign w:val="center"/>
                </w:tcPr>
                <w:p w14:paraId="255C17CC">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09" w:type="pct"/>
                  <w:shd w:val="clear" w:color="auto" w:fill="FFFFFF"/>
                  <w:noWrap/>
                  <w:vAlign w:val="center"/>
                </w:tcPr>
                <w:p w14:paraId="0D2A8D22">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99.997</w:t>
                  </w:r>
                </w:p>
              </w:tc>
              <w:tc>
                <w:tcPr>
                  <w:tcW w:w="337" w:type="pct"/>
                  <w:vMerge w:val="continue"/>
                  <w:shd w:val="clear" w:color="auto" w:fill="FFFFFF"/>
                  <w:noWrap w:val="0"/>
                  <w:vAlign w:val="center"/>
                </w:tcPr>
                <w:p w14:paraId="786BE451">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88" w:type="pct"/>
                  <w:vMerge w:val="continue"/>
                  <w:shd w:val="clear" w:color="auto" w:fill="FFFFFF"/>
                  <w:noWrap w:val="0"/>
                  <w:vAlign w:val="center"/>
                </w:tcPr>
                <w:p w14:paraId="00D27469">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281" w:type="pct"/>
                  <w:shd w:val="clear" w:color="auto" w:fill="FFFFFF"/>
                  <w:noWrap/>
                  <w:vAlign w:val="center"/>
                </w:tcPr>
                <w:p w14:paraId="7C9E04D3">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4800</w:t>
                  </w:r>
                  <w:r>
                    <w:rPr>
                      <w:rFonts w:hint="eastAsia"/>
                      <w:color w:val="auto"/>
                      <w:highlight w:val="none"/>
                      <w:lang w:val="en-US" w:eastAsia="zh-CN"/>
                    </w:rPr>
                    <w:t>(个/L)</w:t>
                  </w:r>
                </w:p>
              </w:tc>
              <w:tc>
                <w:tcPr>
                  <w:tcW w:w="371" w:type="pct"/>
                  <w:shd w:val="clear" w:color="auto" w:fill="FFFFFF"/>
                  <w:noWrap/>
                  <w:vAlign w:val="center"/>
                </w:tcPr>
                <w:p w14:paraId="154257DF">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olor w:val="auto"/>
                      <w:highlight w:val="none"/>
                      <w:lang w:val="en-US" w:eastAsia="zh-CN"/>
                    </w:rPr>
                    <w:t>2.6</w:t>
                  </w:r>
                  <w:r>
                    <w:rPr>
                      <w:color w:val="auto"/>
                      <w:highlight w:val="none"/>
                      <w:lang w:val="en-US" w:eastAsia="zh-CN"/>
                    </w:rPr>
                    <w:t>×10</w:t>
                  </w:r>
                  <w:r>
                    <w:rPr>
                      <w:rFonts w:hint="eastAsia"/>
                      <w:color w:val="auto"/>
                      <w:highlight w:val="none"/>
                      <w:vertAlign w:val="superscript"/>
                      <w:lang w:val="en-US" w:eastAsia="zh-CN"/>
                    </w:rPr>
                    <w:t>11</w:t>
                  </w:r>
                  <w:r>
                    <w:rPr>
                      <w:rFonts w:hint="eastAsia"/>
                      <w:color w:val="auto"/>
                      <w:highlight w:val="none"/>
                      <w:vertAlign w:val="baseline"/>
                      <w:lang w:val="en-US" w:eastAsia="zh-CN"/>
                    </w:rPr>
                    <w:t>个</w:t>
                  </w:r>
                </w:p>
              </w:tc>
              <w:tc>
                <w:tcPr>
                  <w:tcW w:w="336" w:type="pct"/>
                  <w:vMerge w:val="continue"/>
                  <w:shd w:val="clear" w:color="auto" w:fill="FFFFFF"/>
                  <w:noWrap/>
                  <w:vAlign w:val="center"/>
                </w:tcPr>
                <w:p w14:paraId="1EEABCB5">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66" w:type="pct"/>
                  <w:shd w:val="clear" w:color="auto" w:fill="FFFFFF"/>
                  <w:noWrap/>
                  <w:vAlign w:val="center"/>
                </w:tcPr>
                <w:p w14:paraId="55D462E9">
                  <w:pPr>
                    <w:pStyle w:val="95"/>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5000</w:t>
                  </w:r>
                  <w:r>
                    <w:rPr>
                      <w:rFonts w:hint="eastAsia"/>
                      <w:color w:val="auto"/>
                      <w:highlight w:val="none"/>
                      <w:lang w:val="en-US" w:eastAsia="zh-CN"/>
                    </w:rPr>
                    <w:t>(个/L)</w:t>
                  </w:r>
                </w:p>
              </w:tc>
            </w:tr>
            <w:tr w14:paraId="7DB8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vMerge w:val="restart"/>
                  <w:shd w:val="clear" w:color="auto" w:fill="FFFFFF"/>
                  <w:noWrap w:val="0"/>
                  <w:vAlign w:val="center"/>
                </w:tcPr>
                <w:p w14:paraId="4BF90399">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纯水制备、蒸汽发生器</w:t>
                  </w:r>
                </w:p>
              </w:tc>
              <w:tc>
                <w:tcPr>
                  <w:tcW w:w="224" w:type="pct"/>
                  <w:vMerge w:val="restart"/>
                  <w:shd w:val="clear" w:color="auto" w:fill="FFFFFF"/>
                  <w:noWrap w:val="0"/>
                  <w:vAlign w:val="center"/>
                </w:tcPr>
                <w:p w14:paraId="1D80FB93">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浓水</w:t>
                  </w:r>
                </w:p>
              </w:tc>
              <w:tc>
                <w:tcPr>
                  <w:tcW w:w="410" w:type="pct"/>
                  <w:shd w:val="clear" w:color="auto" w:fill="FFFFFF"/>
                  <w:noWrap w:val="0"/>
                  <w:vAlign w:val="center"/>
                </w:tcPr>
                <w:p w14:paraId="7A42ACDE">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color w:val="auto"/>
                      <w:highlight w:val="none"/>
                      <w:lang w:val="en-US" w:eastAsia="zh-CN"/>
                    </w:rPr>
                    <w:t>pH</w:t>
                  </w:r>
                </w:p>
              </w:tc>
              <w:tc>
                <w:tcPr>
                  <w:tcW w:w="393" w:type="pct"/>
                  <w:vMerge w:val="restart"/>
                  <w:shd w:val="clear" w:color="auto" w:fill="FFFFFF"/>
                  <w:noWrap w:val="0"/>
                  <w:vAlign w:val="center"/>
                </w:tcPr>
                <w:p w14:paraId="7731AEA5">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632.2</w:t>
                  </w:r>
                </w:p>
              </w:tc>
              <w:tc>
                <w:tcPr>
                  <w:tcW w:w="343" w:type="pct"/>
                  <w:shd w:val="clear" w:color="auto" w:fill="FFFFFF"/>
                  <w:noWrap w:val="0"/>
                  <w:vAlign w:val="center"/>
                </w:tcPr>
                <w:p w14:paraId="239E5783">
                  <w:pPr>
                    <w:keepNext w:val="0"/>
                    <w:keepLines w:val="0"/>
                    <w:pageBreakBefore w:val="0"/>
                    <w:kinsoku/>
                    <w:wordWrap/>
                    <w:overflowPunct/>
                    <w:topLinePunct w:val="0"/>
                    <w:autoSpaceDE/>
                    <w:autoSpaceDN/>
                    <w:bidi w:val="0"/>
                    <w:spacing w:line="240" w:lineRule="auto"/>
                    <w:ind w:left="0" w:leftChars="0" w:right="0" w:rightChars="0" w:firstLine="0" w:firstLineChars="0"/>
                    <w:jc w:val="center"/>
                    <w:rPr>
                      <w:rFonts w:hint="default" w:cs="Times New Roman"/>
                      <w:color w:val="auto"/>
                      <w:sz w:val="21"/>
                      <w:szCs w:val="21"/>
                      <w:lang w:val="en-US" w:eastAsia="zh-CN"/>
                    </w:rPr>
                  </w:pPr>
                  <w:r>
                    <w:rPr>
                      <w:rFonts w:hint="eastAsia" w:cs="Times New Roman"/>
                      <w:color w:val="auto"/>
                      <w:sz w:val="21"/>
                      <w:szCs w:val="21"/>
                      <w:lang w:val="en-US" w:eastAsia="zh-CN"/>
                    </w:rPr>
                    <w:t>6-9</w:t>
                  </w:r>
                </w:p>
              </w:tc>
              <w:tc>
                <w:tcPr>
                  <w:tcW w:w="365" w:type="pct"/>
                  <w:shd w:val="clear" w:color="auto" w:fill="FFFFFF"/>
                  <w:noWrap/>
                  <w:vAlign w:val="center"/>
                </w:tcPr>
                <w:p w14:paraId="3A6EA0C2">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eastAsia="等线" w:cs="Times New Roman"/>
                      <w:i w:val="0"/>
                      <w:color w:val="auto"/>
                      <w:kern w:val="0"/>
                      <w:sz w:val="21"/>
                      <w:szCs w:val="21"/>
                      <w:u w:val="none"/>
                      <w:lang w:val="en-US" w:eastAsia="zh-CN" w:bidi="ar"/>
                    </w:rPr>
                  </w:pPr>
                  <w:r>
                    <w:rPr>
                      <w:rFonts w:hint="eastAsia" w:cs="Times New Roman"/>
                      <w:color w:val="auto"/>
                      <w:sz w:val="21"/>
                      <w:szCs w:val="21"/>
                      <w:lang w:val="en-US" w:eastAsia="zh-CN"/>
                    </w:rPr>
                    <w:t>/</w:t>
                  </w:r>
                </w:p>
              </w:tc>
              <w:tc>
                <w:tcPr>
                  <w:tcW w:w="331" w:type="pct"/>
                  <w:vMerge w:val="restart"/>
                  <w:shd w:val="clear" w:color="auto" w:fill="FFFFFF"/>
                  <w:noWrap w:val="0"/>
                  <w:vAlign w:val="center"/>
                </w:tcPr>
                <w:p w14:paraId="261D7BE8">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w:t>
                  </w:r>
                </w:p>
              </w:tc>
              <w:tc>
                <w:tcPr>
                  <w:tcW w:w="253" w:type="pct"/>
                  <w:vMerge w:val="restart"/>
                  <w:shd w:val="clear" w:color="auto" w:fill="FFFFFF"/>
                  <w:noWrap w:val="0"/>
                  <w:vAlign w:val="center"/>
                </w:tcPr>
                <w:p w14:paraId="61302E61">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w:t>
                  </w:r>
                </w:p>
              </w:tc>
              <w:tc>
                <w:tcPr>
                  <w:tcW w:w="309" w:type="pct"/>
                  <w:shd w:val="clear" w:color="auto" w:fill="FFFFFF"/>
                  <w:noWrap/>
                  <w:vAlign w:val="center"/>
                </w:tcPr>
                <w:p w14:paraId="4E5AEEAE">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cs="Times New Roman"/>
                      <w:color w:val="auto"/>
                      <w:kern w:val="0"/>
                      <w:sz w:val="21"/>
                      <w:szCs w:val="21"/>
                      <w:lang w:val="en-US" w:eastAsia="zh-CN"/>
                    </w:rPr>
                  </w:pPr>
                  <w:r>
                    <w:rPr>
                      <w:rFonts w:hint="eastAsia" w:cs="Times New Roman"/>
                      <w:color w:val="auto"/>
                      <w:kern w:val="0"/>
                      <w:sz w:val="21"/>
                      <w:szCs w:val="21"/>
                      <w:lang w:val="en-US" w:eastAsia="zh-CN"/>
                    </w:rPr>
                    <w:t>/</w:t>
                  </w:r>
                </w:p>
              </w:tc>
              <w:tc>
                <w:tcPr>
                  <w:tcW w:w="337" w:type="pct"/>
                  <w:vMerge w:val="restart"/>
                  <w:shd w:val="clear" w:color="auto" w:fill="FFFFFF"/>
                  <w:noWrap w:val="0"/>
                  <w:vAlign w:val="center"/>
                </w:tcPr>
                <w:p w14:paraId="4E2BA81C">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ascii="Times New Roman" w:hAnsi="Times New Roman" w:eastAsia="宋体" w:cs="Times New Roman"/>
                      <w:color w:val="auto"/>
                      <w:kern w:val="0"/>
                      <w:sz w:val="21"/>
                      <w:szCs w:val="21"/>
                      <w:lang w:eastAsia="zh-CN"/>
                    </w:rPr>
                  </w:pPr>
                  <w:r>
                    <w:rPr>
                      <w:rFonts w:hint="eastAsia" w:cs="Times New Roman"/>
                      <w:color w:val="auto"/>
                      <w:kern w:val="0"/>
                      <w:sz w:val="21"/>
                      <w:szCs w:val="21"/>
                      <w:lang w:val="en-US" w:eastAsia="zh-CN"/>
                    </w:rPr>
                    <w:t>/</w:t>
                  </w:r>
                </w:p>
              </w:tc>
              <w:tc>
                <w:tcPr>
                  <w:tcW w:w="388" w:type="pct"/>
                  <w:vMerge w:val="restart"/>
                  <w:shd w:val="clear" w:color="auto" w:fill="FFFFFF"/>
                  <w:noWrap w:val="0"/>
                  <w:vAlign w:val="center"/>
                </w:tcPr>
                <w:p w14:paraId="3EEDF659">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lang w:val="en-US"/>
                    </w:rPr>
                  </w:pPr>
                  <w:r>
                    <w:rPr>
                      <w:rFonts w:hint="eastAsia" w:ascii="Times New Roman" w:hAnsi="Times New Roman" w:eastAsia="宋体" w:cs="Times New Roman"/>
                      <w:color w:val="auto"/>
                      <w:kern w:val="0"/>
                      <w:sz w:val="21"/>
                      <w:szCs w:val="21"/>
                      <w:lang w:val="en-US" w:eastAsia="zh-CN"/>
                    </w:rPr>
                    <w:t>632.2</w:t>
                  </w:r>
                </w:p>
              </w:tc>
              <w:tc>
                <w:tcPr>
                  <w:tcW w:w="281" w:type="pct"/>
                  <w:shd w:val="clear" w:color="auto" w:fill="FFFFFF"/>
                  <w:noWrap/>
                  <w:vAlign w:val="center"/>
                </w:tcPr>
                <w:p w14:paraId="29910B07">
                  <w:pPr>
                    <w:keepNext w:val="0"/>
                    <w:keepLines w:val="0"/>
                    <w:pageBreakBefore w:val="0"/>
                    <w:kinsoku/>
                    <w:wordWrap/>
                    <w:overflowPunct/>
                    <w:topLinePunct w:val="0"/>
                    <w:autoSpaceDE/>
                    <w:autoSpaceDN/>
                    <w:bidi w:val="0"/>
                    <w:spacing w:line="240" w:lineRule="auto"/>
                    <w:ind w:left="0" w:leftChars="0" w:right="0" w:rightChars="0" w:firstLine="0" w:firstLineChars="0"/>
                    <w:jc w:val="center"/>
                    <w:rPr>
                      <w:rFonts w:hint="default" w:cs="Times New Roman"/>
                      <w:color w:val="auto"/>
                      <w:sz w:val="21"/>
                      <w:szCs w:val="21"/>
                      <w:lang w:val="en-US" w:eastAsia="zh-CN"/>
                    </w:rPr>
                  </w:pPr>
                  <w:r>
                    <w:rPr>
                      <w:rFonts w:hint="eastAsia" w:cs="Times New Roman"/>
                      <w:color w:val="auto"/>
                      <w:sz w:val="21"/>
                      <w:szCs w:val="21"/>
                      <w:lang w:val="en-US" w:eastAsia="zh-CN"/>
                    </w:rPr>
                    <w:t>6-9</w:t>
                  </w:r>
                </w:p>
              </w:tc>
              <w:tc>
                <w:tcPr>
                  <w:tcW w:w="371" w:type="pct"/>
                  <w:shd w:val="clear" w:color="auto" w:fill="FFFFFF"/>
                  <w:noWrap/>
                  <w:vAlign w:val="center"/>
                </w:tcPr>
                <w:p w14:paraId="2EB08710">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eastAsia="等线" w:cs="Times New Roman"/>
                      <w:i w:val="0"/>
                      <w:color w:val="auto"/>
                      <w:kern w:val="0"/>
                      <w:sz w:val="21"/>
                      <w:szCs w:val="21"/>
                      <w:u w:val="none"/>
                      <w:lang w:val="en-US" w:eastAsia="zh-CN" w:bidi="ar"/>
                    </w:rPr>
                  </w:pPr>
                  <w:r>
                    <w:rPr>
                      <w:rFonts w:hint="eastAsia" w:cs="Times New Roman"/>
                      <w:color w:val="auto"/>
                      <w:sz w:val="21"/>
                      <w:szCs w:val="21"/>
                      <w:lang w:val="en-US" w:eastAsia="zh-CN"/>
                    </w:rPr>
                    <w:t>/</w:t>
                  </w:r>
                </w:p>
              </w:tc>
              <w:tc>
                <w:tcPr>
                  <w:tcW w:w="336" w:type="pct"/>
                  <w:vMerge w:val="continue"/>
                  <w:shd w:val="clear" w:color="auto" w:fill="FFFFFF"/>
                  <w:noWrap/>
                  <w:vAlign w:val="center"/>
                </w:tcPr>
                <w:p w14:paraId="69A23187">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66" w:type="pct"/>
                  <w:shd w:val="clear" w:color="auto" w:fill="FFFFFF"/>
                  <w:noWrap/>
                  <w:vAlign w:val="center"/>
                </w:tcPr>
                <w:p w14:paraId="567AD4D6">
                  <w:pPr>
                    <w:pStyle w:val="95"/>
                    <w:keepNext w:val="0"/>
                    <w:keepLines w:val="0"/>
                    <w:pageBreakBefore w:val="0"/>
                    <w:kinsoku/>
                    <w:wordWrap/>
                    <w:overflowPunct/>
                    <w:topLinePunct w:val="0"/>
                    <w:autoSpaceDE/>
                    <w:autoSpaceDN/>
                    <w:bidi w:val="0"/>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6-9</w:t>
                  </w:r>
                </w:p>
              </w:tc>
            </w:tr>
            <w:tr w14:paraId="5D84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6" w:type="pct"/>
                  <w:vMerge w:val="continue"/>
                  <w:shd w:val="clear" w:color="auto" w:fill="FFFFFF"/>
                  <w:noWrap w:val="0"/>
                  <w:vAlign w:val="center"/>
                </w:tcPr>
                <w:p w14:paraId="2E017C7E">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kern w:val="0"/>
                      <w:sz w:val="21"/>
                      <w:szCs w:val="21"/>
                      <w:lang w:eastAsia="zh-CN"/>
                    </w:rPr>
                  </w:pPr>
                </w:p>
              </w:tc>
              <w:tc>
                <w:tcPr>
                  <w:tcW w:w="224" w:type="pct"/>
                  <w:vMerge w:val="continue"/>
                  <w:shd w:val="clear" w:color="auto" w:fill="FFFFFF"/>
                  <w:noWrap w:val="0"/>
                  <w:vAlign w:val="center"/>
                </w:tcPr>
                <w:p w14:paraId="3778C0B7">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kern w:val="0"/>
                      <w:sz w:val="21"/>
                      <w:szCs w:val="21"/>
                      <w:lang w:eastAsia="zh-CN"/>
                    </w:rPr>
                  </w:pPr>
                </w:p>
              </w:tc>
              <w:tc>
                <w:tcPr>
                  <w:tcW w:w="410" w:type="pct"/>
                  <w:shd w:val="clear" w:color="auto" w:fill="FFFFFF"/>
                  <w:noWrap w:val="0"/>
                  <w:vAlign w:val="center"/>
                </w:tcPr>
                <w:p w14:paraId="39C36763">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kern w:val="0"/>
                      <w:sz w:val="21"/>
                      <w:szCs w:val="21"/>
                    </w:rPr>
                    <w:t>COD</w:t>
                  </w:r>
                </w:p>
              </w:tc>
              <w:tc>
                <w:tcPr>
                  <w:tcW w:w="393" w:type="pct"/>
                  <w:vMerge w:val="continue"/>
                  <w:shd w:val="clear" w:color="auto" w:fill="FFFFFF"/>
                  <w:noWrap w:val="0"/>
                  <w:vAlign w:val="center"/>
                </w:tcPr>
                <w:p w14:paraId="7F4411D0">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kern w:val="0"/>
                      <w:sz w:val="21"/>
                      <w:szCs w:val="21"/>
                      <w:lang w:val="en-US" w:eastAsia="zh-CN"/>
                    </w:rPr>
                  </w:pPr>
                </w:p>
              </w:tc>
              <w:tc>
                <w:tcPr>
                  <w:tcW w:w="343" w:type="pct"/>
                  <w:shd w:val="clear" w:color="auto" w:fill="FFFFFF"/>
                  <w:noWrap w:val="0"/>
                  <w:vAlign w:val="center"/>
                </w:tcPr>
                <w:p w14:paraId="2CD93497">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cs="Times New Roman"/>
                      <w:color w:val="auto"/>
                      <w:sz w:val="21"/>
                      <w:szCs w:val="21"/>
                      <w:lang w:val="en-US" w:eastAsia="zh-CN"/>
                    </w:rPr>
                  </w:pPr>
                  <w:r>
                    <w:rPr>
                      <w:rFonts w:hint="eastAsia" w:cs="Times New Roman"/>
                      <w:color w:val="auto"/>
                      <w:sz w:val="21"/>
                      <w:szCs w:val="21"/>
                      <w:lang w:val="en-US" w:eastAsia="zh-CN"/>
                    </w:rPr>
                    <w:t>100</w:t>
                  </w:r>
                </w:p>
              </w:tc>
              <w:tc>
                <w:tcPr>
                  <w:tcW w:w="365" w:type="pct"/>
                  <w:shd w:val="clear" w:color="auto" w:fill="FFFFFF"/>
                  <w:noWrap/>
                  <w:vAlign w:val="center"/>
                </w:tcPr>
                <w:p w14:paraId="188F3A6C">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0.063</w:t>
                  </w:r>
                </w:p>
              </w:tc>
              <w:tc>
                <w:tcPr>
                  <w:tcW w:w="331" w:type="pct"/>
                  <w:vMerge w:val="continue"/>
                  <w:shd w:val="clear" w:color="auto" w:fill="FFFFFF"/>
                  <w:noWrap w:val="0"/>
                  <w:vAlign w:val="center"/>
                </w:tcPr>
                <w:p w14:paraId="6F3D0839">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kern w:val="0"/>
                      <w:sz w:val="21"/>
                      <w:szCs w:val="21"/>
                      <w:lang w:val="en-US" w:eastAsia="zh-CN"/>
                    </w:rPr>
                  </w:pPr>
                </w:p>
              </w:tc>
              <w:tc>
                <w:tcPr>
                  <w:tcW w:w="253" w:type="pct"/>
                  <w:vMerge w:val="continue"/>
                  <w:shd w:val="clear" w:color="auto" w:fill="FFFFFF"/>
                  <w:noWrap w:val="0"/>
                  <w:vAlign w:val="center"/>
                </w:tcPr>
                <w:p w14:paraId="16636CA5">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kern w:val="0"/>
                      <w:sz w:val="21"/>
                      <w:szCs w:val="21"/>
                      <w:lang w:val="en-US" w:eastAsia="zh-CN"/>
                    </w:rPr>
                  </w:pPr>
                </w:p>
              </w:tc>
              <w:tc>
                <w:tcPr>
                  <w:tcW w:w="309" w:type="pct"/>
                  <w:shd w:val="clear" w:color="auto" w:fill="FFFFFF"/>
                  <w:noWrap/>
                  <w:vAlign w:val="center"/>
                </w:tcPr>
                <w:p w14:paraId="4A3AAFB9">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cs="Times New Roman"/>
                      <w:color w:val="auto"/>
                      <w:kern w:val="0"/>
                      <w:sz w:val="21"/>
                      <w:szCs w:val="21"/>
                      <w:lang w:val="en-US" w:eastAsia="zh-CN"/>
                    </w:rPr>
                  </w:pPr>
                  <w:r>
                    <w:rPr>
                      <w:rFonts w:hint="eastAsia" w:cs="Times New Roman"/>
                      <w:color w:val="auto"/>
                      <w:kern w:val="0"/>
                      <w:sz w:val="21"/>
                      <w:szCs w:val="21"/>
                      <w:lang w:val="en-US" w:eastAsia="zh-CN"/>
                    </w:rPr>
                    <w:t>/</w:t>
                  </w:r>
                </w:p>
              </w:tc>
              <w:tc>
                <w:tcPr>
                  <w:tcW w:w="337" w:type="pct"/>
                  <w:vMerge w:val="continue"/>
                  <w:shd w:val="clear" w:color="auto" w:fill="FFFFFF"/>
                  <w:noWrap w:val="0"/>
                  <w:vAlign w:val="center"/>
                </w:tcPr>
                <w:p w14:paraId="128DCD6C">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kern w:val="0"/>
                      <w:sz w:val="21"/>
                      <w:szCs w:val="21"/>
                      <w:lang w:val="en-US" w:eastAsia="zh-CN"/>
                    </w:rPr>
                  </w:pPr>
                </w:p>
              </w:tc>
              <w:tc>
                <w:tcPr>
                  <w:tcW w:w="388" w:type="pct"/>
                  <w:vMerge w:val="continue"/>
                  <w:shd w:val="clear" w:color="auto" w:fill="FFFFFF"/>
                  <w:noWrap w:val="0"/>
                  <w:vAlign w:val="center"/>
                </w:tcPr>
                <w:p w14:paraId="4E109BD9">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kern w:val="0"/>
                      <w:sz w:val="21"/>
                      <w:szCs w:val="21"/>
                      <w:lang w:val="en-US" w:eastAsia="zh-CN"/>
                    </w:rPr>
                  </w:pPr>
                </w:p>
              </w:tc>
              <w:tc>
                <w:tcPr>
                  <w:tcW w:w="750" w:type="dxa"/>
                  <w:shd w:val="clear" w:color="auto" w:fill="FFFFFF"/>
                  <w:noWrap/>
                  <w:vAlign w:val="center"/>
                </w:tcPr>
                <w:p w14:paraId="059DE753">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cs="Times New Roman"/>
                      <w:color w:val="auto"/>
                      <w:sz w:val="21"/>
                      <w:szCs w:val="21"/>
                      <w:lang w:val="en-US" w:eastAsia="zh-CN"/>
                    </w:rPr>
                  </w:pPr>
                  <w:r>
                    <w:rPr>
                      <w:rFonts w:hint="eastAsia" w:cs="Times New Roman"/>
                      <w:color w:val="auto"/>
                      <w:sz w:val="21"/>
                      <w:szCs w:val="21"/>
                      <w:lang w:val="en-US" w:eastAsia="zh-CN"/>
                    </w:rPr>
                    <w:t>100</w:t>
                  </w:r>
                </w:p>
              </w:tc>
              <w:tc>
                <w:tcPr>
                  <w:tcW w:w="990" w:type="dxa"/>
                  <w:shd w:val="clear" w:color="auto" w:fill="FFFFFF"/>
                  <w:noWrap/>
                  <w:vAlign w:val="center"/>
                </w:tcPr>
                <w:p w14:paraId="556E00D9">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0.063</w:t>
                  </w:r>
                </w:p>
              </w:tc>
              <w:tc>
                <w:tcPr>
                  <w:tcW w:w="336" w:type="pct"/>
                  <w:vMerge w:val="continue"/>
                  <w:shd w:val="clear" w:color="auto" w:fill="FFFFFF"/>
                  <w:noWrap/>
                  <w:vAlign w:val="center"/>
                </w:tcPr>
                <w:p w14:paraId="4EE79B24">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66" w:type="pct"/>
                  <w:shd w:val="clear" w:color="auto" w:fill="FFFFFF"/>
                  <w:noWrap/>
                  <w:vAlign w:val="center"/>
                </w:tcPr>
                <w:p w14:paraId="47F54352">
                  <w:pPr>
                    <w:pStyle w:val="95"/>
                    <w:keepNext w:val="0"/>
                    <w:keepLines w:val="0"/>
                    <w:pageBreakBefore w:val="0"/>
                    <w:kinsoku/>
                    <w:wordWrap/>
                    <w:overflowPunct/>
                    <w:topLinePunct w:val="0"/>
                    <w:autoSpaceDE/>
                    <w:autoSpaceDN/>
                    <w:bidi w:val="0"/>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250</w:t>
                  </w:r>
                </w:p>
              </w:tc>
            </w:tr>
            <w:tr w14:paraId="048B1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6" w:type="pct"/>
                  <w:vMerge w:val="continue"/>
                  <w:shd w:val="clear" w:color="auto" w:fill="FFFFFF"/>
                  <w:noWrap w:val="0"/>
                  <w:vAlign w:val="center"/>
                </w:tcPr>
                <w:p w14:paraId="4046F1E4">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224" w:type="pct"/>
                  <w:vMerge w:val="continue"/>
                  <w:shd w:val="clear" w:color="auto" w:fill="FFFFFF"/>
                  <w:noWrap w:val="0"/>
                  <w:vAlign w:val="center"/>
                </w:tcPr>
                <w:p w14:paraId="0198FDA5">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410" w:type="pct"/>
                  <w:shd w:val="clear" w:color="auto" w:fill="FFFFFF"/>
                  <w:noWrap w:val="0"/>
                  <w:vAlign w:val="center"/>
                </w:tcPr>
                <w:p w14:paraId="7D67EE5C">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eastAsia" w:cs="Times New Roman"/>
                      <w:color w:val="auto"/>
                      <w:kern w:val="0"/>
                      <w:sz w:val="21"/>
                      <w:szCs w:val="21"/>
                      <w:lang w:val="en-US" w:eastAsia="zh-CN"/>
                    </w:rPr>
                    <w:t>SS</w:t>
                  </w:r>
                </w:p>
              </w:tc>
              <w:tc>
                <w:tcPr>
                  <w:tcW w:w="393" w:type="pct"/>
                  <w:vMerge w:val="continue"/>
                  <w:shd w:val="clear" w:color="auto" w:fill="FFFFFF"/>
                  <w:noWrap w:val="0"/>
                  <w:vAlign w:val="center"/>
                </w:tcPr>
                <w:p w14:paraId="4ADDEB38">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43" w:type="pct"/>
                  <w:shd w:val="clear" w:color="auto" w:fill="FFFFFF"/>
                  <w:noWrap w:val="0"/>
                  <w:vAlign w:val="center"/>
                </w:tcPr>
                <w:p w14:paraId="29FC015C">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cs="Times New Roman"/>
                      <w:color w:val="auto"/>
                      <w:sz w:val="21"/>
                      <w:szCs w:val="21"/>
                      <w:lang w:val="en-US" w:eastAsia="zh-CN"/>
                    </w:rPr>
                  </w:pPr>
                  <w:r>
                    <w:rPr>
                      <w:rFonts w:hint="eastAsia" w:cs="Times New Roman"/>
                      <w:color w:val="auto"/>
                      <w:sz w:val="21"/>
                      <w:szCs w:val="21"/>
                      <w:lang w:val="en-US" w:eastAsia="zh-CN"/>
                    </w:rPr>
                    <w:t>50</w:t>
                  </w:r>
                </w:p>
              </w:tc>
              <w:tc>
                <w:tcPr>
                  <w:tcW w:w="365" w:type="pct"/>
                  <w:shd w:val="clear" w:color="auto" w:fill="FFFFFF"/>
                  <w:noWrap/>
                  <w:vAlign w:val="center"/>
                </w:tcPr>
                <w:p w14:paraId="0569D0DE">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eastAsia="等线" w:cs="Times New Roman"/>
                      <w:i w:val="0"/>
                      <w:color w:val="auto"/>
                      <w:kern w:val="0"/>
                      <w:sz w:val="21"/>
                      <w:szCs w:val="21"/>
                      <w:u w:val="none"/>
                      <w:lang w:val="en-US" w:eastAsia="zh-CN" w:bidi="ar"/>
                    </w:rPr>
                  </w:pPr>
                  <w:r>
                    <w:rPr>
                      <w:rFonts w:hint="eastAsia" w:eastAsia="等线" w:cs="Times New Roman"/>
                      <w:i w:val="0"/>
                      <w:color w:val="auto"/>
                      <w:kern w:val="0"/>
                      <w:sz w:val="21"/>
                      <w:szCs w:val="21"/>
                      <w:u w:val="none"/>
                      <w:lang w:val="en-US" w:eastAsia="zh-CN" w:bidi="ar"/>
                    </w:rPr>
                    <w:t>0.032</w:t>
                  </w:r>
                </w:p>
              </w:tc>
              <w:tc>
                <w:tcPr>
                  <w:tcW w:w="331" w:type="pct"/>
                  <w:vMerge w:val="continue"/>
                  <w:shd w:val="clear" w:color="auto" w:fill="FFFFFF"/>
                  <w:noWrap w:val="0"/>
                  <w:vAlign w:val="center"/>
                </w:tcPr>
                <w:p w14:paraId="64E22099">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253" w:type="pct"/>
                  <w:vMerge w:val="continue"/>
                  <w:shd w:val="clear" w:color="auto" w:fill="FFFFFF"/>
                  <w:noWrap w:val="0"/>
                  <w:vAlign w:val="center"/>
                </w:tcPr>
                <w:p w14:paraId="7EF1E097">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09" w:type="pct"/>
                  <w:shd w:val="clear" w:color="auto" w:fill="FFFFFF"/>
                  <w:noWrap/>
                  <w:vAlign w:val="center"/>
                </w:tcPr>
                <w:p w14:paraId="6042C100">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cs="Times New Roman"/>
                      <w:color w:val="auto"/>
                      <w:kern w:val="0"/>
                      <w:sz w:val="21"/>
                      <w:szCs w:val="21"/>
                      <w:lang w:val="en-US" w:eastAsia="zh-CN"/>
                    </w:rPr>
                  </w:pPr>
                  <w:r>
                    <w:rPr>
                      <w:rFonts w:hint="eastAsia" w:cs="Times New Roman"/>
                      <w:color w:val="auto"/>
                      <w:kern w:val="0"/>
                      <w:sz w:val="21"/>
                      <w:szCs w:val="21"/>
                      <w:lang w:val="en-US" w:eastAsia="zh-CN"/>
                    </w:rPr>
                    <w:t>/</w:t>
                  </w:r>
                </w:p>
              </w:tc>
              <w:tc>
                <w:tcPr>
                  <w:tcW w:w="337" w:type="pct"/>
                  <w:vMerge w:val="continue"/>
                  <w:shd w:val="clear" w:color="auto" w:fill="FFFFFF"/>
                  <w:noWrap w:val="0"/>
                  <w:vAlign w:val="center"/>
                </w:tcPr>
                <w:p w14:paraId="1C6CD61E">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88" w:type="pct"/>
                  <w:vMerge w:val="continue"/>
                  <w:shd w:val="clear" w:color="auto" w:fill="FFFFFF"/>
                  <w:noWrap w:val="0"/>
                  <w:vAlign w:val="center"/>
                </w:tcPr>
                <w:p w14:paraId="45DF68E4">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750" w:type="dxa"/>
                  <w:shd w:val="clear" w:color="auto" w:fill="FFFFFF"/>
                  <w:noWrap/>
                  <w:vAlign w:val="center"/>
                </w:tcPr>
                <w:p w14:paraId="29ED3EE6">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cs="Times New Roman"/>
                      <w:color w:val="auto"/>
                      <w:sz w:val="21"/>
                      <w:szCs w:val="21"/>
                      <w:lang w:val="en-US" w:eastAsia="zh-CN"/>
                    </w:rPr>
                  </w:pPr>
                  <w:r>
                    <w:rPr>
                      <w:rFonts w:hint="eastAsia" w:cs="Times New Roman"/>
                      <w:color w:val="auto"/>
                      <w:sz w:val="21"/>
                      <w:szCs w:val="21"/>
                      <w:lang w:val="en-US" w:eastAsia="zh-CN"/>
                    </w:rPr>
                    <w:t>50</w:t>
                  </w:r>
                </w:p>
              </w:tc>
              <w:tc>
                <w:tcPr>
                  <w:tcW w:w="990" w:type="dxa"/>
                  <w:shd w:val="clear" w:color="auto" w:fill="FFFFFF"/>
                  <w:noWrap/>
                  <w:vAlign w:val="center"/>
                </w:tcPr>
                <w:p w14:paraId="7FB45C02">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eastAsia="等线" w:cs="Times New Roman"/>
                      <w:i w:val="0"/>
                      <w:color w:val="auto"/>
                      <w:kern w:val="0"/>
                      <w:sz w:val="21"/>
                      <w:szCs w:val="21"/>
                      <w:u w:val="none"/>
                      <w:lang w:val="en-US" w:eastAsia="zh-CN" w:bidi="ar"/>
                    </w:rPr>
                  </w:pPr>
                  <w:r>
                    <w:rPr>
                      <w:rFonts w:hint="eastAsia" w:eastAsia="等线" w:cs="Times New Roman"/>
                      <w:i w:val="0"/>
                      <w:color w:val="auto"/>
                      <w:kern w:val="0"/>
                      <w:sz w:val="21"/>
                      <w:szCs w:val="21"/>
                      <w:u w:val="none"/>
                      <w:lang w:val="en-US" w:eastAsia="zh-CN" w:bidi="ar"/>
                    </w:rPr>
                    <w:t>0.032</w:t>
                  </w:r>
                </w:p>
              </w:tc>
              <w:tc>
                <w:tcPr>
                  <w:tcW w:w="336" w:type="pct"/>
                  <w:vMerge w:val="continue"/>
                  <w:shd w:val="clear" w:color="auto" w:fill="FFFFFF"/>
                  <w:noWrap/>
                  <w:vAlign w:val="center"/>
                </w:tcPr>
                <w:p w14:paraId="1D9DAB62">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66" w:type="pct"/>
                  <w:shd w:val="clear" w:color="auto" w:fill="FFFFFF"/>
                  <w:noWrap/>
                  <w:vAlign w:val="center"/>
                </w:tcPr>
                <w:p w14:paraId="5C18B767">
                  <w:pPr>
                    <w:pStyle w:val="95"/>
                    <w:keepNext w:val="0"/>
                    <w:keepLines w:val="0"/>
                    <w:pageBreakBefore w:val="0"/>
                    <w:kinsoku/>
                    <w:wordWrap/>
                    <w:overflowPunct/>
                    <w:topLinePunct w:val="0"/>
                    <w:autoSpaceDE/>
                    <w:autoSpaceDN/>
                    <w:bidi w:val="0"/>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60</w:t>
                  </w:r>
                </w:p>
              </w:tc>
            </w:tr>
          </w:tbl>
          <w:p w14:paraId="35315C7A">
            <w:pPr>
              <w:keepNext w:val="0"/>
              <w:keepLines w:val="0"/>
              <w:pageBreakBefore w:val="0"/>
              <w:widowControl w:val="0"/>
              <w:kinsoku/>
              <w:wordWrap/>
              <w:overflowPunct/>
              <w:topLinePunct w:val="0"/>
              <w:autoSpaceDE/>
              <w:autoSpaceDN/>
              <w:bidi w:val="0"/>
              <w:adjustRightInd w:val="0"/>
              <w:snapToGrid w:val="0"/>
              <w:spacing w:line="360" w:lineRule="auto"/>
              <w:ind w:firstLine="442" w:firstLineChars="200"/>
              <w:textAlignment w:val="auto"/>
              <w:rPr>
                <w:rFonts w:hint="default" w:ascii="Times New Roman" w:hAnsi="Times New Roman" w:cs="Times New Roman"/>
                <w:b/>
                <w:bCs/>
                <w:color w:val="auto"/>
                <w:spacing w:val="-10"/>
                <w:sz w:val="24"/>
              </w:rPr>
            </w:pPr>
            <w:r>
              <w:rPr>
                <w:rFonts w:hint="default" w:ascii="Times New Roman" w:hAnsi="Times New Roman" w:cs="Times New Roman"/>
                <w:b/>
                <w:bCs/>
                <w:color w:val="auto"/>
                <w:spacing w:val="-10"/>
                <w:sz w:val="24"/>
              </w:rPr>
              <w:t>2、排污口设置及监测计划</w:t>
            </w:r>
          </w:p>
          <w:p w14:paraId="041CF08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eastAsia="宋体" w:cs="Times New Roman"/>
                <w:bCs/>
                <w:sz w:val="24"/>
                <w:szCs w:val="24"/>
                <w:lang w:eastAsia="zh-CN"/>
              </w:rPr>
            </w:pPr>
            <w:r>
              <w:rPr>
                <w:rFonts w:hint="eastAsia" w:cs="Times New Roman"/>
                <w:bCs/>
                <w:sz w:val="24"/>
                <w:szCs w:val="24"/>
                <w:lang w:eastAsia="zh-CN"/>
              </w:rPr>
              <w:t>根据</w:t>
            </w:r>
            <w:r>
              <w:rPr>
                <w:rFonts w:hint="eastAsia"/>
                <w:color w:val="000000" w:themeColor="text1"/>
                <w:sz w:val="24"/>
                <w:szCs w:val="24"/>
                <w:highlight w:val="none"/>
                <w:lang w:val="en-US" w:eastAsia="zh-CN"/>
                <w14:textFill>
                  <w14:solidFill>
                    <w14:schemeClr w14:val="tx1"/>
                  </w14:solidFill>
                </w14:textFill>
              </w:rPr>
              <w:t>《排污单位自行监测技术指南 总则》（HJ1119-2020）、</w:t>
            </w:r>
            <w:r>
              <w:rPr>
                <w:rFonts w:hint="default" w:ascii="Times New Roman" w:hAnsi="Times New Roman" w:eastAsia="宋体" w:cs="Times New Roman"/>
                <w:color w:val="000000"/>
                <w:sz w:val="24"/>
                <w:szCs w:val="24"/>
                <w:highlight w:val="none"/>
              </w:rPr>
              <w:t xml:space="preserve">《排污许可证申请与核发技术规范 </w:t>
            </w:r>
            <w:r>
              <w:rPr>
                <w:rFonts w:hint="eastAsia" w:cs="Times New Roman"/>
                <w:color w:val="000000"/>
                <w:sz w:val="24"/>
                <w:szCs w:val="24"/>
                <w:highlight w:val="none"/>
                <w:lang w:val="en-US" w:eastAsia="zh-CN"/>
              </w:rPr>
              <w:t>医疗机构</w:t>
            </w:r>
            <w:r>
              <w:rPr>
                <w:rFonts w:hint="default" w:ascii="Times New Roman" w:hAnsi="Times New Roman" w:eastAsia="宋体" w:cs="Times New Roman"/>
                <w:color w:val="000000"/>
                <w:sz w:val="24"/>
                <w:szCs w:val="24"/>
                <w:highlight w:val="none"/>
              </w:rPr>
              <w:t>》（HJ</w:t>
            </w:r>
            <w:r>
              <w:rPr>
                <w:rFonts w:hint="eastAsia" w:cs="Times New Roman"/>
                <w:color w:val="000000"/>
                <w:sz w:val="24"/>
                <w:szCs w:val="24"/>
                <w:highlight w:val="none"/>
                <w:lang w:val="en-US" w:eastAsia="zh-CN"/>
              </w:rPr>
              <w:t>1105</w:t>
            </w:r>
            <w:r>
              <w:rPr>
                <w:rFonts w:hint="default" w:ascii="Times New Roman" w:hAnsi="Times New Roman" w:eastAsia="宋体" w:cs="Times New Roman"/>
                <w:color w:val="000000"/>
                <w:sz w:val="24"/>
                <w:szCs w:val="24"/>
                <w:highlight w:val="none"/>
              </w:rPr>
              <w:t>-20</w:t>
            </w:r>
            <w:r>
              <w:rPr>
                <w:rFonts w:hint="eastAsia" w:cs="Times New Roman"/>
                <w:color w:val="000000"/>
                <w:sz w:val="24"/>
                <w:szCs w:val="24"/>
                <w:highlight w:val="none"/>
                <w:lang w:val="en-US" w:eastAsia="zh-CN"/>
              </w:rPr>
              <w:t>20</w:t>
            </w:r>
            <w:r>
              <w:rPr>
                <w:rFonts w:hint="default" w:ascii="Times New Roman" w:hAnsi="Times New Roman" w:eastAsia="宋体" w:cs="Times New Roman"/>
                <w:color w:val="000000"/>
                <w:sz w:val="24"/>
                <w:szCs w:val="24"/>
                <w:highlight w:val="none"/>
              </w:rPr>
              <w:t>）</w:t>
            </w:r>
            <w:r>
              <w:rPr>
                <w:rFonts w:hint="default" w:ascii="Times New Roman" w:hAnsi="Times New Roman" w:eastAsia="宋体" w:cs="Times New Roman"/>
                <w:bCs/>
                <w:color w:val="auto"/>
                <w:sz w:val="24"/>
                <w:szCs w:val="24"/>
              </w:rPr>
              <w:t>，制定本项目</w:t>
            </w:r>
            <w:r>
              <w:rPr>
                <w:rFonts w:hint="eastAsia" w:ascii="Times New Roman" w:hAnsi="Times New Roman" w:eastAsia="宋体" w:cs="Times New Roman"/>
                <w:bCs/>
                <w:color w:val="auto"/>
                <w:sz w:val="24"/>
                <w:szCs w:val="24"/>
                <w:lang w:eastAsia="zh-CN"/>
              </w:rPr>
              <w:t>水污染物</w:t>
            </w:r>
            <w:r>
              <w:rPr>
                <w:rFonts w:hint="default" w:ascii="Times New Roman" w:hAnsi="Times New Roman" w:eastAsia="宋体" w:cs="Times New Roman"/>
                <w:bCs/>
                <w:color w:val="auto"/>
                <w:sz w:val="24"/>
                <w:szCs w:val="24"/>
              </w:rPr>
              <w:t>监测计划如下</w:t>
            </w:r>
            <w:r>
              <w:rPr>
                <w:rFonts w:hint="eastAsia" w:ascii="Times New Roman" w:hAnsi="Times New Roman" w:eastAsia="宋体" w:cs="Times New Roman"/>
                <w:bCs/>
                <w:color w:val="auto"/>
                <w:sz w:val="24"/>
                <w:szCs w:val="24"/>
                <w:lang w:eastAsia="zh-CN"/>
              </w:rPr>
              <w:t>：</w:t>
            </w:r>
          </w:p>
          <w:p w14:paraId="3683B3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kern w:val="0"/>
                <w:sz w:val="24"/>
              </w:rPr>
            </w:pPr>
            <w:r>
              <w:rPr>
                <w:rFonts w:hint="default" w:ascii="Times New Roman" w:hAnsi="Times New Roman" w:eastAsia="宋体" w:cs="Times New Roman"/>
                <w:b/>
                <w:kern w:val="0"/>
                <w:sz w:val="24"/>
              </w:rPr>
              <w:t>表4</w:t>
            </w:r>
            <w:r>
              <w:rPr>
                <w:rFonts w:hint="eastAsia" w:cs="Times New Roman"/>
                <w:b/>
                <w:kern w:val="0"/>
                <w:sz w:val="24"/>
                <w:lang w:val="en-US" w:eastAsia="zh-CN"/>
              </w:rPr>
              <w:t>-10</w:t>
            </w:r>
            <w:r>
              <w:rPr>
                <w:rFonts w:hint="default" w:ascii="Times New Roman" w:hAnsi="Times New Roman" w:eastAsia="宋体" w:cs="Times New Roman"/>
                <w:b/>
                <w:kern w:val="0"/>
                <w:sz w:val="24"/>
                <w:lang w:val="en-US" w:eastAsia="zh-CN"/>
              </w:rPr>
              <w:t xml:space="preserve"> </w:t>
            </w:r>
            <w:r>
              <w:rPr>
                <w:rFonts w:hint="default" w:ascii="Times New Roman" w:hAnsi="Times New Roman" w:eastAsia="宋体" w:cs="Times New Roman"/>
                <w:b/>
                <w:kern w:val="0"/>
                <w:sz w:val="24"/>
              </w:rPr>
              <w:t xml:space="preserve"> 项目排污口设置及水污染物监测计划</w:t>
            </w:r>
          </w:p>
          <w:tbl>
            <w:tblPr>
              <w:tblStyle w:val="27"/>
              <w:tblW w:w="13597" w:type="dxa"/>
              <w:jc w:val="center"/>
              <w:tblLayout w:type="fixed"/>
              <w:tblCellMar>
                <w:top w:w="0" w:type="dxa"/>
                <w:left w:w="108" w:type="dxa"/>
                <w:bottom w:w="0" w:type="dxa"/>
                <w:right w:w="108" w:type="dxa"/>
              </w:tblCellMar>
            </w:tblPr>
            <w:tblGrid>
              <w:gridCol w:w="933"/>
              <w:gridCol w:w="1178"/>
              <w:gridCol w:w="759"/>
              <w:gridCol w:w="1121"/>
              <w:gridCol w:w="1374"/>
              <w:gridCol w:w="1305"/>
              <w:gridCol w:w="1275"/>
              <w:gridCol w:w="1125"/>
              <w:gridCol w:w="1815"/>
              <w:gridCol w:w="1500"/>
              <w:gridCol w:w="1212"/>
            </w:tblGrid>
            <w:tr w14:paraId="7E353CBD">
              <w:tblPrEx>
                <w:tblCellMar>
                  <w:top w:w="0" w:type="dxa"/>
                  <w:left w:w="108" w:type="dxa"/>
                  <w:bottom w:w="0" w:type="dxa"/>
                  <w:right w:w="108" w:type="dxa"/>
                </w:tblCellMar>
              </w:tblPrEx>
              <w:trPr>
                <w:trHeight w:val="0" w:hRule="atLeast"/>
                <w:jc w:val="center"/>
              </w:trPr>
              <w:tc>
                <w:tcPr>
                  <w:tcW w:w="343" w:type="pct"/>
                  <w:vMerge w:val="restart"/>
                  <w:tcBorders>
                    <w:top w:val="single" w:color="000000" w:sz="8" w:space="0"/>
                    <w:left w:val="single" w:color="000000" w:sz="8" w:space="0"/>
                    <w:bottom w:val="single" w:color="000000" w:sz="8" w:space="0"/>
                    <w:right w:val="single" w:color="000000" w:sz="8" w:space="0"/>
                  </w:tcBorders>
                  <w:shd w:val="clear" w:color="000000" w:fill="FFFFFF"/>
                  <w:noWrap w:val="0"/>
                  <w:vAlign w:val="center"/>
                </w:tcPr>
                <w:p w14:paraId="71A3CC5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污染源类别</w:t>
                  </w:r>
                </w:p>
              </w:tc>
              <w:tc>
                <w:tcPr>
                  <w:tcW w:w="433" w:type="pct"/>
                  <w:vMerge w:val="restart"/>
                  <w:tcBorders>
                    <w:top w:val="single" w:color="000000" w:sz="8" w:space="0"/>
                    <w:left w:val="single" w:color="000000" w:sz="8" w:space="0"/>
                    <w:bottom w:val="single" w:color="000000" w:sz="8" w:space="0"/>
                    <w:right w:val="single" w:color="000000" w:sz="8" w:space="0"/>
                  </w:tcBorders>
                  <w:shd w:val="clear" w:color="000000" w:fill="FFFFFF"/>
                  <w:noWrap w:val="0"/>
                  <w:vAlign w:val="center"/>
                </w:tcPr>
                <w:p w14:paraId="70073BD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排放口编号及名称</w:t>
                  </w:r>
                </w:p>
              </w:tc>
              <w:tc>
                <w:tcPr>
                  <w:tcW w:w="279" w:type="pct"/>
                  <w:vMerge w:val="restart"/>
                  <w:tcBorders>
                    <w:top w:val="single" w:color="000000" w:sz="8" w:space="0"/>
                    <w:left w:val="single" w:color="000000" w:sz="8" w:space="0"/>
                    <w:bottom w:val="single" w:color="000000" w:sz="8" w:space="0"/>
                    <w:right w:val="single" w:color="000000" w:sz="8" w:space="0"/>
                  </w:tcBorders>
                  <w:shd w:val="clear" w:color="000000" w:fill="FFFFFF"/>
                  <w:noWrap w:val="0"/>
                  <w:vAlign w:val="center"/>
                </w:tcPr>
                <w:p w14:paraId="3363CD2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排放方式</w:t>
                  </w:r>
                </w:p>
              </w:tc>
              <w:tc>
                <w:tcPr>
                  <w:tcW w:w="412" w:type="pct"/>
                  <w:vMerge w:val="restart"/>
                  <w:tcBorders>
                    <w:top w:val="single" w:color="000000" w:sz="8" w:space="0"/>
                    <w:left w:val="single" w:color="000000" w:sz="8" w:space="0"/>
                    <w:bottom w:val="single" w:color="000000" w:sz="8" w:space="0"/>
                    <w:right w:val="single" w:color="000000" w:sz="8" w:space="0"/>
                  </w:tcBorders>
                  <w:shd w:val="clear" w:color="000000" w:fill="FFFFFF"/>
                  <w:noWrap w:val="0"/>
                  <w:vAlign w:val="center"/>
                </w:tcPr>
                <w:p w14:paraId="36013FA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排放去向</w:t>
                  </w:r>
                </w:p>
              </w:tc>
              <w:tc>
                <w:tcPr>
                  <w:tcW w:w="505" w:type="pct"/>
                  <w:vMerge w:val="restart"/>
                  <w:tcBorders>
                    <w:top w:val="single" w:color="000000" w:sz="8" w:space="0"/>
                    <w:left w:val="single" w:color="000000" w:sz="8" w:space="0"/>
                    <w:bottom w:val="single" w:color="000000" w:sz="8" w:space="0"/>
                    <w:right w:val="single" w:color="000000" w:sz="8" w:space="0"/>
                  </w:tcBorders>
                  <w:shd w:val="clear" w:color="000000" w:fill="FFFFFF"/>
                  <w:noWrap w:val="0"/>
                  <w:vAlign w:val="center"/>
                </w:tcPr>
                <w:p w14:paraId="33EF99B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排放规律</w:t>
                  </w:r>
                </w:p>
              </w:tc>
              <w:tc>
                <w:tcPr>
                  <w:tcW w:w="948" w:type="pct"/>
                  <w:gridSpan w:val="2"/>
                  <w:tcBorders>
                    <w:top w:val="single" w:color="000000" w:sz="8" w:space="0"/>
                    <w:left w:val="single" w:color="000000" w:sz="8" w:space="0"/>
                    <w:bottom w:val="single" w:color="000000" w:sz="8" w:space="0"/>
                    <w:right w:val="single" w:color="000000" w:sz="8" w:space="0"/>
                  </w:tcBorders>
                  <w:shd w:val="clear" w:color="000000" w:fill="FFFFFF"/>
                  <w:noWrap w:val="0"/>
                  <w:vAlign w:val="center"/>
                </w:tcPr>
                <w:p w14:paraId="3A37F8A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排放口情况</w:t>
                  </w:r>
                </w:p>
              </w:tc>
              <w:tc>
                <w:tcPr>
                  <w:tcW w:w="1632" w:type="pct"/>
                  <w:gridSpan w:val="3"/>
                  <w:tcBorders>
                    <w:top w:val="single" w:color="000000" w:sz="8" w:space="0"/>
                    <w:left w:val="single" w:color="000000" w:sz="8" w:space="0"/>
                    <w:bottom w:val="single" w:color="000000" w:sz="8" w:space="0"/>
                    <w:right w:val="single" w:color="000000" w:sz="8" w:space="0"/>
                  </w:tcBorders>
                  <w:shd w:val="clear" w:color="000000" w:fill="FFFFFF"/>
                  <w:noWrap w:val="0"/>
                  <w:vAlign w:val="center"/>
                </w:tcPr>
                <w:p w14:paraId="0B2077F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监测要求</w:t>
                  </w:r>
                </w:p>
              </w:tc>
              <w:tc>
                <w:tcPr>
                  <w:tcW w:w="445" w:type="pct"/>
                  <w:tcBorders>
                    <w:top w:val="single" w:color="000000" w:sz="8" w:space="0"/>
                    <w:left w:val="single" w:color="000000" w:sz="8" w:space="0"/>
                    <w:bottom w:val="single" w:color="000000" w:sz="8" w:space="0"/>
                    <w:right w:val="single" w:color="000000" w:sz="8" w:space="0"/>
                  </w:tcBorders>
                  <w:shd w:val="clear" w:color="000000" w:fill="FFFFFF"/>
                  <w:noWrap w:val="0"/>
                  <w:vAlign w:val="center"/>
                </w:tcPr>
                <w:p w14:paraId="1033D3B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排放标准</w:t>
                  </w:r>
                </w:p>
              </w:tc>
            </w:tr>
            <w:tr w14:paraId="48591206">
              <w:tblPrEx>
                <w:tblCellMar>
                  <w:top w:w="0" w:type="dxa"/>
                  <w:left w:w="108" w:type="dxa"/>
                  <w:bottom w:w="0" w:type="dxa"/>
                  <w:right w:w="108" w:type="dxa"/>
                </w:tblCellMar>
              </w:tblPrEx>
              <w:trPr>
                <w:trHeight w:val="0" w:hRule="atLeast"/>
                <w:jc w:val="center"/>
              </w:trPr>
              <w:tc>
                <w:tcPr>
                  <w:tcW w:w="343" w:type="pct"/>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CD9EC3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33" w:type="pct"/>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F850B0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279" w:type="pct"/>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FCA33E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12" w:type="pct"/>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71DEAF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505" w:type="pct"/>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34F4C6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79" w:type="pct"/>
                  <w:tcBorders>
                    <w:top w:val="single" w:color="000000" w:sz="8" w:space="0"/>
                    <w:left w:val="single" w:color="000000" w:sz="8" w:space="0"/>
                    <w:bottom w:val="single" w:color="000000" w:sz="8" w:space="0"/>
                    <w:right w:val="single" w:color="000000" w:sz="8" w:space="0"/>
                  </w:tcBorders>
                  <w:shd w:val="clear" w:color="000000" w:fill="FFFFFF"/>
                  <w:noWrap w:val="0"/>
                  <w:vAlign w:val="center"/>
                </w:tcPr>
                <w:p w14:paraId="4947648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坐标</w:t>
                  </w:r>
                </w:p>
              </w:tc>
              <w:tc>
                <w:tcPr>
                  <w:tcW w:w="468" w:type="pct"/>
                  <w:tcBorders>
                    <w:top w:val="single" w:color="000000" w:sz="8" w:space="0"/>
                    <w:left w:val="single" w:color="000000" w:sz="8" w:space="0"/>
                    <w:bottom w:val="single" w:color="000000" w:sz="8" w:space="0"/>
                    <w:right w:val="single" w:color="000000" w:sz="8" w:space="0"/>
                  </w:tcBorders>
                  <w:shd w:val="clear" w:color="000000" w:fill="FFFFFF"/>
                  <w:noWrap w:val="0"/>
                  <w:vAlign w:val="center"/>
                </w:tcPr>
                <w:p w14:paraId="67EE953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类型</w:t>
                  </w:r>
                </w:p>
              </w:tc>
              <w:tc>
                <w:tcPr>
                  <w:tcW w:w="413" w:type="pct"/>
                  <w:tcBorders>
                    <w:top w:val="single" w:color="000000" w:sz="8" w:space="0"/>
                    <w:left w:val="single" w:color="000000" w:sz="8" w:space="0"/>
                    <w:bottom w:val="single" w:color="000000" w:sz="8" w:space="0"/>
                    <w:right w:val="single" w:color="000000" w:sz="8" w:space="0"/>
                  </w:tcBorders>
                  <w:shd w:val="clear" w:color="000000" w:fill="FFFFFF"/>
                  <w:noWrap w:val="0"/>
                  <w:vAlign w:val="center"/>
                </w:tcPr>
                <w:p w14:paraId="4FE7440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监测点位</w:t>
                  </w:r>
                </w:p>
              </w:tc>
              <w:tc>
                <w:tcPr>
                  <w:tcW w:w="667" w:type="pct"/>
                  <w:tcBorders>
                    <w:top w:val="single" w:color="000000" w:sz="8" w:space="0"/>
                    <w:left w:val="single" w:color="000000" w:sz="8" w:space="0"/>
                    <w:bottom w:val="single" w:color="000000" w:sz="8" w:space="0"/>
                    <w:right w:val="single" w:color="000000" w:sz="8" w:space="0"/>
                  </w:tcBorders>
                  <w:shd w:val="clear" w:color="000000" w:fill="FFFFFF"/>
                  <w:noWrap w:val="0"/>
                  <w:vAlign w:val="center"/>
                </w:tcPr>
                <w:p w14:paraId="218B61D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监测因子</w:t>
                  </w:r>
                </w:p>
              </w:tc>
              <w:tc>
                <w:tcPr>
                  <w:tcW w:w="551" w:type="pct"/>
                  <w:tcBorders>
                    <w:top w:val="single" w:color="000000" w:sz="8" w:space="0"/>
                    <w:left w:val="single" w:color="000000" w:sz="8" w:space="0"/>
                    <w:bottom w:val="single" w:color="000000" w:sz="8" w:space="0"/>
                    <w:right w:val="single" w:color="000000" w:sz="8" w:space="0"/>
                  </w:tcBorders>
                  <w:shd w:val="clear" w:color="000000" w:fill="FFFFFF"/>
                  <w:noWrap w:val="0"/>
                  <w:vAlign w:val="center"/>
                </w:tcPr>
                <w:p w14:paraId="6B915E1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监测频次</w:t>
                  </w:r>
                </w:p>
              </w:tc>
              <w:tc>
                <w:tcPr>
                  <w:tcW w:w="445" w:type="pct"/>
                  <w:tcBorders>
                    <w:top w:val="single" w:color="000000" w:sz="8" w:space="0"/>
                    <w:left w:val="single" w:color="000000" w:sz="8" w:space="0"/>
                    <w:bottom w:val="single" w:color="000000" w:sz="8" w:space="0"/>
                    <w:right w:val="single" w:color="000000" w:sz="8" w:space="0"/>
                  </w:tcBorders>
                  <w:shd w:val="clear" w:color="000000" w:fill="FFFFFF"/>
                  <w:noWrap w:val="0"/>
                  <w:vAlign w:val="center"/>
                </w:tcPr>
                <w:p w14:paraId="4B5AEA8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浓度限值（mg/L）</w:t>
                  </w:r>
                </w:p>
              </w:tc>
            </w:tr>
            <w:tr w14:paraId="3D98EB86">
              <w:tblPrEx>
                <w:tblCellMar>
                  <w:top w:w="0" w:type="dxa"/>
                  <w:left w:w="108" w:type="dxa"/>
                  <w:bottom w:w="0" w:type="dxa"/>
                  <w:right w:w="108" w:type="dxa"/>
                </w:tblCellMar>
              </w:tblPrEx>
              <w:trPr>
                <w:trHeight w:val="0" w:hRule="atLeast"/>
                <w:jc w:val="center"/>
              </w:trPr>
              <w:tc>
                <w:tcPr>
                  <w:tcW w:w="343" w:type="pct"/>
                  <w:vMerge w:val="restart"/>
                  <w:tcBorders>
                    <w:top w:val="single" w:color="000000" w:sz="8" w:space="0"/>
                    <w:left w:val="single" w:color="000000" w:sz="8" w:space="0"/>
                    <w:right w:val="single" w:color="000000" w:sz="8" w:space="0"/>
                  </w:tcBorders>
                  <w:shd w:val="clear" w:color="auto" w:fill="FFFFFF"/>
                  <w:noWrap w:val="0"/>
                  <w:vAlign w:val="center"/>
                </w:tcPr>
                <w:p w14:paraId="72DC659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废水</w:t>
                  </w:r>
                </w:p>
              </w:tc>
              <w:tc>
                <w:tcPr>
                  <w:tcW w:w="433" w:type="pct"/>
                  <w:vMerge w:val="restart"/>
                  <w:tcBorders>
                    <w:top w:val="single" w:color="000000" w:sz="8" w:space="0"/>
                    <w:left w:val="single" w:color="000000" w:sz="8" w:space="0"/>
                    <w:right w:val="single" w:color="000000" w:sz="8" w:space="0"/>
                  </w:tcBorders>
                  <w:shd w:val="clear" w:color="auto" w:fill="FFFFFF"/>
                  <w:noWrap w:val="0"/>
                  <w:vAlign w:val="center"/>
                </w:tcPr>
                <w:p w14:paraId="186DD42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2"/>
                      <w:szCs w:val="22"/>
                      <w:lang w:val="en-US" w:eastAsia="zh-CN"/>
                    </w:rPr>
                    <w:t>DW0</w:t>
                  </w:r>
                  <w:r>
                    <w:rPr>
                      <w:rFonts w:hint="default" w:ascii="Times New Roman" w:hAnsi="Times New Roman" w:eastAsia="宋体" w:cs="Times New Roman"/>
                      <w:color w:val="000000"/>
                      <w:kern w:val="0"/>
                      <w:sz w:val="22"/>
                      <w:szCs w:val="22"/>
                    </w:rPr>
                    <w:t>01</w:t>
                  </w:r>
                </w:p>
              </w:tc>
              <w:tc>
                <w:tcPr>
                  <w:tcW w:w="279" w:type="pct"/>
                  <w:vMerge w:val="restart"/>
                  <w:tcBorders>
                    <w:top w:val="single" w:color="000000" w:sz="8" w:space="0"/>
                    <w:left w:val="single" w:color="000000" w:sz="8" w:space="0"/>
                    <w:right w:val="single" w:color="000000" w:sz="8" w:space="0"/>
                  </w:tcBorders>
                  <w:shd w:val="clear" w:color="auto" w:fill="FFFFFF"/>
                  <w:noWrap w:val="0"/>
                  <w:vAlign w:val="center"/>
                </w:tcPr>
                <w:p w14:paraId="05EFEEC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间接排放</w:t>
                  </w:r>
                </w:p>
              </w:tc>
              <w:tc>
                <w:tcPr>
                  <w:tcW w:w="412" w:type="pct"/>
                  <w:vMerge w:val="restart"/>
                  <w:tcBorders>
                    <w:top w:val="single" w:color="000000" w:sz="8" w:space="0"/>
                    <w:left w:val="single" w:color="000000" w:sz="8" w:space="0"/>
                    <w:right w:val="single" w:color="000000" w:sz="8" w:space="0"/>
                  </w:tcBorders>
                  <w:shd w:val="clear" w:color="auto" w:fill="FFFFFF"/>
                  <w:noWrap w:val="0"/>
                  <w:vAlign w:val="center"/>
                </w:tcPr>
                <w:p w14:paraId="38BEBD7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eastAsia" w:cs="Times New Roman"/>
                      <w:color w:val="000000"/>
                      <w:kern w:val="0"/>
                      <w:sz w:val="21"/>
                      <w:szCs w:val="21"/>
                      <w:lang w:val="en-US" w:eastAsia="zh-CN"/>
                    </w:rPr>
                    <w:t>潘集污水处理厂</w:t>
                  </w:r>
                </w:p>
              </w:tc>
              <w:tc>
                <w:tcPr>
                  <w:tcW w:w="505" w:type="pct"/>
                  <w:vMerge w:val="restart"/>
                  <w:tcBorders>
                    <w:top w:val="single" w:color="000000" w:sz="8" w:space="0"/>
                    <w:left w:val="single" w:color="000000" w:sz="8" w:space="0"/>
                    <w:right w:val="single" w:color="000000" w:sz="8" w:space="0"/>
                  </w:tcBorders>
                  <w:shd w:val="clear" w:color="auto" w:fill="FFFFFF"/>
                  <w:noWrap w:val="0"/>
                  <w:vAlign w:val="center"/>
                </w:tcPr>
                <w:p w14:paraId="4213C67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间断排放，排放期间流量不稳定，但有周期性规律</w:t>
                  </w:r>
                </w:p>
              </w:tc>
              <w:tc>
                <w:tcPr>
                  <w:tcW w:w="479" w:type="pct"/>
                  <w:vMerge w:val="restart"/>
                  <w:tcBorders>
                    <w:top w:val="single" w:color="000000" w:sz="8" w:space="0"/>
                    <w:left w:val="single" w:color="000000" w:sz="8" w:space="0"/>
                    <w:right w:val="single" w:color="000000" w:sz="8" w:space="0"/>
                  </w:tcBorders>
                  <w:shd w:val="clear" w:color="auto" w:fill="FFFFFF"/>
                  <w:noWrap w:val="0"/>
                  <w:vAlign w:val="center"/>
                </w:tcPr>
                <w:p w14:paraId="2EF704E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E</w:t>
                  </w:r>
                  <w:r>
                    <w:rPr>
                      <w:rFonts w:hint="default" w:ascii="Times New Roman" w:hAnsi="Times New Roman" w:eastAsia="宋体" w:cs="Times New Roman"/>
                      <w:color w:val="auto"/>
                      <w:kern w:val="0"/>
                      <w:sz w:val="21"/>
                      <w:szCs w:val="21"/>
                    </w:rPr>
                    <w:t>116.82602</w:t>
                  </w:r>
                </w:p>
                <w:p w14:paraId="0148C05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N</w:t>
                  </w:r>
                  <w:r>
                    <w:rPr>
                      <w:rFonts w:hint="default" w:ascii="Times New Roman" w:hAnsi="Times New Roman" w:eastAsia="宋体" w:cs="Times New Roman"/>
                      <w:color w:val="auto"/>
                      <w:kern w:val="0"/>
                      <w:sz w:val="21"/>
                      <w:szCs w:val="21"/>
                    </w:rPr>
                    <w:t>32.77202</w:t>
                  </w:r>
                </w:p>
              </w:tc>
              <w:tc>
                <w:tcPr>
                  <w:tcW w:w="468" w:type="pct"/>
                  <w:vMerge w:val="restart"/>
                  <w:tcBorders>
                    <w:top w:val="single" w:color="000000" w:sz="8" w:space="0"/>
                    <w:left w:val="single" w:color="000000" w:sz="8" w:space="0"/>
                    <w:right w:val="single" w:color="000000" w:sz="8" w:space="0"/>
                  </w:tcBorders>
                  <w:shd w:val="clear" w:color="auto" w:fill="FFFFFF"/>
                  <w:noWrap w:val="0"/>
                  <w:vAlign w:val="center"/>
                </w:tcPr>
                <w:p w14:paraId="329E475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一般排放口</w:t>
                  </w:r>
                </w:p>
              </w:tc>
              <w:tc>
                <w:tcPr>
                  <w:tcW w:w="413" w:type="pct"/>
                  <w:vMerge w:val="restart"/>
                  <w:tcBorders>
                    <w:top w:val="single" w:color="000000" w:sz="8" w:space="0"/>
                    <w:left w:val="single" w:color="000000" w:sz="8" w:space="0"/>
                    <w:right w:val="single" w:color="000000" w:sz="8" w:space="0"/>
                  </w:tcBorders>
                  <w:shd w:val="clear" w:color="auto" w:fill="FFFFFF"/>
                  <w:noWrap w:val="0"/>
                  <w:vAlign w:val="center"/>
                </w:tcPr>
                <w:p w14:paraId="36F4DE2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2"/>
                      <w:szCs w:val="22"/>
                      <w:lang w:val="en-US" w:eastAsia="zh-CN"/>
                    </w:rPr>
                    <w:t>DW0</w:t>
                  </w:r>
                  <w:r>
                    <w:rPr>
                      <w:rFonts w:hint="default" w:ascii="Times New Roman" w:hAnsi="Times New Roman" w:eastAsia="宋体" w:cs="Times New Roman"/>
                      <w:color w:val="000000"/>
                      <w:kern w:val="0"/>
                      <w:sz w:val="22"/>
                      <w:szCs w:val="22"/>
                    </w:rPr>
                    <w:t>01</w:t>
                  </w:r>
                </w:p>
              </w:tc>
              <w:tc>
                <w:tcPr>
                  <w:tcW w:w="667"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E67D8F0">
                  <w:pPr>
                    <w:pStyle w:val="120"/>
                    <w:bidi w:val="0"/>
                    <w:ind w:firstLine="0" w:firstLineChars="0"/>
                    <w:jc w:val="center"/>
                    <w:rPr>
                      <w:rFonts w:hint="eastAsia" w:ascii="Times New Roman" w:hAnsi="Times New Roman" w:eastAsia="宋体" w:cs="Times New Roman"/>
                      <w:color w:val="000000"/>
                      <w:kern w:val="0"/>
                      <w:sz w:val="21"/>
                      <w:szCs w:val="21"/>
                      <w:lang w:val="en-US" w:eastAsia="zh-CN"/>
                    </w:rPr>
                  </w:pPr>
                  <w:r>
                    <w:rPr>
                      <w:rFonts w:hint="default"/>
                      <w:color w:val="auto"/>
                      <w:highlight w:val="none"/>
                      <w:lang w:val="en-US" w:eastAsia="zh-CN"/>
                    </w:rPr>
                    <w:t>pH</w:t>
                  </w:r>
                </w:p>
              </w:tc>
              <w:tc>
                <w:tcPr>
                  <w:tcW w:w="551"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45D15D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rPr>
                    <w:t>1次/</w:t>
                  </w:r>
                  <w:r>
                    <w:rPr>
                      <w:rFonts w:hint="eastAsia" w:cs="Times New Roman"/>
                      <w:color w:val="000000"/>
                      <w:kern w:val="0"/>
                      <w:sz w:val="21"/>
                      <w:szCs w:val="21"/>
                      <w:lang w:val="en-US" w:eastAsia="zh-CN"/>
                    </w:rPr>
                    <w:t>12小时</w:t>
                  </w:r>
                </w:p>
              </w:tc>
              <w:tc>
                <w:tcPr>
                  <w:tcW w:w="445"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FE402CE">
                  <w:pPr>
                    <w:pStyle w:val="95"/>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000000"/>
                      <w:kern w:val="0"/>
                      <w:sz w:val="21"/>
                      <w:szCs w:val="21"/>
                      <w:lang w:val="en-US" w:eastAsia="zh-CN"/>
                    </w:rPr>
                  </w:pPr>
                  <w:r>
                    <w:rPr>
                      <w:rFonts w:hint="eastAsia"/>
                      <w:color w:val="auto"/>
                      <w:sz w:val="21"/>
                      <w:szCs w:val="21"/>
                      <w:highlight w:val="none"/>
                      <w:lang w:val="en-US" w:eastAsia="zh-CN"/>
                    </w:rPr>
                    <w:t>6-9</w:t>
                  </w:r>
                </w:p>
              </w:tc>
            </w:tr>
            <w:tr w14:paraId="76F7D3FC">
              <w:tblPrEx>
                <w:tblCellMar>
                  <w:top w:w="0" w:type="dxa"/>
                  <w:left w:w="108" w:type="dxa"/>
                  <w:bottom w:w="0" w:type="dxa"/>
                  <w:right w:w="108" w:type="dxa"/>
                </w:tblCellMar>
              </w:tblPrEx>
              <w:trPr>
                <w:trHeight w:val="0" w:hRule="atLeast"/>
                <w:jc w:val="center"/>
              </w:trPr>
              <w:tc>
                <w:tcPr>
                  <w:tcW w:w="343" w:type="pct"/>
                  <w:vMerge w:val="continue"/>
                  <w:tcBorders>
                    <w:left w:val="single" w:color="000000" w:sz="8" w:space="0"/>
                    <w:right w:val="single" w:color="000000" w:sz="8" w:space="0"/>
                  </w:tcBorders>
                  <w:shd w:val="clear" w:color="auto" w:fill="FFFFFF"/>
                  <w:noWrap w:val="0"/>
                  <w:vAlign w:val="center"/>
                </w:tcPr>
                <w:p w14:paraId="6816299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33" w:type="pct"/>
                  <w:vMerge w:val="continue"/>
                  <w:tcBorders>
                    <w:left w:val="single" w:color="000000" w:sz="8" w:space="0"/>
                    <w:right w:val="single" w:color="000000" w:sz="8" w:space="0"/>
                  </w:tcBorders>
                  <w:shd w:val="clear" w:color="auto" w:fill="FFFFFF"/>
                  <w:noWrap w:val="0"/>
                  <w:vAlign w:val="center"/>
                </w:tcPr>
                <w:p w14:paraId="0ED994D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2"/>
                      <w:szCs w:val="22"/>
                      <w:lang w:val="en-US" w:eastAsia="zh-CN"/>
                    </w:rPr>
                  </w:pPr>
                </w:p>
              </w:tc>
              <w:tc>
                <w:tcPr>
                  <w:tcW w:w="279" w:type="pct"/>
                  <w:vMerge w:val="continue"/>
                  <w:tcBorders>
                    <w:left w:val="single" w:color="000000" w:sz="8" w:space="0"/>
                    <w:right w:val="single" w:color="000000" w:sz="8" w:space="0"/>
                  </w:tcBorders>
                  <w:shd w:val="clear" w:color="auto" w:fill="FFFFFF"/>
                  <w:noWrap w:val="0"/>
                  <w:vAlign w:val="center"/>
                </w:tcPr>
                <w:p w14:paraId="55D2BC5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12" w:type="pct"/>
                  <w:vMerge w:val="continue"/>
                  <w:tcBorders>
                    <w:left w:val="single" w:color="000000" w:sz="8" w:space="0"/>
                    <w:right w:val="single" w:color="000000" w:sz="8" w:space="0"/>
                  </w:tcBorders>
                  <w:shd w:val="clear" w:color="auto" w:fill="FFFFFF"/>
                  <w:noWrap w:val="0"/>
                  <w:vAlign w:val="center"/>
                </w:tcPr>
                <w:p w14:paraId="4DCA4C5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000000"/>
                      <w:kern w:val="0"/>
                      <w:sz w:val="21"/>
                      <w:szCs w:val="21"/>
                      <w:lang w:val="en-US" w:eastAsia="zh-CN"/>
                    </w:rPr>
                  </w:pPr>
                </w:p>
              </w:tc>
              <w:tc>
                <w:tcPr>
                  <w:tcW w:w="505" w:type="pct"/>
                  <w:vMerge w:val="continue"/>
                  <w:tcBorders>
                    <w:left w:val="single" w:color="000000" w:sz="8" w:space="0"/>
                    <w:right w:val="single" w:color="000000" w:sz="8" w:space="0"/>
                  </w:tcBorders>
                  <w:shd w:val="clear" w:color="auto" w:fill="FFFFFF"/>
                  <w:noWrap w:val="0"/>
                  <w:vAlign w:val="center"/>
                </w:tcPr>
                <w:p w14:paraId="14EAF13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79" w:type="pct"/>
                  <w:vMerge w:val="continue"/>
                  <w:tcBorders>
                    <w:left w:val="single" w:color="000000" w:sz="8" w:space="0"/>
                    <w:right w:val="single" w:color="000000" w:sz="8" w:space="0"/>
                  </w:tcBorders>
                  <w:shd w:val="clear" w:color="auto" w:fill="FFFFFF"/>
                  <w:noWrap w:val="0"/>
                  <w:vAlign w:val="center"/>
                </w:tcPr>
                <w:p w14:paraId="01E4995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lang w:val="en-US" w:eastAsia="zh-CN"/>
                    </w:rPr>
                  </w:pPr>
                </w:p>
              </w:tc>
              <w:tc>
                <w:tcPr>
                  <w:tcW w:w="468" w:type="pct"/>
                  <w:vMerge w:val="continue"/>
                  <w:tcBorders>
                    <w:left w:val="single" w:color="000000" w:sz="8" w:space="0"/>
                    <w:right w:val="single" w:color="000000" w:sz="8" w:space="0"/>
                  </w:tcBorders>
                  <w:shd w:val="clear" w:color="auto" w:fill="FFFFFF"/>
                  <w:noWrap w:val="0"/>
                  <w:vAlign w:val="center"/>
                </w:tcPr>
                <w:p w14:paraId="68F508A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rPr>
                  </w:pPr>
                </w:p>
              </w:tc>
              <w:tc>
                <w:tcPr>
                  <w:tcW w:w="413" w:type="pct"/>
                  <w:vMerge w:val="continue"/>
                  <w:tcBorders>
                    <w:left w:val="single" w:color="000000" w:sz="8" w:space="0"/>
                    <w:right w:val="single" w:color="000000" w:sz="8" w:space="0"/>
                  </w:tcBorders>
                  <w:shd w:val="clear" w:color="auto" w:fill="FFFFFF"/>
                  <w:noWrap w:val="0"/>
                  <w:vAlign w:val="center"/>
                </w:tcPr>
                <w:p w14:paraId="55BBB77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2"/>
                      <w:szCs w:val="22"/>
                      <w:lang w:val="en-US" w:eastAsia="zh-CN"/>
                    </w:rPr>
                  </w:pPr>
                </w:p>
              </w:tc>
              <w:tc>
                <w:tcPr>
                  <w:tcW w:w="667"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99B2CF5">
                  <w:pPr>
                    <w:pStyle w:val="120"/>
                    <w:bidi w:val="0"/>
                    <w:ind w:firstLine="0" w:firstLineChars="0"/>
                    <w:jc w:val="center"/>
                    <w:rPr>
                      <w:rFonts w:hint="eastAsia" w:ascii="Times New Roman" w:hAnsi="Times New Roman" w:eastAsia="宋体" w:cs="Times New Roman"/>
                      <w:color w:val="000000"/>
                      <w:kern w:val="0"/>
                      <w:sz w:val="21"/>
                      <w:szCs w:val="21"/>
                      <w:lang w:val="en-US" w:eastAsia="zh-CN"/>
                    </w:rPr>
                  </w:pPr>
                  <w:r>
                    <w:rPr>
                      <w:rFonts w:hint="default"/>
                      <w:color w:val="auto"/>
                      <w:highlight w:val="none"/>
                      <w:lang w:val="en-US" w:eastAsia="zh-CN"/>
                    </w:rPr>
                    <w:t>COD</w:t>
                  </w:r>
                </w:p>
              </w:tc>
              <w:tc>
                <w:tcPr>
                  <w:tcW w:w="551"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519898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eastAsia" w:cs="Times New Roman"/>
                      <w:color w:val="000000"/>
                      <w:kern w:val="0"/>
                      <w:sz w:val="21"/>
                      <w:szCs w:val="21"/>
                      <w:lang w:val="en-US" w:eastAsia="zh-CN"/>
                    </w:rPr>
                    <w:t>自动在线监测</w:t>
                  </w:r>
                </w:p>
              </w:tc>
              <w:tc>
                <w:tcPr>
                  <w:tcW w:w="445"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887B305">
                  <w:pPr>
                    <w:pStyle w:val="95"/>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000000"/>
                      <w:kern w:val="0"/>
                      <w:sz w:val="21"/>
                      <w:szCs w:val="21"/>
                      <w:lang w:val="en-US" w:eastAsia="zh-CN"/>
                    </w:rPr>
                  </w:pPr>
                  <w:r>
                    <w:rPr>
                      <w:rFonts w:hint="eastAsia"/>
                      <w:color w:val="auto"/>
                      <w:sz w:val="21"/>
                      <w:szCs w:val="21"/>
                      <w:highlight w:val="none"/>
                      <w:lang w:val="en-US" w:eastAsia="zh-CN"/>
                    </w:rPr>
                    <w:t>250</w:t>
                  </w:r>
                </w:p>
              </w:tc>
            </w:tr>
            <w:tr w14:paraId="38CC65CF">
              <w:tblPrEx>
                <w:tblCellMar>
                  <w:top w:w="0" w:type="dxa"/>
                  <w:left w:w="108" w:type="dxa"/>
                  <w:bottom w:w="0" w:type="dxa"/>
                  <w:right w:w="108" w:type="dxa"/>
                </w:tblCellMar>
              </w:tblPrEx>
              <w:trPr>
                <w:trHeight w:val="0" w:hRule="atLeast"/>
                <w:jc w:val="center"/>
              </w:trPr>
              <w:tc>
                <w:tcPr>
                  <w:tcW w:w="343" w:type="pct"/>
                  <w:vMerge w:val="continue"/>
                  <w:tcBorders>
                    <w:left w:val="single" w:color="000000" w:sz="8" w:space="0"/>
                    <w:right w:val="single" w:color="000000" w:sz="8" w:space="0"/>
                  </w:tcBorders>
                  <w:shd w:val="clear" w:color="auto" w:fill="FFFFFF"/>
                  <w:noWrap w:val="0"/>
                  <w:vAlign w:val="center"/>
                </w:tcPr>
                <w:p w14:paraId="77BC7E7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33" w:type="pct"/>
                  <w:vMerge w:val="continue"/>
                  <w:tcBorders>
                    <w:left w:val="single" w:color="000000" w:sz="8" w:space="0"/>
                    <w:right w:val="single" w:color="000000" w:sz="8" w:space="0"/>
                  </w:tcBorders>
                  <w:shd w:val="clear" w:color="auto" w:fill="FFFFFF"/>
                  <w:noWrap w:val="0"/>
                  <w:vAlign w:val="center"/>
                </w:tcPr>
                <w:p w14:paraId="57F858C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2"/>
                      <w:szCs w:val="22"/>
                      <w:lang w:val="en-US" w:eastAsia="zh-CN"/>
                    </w:rPr>
                  </w:pPr>
                </w:p>
              </w:tc>
              <w:tc>
                <w:tcPr>
                  <w:tcW w:w="279" w:type="pct"/>
                  <w:vMerge w:val="continue"/>
                  <w:tcBorders>
                    <w:left w:val="single" w:color="000000" w:sz="8" w:space="0"/>
                    <w:right w:val="single" w:color="000000" w:sz="8" w:space="0"/>
                  </w:tcBorders>
                  <w:shd w:val="clear" w:color="auto" w:fill="FFFFFF"/>
                  <w:noWrap w:val="0"/>
                  <w:vAlign w:val="center"/>
                </w:tcPr>
                <w:p w14:paraId="2E0A797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12" w:type="pct"/>
                  <w:vMerge w:val="continue"/>
                  <w:tcBorders>
                    <w:left w:val="single" w:color="000000" w:sz="8" w:space="0"/>
                    <w:right w:val="single" w:color="000000" w:sz="8" w:space="0"/>
                  </w:tcBorders>
                  <w:shd w:val="clear" w:color="auto" w:fill="FFFFFF"/>
                  <w:noWrap w:val="0"/>
                  <w:vAlign w:val="center"/>
                </w:tcPr>
                <w:p w14:paraId="0773954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000000"/>
                      <w:kern w:val="0"/>
                      <w:sz w:val="21"/>
                      <w:szCs w:val="21"/>
                      <w:lang w:val="en-US" w:eastAsia="zh-CN"/>
                    </w:rPr>
                  </w:pPr>
                </w:p>
              </w:tc>
              <w:tc>
                <w:tcPr>
                  <w:tcW w:w="505" w:type="pct"/>
                  <w:vMerge w:val="continue"/>
                  <w:tcBorders>
                    <w:left w:val="single" w:color="000000" w:sz="8" w:space="0"/>
                    <w:right w:val="single" w:color="000000" w:sz="8" w:space="0"/>
                  </w:tcBorders>
                  <w:shd w:val="clear" w:color="auto" w:fill="FFFFFF"/>
                  <w:noWrap w:val="0"/>
                  <w:vAlign w:val="center"/>
                </w:tcPr>
                <w:p w14:paraId="08558C2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79" w:type="pct"/>
                  <w:vMerge w:val="continue"/>
                  <w:tcBorders>
                    <w:left w:val="single" w:color="000000" w:sz="8" w:space="0"/>
                    <w:right w:val="single" w:color="000000" w:sz="8" w:space="0"/>
                  </w:tcBorders>
                  <w:shd w:val="clear" w:color="auto" w:fill="FFFFFF"/>
                  <w:noWrap w:val="0"/>
                  <w:vAlign w:val="center"/>
                </w:tcPr>
                <w:p w14:paraId="02D0242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lang w:val="en-US" w:eastAsia="zh-CN"/>
                    </w:rPr>
                  </w:pPr>
                </w:p>
              </w:tc>
              <w:tc>
                <w:tcPr>
                  <w:tcW w:w="468" w:type="pct"/>
                  <w:vMerge w:val="continue"/>
                  <w:tcBorders>
                    <w:left w:val="single" w:color="000000" w:sz="8" w:space="0"/>
                    <w:right w:val="single" w:color="000000" w:sz="8" w:space="0"/>
                  </w:tcBorders>
                  <w:shd w:val="clear" w:color="auto" w:fill="FFFFFF"/>
                  <w:noWrap w:val="0"/>
                  <w:vAlign w:val="center"/>
                </w:tcPr>
                <w:p w14:paraId="37BA930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rPr>
                  </w:pPr>
                </w:p>
              </w:tc>
              <w:tc>
                <w:tcPr>
                  <w:tcW w:w="413" w:type="pct"/>
                  <w:vMerge w:val="continue"/>
                  <w:tcBorders>
                    <w:left w:val="single" w:color="000000" w:sz="8" w:space="0"/>
                    <w:right w:val="single" w:color="000000" w:sz="8" w:space="0"/>
                  </w:tcBorders>
                  <w:shd w:val="clear" w:color="auto" w:fill="FFFFFF"/>
                  <w:noWrap w:val="0"/>
                  <w:vAlign w:val="center"/>
                </w:tcPr>
                <w:p w14:paraId="2895D8F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2"/>
                      <w:szCs w:val="22"/>
                      <w:lang w:val="en-US" w:eastAsia="zh-CN"/>
                    </w:rPr>
                  </w:pPr>
                </w:p>
              </w:tc>
              <w:tc>
                <w:tcPr>
                  <w:tcW w:w="667"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4C8BDC6">
                  <w:pPr>
                    <w:pStyle w:val="120"/>
                    <w:bidi w:val="0"/>
                    <w:ind w:firstLine="0" w:firstLineChars="0"/>
                    <w:jc w:val="center"/>
                    <w:rPr>
                      <w:rFonts w:hint="eastAsia" w:ascii="Times New Roman" w:hAnsi="Times New Roman" w:eastAsia="宋体" w:cs="Times New Roman"/>
                      <w:color w:val="000000"/>
                      <w:kern w:val="0"/>
                      <w:sz w:val="21"/>
                      <w:szCs w:val="21"/>
                      <w:lang w:val="en-US" w:eastAsia="zh-CN"/>
                    </w:rPr>
                  </w:pPr>
                  <w:r>
                    <w:rPr>
                      <w:rFonts w:hint="default"/>
                      <w:color w:val="auto"/>
                      <w:highlight w:val="none"/>
                      <w:lang w:val="en-US" w:eastAsia="zh-CN"/>
                    </w:rPr>
                    <w:t>BOD</w:t>
                  </w:r>
                  <w:r>
                    <w:rPr>
                      <w:rFonts w:hint="default"/>
                      <w:color w:val="auto"/>
                      <w:highlight w:val="none"/>
                      <w:vertAlign w:val="subscript"/>
                      <w:lang w:val="en-US" w:eastAsia="zh-CN"/>
                    </w:rPr>
                    <w:t>5</w:t>
                  </w:r>
                </w:p>
              </w:tc>
              <w:tc>
                <w:tcPr>
                  <w:tcW w:w="551"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90EC91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eastAsia" w:cs="Times New Roman"/>
                      <w:color w:val="000000"/>
                      <w:kern w:val="0"/>
                      <w:sz w:val="21"/>
                      <w:szCs w:val="21"/>
                      <w:lang w:val="en-US" w:eastAsia="zh-CN"/>
                    </w:rPr>
                    <w:t>1次/季度</w:t>
                  </w:r>
                </w:p>
              </w:tc>
              <w:tc>
                <w:tcPr>
                  <w:tcW w:w="445"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1C0EC7A">
                  <w:pPr>
                    <w:pStyle w:val="95"/>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000000"/>
                      <w:kern w:val="0"/>
                      <w:sz w:val="21"/>
                      <w:szCs w:val="21"/>
                      <w:lang w:val="en-US" w:eastAsia="zh-CN"/>
                    </w:rPr>
                  </w:pPr>
                  <w:r>
                    <w:rPr>
                      <w:rFonts w:hint="eastAsia"/>
                      <w:color w:val="auto"/>
                      <w:sz w:val="21"/>
                      <w:szCs w:val="21"/>
                      <w:highlight w:val="none"/>
                      <w:lang w:val="en-US" w:eastAsia="zh-CN"/>
                    </w:rPr>
                    <w:t>100</w:t>
                  </w:r>
                </w:p>
              </w:tc>
            </w:tr>
            <w:tr w14:paraId="3B493265">
              <w:tblPrEx>
                <w:tblCellMar>
                  <w:top w:w="0" w:type="dxa"/>
                  <w:left w:w="108" w:type="dxa"/>
                  <w:bottom w:w="0" w:type="dxa"/>
                  <w:right w:w="108" w:type="dxa"/>
                </w:tblCellMar>
              </w:tblPrEx>
              <w:trPr>
                <w:trHeight w:val="0" w:hRule="atLeast"/>
                <w:jc w:val="center"/>
              </w:trPr>
              <w:tc>
                <w:tcPr>
                  <w:tcW w:w="343" w:type="pct"/>
                  <w:vMerge w:val="continue"/>
                  <w:tcBorders>
                    <w:left w:val="single" w:color="000000" w:sz="8" w:space="0"/>
                    <w:right w:val="single" w:color="000000" w:sz="8" w:space="0"/>
                  </w:tcBorders>
                  <w:shd w:val="clear" w:color="auto" w:fill="FFFFFF"/>
                  <w:noWrap w:val="0"/>
                  <w:vAlign w:val="center"/>
                </w:tcPr>
                <w:p w14:paraId="57199D1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33" w:type="pct"/>
                  <w:vMerge w:val="continue"/>
                  <w:tcBorders>
                    <w:left w:val="single" w:color="000000" w:sz="8" w:space="0"/>
                    <w:right w:val="single" w:color="000000" w:sz="8" w:space="0"/>
                  </w:tcBorders>
                  <w:shd w:val="clear" w:color="auto" w:fill="FFFFFF"/>
                  <w:noWrap w:val="0"/>
                  <w:vAlign w:val="center"/>
                </w:tcPr>
                <w:p w14:paraId="7602F80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279" w:type="pct"/>
                  <w:vMerge w:val="continue"/>
                  <w:tcBorders>
                    <w:left w:val="single" w:color="000000" w:sz="8" w:space="0"/>
                    <w:right w:val="single" w:color="000000" w:sz="8" w:space="0"/>
                  </w:tcBorders>
                  <w:shd w:val="clear" w:color="auto" w:fill="FFFFFF"/>
                  <w:noWrap w:val="0"/>
                  <w:vAlign w:val="center"/>
                </w:tcPr>
                <w:p w14:paraId="567163E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12" w:type="pct"/>
                  <w:vMerge w:val="continue"/>
                  <w:tcBorders>
                    <w:left w:val="single" w:color="000000" w:sz="8" w:space="0"/>
                    <w:right w:val="single" w:color="000000" w:sz="8" w:space="0"/>
                  </w:tcBorders>
                  <w:shd w:val="clear" w:color="auto" w:fill="FFFFFF"/>
                  <w:noWrap w:val="0"/>
                  <w:vAlign w:val="center"/>
                </w:tcPr>
                <w:p w14:paraId="111D05F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505" w:type="pct"/>
                  <w:vMerge w:val="continue"/>
                  <w:tcBorders>
                    <w:left w:val="single" w:color="000000" w:sz="8" w:space="0"/>
                    <w:right w:val="single" w:color="000000" w:sz="8" w:space="0"/>
                  </w:tcBorders>
                  <w:shd w:val="clear" w:color="auto" w:fill="FFFFFF"/>
                  <w:noWrap w:val="0"/>
                  <w:vAlign w:val="center"/>
                </w:tcPr>
                <w:p w14:paraId="6A180C4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79" w:type="pct"/>
                  <w:vMerge w:val="continue"/>
                  <w:tcBorders>
                    <w:left w:val="single" w:color="000000" w:sz="8" w:space="0"/>
                    <w:right w:val="single" w:color="000000" w:sz="8" w:space="0"/>
                  </w:tcBorders>
                  <w:shd w:val="clear" w:color="auto" w:fill="FFFFFF"/>
                  <w:noWrap w:val="0"/>
                  <w:vAlign w:val="center"/>
                </w:tcPr>
                <w:p w14:paraId="7B66E9F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68" w:type="pct"/>
                  <w:vMerge w:val="continue"/>
                  <w:tcBorders>
                    <w:left w:val="single" w:color="000000" w:sz="8" w:space="0"/>
                    <w:right w:val="single" w:color="000000" w:sz="8" w:space="0"/>
                  </w:tcBorders>
                  <w:shd w:val="clear" w:color="auto" w:fill="FFFFFF"/>
                  <w:noWrap w:val="0"/>
                  <w:vAlign w:val="center"/>
                </w:tcPr>
                <w:p w14:paraId="2074908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13" w:type="pct"/>
                  <w:vMerge w:val="continue"/>
                  <w:tcBorders>
                    <w:left w:val="single" w:color="000000" w:sz="8" w:space="0"/>
                    <w:right w:val="single" w:color="000000" w:sz="8" w:space="0"/>
                  </w:tcBorders>
                  <w:shd w:val="clear" w:color="auto" w:fill="FFFFFF"/>
                  <w:noWrap w:val="0"/>
                  <w:vAlign w:val="center"/>
                </w:tcPr>
                <w:p w14:paraId="2715CC2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667"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121057F">
                  <w:pPr>
                    <w:pStyle w:val="120"/>
                    <w:bidi w:val="0"/>
                    <w:ind w:firstLine="0" w:firstLineChars="0"/>
                    <w:jc w:val="center"/>
                    <w:rPr>
                      <w:rFonts w:hint="eastAsia" w:ascii="Times New Roman" w:hAnsi="Times New Roman" w:eastAsia="宋体" w:cs="Times New Roman"/>
                      <w:color w:val="000000"/>
                      <w:kern w:val="0"/>
                      <w:sz w:val="21"/>
                      <w:szCs w:val="21"/>
                      <w:lang w:val="en-US" w:eastAsia="zh-CN"/>
                    </w:rPr>
                  </w:pPr>
                  <w:r>
                    <w:rPr>
                      <w:rFonts w:hint="default"/>
                      <w:color w:val="auto"/>
                      <w:highlight w:val="none"/>
                      <w:lang w:val="en-US" w:eastAsia="zh-CN"/>
                    </w:rPr>
                    <w:t>SS</w:t>
                  </w:r>
                </w:p>
              </w:tc>
              <w:tc>
                <w:tcPr>
                  <w:tcW w:w="551"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CA4E4B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rPr>
                    <w:t>1次/</w:t>
                  </w:r>
                  <w:r>
                    <w:rPr>
                      <w:rFonts w:hint="eastAsia" w:cs="Times New Roman"/>
                      <w:color w:val="000000"/>
                      <w:kern w:val="0"/>
                      <w:sz w:val="21"/>
                      <w:szCs w:val="21"/>
                      <w:lang w:val="en-US" w:eastAsia="zh-CN"/>
                    </w:rPr>
                    <w:t>周</w:t>
                  </w:r>
                </w:p>
              </w:tc>
              <w:tc>
                <w:tcPr>
                  <w:tcW w:w="445"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4694A56">
                  <w:pPr>
                    <w:pStyle w:val="95"/>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000000"/>
                      <w:kern w:val="0"/>
                      <w:sz w:val="21"/>
                      <w:szCs w:val="21"/>
                      <w:lang w:val="en-US" w:eastAsia="zh-CN"/>
                    </w:rPr>
                  </w:pPr>
                  <w:r>
                    <w:rPr>
                      <w:rFonts w:hint="eastAsia"/>
                      <w:color w:val="auto"/>
                      <w:sz w:val="21"/>
                      <w:szCs w:val="21"/>
                      <w:highlight w:val="none"/>
                      <w:lang w:val="en-US" w:eastAsia="zh-CN"/>
                    </w:rPr>
                    <w:t>60</w:t>
                  </w:r>
                </w:p>
              </w:tc>
            </w:tr>
            <w:tr w14:paraId="7FD1A288">
              <w:tblPrEx>
                <w:tblCellMar>
                  <w:top w:w="0" w:type="dxa"/>
                  <w:left w:w="108" w:type="dxa"/>
                  <w:bottom w:w="0" w:type="dxa"/>
                  <w:right w:w="108" w:type="dxa"/>
                </w:tblCellMar>
              </w:tblPrEx>
              <w:trPr>
                <w:trHeight w:val="0" w:hRule="atLeast"/>
                <w:jc w:val="center"/>
              </w:trPr>
              <w:tc>
                <w:tcPr>
                  <w:tcW w:w="343" w:type="pct"/>
                  <w:vMerge w:val="continue"/>
                  <w:tcBorders>
                    <w:left w:val="single" w:color="000000" w:sz="8" w:space="0"/>
                    <w:right w:val="single" w:color="000000" w:sz="8" w:space="0"/>
                  </w:tcBorders>
                  <w:shd w:val="clear" w:color="auto" w:fill="FFFFFF"/>
                  <w:noWrap w:val="0"/>
                  <w:vAlign w:val="center"/>
                </w:tcPr>
                <w:p w14:paraId="4D7623C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33" w:type="pct"/>
                  <w:vMerge w:val="continue"/>
                  <w:tcBorders>
                    <w:left w:val="single" w:color="000000" w:sz="8" w:space="0"/>
                    <w:right w:val="single" w:color="000000" w:sz="8" w:space="0"/>
                  </w:tcBorders>
                  <w:shd w:val="clear" w:color="auto" w:fill="FFFFFF"/>
                  <w:noWrap w:val="0"/>
                  <w:vAlign w:val="center"/>
                </w:tcPr>
                <w:p w14:paraId="5D9A5F0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279" w:type="pct"/>
                  <w:vMerge w:val="continue"/>
                  <w:tcBorders>
                    <w:left w:val="single" w:color="000000" w:sz="8" w:space="0"/>
                    <w:right w:val="single" w:color="000000" w:sz="8" w:space="0"/>
                  </w:tcBorders>
                  <w:shd w:val="clear" w:color="auto" w:fill="FFFFFF"/>
                  <w:noWrap w:val="0"/>
                  <w:vAlign w:val="center"/>
                </w:tcPr>
                <w:p w14:paraId="7CB94F5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12" w:type="pct"/>
                  <w:vMerge w:val="continue"/>
                  <w:tcBorders>
                    <w:left w:val="single" w:color="000000" w:sz="8" w:space="0"/>
                    <w:right w:val="single" w:color="000000" w:sz="8" w:space="0"/>
                  </w:tcBorders>
                  <w:shd w:val="clear" w:color="auto" w:fill="FFFFFF"/>
                  <w:noWrap w:val="0"/>
                  <w:vAlign w:val="center"/>
                </w:tcPr>
                <w:p w14:paraId="34042BD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505" w:type="pct"/>
                  <w:vMerge w:val="continue"/>
                  <w:tcBorders>
                    <w:left w:val="single" w:color="000000" w:sz="8" w:space="0"/>
                    <w:right w:val="single" w:color="000000" w:sz="8" w:space="0"/>
                  </w:tcBorders>
                  <w:shd w:val="clear" w:color="auto" w:fill="FFFFFF"/>
                  <w:noWrap w:val="0"/>
                  <w:vAlign w:val="center"/>
                </w:tcPr>
                <w:p w14:paraId="7780436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79" w:type="pct"/>
                  <w:vMerge w:val="continue"/>
                  <w:tcBorders>
                    <w:left w:val="single" w:color="000000" w:sz="8" w:space="0"/>
                    <w:right w:val="single" w:color="000000" w:sz="8" w:space="0"/>
                  </w:tcBorders>
                  <w:shd w:val="clear" w:color="auto" w:fill="FFFFFF"/>
                  <w:noWrap w:val="0"/>
                  <w:vAlign w:val="center"/>
                </w:tcPr>
                <w:p w14:paraId="5BC380C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68" w:type="pct"/>
                  <w:vMerge w:val="continue"/>
                  <w:tcBorders>
                    <w:left w:val="single" w:color="000000" w:sz="8" w:space="0"/>
                    <w:right w:val="single" w:color="000000" w:sz="8" w:space="0"/>
                  </w:tcBorders>
                  <w:shd w:val="clear" w:color="auto" w:fill="FFFFFF"/>
                  <w:noWrap w:val="0"/>
                  <w:vAlign w:val="center"/>
                </w:tcPr>
                <w:p w14:paraId="2373FAD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13" w:type="pct"/>
                  <w:vMerge w:val="continue"/>
                  <w:tcBorders>
                    <w:left w:val="single" w:color="000000" w:sz="8" w:space="0"/>
                    <w:right w:val="single" w:color="000000" w:sz="8" w:space="0"/>
                  </w:tcBorders>
                  <w:shd w:val="clear" w:color="auto" w:fill="FFFFFF"/>
                  <w:noWrap w:val="0"/>
                  <w:vAlign w:val="center"/>
                </w:tcPr>
                <w:p w14:paraId="604F64C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667"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964D6FF">
                  <w:pPr>
                    <w:pStyle w:val="120"/>
                    <w:bidi w:val="0"/>
                    <w:ind w:firstLine="0" w:firstLineChars="0"/>
                    <w:jc w:val="center"/>
                    <w:rPr>
                      <w:rFonts w:hint="default" w:ascii="Times New Roman" w:hAnsi="Times New Roman" w:eastAsia="宋体" w:cs="Times New Roman"/>
                      <w:color w:val="000000"/>
                      <w:kern w:val="0"/>
                      <w:sz w:val="21"/>
                      <w:szCs w:val="21"/>
                      <w:lang w:val="en-US" w:eastAsia="zh-CN"/>
                    </w:rPr>
                  </w:pPr>
                  <w:r>
                    <w:rPr>
                      <w:rFonts w:hint="default"/>
                      <w:color w:val="auto"/>
                      <w:highlight w:val="none"/>
                      <w:lang w:val="en-US" w:eastAsia="zh-CN"/>
                    </w:rPr>
                    <w:t>NH</w:t>
                  </w:r>
                  <w:r>
                    <w:rPr>
                      <w:rFonts w:hint="default"/>
                      <w:color w:val="auto"/>
                      <w:highlight w:val="none"/>
                      <w:vertAlign w:val="subscript"/>
                      <w:lang w:val="en-US" w:eastAsia="zh-CN"/>
                    </w:rPr>
                    <w:t>3</w:t>
                  </w:r>
                  <w:r>
                    <w:rPr>
                      <w:rFonts w:hint="default"/>
                      <w:color w:val="auto"/>
                      <w:highlight w:val="none"/>
                      <w:lang w:val="en-US" w:eastAsia="zh-CN"/>
                    </w:rPr>
                    <w:t>-N</w:t>
                  </w:r>
                </w:p>
              </w:tc>
              <w:tc>
                <w:tcPr>
                  <w:tcW w:w="551"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EEB9B1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rPr>
                    <w:t>1次/</w:t>
                  </w:r>
                  <w:r>
                    <w:rPr>
                      <w:rFonts w:hint="eastAsia" w:cs="Times New Roman"/>
                      <w:color w:val="000000"/>
                      <w:kern w:val="0"/>
                      <w:sz w:val="21"/>
                      <w:szCs w:val="21"/>
                      <w:lang w:val="en-US" w:eastAsia="zh-CN"/>
                    </w:rPr>
                    <w:t>季度</w:t>
                  </w:r>
                </w:p>
              </w:tc>
              <w:tc>
                <w:tcPr>
                  <w:tcW w:w="445"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43CB71D">
                  <w:pPr>
                    <w:pStyle w:val="95"/>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000000"/>
                      <w:kern w:val="0"/>
                      <w:sz w:val="21"/>
                      <w:szCs w:val="21"/>
                      <w:lang w:val="en-US" w:eastAsia="zh-CN"/>
                    </w:rPr>
                  </w:pPr>
                  <w:r>
                    <w:rPr>
                      <w:rFonts w:hint="eastAsia"/>
                      <w:color w:val="auto"/>
                      <w:sz w:val="21"/>
                      <w:szCs w:val="21"/>
                      <w:highlight w:val="none"/>
                      <w:lang w:val="en-US" w:eastAsia="zh-CN"/>
                    </w:rPr>
                    <w:t>25</w:t>
                  </w:r>
                </w:p>
              </w:tc>
            </w:tr>
            <w:tr w14:paraId="65D7C440">
              <w:tblPrEx>
                <w:tblCellMar>
                  <w:top w:w="0" w:type="dxa"/>
                  <w:left w:w="108" w:type="dxa"/>
                  <w:bottom w:w="0" w:type="dxa"/>
                  <w:right w:w="108" w:type="dxa"/>
                </w:tblCellMar>
              </w:tblPrEx>
              <w:trPr>
                <w:trHeight w:val="0" w:hRule="atLeast"/>
                <w:jc w:val="center"/>
              </w:trPr>
              <w:tc>
                <w:tcPr>
                  <w:tcW w:w="343" w:type="pct"/>
                  <w:vMerge w:val="continue"/>
                  <w:tcBorders>
                    <w:left w:val="single" w:color="000000" w:sz="8" w:space="0"/>
                    <w:right w:val="single" w:color="000000" w:sz="8" w:space="0"/>
                  </w:tcBorders>
                  <w:shd w:val="clear" w:color="auto" w:fill="FFFFFF"/>
                  <w:noWrap w:val="0"/>
                  <w:vAlign w:val="center"/>
                </w:tcPr>
                <w:p w14:paraId="3821F55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33" w:type="pct"/>
                  <w:vMerge w:val="continue"/>
                  <w:tcBorders>
                    <w:left w:val="single" w:color="000000" w:sz="8" w:space="0"/>
                    <w:right w:val="single" w:color="000000" w:sz="8" w:space="0"/>
                  </w:tcBorders>
                  <w:shd w:val="clear" w:color="auto" w:fill="FFFFFF"/>
                  <w:noWrap w:val="0"/>
                  <w:vAlign w:val="center"/>
                </w:tcPr>
                <w:p w14:paraId="0D75A45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279" w:type="pct"/>
                  <w:vMerge w:val="continue"/>
                  <w:tcBorders>
                    <w:left w:val="single" w:color="000000" w:sz="8" w:space="0"/>
                    <w:right w:val="single" w:color="000000" w:sz="8" w:space="0"/>
                  </w:tcBorders>
                  <w:shd w:val="clear" w:color="auto" w:fill="FFFFFF"/>
                  <w:noWrap w:val="0"/>
                  <w:vAlign w:val="center"/>
                </w:tcPr>
                <w:p w14:paraId="2F1A8AB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12" w:type="pct"/>
                  <w:vMerge w:val="continue"/>
                  <w:tcBorders>
                    <w:left w:val="single" w:color="000000" w:sz="8" w:space="0"/>
                    <w:right w:val="single" w:color="000000" w:sz="8" w:space="0"/>
                  </w:tcBorders>
                  <w:shd w:val="clear" w:color="auto" w:fill="FFFFFF"/>
                  <w:noWrap w:val="0"/>
                  <w:vAlign w:val="center"/>
                </w:tcPr>
                <w:p w14:paraId="12619EB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505" w:type="pct"/>
                  <w:vMerge w:val="continue"/>
                  <w:tcBorders>
                    <w:left w:val="single" w:color="000000" w:sz="8" w:space="0"/>
                    <w:right w:val="single" w:color="000000" w:sz="8" w:space="0"/>
                  </w:tcBorders>
                  <w:shd w:val="clear" w:color="auto" w:fill="FFFFFF"/>
                  <w:noWrap w:val="0"/>
                  <w:vAlign w:val="center"/>
                </w:tcPr>
                <w:p w14:paraId="4C3146C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79" w:type="pct"/>
                  <w:vMerge w:val="continue"/>
                  <w:tcBorders>
                    <w:left w:val="single" w:color="000000" w:sz="8" w:space="0"/>
                    <w:right w:val="single" w:color="000000" w:sz="8" w:space="0"/>
                  </w:tcBorders>
                  <w:shd w:val="clear" w:color="auto" w:fill="FFFFFF"/>
                  <w:noWrap w:val="0"/>
                  <w:vAlign w:val="center"/>
                </w:tcPr>
                <w:p w14:paraId="67E5B51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68" w:type="pct"/>
                  <w:vMerge w:val="continue"/>
                  <w:tcBorders>
                    <w:left w:val="single" w:color="000000" w:sz="8" w:space="0"/>
                    <w:right w:val="single" w:color="000000" w:sz="8" w:space="0"/>
                  </w:tcBorders>
                  <w:shd w:val="clear" w:color="auto" w:fill="FFFFFF"/>
                  <w:noWrap w:val="0"/>
                  <w:vAlign w:val="center"/>
                </w:tcPr>
                <w:p w14:paraId="0518AAB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13" w:type="pct"/>
                  <w:vMerge w:val="continue"/>
                  <w:tcBorders>
                    <w:left w:val="single" w:color="000000" w:sz="8" w:space="0"/>
                    <w:right w:val="single" w:color="000000" w:sz="8" w:space="0"/>
                  </w:tcBorders>
                  <w:shd w:val="clear" w:color="auto" w:fill="FFFFFF"/>
                  <w:noWrap w:val="0"/>
                  <w:vAlign w:val="center"/>
                </w:tcPr>
                <w:p w14:paraId="28FB3DF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667"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038A56C">
                  <w:pPr>
                    <w:pStyle w:val="120"/>
                    <w:bidi w:val="0"/>
                    <w:ind w:firstLine="0" w:firstLineChars="0"/>
                    <w:jc w:val="center"/>
                    <w:rPr>
                      <w:rFonts w:hint="eastAsia" w:ascii="Times New Roman" w:hAnsi="Times New Roman" w:eastAsia="宋体" w:cs="Times New Roman"/>
                      <w:color w:val="000000"/>
                      <w:kern w:val="0"/>
                      <w:sz w:val="21"/>
                      <w:szCs w:val="21"/>
                      <w:lang w:val="en-US" w:eastAsia="zh-CN"/>
                    </w:rPr>
                  </w:pPr>
                  <w:r>
                    <w:rPr>
                      <w:rFonts w:hint="eastAsia"/>
                      <w:color w:val="auto"/>
                      <w:highlight w:val="none"/>
                      <w:lang w:val="en-US" w:eastAsia="zh-CN"/>
                    </w:rPr>
                    <w:t>LAS</w:t>
                  </w:r>
                </w:p>
              </w:tc>
              <w:tc>
                <w:tcPr>
                  <w:tcW w:w="551"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B3DF7A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eastAsia" w:cs="Times New Roman"/>
                      <w:color w:val="000000"/>
                      <w:kern w:val="0"/>
                      <w:sz w:val="21"/>
                      <w:szCs w:val="21"/>
                      <w:lang w:val="en-US" w:eastAsia="zh-CN"/>
                    </w:rPr>
                    <w:t>1次/季度</w:t>
                  </w:r>
                </w:p>
              </w:tc>
              <w:tc>
                <w:tcPr>
                  <w:tcW w:w="445"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CD0E45C">
                  <w:pPr>
                    <w:pStyle w:val="95"/>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auto"/>
                      <w:kern w:val="0"/>
                      <w:sz w:val="21"/>
                      <w:szCs w:val="21"/>
                      <w:lang w:val="en-US" w:eastAsia="zh-CN"/>
                    </w:rPr>
                    <w:t>10</w:t>
                  </w:r>
                </w:p>
              </w:tc>
            </w:tr>
            <w:tr w14:paraId="4C46FC51">
              <w:tblPrEx>
                <w:tblCellMar>
                  <w:top w:w="0" w:type="dxa"/>
                  <w:left w:w="108" w:type="dxa"/>
                  <w:bottom w:w="0" w:type="dxa"/>
                  <w:right w:w="108" w:type="dxa"/>
                </w:tblCellMar>
              </w:tblPrEx>
              <w:trPr>
                <w:trHeight w:val="0" w:hRule="atLeast"/>
                <w:jc w:val="center"/>
              </w:trPr>
              <w:tc>
                <w:tcPr>
                  <w:tcW w:w="343" w:type="pct"/>
                  <w:vMerge w:val="continue"/>
                  <w:tcBorders>
                    <w:left w:val="single" w:color="000000" w:sz="8" w:space="0"/>
                    <w:right w:val="single" w:color="000000" w:sz="8" w:space="0"/>
                  </w:tcBorders>
                  <w:shd w:val="clear" w:color="auto" w:fill="FFFFFF"/>
                  <w:noWrap w:val="0"/>
                  <w:vAlign w:val="center"/>
                </w:tcPr>
                <w:p w14:paraId="56CDCBC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33" w:type="pct"/>
                  <w:vMerge w:val="continue"/>
                  <w:tcBorders>
                    <w:left w:val="single" w:color="000000" w:sz="8" w:space="0"/>
                    <w:right w:val="single" w:color="000000" w:sz="8" w:space="0"/>
                  </w:tcBorders>
                  <w:shd w:val="clear" w:color="auto" w:fill="FFFFFF"/>
                  <w:noWrap w:val="0"/>
                  <w:vAlign w:val="center"/>
                </w:tcPr>
                <w:p w14:paraId="171973D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279" w:type="pct"/>
                  <w:vMerge w:val="continue"/>
                  <w:tcBorders>
                    <w:left w:val="single" w:color="000000" w:sz="8" w:space="0"/>
                    <w:right w:val="single" w:color="000000" w:sz="8" w:space="0"/>
                  </w:tcBorders>
                  <w:shd w:val="clear" w:color="auto" w:fill="FFFFFF"/>
                  <w:noWrap w:val="0"/>
                  <w:vAlign w:val="center"/>
                </w:tcPr>
                <w:p w14:paraId="148DE05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12" w:type="pct"/>
                  <w:vMerge w:val="continue"/>
                  <w:tcBorders>
                    <w:left w:val="single" w:color="000000" w:sz="8" w:space="0"/>
                    <w:right w:val="single" w:color="000000" w:sz="8" w:space="0"/>
                  </w:tcBorders>
                  <w:shd w:val="clear" w:color="auto" w:fill="FFFFFF"/>
                  <w:noWrap w:val="0"/>
                  <w:vAlign w:val="center"/>
                </w:tcPr>
                <w:p w14:paraId="3F54057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505" w:type="pct"/>
                  <w:vMerge w:val="continue"/>
                  <w:tcBorders>
                    <w:left w:val="single" w:color="000000" w:sz="8" w:space="0"/>
                    <w:right w:val="single" w:color="000000" w:sz="8" w:space="0"/>
                  </w:tcBorders>
                  <w:shd w:val="clear" w:color="auto" w:fill="FFFFFF"/>
                  <w:noWrap w:val="0"/>
                  <w:vAlign w:val="center"/>
                </w:tcPr>
                <w:p w14:paraId="529F0B4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79" w:type="pct"/>
                  <w:vMerge w:val="continue"/>
                  <w:tcBorders>
                    <w:left w:val="single" w:color="000000" w:sz="8" w:space="0"/>
                    <w:right w:val="single" w:color="000000" w:sz="8" w:space="0"/>
                  </w:tcBorders>
                  <w:shd w:val="clear" w:color="auto" w:fill="FFFFFF"/>
                  <w:noWrap w:val="0"/>
                  <w:vAlign w:val="center"/>
                </w:tcPr>
                <w:p w14:paraId="2B535DD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68" w:type="pct"/>
                  <w:vMerge w:val="continue"/>
                  <w:tcBorders>
                    <w:left w:val="single" w:color="000000" w:sz="8" w:space="0"/>
                    <w:right w:val="single" w:color="000000" w:sz="8" w:space="0"/>
                  </w:tcBorders>
                  <w:shd w:val="clear" w:color="auto" w:fill="FFFFFF"/>
                  <w:noWrap w:val="0"/>
                  <w:vAlign w:val="center"/>
                </w:tcPr>
                <w:p w14:paraId="4E4E0A2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13" w:type="pct"/>
                  <w:vMerge w:val="continue"/>
                  <w:tcBorders>
                    <w:left w:val="single" w:color="000000" w:sz="8" w:space="0"/>
                    <w:right w:val="single" w:color="000000" w:sz="8" w:space="0"/>
                  </w:tcBorders>
                  <w:shd w:val="clear" w:color="auto" w:fill="FFFFFF"/>
                  <w:noWrap w:val="0"/>
                  <w:vAlign w:val="center"/>
                </w:tcPr>
                <w:p w14:paraId="6FDFEF7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667"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C44BD53">
                  <w:pPr>
                    <w:pStyle w:val="120"/>
                    <w:bidi w:val="0"/>
                    <w:ind w:firstLine="0" w:firstLineChars="0"/>
                    <w:jc w:val="center"/>
                    <w:rPr>
                      <w:rFonts w:hint="default" w:ascii="Times New Roman" w:hAnsi="Times New Roman" w:eastAsia="宋体" w:cs="Times New Roman"/>
                      <w:color w:val="000000"/>
                      <w:kern w:val="0"/>
                      <w:sz w:val="21"/>
                      <w:szCs w:val="21"/>
                      <w:lang w:val="en-US" w:eastAsia="zh-CN"/>
                    </w:rPr>
                  </w:pPr>
                  <w:r>
                    <w:rPr>
                      <w:rFonts w:hint="eastAsia"/>
                      <w:color w:val="auto"/>
                      <w:highlight w:val="none"/>
                      <w:lang w:val="en-US" w:eastAsia="zh-CN"/>
                    </w:rPr>
                    <w:t>动植物油</w:t>
                  </w:r>
                </w:p>
              </w:tc>
              <w:tc>
                <w:tcPr>
                  <w:tcW w:w="551"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F8E77F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eastAsia" w:cs="Times New Roman"/>
                      <w:color w:val="000000"/>
                      <w:kern w:val="0"/>
                      <w:sz w:val="21"/>
                      <w:szCs w:val="21"/>
                      <w:lang w:val="en-US" w:eastAsia="zh-CN"/>
                    </w:rPr>
                    <w:t>1次/季度</w:t>
                  </w:r>
                </w:p>
              </w:tc>
              <w:tc>
                <w:tcPr>
                  <w:tcW w:w="445"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08E884C">
                  <w:pPr>
                    <w:pStyle w:val="95"/>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auto"/>
                      <w:kern w:val="0"/>
                      <w:sz w:val="21"/>
                      <w:szCs w:val="21"/>
                      <w:lang w:val="en-US" w:eastAsia="zh-CN"/>
                    </w:rPr>
                    <w:t>20</w:t>
                  </w:r>
                </w:p>
              </w:tc>
            </w:tr>
            <w:tr w14:paraId="745559D0">
              <w:tblPrEx>
                <w:tblCellMar>
                  <w:top w:w="0" w:type="dxa"/>
                  <w:left w:w="108" w:type="dxa"/>
                  <w:bottom w:w="0" w:type="dxa"/>
                  <w:right w:w="108" w:type="dxa"/>
                </w:tblCellMar>
              </w:tblPrEx>
              <w:trPr>
                <w:trHeight w:val="0" w:hRule="atLeast"/>
                <w:jc w:val="center"/>
              </w:trPr>
              <w:tc>
                <w:tcPr>
                  <w:tcW w:w="343" w:type="pct"/>
                  <w:vMerge w:val="continue"/>
                  <w:tcBorders>
                    <w:left w:val="single" w:color="000000" w:sz="8" w:space="0"/>
                    <w:bottom w:val="single" w:color="000000" w:sz="8" w:space="0"/>
                    <w:right w:val="single" w:color="000000" w:sz="8" w:space="0"/>
                  </w:tcBorders>
                  <w:shd w:val="clear" w:color="auto" w:fill="FFFFFF"/>
                  <w:noWrap w:val="0"/>
                  <w:vAlign w:val="center"/>
                </w:tcPr>
                <w:p w14:paraId="3F7BE92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33" w:type="pct"/>
                  <w:vMerge w:val="continue"/>
                  <w:tcBorders>
                    <w:left w:val="single" w:color="000000" w:sz="8" w:space="0"/>
                    <w:bottom w:val="single" w:color="000000" w:sz="8" w:space="0"/>
                    <w:right w:val="single" w:color="000000" w:sz="8" w:space="0"/>
                  </w:tcBorders>
                  <w:shd w:val="clear" w:color="auto" w:fill="FFFFFF"/>
                  <w:noWrap w:val="0"/>
                  <w:vAlign w:val="center"/>
                </w:tcPr>
                <w:p w14:paraId="0133B00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279" w:type="pct"/>
                  <w:vMerge w:val="continue"/>
                  <w:tcBorders>
                    <w:left w:val="single" w:color="000000" w:sz="8" w:space="0"/>
                    <w:bottom w:val="single" w:color="000000" w:sz="8" w:space="0"/>
                    <w:right w:val="single" w:color="000000" w:sz="8" w:space="0"/>
                  </w:tcBorders>
                  <w:shd w:val="clear" w:color="auto" w:fill="FFFFFF"/>
                  <w:noWrap w:val="0"/>
                  <w:vAlign w:val="center"/>
                </w:tcPr>
                <w:p w14:paraId="10D060A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12" w:type="pct"/>
                  <w:vMerge w:val="continue"/>
                  <w:tcBorders>
                    <w:left w:val="single" w:color="000000" w:sz="8" w:space="0"/>
                    <w:bottom w:val="single" w:color="000000" w:sz="8" w:space="0"/>
                    <w:right w:val="single" w:color="000000" w:sz="8" w:space="0"/>
                  </w:tcBorders>
                  <w:shd w:val="clear" w:color="auto" w:fill="FFFFFF"/>
                  <w:noWrap w:val="0"/>
                  <w:vAlign w:val="center"/>
                </w:tcPr>
                <w:p w14:paraId="4F6C1F3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505" w:type="pct"/>
                  <w:vMerge w:val="continue"/>
                  <w:tcBorders>
                    <w:left w:val="single" w:color="000000" w:sz="8" w:space="0"/>
                    <w:bottom w:val="single" w:color="000000" w:sz="8" w:space="0"/>
                    <w:right w:val="single" w:color="000000" w:sz="8" w:space="0"/>
                  </w:tcBorders>
                  <w:shd w:val="clear" w:color="auto" w:fill="FFFFFF"/>
                  <w:noWrap w:val="0"/>
                  <w:vAlign w:val="center"/>
                </w:tcPr>
                <w:p w14:paraId="1F49499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79" w:type="pct"/>
                  <w:vMerge w:val="continue"/>
                  <w:tcBorders>
                    <w:left w:val="single" w:color="000000" w:sz="8" w:space="0"/>
                    <w:bottom w:val="single" w:color="000000" w:sz="8" w:space="0"/>
                    <w:right w:val="single" w:color="000000" w:sz="8" w:space="0"/>
                  </w:tcBorders>
                  <w:shd w:val="clear" w:color="auto" w:fill="FFFFFF"/>
                  <w:noWrap w:val="0"/>
                  <w:vAlign w:val="center"/>
                </w:tcPr>
                <w:p w14:paraId="0734F21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68" w:type="pct"/>
                  <w:vMerge w:val="continue"/>
                  <w:tcBorders>
                    <w:left w:val="single" w:color="000000" w:sz="8" w:space="0"/>
                    <w:bottom w:val="single" w:color="000000" w:sz="8" w:space="0"/>
                    <w:right w:val="single" w:color="000000" w:sz="8" w:space="0"/>
                  </w:tcBorders>
                  <w:shd w:val="clear" w:color="auto" w:fill="FFFFFF"/>
                  <w:noWrap w:val="0"/>
                  <w:vAlign w:val="center"/>
                </w:tcPr>
                <w:p w14:paraId="418B615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413" w:type="pct"/>
                  <w:vMerge w:val="continue"/>
                  <w:tcBorders>
                    <w:left w:val="single" w:color="000000" w:sz="8" w:space="0"/>
                    <w:bottom w:val="single" w:color="000000" w:sz="8" w:space="0"/>
                    <w:right w:val="single" w:color="000000" w:sz="8" w:space="0"/>
                  </w:tcBorders>
                  <w:shd w:val="clear" w:color="auto" w:fill="FFFFFF"/>
                  <w:noWrap w:val="0"/>
                  <w:vAlign w:val="center"/>
                </w:tcPr>
                <w:p w14:paraId="05B986C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667"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FB46683">
                  <w:pPr>
                    <w:pStyle w:val="120"/>
                    <w:bidi w:val="0"/>
                    <w:ind w:firstLine="0" w:firstLineChars="0"/>
                    <w:jc w:val="center"/>
                    <w:rPr>
                      <w:rFonts w:hint="default" w:ascii="Times New Roman" w:hAnsi="Times New Roman" w:eastAsia="宋体" w:cs="Times New Roman"/>
                      <w:color w:val="000000"/>
                      <w:kern w:val="0"/>
                      <w:sz w:val="21"/>
                      <w:szCs w:val="21"/>
                      <w:lang w:val="en-US" w:eastAsia="zh-CN"/>
                    </w:rPr>
                  </w:pPr>
                  <w:r>
                    <w:rPr>
                      <w:rFonts w:hint="eastAsia"/>
                      <w:color w:val="auto"/>
                      <w:highlight w:val="none"/>
                      <w:lang w:val="en-US" w:eastAsia="zh-CN"/>
                    </w:rPr>
                    <w:t>粪大肠杆菌(个/L)</w:t>
                  </w:r>
                </w:p>
              </w:tc>
              <w:tc>
                <w:tcPr>
                  <w:tcW w:w="551"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A555A0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rPr>
                    <w:t>1次/</w:t>
                  </w:r>
                  <w:r>
                    <w:rPr>
                      <w:rFonts w:hint="eastAsia" w:cs="Times New Roman"/>
                      <w:color w:val="000000"/>
                      <w:kern w:val="0"/>
                      <w:sz w:val="21"/>
                      <w:szCs w:val="21"/>
                      <w:lang w:val="en-US" w:eastAsia="zh-CN"/>
                    </w:rPr>
                    <w:t>月</w:t>
                  </w:r>
                </w:p>
              </w:tc>
              <w:tc>
                <w:tcPr>
                  <w:tcW w:w="445"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D806D73">
                  <w:pPr>
                    <w:pStyle w:val="95"/>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auto"/>
                      <w:kern w:val="0"/>
                      <w:sz w:val="21"/>
                      <w:szCs w:val="21"/>
                      <w:lang w:val="en-US" w:eastAsia="zh-CN"/>
                    </w:rPr>
                    <w:t>5000</w:t>
                  </w:r>
                  <w:r>
                    <w:rPr>
                      <w:rFonts w:hint="eastAsia"/>
                      <w:color w:val="auto"/>
                      <w:highlight w:val="none"/>
                      <w:lang w:val="en-US" w:eastAsia="zh-CN"/>
                    </w:rPr>
                    <w:t>(个/L)</w:t>
                  </w:r>
                </w:p>
              </w:tc>
            </w:tr>
          </w:tbl>
          <w:p w14:paraId="3A60C70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cs="Times New Roman"/>
                <w:b/>
                <w:color w:val="auto"/>
                <w:kern w:val="0"/>
                <w:sz w:val="24"/>
              </w:rPr>
            </w:pPr>
            <w:r>
              <w:rPr>
                <w:rFonts w:hint="eastAsia" w:ascii="Times New Roman" w:hAnsi="Times New Roman" w:cs="Times New Roman"/>
                <w:b/>
                <w:color w:val="auto"/>
                <w:kern w:val="0"/>
                <w:sz w:val="24"/>
                <w:lang w:val="en-US" w:eastAsia="zh-CN"/>
              </w:rPr>
              <w:t>3、</w:t>
            </w:r>
            <w:r>
              <w:rPr>
                <w:rFonts w:hint="default" w:ascii="Times New Roman" w:hAnsi="Times New Roman" w:cs="Times New Roman"/>
                <w:b/>
                <w:color w:val="auto"/>
                <w:kern w:val="0"/>
                <w:sz w:val="24"/>
              </w:rPr>
              <w:t>污染源强核算表</w:t>
            </w:r>
          </w:p>
          <w:p w14:paraId="6A0614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b/>
                <w:color w:val="auto"/>
                <w:kern w:val="0"/>
                <w:sz w:val="24"/>
              </w:rPr>
              <w:t>表4</w:t>
            </w:r>
            <w:r>
              <w:rPr>
                <w:rFonts w:hint="eastAsia" w:cs="Times New Roman"/>
                <w:b/>
                <w:color w:val="auto"/>
                <w:kern w:val="0"/>
                <w:sz w:val="24"/>
                <w:lang w:val="en-US" w:eastAsia="zh-CN"/>
              </w:rPr>
              <w:t xml:space="preserve">-11 </w:t>
            </w:r>
            <w:r>
              <w:rPr>
                <w:rFonts w:hint="default" w:ascii="Times New Roman" w:hAnsi="Times New Roman" w:cs="Times New Roman"/>
                <w:b/>
                <w:color w:val="auto"/>
                <w:kern w:val="0"/>
                <w:sz w:val="24"/>
              </w:rPr>
              <w:t xml:space="preserve"> 项目废水污染源源强核算结果及相关参数一览表</w:t>
            </w:r>
          </w:p>
          <w:tbl>
            <w:tblPr>
              <w:tblStyle w:val="27"/>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219"/>
              <w:gridCol w:w="842"/>
              <w:gridCol w:w="1285"/>
              <w:gridCol w:w="1330"/>
              <w:gridCol w:w="1087"/>
              <w:gridCol w:w="1221"/>
              <w:gridCol w:w="862"/>
              <w:gridCol w:w="926"/>
              <w:gridCol w:w="1555"/>
              <w:gridCol w:w="1160"/>
              <w:gridCol w:w="944"/>
              <w:gridCol w:w="907"/>
            </w:tblGrid>
            <w:tr w14:paraId="55D89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56" w:type="pct"/>
                  <w:vMerge w:val="restart"/>
                  <w:noWrap w:val="0"/>
                  <w:vAlign w:val="center"/>
                </w:tcPr>
                <w:p w14:paraId="44DD0BA1">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产污环节</w:t>
                  </w:r>
                </w:p>
              </w:tc>
              <w:tc>
                <w:tcPr>
                  <w:tcW w:w="315" w:type="pct"/>
                  <w:vMerge w:val="restart"/>
                  <w:noWrap w:val="0"/>
                  <w:vAlign w:val="center"/>
                </w:tcPr>
                <w:p w14:paraId="690ED307">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类别</w:t>
                  </w:r>
                </w:p>
              </w:tc>
              <w:tc>
                <w:tcPr>
                  <w:tcW w:w="481" w:type="pct"/>
                  <w:vMerge w:val="restart"/>
                  <w:noWrap w:val="0"/>
                  <w:vAlign w:val="center"/>
                </w:tcPr>
                <w:p w14:paraId="0F51CA95">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w:t>
                  </w:r>
                </w:p>
              </w:tc>
              <w:tc>
                <w:tcPr>
                  <w:tcW w:w="1363" w:type="pct"/>
                  <w:gridSpan w:val="3"/>
                  <w:noWrap w:val="0"/>
                  <w:vAlign w:val="center"/>
                </w:tcPr>
                <w:p w14:paraId="689C0918">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污染物产生</w:t>
                  </w:r>
                </w:p>
              </w:tc>
              <w:tc>
                <w:tcPr>
                  <w:tcW w:w="670" w:type="pct"/>
                  <w:gridSpan w:val="2"/>
                  <w:noWrap w:val="0"/>
                  <w:vAlign w:val="center"/>
                </w:tcPr>
                <w:p w14:paraId="7DAEF311">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治理措施</w:t>
                  </w:r>
                </w:p>
              </w:tc>
              <w:tc>
                <w:tcPr>
                  <w:tcW w:w="1371" w:type="pct"/>
                  <w:gridSpan w:val="3"/>
                  <w:noWrap w:val="0"/>
                  <w:vAlign w:val="center"/>
                </w:tcPr>
                <w:p w14:paraId="7F43376D">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污染物排放</w:t>
                  </w:r>
                </w:p>
              </w:tc>
              <w:tc>
                <w:tcPr>
                  <w:tcW w:w="340" w:type="pct"/>
                  <w:noWrap w:val="0"/>
                  <w:vAlign w:val="center"/>
                </w:tcPr>
                <w:p w14:paraId="28A3F96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000000"/>
                      <w:kern w:val="0"/>
                      <w:sz w:val="21"/>
                      <w:szCs w:val="21"/>
                    </w:rPr>
                    <w:t>排放标准</w:t>
                  </w:r>
                </w:p>
              </w:tc>
            </w:tr>
            <w:tr w14:paraId="56890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56" w:type="pct"/>
                  <w:vMerge w:val="continue"/>
                  <w:noWrap w:val="0"/>
                  <w:vAlign w:val="center"/>
                </w:tcPr>
                <w:p w14:paraId="05265B19">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p>
              </w:tc>
              <w:tc>
                <w:tcPr>
                  <w:tcW w:w="315" w:type="pct"/>
                  <w:vMerge w:val="continue"/>
                  <w:noWrap w:val="0"/>
                  <w:vAlign w:val="center"/>
                </w:tcPr>
                <w:p w14:paraId="638DA069">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p>
              </w:tc>
              <w:tc>
                <w:tcPr>
                  <w:tcW w:w="481" w:type="pct"/>
                  <w:vMerge w:val="continue"/>
                  <w:noWrap w:val="0"/>
                  <w:vAlign w:val="center"/>
                </w:tcPr>
                <w:p w14:paraId="42ACCA3B">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p>
              </w:tc>
              <w:tc>
                <w:tcPr>
                  <w:tcW w:w="498" w:type="pct"/>
                  <w:noWrap w:val="0"/>
                  <w:vAlign w:val="center"/>
                </w:tcPr>
                <w:p w14:paraId="3E5AE7A3">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产生废水量（t/a）</w:t>
                  </w:r>
                </w:p>
              </w:tc>
              <w:tc>
                <w:tcPr>
                  <w:tcW w:w="407" w:type="pct"/>
                  <w:noWrap w:val="0"/>
                  <w:vAlign w:val="center"/>
                </w:tcPr>
                <w:p w14:paraId="0A3E6201">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产生浓度（mg/L）</w:t>
                  </w:r>
                </w:p>
              </w:tc>
              <w:tc>
                <w:tcPr>
                  <w:tcW w:w="457" w:type="pct"/>
                  <w:noWrap w:val="0"/>
                  <w:vAlign w:val="center"/>
                </w:tcPr>
                <w:p w14:paraId="5E5AD66F">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产生量（t/a</w:t>
                  </w:r>
                  <w:r>
                    <w:rPr>
                      <w:rFonts w:hint="eastAsia" w:cs="Times New Roman"/>
                      <w:color w:val="auto"/>
                      <w:sz w:val="21"/>
                      <w:szCs w:val="21"/>
                      <w:lang w:eastAsia="zh-CN"/>
                    </w:rPr>
                    <w:t>）</w:t>
                  </w:r>
                </w:p>
              </w:tc>
              <w:tc>
                <w:tcPr>
                  <w:tcW w:w="323" w:type="pct"/>
                  <w:noWrap w:val="0"/>
                  <w:vAlign w:val="center"/>
                </w:tcPr>
                <w:p w14:paraId="057CA21D">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eastAsia="zh-CN"/>
                    </w:rPr>
                    <w:t>设施名称</w:t>
                  </w:r>
                </w:p>
              </w:tc>
              <w:tc>
                <w:tcPr>
                  <w:tcW w:w="347" w:type="pct"/>
                  <w:noWrap w:val="0"/>
                  <w:vAlign w:val="center"/>
                </w:tcPr>
                <w:p w14:paraId="2A325DF7">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效率/%</w:t>
                  </w:r>
                </w:p>
              </w:tc>
              <w:tc>
                <w:tcPr>
                  <w:tcW w:w="582" w:type="pct"/>
                  <w:noWrap w:val="0"/>
                  <w:vAlign w:val="center"/>
                </w:tcPr>
                <w:p w14:paraId="21A36105">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排放废水量（t/a）</w:t>
                  </w:r>
                </w:p>
              </w:tc>
              <w:tc>
                <w:tcPr>
                  <w:tcW w:w="434" w:type="pct"/>
                  <w:noWrap w:val="0"/>
                  <w:vAlign w:val="center"/>
                </w:tcPr>
                <w:p w14:paraId="53F7C51E">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排放浓度（mg/L）</w:t>
                  </w:r>
                </w:p>
              </w:tc>
              <w:tc>
                <w:tcPr>
                  <w:tcW w:w="353" w:type="pct"/>
                  <w:noWrap w:val="0"/>
                  <w:vAlign w:val="center"/>
                </w:tcPr>
                <w:p w14:paraId="76E773DD">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排放量（</w:t>
                  </w:r>
                  <w:r>
                    <w:rPr>
                      <w:rFonts w:hint="eastAsia" w:cs="Times New Roman"/>
                      <w:color w:val="auto"/>
                      <w:sz w:val="21"/>
                      <w:szCs w:val="21"/>
                      <w:lang w:val="en-US" w:eastAsia="zh-CN"/>
                    </w:rPr>
                    <w:t>t/a）</w:t>
                  </w:r>
                </w:p>
              </w:tc>
              <w:tc>
                <w:tcPr>
                  <w:tcW w:w="340" w:type="pct"/>
                  <w:noWrap w:val="0"/>
                  <w:vAlign w:val="center"/>
                </w:tcPr>
                <w:p w14:paraId="6F202E6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000000"/>
                      <w:kern w:val="0"/>
                      <w:sz w:val="21"/>
                      <w:szCs w:val="21"/>
                    </w:rPr>
                    <w:t>浓度限值（mg/L）</w:t>
                  </w:r>
                </w:p>
              </w:tc>
            </w:tr>
            <w:tr w14:paraId="1960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56" w:type="pct"/>
                  <w:vMerge w:val="restart"/>
                  <w:noWrap/>
                  <w:vAlign w:val="center"/>
                </w:tcPr>
                <w:p w14:paraId="3EF5F914">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kern w:val="0"/>
                      <w:sz w:val="21"/>
                      <w:szCs w:val="21"/>
                      <w:lang w:val="en-US" w:eastAsia="zh-CN"/>
                    </w:rPr>
                    <w:t>医院运营</w:t>
                  </w:r>
                </w:p>
              </w:tc>
              <w:tc>
                <w:tcPr>
                  <w:tcW w:w="315" w:type="pct"/>
                  <w:vMerge w:val="restart"/>
                  <w:noWrap/>
                  <w:vAlign w:val="center"/>
                </w:tcPr>
                <w:p w14:paraId="069C5DF0">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kern w:val="0"/>
                      <w:sz w:val="21"/>
                      <w:szCs w:val="21"/>
                      <w:lang w:val="en-US" w:eastAsia="zh-CN"/>
                    </w:rPr>
                    <w:t>医院综合废水</w:t>
                  </w:r>
                </w:p>
              </w:tc>
              <w:tc>
                <w:tcPr>
                  <w:tcW w:w="481" w:type="pct"/>
                  <w:noWrap/>
                  <w:vAlign w:val="center"/>
                </w:tcPr>
                <w:p w14:paraId="35FF3BF5">
                  <w:pPr>
                    <w:pStyle w:val="120"/>
                    <w:bidi w:val="0"/>
                    <w:ind w:firstLine="0" w:firstLineChars="0"/>
                    <w:jc w:val="center"/>
                    <w:rPr>
                      <w:rFonts w:hint="default" w:ascii="Times New Roman" w:hAnsi="Times New Roman" w:cs="Times New Roman"/>
                      <w:color w:val="auto"/>
                      <w:sz w:val="21"/>
                      <w:szCs w:val="21"/>
                      <w:highlight w:val="none"/>
                    </w:rPr>
                  </w:pPr>
                  <w:r>
                    <w:rPr>
                      <w:rFonts w:hint="default"/>
                      <w:color w:val="auto"/>
                      <w:highlight w:val="none"/>
                      <w:lang w:val="en-US" w:eastAsia="zh-CN"/>
                    </w:rPr>
                    <w:t>pH</w:t>
                  </w:r>
                </w:p>
              </w:tc>
              <w:tc>
                <w:tcPr>
                  <w:tcW w:w="498" w:type="pct"/>
                  <w:vMerge w:val="restart"/>
                  <w:noWrap/>
                  <w:vAlign w:val="center"/>
                </w:tcPr>
                <w:p w14:paraId="7C225B32">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0"/>
                      <w:sz w:val="21"/>
                      <w:szCs w:val="21"/>
                      <w:lang w:val="en-US" w:eastAsia="zh-CN"/>
                    </w:rPr>
                    <w:t>54446.43</w:t>
                  </w:r>
                </w:p>
              </w:tc>
              <w:tc>
                <w:tcPr>
                  <w:tcW w:w="407" w:type="pct"/>
                  <w:noWrap/>
                  <w:vAlign w:val="center"/>
                </w:tcPr>
                <w:p w14:paraId="25B950BB">
                  <w:pPr>
                    <w:keepNext w:val="0"/>
                    <w:keepLines w:val="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6-9</w:t>
                  </w:r>
                </w:p>
              </w:tc>
              <w:tc>
                <w:tcPr>
                  <w:tcW w:w="457" w:type="pct"/>
                  <w:noWrap/>
                  <w:vAlign w:val="center"/>
                </w:tcPr>
                <w:p w14:paraId="78F02848">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w:t>
                  </w:r>
                </w:p>
              </w:tc>
              <w:tc>
                <w:tcPr>
                  <w:tcW w:w="323" w:type="pct"/>
                  <w:vMerge w:val="restart"/>
                  <w:noWrap w:val="0"/>
                  <w:vAlign w:val="center"/>
                </w:tcPr>
                <w:p w14:paraId="63A665D5">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kern w:val="0"/>
                      <w:sz w:val="21"/>
                      <w:szCs w:val="21"/>
                      <w:lang w:val="en-US" w:eastAsia="zh-CN"/>
                    </w:rPr>
                    <w:t>隔油池+化粪池+格栅井+调节池+</w:t>
                  </w:r>
                  <w:r>
                    <w:rPr>
                      <w:rFonts w:hint="eastAsia" w:ascii="Times New Roman" w:hAnsi="Times New Roman" w:eastAsia="宋体" w:cs="Times New Roman"/>
                      <w:color w:val="auto"/>
                      <w:spacing w:val="0"/>
                      <w:sz w:val="21"/>
                      <w:szCs w:val="21"/>
                      <w:lang w:val="en-US" w:eastAsia="zh-CN" w:bidi="zh-CN"/>
                    </w:rPr>
                    <w:t>水解酸化</w:t>
                  </w:r>
                  <w:r>
                    <w:rPr>
                      <w:rFonts w:hint="default" w:ascii="Times New Roman" w:hAnsi="Times New Roman" w:eastAsia="宋体" w:cs="Times New Roman"/>
                      <w:color w:val="auto"/>
                      <w:spacing w:val="0"/>
                      <w:sz w:val="21"/>
                      <w:szCs w:val="21"/>
                      <w:lang w:val="en-US" w:eastAsia="zh-CN" w:bidi="zh-CN"/>
                    </w:rPr>
                    <w:t>+</w:t>
                  </w:r>
                  <w:r>
                    <w:rPr>
                      <w:rFonts w:hint="eastAsia" w:ascii="Times New Roman" w:hAnsi="Times New Roman" w:eastAsia="宋体" w:cs="Times New Roman"/>
                      <w:color w:val="auto"/>
                      <w:spacing w:val="0"/>
                      <w:sz w:val="21"/>
                      <w:szCs w:val="21"/>
                      <w:lang w:val="en-US" w:eastAsia="zh-CN" w:bidi="zh-CN"/>
                    </w:rPr>
                    <w:t>接触氧化</w:t>
                  </w:r>
                  <w:r>
                    <w:rPr>
                      <w:rFonts w:hint="default" w:ascii="Times New Roman" w:hAnsi="Times New Roman" w:eastAsia="宋体" w:cs="Times New Roman"/>
                      <w:color w:val="auto"/>
                      <w:spacing w:val="0"/>
                      <w:sz w:val="21"/>
                      <w:szCs w:val="21"/>
                      <w:lang w:val="en-US" w:eastAsia="zh-CN" w:bidi="zh-CN"/>
                    </w:rPr>
                    <w:t>+</w:t>
                  </w:r>
                  <w:r>
                    <w:rPr>
                      <w:rFonts w:hint="eastAsia" w:ascii="Times New Roman" w:hAnsi="Times New Roman" w:eastAsia="宋体" w:cs="Times New Roman"/>
                      <w:color w:val="auto"/>
                      <w:spacing w:val="0"/>
                      <w:sz w:val="21"/>
                      <w:szCs w:val="21"/>
                      <w:lang w:val="en-US" w:eastAsia="zh-CN" w:bidi="zh-CN"/>
                    </w:rPr>
                    <w:t>消毒</w:t>
                  </w:r>
                </w:p>
              </w:tc>
              <w:tc>
                <w:tcPr>
                  <w:tcW w:w="347" w:type="pct"/>
                  <w:noWrap/>
                  <w:vAlign w:val="center"/>
                </w:tcPr>
                <w:p w14:paraId="771488B8">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rPr>
                    <w:t>/</w:t>
                  </w:r>
                </w:p>
              </w:tc>
              <w:tc>
                <w:tcPr>
                  <w:tcW w:w="582" w:type="pct"/>
                  <w:vMerge w:val="restart"/>
                  <w:noWrap/>
                  <w:vAlign w:val="center"/>
                </w:tcPr>
                <w:p w14:paraId="1B3667E5">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0"/>
                      <w:sz w:val="21"/>
                      <w:szCs w:val="21"/>
                      <w:lang w:val="en-US" w:eastAsia="zh-CN"/>
                    </w:rPr>
                    <w:t>54446.43</w:t>
                  </w:r>
                </w:p>
              </w:tc>
              <w:tc>
                <w:tcPr>
                  <w:tcW w:w="434" w:type="pct"/>
                  <w:noWrap/>
                  <w:vAlign w:val="center"/>
                </w:tcPr>
                <w:p w14:paraId="4C1E0EF9">
                  <w:pPr>
                    <w:keepNext w:val="0"/>
                    <w:keepLines w:val="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6-9</w:t>
                  </w:r>
                </w:p>
              </w:tc>
              <w:tc>
                <w:tcPr>
                  <w:tcW w:w="353" w:type="pct"/>
                  <w:noWrap/>
                  <w:vAlign w:val="center"/>
                </w:tcPr>
                <w:p w14:paraId="2875B3C9">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w:t>
                  </w:r>
                </w:p>
              </w:tc>
              <w:tc>
                <w:tcPr>
                  <w:tcW w:w="340" w:type="pct"/>
                  <w:noWrap/>
                  <w:vAlign w:val="center"/>
                </w:tcPr>
                <w:p w14:paraId="2E09CB4E">
                  <w:pPr>
                    <w:pStyle w:val="95"/>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olor w:val="auto"/>
                      <w:sz w:val="21"/>
                      <w:szCs w:val="21"/>
                      <w:highlight w:val="none"/>
                      <w:lang w:val="en-US" w:eastAsia="zh-CN"/>
                    </w:rPr>
                    <w:t>6-9</w:t>
                  </w:r>
                </w:p>
              </w:tc>
            </w:tr>
            <w:tr w14:paraId="305B9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56" w:type="pct"/>
                  <w:vMerge w:val="continue"/>
                  <w:noWrap/>
                  <w:vAlign w:val="center"/>
                </w:tcPr>
                <w:p w14:paraId="60E29AD2">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ascii="Times New Roman" w:hAnsi="Times New Roman" w:cs="Times New Roman"/>
                      <w:color w:val="auto"/>
                      <w:kern w:val="0"/>
                      <w:sz w:val="21"/>
                      <w:szCs w:val="21"/>
                      <w:lang w:val="en-US" w:eastAsia="zh-CN"/>
                    </w:rPr>
                  </w:pPr>
                </w:p>
              </w:tc>
              <w:tc>
                <w:tcPr>
                  <w:tcW w:w="315" w:type="pct"/>
                  <w:vMerge w:val="continue"/>
                  <w:noWrap/>
                  <w:vAlign w:val="center"/>
                </w:tcPr>
                <w:p w14:paraId="41D3E59A">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ascii="Times New Roman" w:hAnsi="Times New Roman" w:cs="Times New Roman"/>
                      <w:color w:val="auto"/>
                      <w:kern w:val="0"/>
                      <w:sz w:val="21"/>
                      <w:szCs w:val="21"/>
                      <w:lang w:val="en-US" w:eastAsia="zh-CN"/>
                    </w:rPr>
                  </w:pPr>
                </w:p>
              </w:tc>
              <w:tc>
                <w:tcPr>
                  <w:tcW w:w="481" w:type="pct"/>
                  <w:noWrap/>
                  <w:vAlign w:val="center"/>
                </w:tcPr>
                <w:p w14:paraId="147D499A">
                  <w:pPr>
                    <w:pStyle w:val="120"/>
                    <w:bidi w:val="0"/>
                    <w:ind w:firstLine="0" w:firstLineChars="0"/>
                    <w:jc w:val="center"/>
                    <w:rPr>
                      <w:rFonts w:hint="default" w:ascii="Times New Roman" w:hAnsi="Times New Roman" w:cs="Times New Roman"/>
                      <w:color w:val="auto"/>
                      <w:kern w:val="0"/>
                      <w:sz w:val="21"/>
                      <w:szCs w:val="21"/>
                    </w:rPr>
                  </w:pPr>
                  <w:r>
                    <w:rPr>
                      <w:rFonts w:hint="default"/>
                      <w:color w:val="auto"/>
                      <w:highlight w:val="none"/>
                      <w:lang w:val="en-US" w:eastAsia="zh-CN"/>
                    </w:rPr>
                    <w:t>COD</w:t>
                  </w:r>
                </w:p>
              </w:tc>
              <w:tc>
                <w:tcPr>
                  <w:tcW w:w="498" w:type="pct"/>
                  <w:vMerge w:val="continue"/>
                  <w:noWrap/>
                  <w:vAlign w:val="center"/>
                </w:tcPr>
                <w:p w14:paraId="1F372445">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cs="Times New Roman"/>
                      <w:color w:val="auto"/>
                      <w:kern w:val="0"/>
                      <w:sz w:val="21"/>
                      <w:szCs w:val="21"/>
                      <w:lang w:val="en-US" w:eastAsia="zh-CN"/>
                    </w:rPr>
                  </w:pPr>
                </w:p>
              </w:tc>
              <w:tc>
                <w:tcPr>
                  <w:tcW w:w="407" w:type="pct"/>
                  <w:noWrap/>
                  <w:vAlign w:val="center"/>
                </w:tcPr>
                <w:p w14:paraId="449BE63E">
                  <w:pPr>
                    <w:pStyle w:val="12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highlight w:val="none"/>
                      <w:lang w:val="en-US" w:eastAsia="zh-CN" w:bidi="ar-SA"/>
                    </w:rPr>
                    <w:t>250</w:t>
                  </w:r>
                </w:p>
              </w:tc>
              <w:tc>
                <w:tcPr>
                  <w:tcW w:w="457" w:type="pct"/>
                  <w:noWrap/>
                  <w:vAlign w:val="center"/>
                </w:tcPr>
                <w:p w14:paraId="21BBE77F">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eastAsia" w:cs="Times New Roman"/>
                      <w:color w:val="auto"/>
                      <w:sz w:val="21"/>
                      <w:szCs w:val="21"/>
                      <w:lang w:val="en-US" w:eastAsia="zh-CN"/>
                    </w:rPr>
                  </w:pPr>
                  <w:r>
                    <w:rPr>
                      <w:rFonts w:hint="eastAsia" w:cs="Times New Roman"/>
                      <w:color w:val="auto"/>
                      <w:sz w:val="21"/>
                      <w:szCs w:val="21"/>
                      <w:lang w:val="en-US" w:eastAsia="zh-CN"/>
                    </w:rPr>
                    <w:t>13.612</w:t>
                  </w:r>
                </w:p>
              </w:tc>
              <w:tc>
                <w:tcPr>
                  <w:tcW w:w="323" w:type="pct"/>
                  <w:vMerge w:val="continue"/>
                  <w:noWrap w:val="0"/>
                  <w:vAlign w:val="center"/>
                </w:tcPr>
                <w:p w14:paraId="15F5A2EB">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47" w:type="pct"/>
                  <w:noWrap/>
                  <w:vAlign w:val="center"/>
                </w:tcPr>
                <w:p w14:paraId="4C344C1C">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eastAsia" w:ascii="Times New Roman" w:hAnsi="Times New Roman" w:cs="Times New Roman"/>
                      <w:color w:val="auto"/>
                      <w:kern w:val="0"/>
                      <w:sz w:val="21"/>
                      <w:szCs w:val="21"/>
                      <w:lang w:val="en-US" w:eastAsia="zh-CN"/>
                    </w:rPr>
                    <w:t>80</w:t>
                  </w:r>
                </w:p>
              </w:tc>
              <w:tc>
                <w:tcPr>
                  <w:tcW w:w="582" w:type="pct"/>
                  <w:vMerge w:val="continue"/>
                  <w:noWrap/>
                  <w:vAlign w:val="center"/>
                </w:tcPr>
                <w:p w14:paraId="3FECFBDA">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cs="Times New Roman"/>
                      <w:color w:val="auto"/>
                      <w:kern w:val="0"/>
                      <w:sz w:val="21"/>
                      <w:szCs w:val="21"/>
                      <w:lang w:val="en-US" w:eastAsia="zh-CN"/>
                    </w:rPr>
                  </w:pPr>
                </w:p>
              </w:tc>
              <w:tc>
                <w:tcPr>
                  <w:tcW w:w="434" w:type="pct"/>
                  <w:noWrap/>
                  <w:vAlign w:val="center"/>
                </w:tcPr>
                <w:p w14:paraId="4C10E39B">
                  <w:pPr>
                    <w:keepNext w:val="0"/>
                    <w:keepLines w:val="0"/>
                    <w:pageBreakBefore w:val="0"/>
                    <w:kinsoku/>
                    <w:wordWrap/>
                    <w:overflowPunct/>
                    <w:topLinePunct w:val="0"/>
                    <w:autoSpaceDE/>
                    <w:autoSpaceDN/>
                    <w:bidi w:val="0"/>
                    <w:spacing w:line="240" w:lineRule="auto"/>
                    <w:ind w:firstLine="0" w:firstLineChars="0"/>
                    <w:jc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50</w:t>
                  </w:r>
                </w:p>
              </w:tc>
              <w:tc>
                <w:tcPr>
                  <w:tcW w:w="353" w:type="pct"/>
                  <w:noWrap/>
                  <w:vAlign w:val="center"/>
                </w:tcPr>
                <w:p w14:paraId="6324025F">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eastAsia" w:cs="Times New Roman"/>
                      <w:color w:val="auto"/>
                      <w:sz w:val="21"/>
                      <w:szCs w:val="21"/>
                      <w:lang w:val="en-US" w:eastAsia="zh-CN"/>
                    </w:rPr>
                  </w:pPr>
                  <w:r>
                    <w:rPr>
                      <w:rFonts w:hint="eastAsia" w:cs="Times New Roman"/>
                      <w:color w:val="auto"/>
                      <w:sz w:val="21"/>
                      <w:szCs w:val="21"/>
                      <w:lang w:val="en-US" w:eastAsia="zh-CN"/>
                    </w:rPr>
                    <w:t>2.722</w:t>
                  </w:r>
                </w:p>
              </w:tc>
              <w:tc>
                <w:tcPr>
                  <w:tcW w:w="340" w:type="pct"/>
                  <w:noWrap/>
                  <w:vAlign w:val="center"/>
                </w:tcPr>
                <w:p w14:paraId="0AB9656E">
                  <w:pPr>
                    <w:pStyle w:val="95"/>
                    <w:keepNext w:val="0"/>
                    <w:keepLines w:val="0"/>
                    <w:pageBreakBefore w:val="0"/>
                    <w:kinsoku/>
                    <w:wordWrap/>
                    <w:overflowPunct/>
                    <w:topLinePunct w:val="0"/>
                    <w:autoSpaceDE/>
                    <w:autoSpaceDN/>
                    <w:bidi w:val="0"/>
                    <w:spacing w:line="240" w:lineRule="auto"/>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250</w:t>
                  </w:r>
                </w:p>
              </w:tc>
            </w:tr>
            <w:tr w14:paraId="61BD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56" w:type="pct"/>
                  <w:vMerge w:val="continue"/>
                  <w:noWrap/>
                  <w:vAlign w:val="center"/>
                </w:tcPr>
                <w:p w14:paraId="0A2A26D3">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ascii="Times New Roman" w:hAnsi="Times New Roman" w:cs="Times New Roman"/>
                      <w:color w:val="auto"/>
                      <w:kern w:val="0"/>
                      <w:sz w:val="21"/>
                      <w:szCs w:val="21"/>
                      <w:lang w:val="en-US" w:eastAsia="zh-CN"/>
                    </w:rPr>
                  </w:pPr>
                </w:p>
              </w:tc>
              <w:tc>
                <w:tcPr>
                  <w:tcW w:w="315" w:type="pct"/>
                  <w:vMerge w:val="continue"/>
                  <w:noWrap/>
                  <w:vAlign w:val="center"/>
                </w:tcPr>
                <w:p w14:paraId="797AFBD9">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ascii="Times New Roman" w:hAnsi="Times New Roman" w:cs="Times New Roman"/>
                      <w:color w:val="auto"/>
                      <w:kern w:val="0"/>
                      <w:sz w:val="21"/>
                      <w:szCs w:val="21"/>
                      <w:lang w:val="en-US" w:eastAsia="zh-CN"/>
                    </w:rPr>
                  </w:pPr>
                </w:p>
              </w:tc>
              <w:tc>
                <w:tcPr>
                  <w:tcW w:w="481" w:type="pct"/>
                  <w:noWrap/>
                  <w:vAlign w:val="center"/>
                </w:tcPr>
                <w:p w14:paraId="2514BDF6">
                  <w:pPr>
                    <w:pStyle w:val="120"/>
                    <w:bidi w:val="0"/>
                    <w:ind w:firstLine="0" w:firstLineChars="0"/>
                    <w:jc w:val="center"/>
                    <w:rPr>
                      <w:rFonts w:hint="default" w:ascii="Times New Roman" w:hAnsi="Times New Roman" w:cs="Times New Roman"/>
                      <w:color w:val="auto"/>
                      <w:kern w:val="0"/>
                      <w:sz w:val="21"/>
                      <w:szCs w:val="21"/>
                    </w:rPr>
                  </w:pPr>
                  <w:r>
                    <w:rPr>
                      <w:rFonts w:hint="default"/>
                      <w:color w:val="auto"/>
                      <w:highlight w:val="none"/>
                      <w:lang w:val="en-US" w:eastAsia="zh-CN"/>
                    </w:rPr>
                    <w:t>BOD</w:t>
                  </w:r>
                  <w:r>
                    <w:rPr>
                      <w:rFonts w:hint="default"/>
                      <w:color w:val="auto"/>
                      <w:highlight w:val="none"/>
                      <w:vertAlign w:val="subscript"/>
                      <w:lang w:val="en-US" w:eastAsia="zh-CN"/>
                    </w:rPr>
                    <w:t>5</w:t>
                  </w:r>
                </w:p>
              </w:tc>
              <w:tc>
                <w:tcPr>
                  <w:tcW w:w="498" w:type="pct"/>
                  <w:vMerge w:val="continue"/>
                  <w:noWrap/>
                  <w:vAlign w:val="center"/>
                </w:tcPr>
                <w:p w14:paraId="779EA4E0">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cs="Times New Roman"/>
                      <w:color w:val="auto"/>
                      <w:kern w:val="0"/>
                      <w:sz w:val="21"/>
                      <w:szCs w:val="21"/>
                      <w:lang w:val="en-US" w:eastAsia="zh-CN"/>
                    </w:rPr>
                  </w:pPr>
                </w:p>
              </w:tc>
              <w:tc>
                <w:tcPr>
                  <w:tcW w:w="407" w:type="pct"/>
                  <w:noWrap/>
                  <w:vAlign w:val="center"/>
                </w:tcPr>
                <w:p w14:paraId="670A4AEF">
                  <w:pPr>
                    <w:pStyle w:val="12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highlight w:val="none"/>
                      <w:lang w:val="en-US" w:eastAsia="zh-CN" w:bidi="ar-SA"/>
                    </w:rPr>
                    <w:t>100</w:t>
                  </w:r>
                </w:p>
              </w:tc>
              <w:tc>
                <w:tcPr>
                  <w:tcW w:w="457" w:type="pct"/>
                  <w:noWrap/>
                  <w:vAlign w:val="center"/>
                </w:tcPr>
                <w:p w14:paraId="40FD3BB7">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eastAsia" w:cs="Times New Roman"/>
                      <w:color w:val="auto"/>
                      <w:sz w:val="21"/>
                      <w:szCs w:val="21"/>
                      <w:lang w:val="en-US" w:eastAsia="zh-CN"/>
                    </w:rPr>
                  </w:pPr>
                  <w:r>
                    <w:rPr>
                      <w:rFonts w:hint="eastAsia" w:cs="Times New Roman"/>
                      <w:color w:val="auto"/>
                      <w:sz w:val="21"/>
                      <w:szCs w:val="21"/>
                      <w:lang w:val="en-US" w:eastAsia="zh-CN"/>
                    </w:rPr>
                    <w:t>5.445</w:t>
                  </w:r>
                </w:p>
              </w:tc>
              <w:tc>
                <w:tcPr>
                  <w:tcW w:w="323" w:type="pct"/>
                  <w:vMerge w:val="continue"/>
                  <w:noWrap w:val="0"/>
                  <w:vAlign w:val="center"/>
                </w:tcPr>
                <w:p w14:paraId="5D00A4B1">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47" w:type="pct"/>
                  <w:noWrap/>
                  <w:vAlign w:val="center"/>
                </w:tcPr>
                <w:p w14:paraId="258F9510">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eastAsia" w:ascii="Times New Roman" w:hAnsi="Times New Roman" w:cs="Times New Roman"/>
                      <w:color w:val="auto"/>
                      <w:kern w:val="0"/>
                      <w:sz w:val="21"/>
                      <w:szCs w:val="21"/>
                      <w:lang w:val="en-US" w:eastAsia="zh-CN"/>
                    </w:rPr>
                    <w:t>30</w:t>
                  </w:r>
                </w:p>
              </w:tc>
              <w:tc>
                <w:tcPr>
                  <w:tcW w:w="582" w:type="pct"/>
                  <w:vMerge w:val="continue"/>
                  <w:noWrap/>
                  <w:vAlign w:val="center"/>
                </w:tcPr>
                <w:p w14:paraId="2458504A">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cs="Times New Roman"/>
                      <w:color w:val="auto"/>
                      <w:kern w:val="0"/>
                      <w:sz w:val="21"/>
                      <w:szCs w:val="21"/>
                      <w:lang w:val="en-US" w:eastAsia="zh-CN"/>
                    </w:rPr>
                  </w:pPr>
                </w:p>
              </w:tc>
              <w:tc>
                <w:tcPr>
                  <w:tcW w:w="434" w:type="pct"/>
                  <w:noWrap/>
                  <w:vAlign w:val="center"/>
                </w:tcPr>
                <w:p w14:paraId="79EB78EE">
                  <w:pPr>
                    <w:keepNext w:val="0"/>
                    <w:keepLines w:val="0"/>
                    <w:pageBreakBefore w:val="0"/>
                    <w:kinsoku/>
                    <w:wordWrap/>
                    <w:overflowPunct/>
                    <w:topLinePunct w:val="0"/>
                    <w:autoSpaceDE/>
                    <w:autoSpaceDN/>
                    <w:bidi w:val="0"/>
                    <w:spacing w:line="240" w:lineRule="auto"/>
                    <w:ind w:firstLine="0" w:firstLineChars="0"/>
                    <w:jc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70</w:t>
                  </w:r>
                </w:p>
              </w:tc>
              <w:tc>
                <w:tcPr>
                  <w:tcW w:w="353" w:type="pct"/>
                  <w:noWrap/>
                  <w:vAlign w:val="center"/>
                </w:tcPr>
                <w:p w14:paraId="3CD33F2D">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eastAsia" w:cs="Times New Roman"/>
                      <w:color w:val="auto"/>
                      <w:sz w:val="21"/>
                      <w:szCs w:val="21"/>
                      <w:lang w:val="en-US" w:eastAsia="zh-CN"/>
                    </w:rPr>
                  </w:pPr>
                  <w:r>
                    <w:rPr>
                      <w:rFonts w:hint="eastAsia" w:cs="Times New Roman"/>
                      <w:color w:val="auto"/>
                      <w:sz w:val="21"/>
                      <w:szCs w:val="21"/>
                      <w:lang w:val="en-US" w:eastAsia="zh-CN"/>
                    </w:rPr>
                    <w:t>3.812</w:t>
                  </w:r>
                </w:p>
              </w:tc>
              <w:tc>
                <w:tcPr>
                  <w:tcW w:w="340" w:type="pct"/>
                  <w:noWrap/>
                  <w:vAlign w:val="center"/>
                </w:tcPr>
                <w:p w14:paraId="6FFE95C6">
                  <w:pPr>
                    <w:pStyle w:val="95"/>
                    <w:keepNext w:val="0"/>
                    <w:keepLines w:val="0"/>
                    <w:pageBreakBefore w:val="0"/>
                    <w:kinsoku/>
                    <w:wordWrap/>
                    <w:overflowPunct/>
                    <w:topLinePunct w:val="0"/>
                    <w:autoSpaceDE/>
                    <w:autoSpaceDN/>
                    <w:bidi w:val="0"/>
                    <w:spacing w:line="240" w:lineRule="auto"/>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100</w:t>
                  </w:r>
                </w:p>
              </w:tc>
            </w:tr>
            <w:tr w14:paraId="7814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56" w:type="pct"/>
                  <w:vMerge w:val="continue"/>
                  <w:noWrap/>
                  <w:vAlign w:val="center"/>
                </w:tcPr>
                <w:p w14:paraId="480AE1CD">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ascii="Times New Roman" w:hAnsi="Times New Roman" w:cs="Times New Roman"/>
                      <w:color w:val="auto"/>
                      <w:kern w:val="0"/>
                      <w:sz w:val="21"/>
                      <w:szCs w:val="21"/>
                      <w:lang w:val="en-US" w:eastAsia="zh-CN"/>
                    </w:rPr>
                  </w:pPr>
                </w:p>
              </w:tc>
              <w:tc>
                <w:tcPr>
                  <w:tcW w:w="315" w:type="pct"/>
                  <w:vMerge w:val="continue"/>
                  <w:noWrap/>
                  <w:vAlign w:val="center"/>
                </w:tcPr>
                <w:p w14:paraId="4ED23766">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ascii="Times New Roman" w:hAnsi="Times New Roman" w:cs="Times New Roman"/>
                      <w:color w:val="auto"/>
                      <w:kern w:val="0"/>
                      <w:sz w:val="21"/>
                      <w:szCs w:val="21"/>
                      <w:lang w:val="en-US" w:eastAsia="zh-CN"/>
                    </w:rPr>
                  </w:pPr>
                </w:p>
              </w:tc>
              <w:tc>
                <w:tcPr>
                  <w:tcW w:w="481" w:type="pct"/>
                  <w:noWrap/>
                  <w:vAlign w:val="center"/>
                </w:tcPr>
                <w:p w14:paraId="7827992C">
                  <w:pPr>
                    <w:pStyle w:val="120"/>
                    <w:bidi w:val="0"/>
                    <w:ind w:firstLine="0" w:firstLineChars="0"/>
                    <w:jc w:val="center"/>
                    <w:rPr>
                      <w:rFonts w:hint="default" w:ascii="Times New Roman" w:hAnsi="Times New Roman" w:cs="Times New Roman"/>
                      <w:color w:val="auto"/>
                      <w:kern w:val="0"/>
                      <w:sz w:val="21"/>
                      <w:szCs w:val="21"/>
                    </w:rPr>
                  </w:pPr>
                  <w:r>
                    <w:rPr>
                      <w:rFonts w:hint="default"/>
                      <w:color w:val="auto"/>
                      <w:highlight w:val="none"/>
                      <w:lang w:val="en-US" w:eastAsia="zh-CN"/>
                    </w:rPr>
                    <w:t>SS</w:t>
                  </w:r>
                </w:p>
              </w:tc>
              <w:tc>
                <w:tcPr>
                  <w:tcW w:w="498" w:type="pct"/>
                  <w:vMerge w:val="continue"/>
                  <w:noWrap/>
                  <w:vAlign w:val="center"/>
                </w:tcPr>
                <w:p w14:paraId="3644FB79">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cs="Times New Roman"/>
                      <w:color w:val="auto"/>
                      <w:kern w:val="0"/>
                      <w:sz w:val="21"/>
                      <w:szCs w:val="21"/>
                      <w:lang w:val="en-US" w:eastAsia="zh-CN"/>
                    </w:rPr>
                  </w:pPr>
                </w:p>
              </w:tc>
              <w:tc>
                <w:tcPr>
                  <w:tcW w:w="407" w:type="pct"/>
                  <w:noWrap/>
                  <w:vAlign w:val="center"/>
                </w:tcPr>
                <w:p w14:paraId="522BC227">
                  <w:pPr>
                    <w:pStyle w:val="12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highlight w:val="none"/>
                      <w:lang w:val="en-US" w:eastAsia="zh-CN" w:bidi="ar-SA"/>
                    </w:rPr>
                    <w:t>80</w:t>
                  </w:r>
                </w:p>
              </w:tc>
              <w:tc>
                <w:tcPr>
                  <w:tcW w:w="457" w:type="pct"/>
                  <w:noWrap/>
                  <w:vAlign w:val="center"/>
                </w:tcPr>
                <w:p w14:paraId="155FEB6B">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eastAsia" w:cs="Times New Roman"/>
                      <w:color w:val="auto"/>
                      <w:sz w:val="21"/>
                      <w:szCs w:val="21"/>
                      <w:lang w:val="en-US" w:eastAsia="zh-CN"/>
                    </w:rPr>
                  </w:pPr>
                  <w:r>
                    <w:rPr>
                      <w:rFonts w:hint="eastAsia" w:cs="Times New Roman"/>
                      <w:color w:val="auto"/>
                      <w:sz w:val="21"/>
                      <w:szCs w:val="21"/>
                      <w:lang w:val="en-US" w:eastAsia="zh-CN"/>
                    </w:rPr>
                    <w:t>4.356</w:t>
                  </w:r>
                </w:p>
              </w:tc>
              <w:tc>
                <w:tcPr>
                  <w:tcW w:w="323" w:type="pct"/>
                  <w:vMerge w:val="continue"/>
                  <w:noWrap w:val="0"/>
                  <w:vAlign w:val="center"/>
                </w:tcPr>
                <w:p w14:paraId="0BC2FBB4">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47" w:type="pct"/>
                  <w:noWrap/>
                  <w:vAlign w:val="center"/>
                </w:tcPr>
                <w:p w14:paraId="15E6687D">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eastAsia" w:ascii="Times New Roman" w:hAnsi="Times New Roman" w:cs="Times New Roman"/>
                      <w:color w:val="auto"/>
                      <w:kern w:val="0"/>
                      <w:sz w:val="21"/>
                      <w:szCs w:val="21"/>
                      <w:lang w:val="en-US" w:eastAsia="zh-CN"/>
                    </w:rPr>
                    <w:t>50</w:t>
                  </w:r>
                </w:p>
              </w:tc>
              <w:tc>
                <w:tcPr>
                  <w:tcW w:w="582" w:type="pct"/>
                  <w:vMerge w:val="continue"/>
                  <w:noWrap/>
                  <w:vAlign w:val="center"/>
                </w:tcPr>
                <w:p w14:paraId="35548321">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cs="Times New Roman"/>
                      <w:color w:val="auto"/>
                      <w:kern w:val="0"/>
                      <w:sz w:val="21"/>
                      <w:szCs w:val="21"/>
                      <w:lang w:val="en-US" w:eastAsia="zh-CN"/>
                    </w:rPr>
                  </w:pPr>
                </w:p>
              </w:tc>
              <w:tc>
                <w:tcPr>
                  <w:tcW w:w="434" w:type="pct"/>
                  <w:noWrap/>
                  <w:vAlign w:val="center"/>
                </w:tcPr>
                <w:p w14:paraId="0B851AB1">
                  <w:pPr>
                    <w:keepNext w:val="0"/>
                    <w:keepLines w:val="0"/>
                    <w:pageBreakBefore w:val="0"/>
                    <w:kinsoku/>
                    <w:wordWrap/>
                    <w:overflowPunct/>
                    <w:topLinePunct w:val="0"/>
                    <w:autoSpaceDE/>
                    <w:autoSpaceDN/>
                    <w:bidi w:val="0"/>
                    <w:spacing w:line="240" w:lineRule="auto"/>
                    <w:ind w:firstLine="0" w:firstLineChars="0"/>
                    <w:jc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40</w:t>
                  </w:r>
                </w:p>
              </w:tc>
              <w:tc>
                <w:tcPr>
                  <w:tcW w:w="353" w:type="pct"/>
                  <w:noWrap/>
                  <w:vAlign w:val="center"/>
                </w:tcPr>
                <w:p w14:paraId="49611347">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eastAsia" w:cs="Times New Roman"/>
                      <w:color w:val="auto"/>
                      <w:sz w:val="21"/>
                      <w:szCs w:val="21"/>
                      <w:lang w:val="en-US" w:eastAsia="zh-CN"/>
                    </w:rPr>
                  </w:pPr>
                  <w:r>
                    <w:rPr>
                      <w:rFonts w:hint="eastAsia" w:cs="Times New Roman"/>
                      <w:color w:val="auto"/>
                      <w:sz w:val="21"/>
                      <w:szCs w:val="21"/>
                      <w:lang w:val="en-US" w:eastAsia="zh-CN"/>
                    </w:rPr>
                    <w:t>2.178</w:t>
                  </w:r>
                </w:p>
              </w:tc>
              <w:tc>
                <w:tcPr>
                  <w:tcW w:w="340" w:type="pct"/>
                  <w:noWrap/>
                  <w:vAlign w:val="center"/>
                </w:tcPr>
                <w:p w14:paraId="6644603E">
                  <w:pPr>
                    <w:pStyle w:val="95"/>
                    <w:keepNext w:val="0"/>
                    <w:keepLines w:val="0"/>
                    <w:pageBreakBefore w:val="0"/>
                    <w:kinsoku/>
                    <w:wordWrap/>
                    <w:overflowPunct/>
                    <w:topLinePunct w:val="0"/>
                    <w:autoSpaceDE/>
                    <w:autoSpaceDN/>
                    <w:bidi w:val="0"/>
                    <w:spacing w:line="240" w:lineRule="auto"/>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60</w:t>
                  </w:r>
                </w:p>
              </w:tc>
            </w:tr>
            <w:tr w14:paraId="562A2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56" w:type="pct"/>
                  <w:vMerge w:val="continue"/>
                  <w:noWrap/>
                  <w:vAlign w:val="center"/>
                </w:tcPr>
                <w:p w14:paraId="3E55AA6B">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ascii="Times New Roman" w:hAnsi="Times New Roman" w:cs="Times New Roman"/>
                      <w:color w:val="auto"/>
                      <w:kern w:val="0"/>
                      <w:sz w:val="21"/>
                      <w:szCs w:val="21"/>
                      <w:lang w:val="en-US" w:eastAsia="zh-CN"/>
                    </w:rPr>
                  </w:pPr>
                </w:p>
              </w:tc>
              <w:tc>
                <w:tcPr>
                  <w:tcW w:w="315" w:type="pct"/>
                  <w:vMerge w:val="continue"/>
                  <w:noWrap/>
                  <w:vAlign w:val="center"/>
                </w:tcPr>
                <w:p w14:paraId="47D479BE">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ascii="Times New Roman" w:hAnsi="Times New Roman" w:cs="Times New Roman"/>
                      <w:color w:val="auto"/>
                      <w:kern w:val="0"/>
                      <w:sz w:val="21"/>
                      <w:szCs w:val="21"/>
                      <w:lang w:val="en-US" w:eastAsia="zh-CN"/>
                    </w:rPr>
                  </w:pPr>
                </w:p>
              </w:tc>
              <w:tc>
                <w:tcPr>
                  <w:tcW w:w="481" w:type="pct"/>
                  <w:noWrap/>
                  <w:vAlign w:val="center"/>
                </w:tcPr>
                <w:p w14:paraId="0BFAC1A7">
                  <w:pPr>
                    <w:pStyle w:val="120"/>
                    <w:bidi w:val="0"/>
                    <w:ind w:firstLine="0" w:firstLineChars="0"/>
                    <w:jc w:val="center"/>
                    <w:rPr>
                      <w:rFonts w:hint="default" w:ascii="Times New Roman" w:hAnsi="Times New Roman" w:cs="Times New Roman"/>
                      <w:color w:val="auto"/>
                      <w:kern w:val="0"/>
                      <w:sz w:val="21"/>
                      <w:szCs w:val="21"/>
                    </w:rPr>
                  </w:pPr>
                  <w:r>
                    <w:rPr>
                      <w:rFonts w:hint="default"/>
                      <w:color w:val="auto"/>
                      <w:highlight w:val="none"/>
                      <w:lang w:val="en-US" w:eastAsia="zh-CN"/>
                    </w:rPr>
                    <w:t>NH</w:t>
                  </w:r>
                  <w:r>
                    <w:rPr>
                      <w:rFonts w:hint="default"/>
                      <w:color w:val="auto"/>
                      <w:highlight w:val="none"/>
                      <w:vertAlign w:val="subscript"/>
                      <w:lang w:val="en-US" w:eastAsia="zh-CN"/>
                    </w:rPr>
                    <w:t>3</w:t>
                  </w:r>
                  <w:r>
                    <w:rPr>
                      <w:rFonts w:hint="default"/>
                      <w:color w:val="auto"/>
                      <w:highlight w:val="none"/>
                      <w:lang w:val="en-US" w:eastAsia="zh-CN"/>
                    </w:rPr>
                    <w:t>-N</w:t>
                  </w:r>
                </w:p>
              </w:tc>
              <w:tc>
                <w:tcPr>
                  <w:tcW w:w="498" w:type="pct"/>
                  <w:vMerge w:val="continue"/>
                  <w:noWrap/>
                  <w:vAlign w:val="center"/>
                </w:tcPr>
                <w:p w14:paraId="30B57B54">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cs="Times New Roman"/>
                      <w:color w:val="auto"/>
                      <w:kern w:val="0"/>
                      <w:sz w:val="21"/>
                      <w:szCs w:val="21"/>
                      <w:lang w:val="en-US" w:eastAsia="zh-CN"/>
                    </w:rPr>
                  </w:pPr>
                </w:p>
              </w:tc>
              <w:tc>
                <w:tcPr>
                  <w:tcW w:w="407" w:type="pct"/>
                  <w:noWrap/>
                  <w:vAlign w:val="center"/>
                </w:tcPr>
                <w:p w14:paraId="6AF9CE8F">
                  <w:pPr>
                    <w:pStyle w:val="12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highlight w:val="none"/>
                      <w:lang w:val="en-US" w:eastAsia="zh-CN" w:bidi="ar-SA"/>
                    </w:rPr>
                    <w:t>30</w:t>
                  </w:r>
                </w:p>
              </w:tc>
              <w:tc>
                <w:tcPr>
                  <w:tcW w:w="457" w:type="pct"/>
                  <w:noWrap/>
                  <w:vAlign w:val="center"/>
                </w:tcPr>
                <w:p w14:paraId="4A80604D">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eastAsia" w:cs="Times New Roman"/>
                      <w:color w:val="auto"/>
                      <w:sz w:val="21"/>
                      <w:szCs w:val="21"/>
                      <w:lang w:val="en-US" w:eastAsia="zh-CN"/>
                    </w:rPr>
                  </w:pPr>
                  <w:r>
                    <w:rPr>
                      <w:rFonts w:hint="eastAsia" w:cs="Times New Roman"/>
                      <w:color w:val="auto"/>
                      <w:sz w:val="21"/>
                      <w:szCs w:val="21"/>
                      <w:lang w:val="en-US" w:eastAsia="zh-CN"/>
                    </w:rPr>
                    <w:t>1.633</w:t>
                  </w:r>
                </w:p>
              </w:tc>
              <w:tc>
                <w:tcPr>
                  <w:tcW w:w="323" w:type="pct"/>
                  <w:vMerge w:val="continue"/>
                  <w:noWrap w:val="0"/>
                  <w:vAlign w:val="center"/>
                </w:tcPr>
                <w:p w14:paraId="0F386B81">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p>
              </w:tc>
              <w:tc>
                <w:tcPr>
                  <w:tcW w:w="347" w:type="pct"/>
                  <w:noWrap/>
                  <w:vAlign w:val="center"/>
                </w:tcPr>
                <w:p w14:paraId="19CB9364">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eastAsia" w:ascii="Times New Roman" w:hAnsi="Times New Roman" w:cs="Times New Roman"/>
                      <w:color w:val="auto"/>
                      <w:kern w:val="0"/>
                      <w:sz w:val="21"/>
                      <w:szCs w:val="21"/>
                      <w:lang w:val="en-US" w:eastAsia="zh-CN"/>
                    </w:rPr>
                    <w:t>20</w:t>
                  </w:r>
                </w:p>
              </w:tc>
              <w:tc>
                <w:tcPr>
                  <w:tcW w:w="582" w:type="pct"/>
                  <w:vMerge w:val="continue"/>
                  <w:noWrap/>
                  <w:vAlign w:val="center"/>
                </w:tcPr>
                <w:p w14:paraId="2E4C6B03">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cs="Times New Roman"/>
                      <w:color w:val="auto"/>
                      <w:kern w:val="0"/>
                      <w:sz w:val="21"/>
                      <w:szCs w:val="21"/>
                      <w:lang w:val="en-US" w:eastAsia="zh-CN"/>
                    </w:rPr>
                  </w:pPr>
                </w:p>
              </w:tc>
              <w:tc>
                <w:tcPr>
                  <w:tcW w:w="434" w:type="pct"/>
                  <w:noWrap/>
                  <w:vAlign w:val="center"/>
                </w:tcPr>
                <w:p w14:paraId="1F13CF6A">
                  <w:pPr>
                    <w:keepNext w:val="0"/>
                    <w:keepLines w:val="0"/>
                    <w:pageBreakBefore w:val="0"/>
                    <w:kinsoku/>
                    <w:wordWrap/>
                    <w:overflowPunct/>
                    <w:topLinePunct w:val="0"/>
                    <w:autoSpaceDE/>
                    <w:autoSpaceDN/>
                    <w:bidi w:val="0"/>
                    <w:spacing w:line="240" w:lineRule="auto"/>
                    <w:ind w:firstLine="0" w:firstLineChars="0"/>
                    <w:jc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24</w:t>
                  </w:r>
                </w:p>
              </w:tc>
              <w:tc>
                <w:tcPr>
                  <w:tcW w:w="353" w:type="pct"/>
                  <w:noWrap/>
                  <w:vAlign w:val="center"/>
                </w:tcPr>
                <w:p w14:paraId="48F1F701">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eastAsia" w:cs="Times New Roman"/>
                      <w:color w:val="auto"/>
                      <w:sz w:val="21"/>
                      <w:szCs w:val="21"/>
                      <w:lang w:val="en-US" w:eastAsia="zh-CN"/>
                    </w:rPr>
                  </w:pPr>
                  <w:r>
                    <w:rPr>
                      <w:rFonts w:hint="eastAsia" w:cs="Times New Roman"/>
                      <w:color w:val="auto"/>
                      <w:sz w:val="21"/>
                      <w:szCs w:val="21"/>
                      <w:lang w:val="en-US" w:eastAsia="zh-CN"/>
                    </w:rPr>
                    <w:t>1.306</w:t>
                  </w:r>
                </w:p>
              </w:tc>
              <w:tc>
                <w:tcPr>
                  <w:tcW w:w="340" w:type="pct"/>
                  <w:noWrap/>
                  <w:vAlign w:val="center"/>
                </w:tcPr>
                <w:p w14:paraId="66FE2706">
                  <w:pPr>
                    <w:pStyle w:val="95"/>
                    <w:keepNext w:val="0"/>
                    <w:keepLines w:val="0"/>
                    <w:pageBreakBefore w:val="0"/>
                    <w:kinsoku/>
                    <w:wordWrap/>
                    <w:overflowPunct/>
                    <w:topLinePunct w:val="0"/>
                    <w:autoSpaceDE/>
                    <w:autoSpaceDN/>
                    <w:bidi w:val="0"/>
                    <w:spacing w:line="240" w:lineRule="auto"/>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25</w:t>
                  </w:r>
                </w:p>
              </w:tc>
            </w:tr>
            <w:tr w14:paraId="4F80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56" w:type="pct"/>
                  <w:vMerge w:val="continue"/>
                  <w:noWrap w:val="0"/>
                  <w:vAlign w:val="center"/>
                </w:tcPr>
                <w:p w14:paraId="65198825">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sz w:val="21"/>
                      <w:szCs w:val="21"/>
                    </w:rPr>
                  </w:pPr>
                </w:p>
              </w:tc>
              <w:tc>
                <w:tcPr>
                  <w:tcW w:w="315" w:type="pct"/>
                  <w:vMerge w:val="continue"/>
                  <w:noWrap w:val="0"/>
                  <w:vAlign w:val="center"/>
                </w:tcPr>
                <w:p w14:paraId="2A225142">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sz w:val="21"/>
                      <w:szCs w:val="21"/>
                    </w:rPr>
                  </w:pPr>
                </w:p>
              </w:tc>
              <w:tc>
                <w:tcPr>
                  <w:tcW w:w="481" w:type="pct"/>
                  <w:noWrap/>
                  <w:vAlign w:val="center"/>
                </w:tcPr>
                <w:p w14:paraId="4FF53CCB">
                  <w:pPr>
                    <w:pStyle w:val="120"/>
                    <w:bidi w:val="0"/>
                    <w:ind w:firstLine="0" w:firstLineChars="0"/>
                    <w:jc w:val="center"/>
                    <w:rPr>
                      <w:rFonts w:hint="default" w:ascii="Times New Roman" w:hAnsi="Times New Roman" w:cs="Times New Roman"/>
                      <w:color w:val="auto"/>
                      <w:sz w:val="21"/>
                      <w:szCs w:val="21"/>
                    </w:rPr>
                  </w:pPr>
                  <w:r>
                    <w:rPr>
                      <w:rFonts w:hint="eastAsia"/>
                      <w:color w:val="auto"/>
                      <w:highlight w:val="none"/>
                      <w:lang w:val="en-US" w:eastAsia="zh-CN"/>
                    </w:rPr>
                    <w:t>LAS</w:t>
                  </w:r>
                </w:p>
              </w:tc>
              <w:tc>
                <w:tcPr>
                  <w:tcW w:w="498" w:type="pct"/>
                  <w:vMerge w:val="continue"/>
                  <w:noWrap w:val="0"/>
                  <w:vAlign w:val="center"/>
                </w:tcPr>
                <w:p w14:paraId="5D9ECC57">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sz w:val="21"/>
                      <w:szCs w:val="21"/>
                    </w:rPr>
                  </w:pPr>
                </w:p>
              </w:tc>
              <w:tc>
                <w:tcPr>
                  <w:tcW w:w="407" w:type="pct"/>
                  <w:noWrap/>
                  <w:vAlign w:val="center"/>
                </w:tcPr>
                <w:p w14:paraId="063B26D9">
                  <w:pPr>
                    <w:pStyle w:val="12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highlight w:val="none"/>
                      <w:lang w:val="en-US" w:eastAsia="zh-CN" w:bidi="ar-SA"/>
                    </w:rPr>
                    <w:t>10</w:t>
                  </w:r>
                </w:p>
              </w:tc>
              <w:tc>
                <w:tcPr>
                  <w:tcW w:w="457" w:type="pct"/>
                  <w:noWrap/>
                  <w:vAlign w:val="center"/>
                </w:tcPr>
                <w:p w14:paraId="51806B98">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0.544</w:t>
                  </w:r>
                </w:p>
              </w:tc>
              <w:tc>
                <w:tcPr>
                  <w:tcW w:w="323" w:type="pct"/>
                  <w:vMerge w:val="continue"/>
                  <w:noWrap w:val="0"/>
                  <w:vAlign w:val="center"/>
                </w:tcPr>
                <w:p w14:paraId="7A096346">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p>
              </w:tc>
              <w:tc>
                <w:tcPr>
                  <w:tcW w:w="347" w:type="pct"/>
                  <w:noWrap w:val="0"/>
                  <w:vAlign w:val="center"/>
                </w:tcPr>
                <w:p w14:paraId="6BC427A1">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rPr>
                    <w:t>20</w:t>
                  </w:r>
                </w:p>
              </w:tc>
              <w:tc>
                <w:tcPr>
                  <w:tcW w:w="582" w:type="pct"/>
                  <w:vMerge w:val="continue"/>
                  <w:noWrap w:val="0"/>
                  <w:vAlign w:val="center"/>
                </w:tcPr>
                <w:p w14:paraId="17225619">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sz w:val="21"/>
                      <w:szCs w:val="21"/>
                    </w:rPr>
                  </w:pPr>
                </w:p>
              </w:tc>
              <w:tc>
                <w:tcPr>
                  <w:tcW w:w="434" w:type="pct"/>
                  <w:noWrap/>
                  <w:vAlign w:val="center"/>
                </w:tcPr>
                <w:p w14:paraId="2C96DBBF">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8</w:t>
                  </w:r>
                </w:p>
              </w:tc>
              <w:tc>
                <w:tcPr>
                  <w:tcW w:w="353" w:type="pct"/>
                  <w:noWrap/>
                  <w:vAlign w:val="center"/>
                </w:tcPr>
                <w:p w14:paraId="6ED25914">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0.435</w:t>
                  </w:r>
                </w:p>
              </w:tc>
              <w:tc>
                <w:tcPr>
                  <w:tcW w:w="340" w:type="pct"/>
                  <w:noWrap w:val="0"/>
                  <w:vAlign w:val="center"/>
                </w:tcPr>
                <w:p w14:paraId="2D03AB02">
                  <w:pPr>
                    <w:pStyle w:val="95"/>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kern w:val="0"/>
                      <w:sz w:val="21"/>
                      <w:szCs w:val="21"/>
                      <w:lang w:val="en-US" w:eastAsia="zh-CN"/>
                    </w:rPr>
                    <w:t>10</w:t>
                  </w:r>
                </w:p>
              </w:tc>
            </w:tr>
            <w:tr w14:paraId="6AF0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56" w:type="pct"/>
                  <w:vMerge w:val="continue"/>
                  <w:noWrap w:val="0"/>
                  <w:vAlign w:val="center"/>
                </w:tcPr>
                <w:p w14:paraId="04767DB3">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sz w:val="21"/>
                      <w:szCs w:val="21"/>
                    </w:rPr>
                  </w:pPr>
                </w:p>
              </w:tc>
              <w:tc>
                <w:tcPr>
                  <w:tcW w:w="315" w:type="pct"/>
                  <w:vMerge w:val="continue"/>
                  <w:noWrap w:val="0"/>
                  <w:vAlign w:val="center"/>
                </w:tcPr>
                <w:p w14:paraId="29DB5A53">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sz w:val="21"/>
                      <w:szCs w:val="21"/>
                    </w:rPr>
                  </w:pPr>
                </w:p>
              </w:tc>
              <w:tc>
                <w:tcPr>
                  <w:tcW w:w="481" w:type="pct"/>
                  <w:noWrap/>
                  <w:vAlign w:val="center"/>
                </w:tcPr>
                <w:p w14:paraId="40BC03BC">
                  <w:pPr>
                    <w:pStyle w:val="120"/>
                    <w:bidi w:val="0"/>
                    <w:ind w:firstLine="0" w:firstLineChars="0"/>
                    <w:jc w:val="center"/>
                    <w:rPr>
                      <w:rFonts w:hint="default" w:ascii="Times New Roman" w:hAnsi="Times New Roman" w:eastAsia="宋体" w:cs="Times New Roman"/>
                      <w:color w:val="000000"/>
                      <w:kern w:val="0"/>
                      <w:sz w:val="21"/>
                      <w:szCs w:val="21"/>
                    </w:rPr>
                  </w:pPr>
                  <w:r>
                    <w:rPr>
                      <w:rFonts w:hint="eastAsia"/>
                      <w:color w:val="auto"/>
                      <w:highlight w:val="none"/>
                      <w:lang w:val="en-US" w:eastAsia="zh-CN"/>
                    </w:rPr>
                    <w:t>动植物油</w:t>
                  </w:r>
                </w:p>
              </w:tc>
              <w:tc>
                <w:tcPr>
                  <w:tcW w:w="498" w:type="pct"/>
                  <w:vMerge w:val="continue"/>
                  <w:noWrap w:val="0"/>
                  <w:vAlign w:val="center"/>
                </w:tcPr>
                <w:p w14:paraId="01CCE8CE">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sz w:val="21"/>
                      <w:szCs w:val="21"/>
                    </w:rPr>
                  </w:pPr>
                </w:p>
              </w:tc>
              <w:tc>
                <w:tcPr>
                  <w:tcW w:w="407" w:type="pct"/>
                  <w:noWrap/>
                  <w:vAlign w:val="center"/>
                </w:tcPr>
                <w:p w14:paraId="53F499DD">
                  <w:pPr>
                    <w:pStyle w:val="12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s="Times New Roman"/>
                      <w:color w:val="auto"/>
                      <w:kern w:val="2"/>
                      <w:sz w:val="21"/>
                      <w:szCs w:val="21"/>
                      <w:lang w:val="en-US" w:eastAsia="zh-CN" w:bidi="ar-SA"/>
                    </w:rPr>
                  </w:pPr>
                  <w:r>
                    <w:rPr>
                      <w:rFonts w:hint="eastAsia"/>
                      <w:color w:val="auto"/>
                      <w:highlight w:val="none"/>
                      <w:lang w:val="en-US" w:eastAsia="zh-CN"/>
                    </w:rPr>
                    <w:t>20</w:t>
                  </w:r>
                </w:p>
              </w:tc>
              <w:tc>
                <w:tcPr>
                  <w:tcW w:w="457" w:type="pct"/>
                  <w:noWrap/>
                  <w:vAlign w:val="center"/>
                </w:tcPr>
                <w:p w14:paraId="664E9083">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i w:val="0"/>
                      <w:color w:val="auto"/>
                      <w:kern w:val="0"/>
                      <w:sz w:val="21"/>
                      <w:szCs w:val="21"/>
                      <w:u w:val="none"/>
                      <w:lang w:val="en-US" w:eastAsia="zh-CN" w:bidi="ar"/>
                    </w:rPr>
                  </w:pPr>
                  <w:r>
                    <w:rPr>
                      <w:rFonts w:hint="eastAsia" w:cs="Times New Roman"/>
                      <w:color w:val="auto"/>
                      <w:sz w:val="21"/>
                      <w:szCs w:val="21"/>
                      <w:lang w:val="en-US" w:eastAsia="zh-CN"/>
                    </w:rPr>
                    <w:t>1.089</w:t>
                  </w:r>
                </w:p>
              </w:tc>
              <w:tc>
                <w:tcPr>
                  <w:tcW w:w="323" w:type="pct"/>
                  <w:vMerge w:val="continue"/>
                  <w:noWrap w:val="0"/>
                  <w:vAlign w:val="center"/>
                </w:tcPr>
                <w:p w14:paraId="189DA7B3">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p>
              </w:tc>
              <w:tc>
                <w:tcPr>
                  <w:tcW w:w="347" w:type="pct"/>
                  <w:noWrap w:val="0"/>
                  <w:vAlign w:val="center"/>
                </w:tcPr>
                <w:p w14:paraId="42D30098">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40</w:t>
                  </w:r>
                </w:p>
              </w:tc>
              <w:tc>
                <w:tcPr>
                  <w:tcW w:w="582" w:type="pct"/>
                  <w:vMerge w:val="continue"/>
                  <w:noWrap w:val="0"/>
                  <w:vAlign w:val="center"/>
                </w:tcPr>
                <w:p w14:paraId="2804ABB6">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sz w:val="21"/>
                      <w:szCs w:val="21"/>
                    </w:rPr>
                  </w:pPr>
                </w:p>
              </w:tc>
              <w:tc>
                <w:tcPr>
                  <w:tcW w:w="434" w:type="pct"/>
                  <w:noWrap/>
                  <w:vAlign w:val="center"/>
                </w:tcPr>
                <w:p w14:paraId="4B499841">
                  <w:pPr>
                    <w:keepNext w:val="0"/>
                    <w:keepLines w:val="0"/>
                    <w:pageBreakBefore w:val="0"/>
                    <w:kinsoku/>
                    <w:wordWrap/>
                    <w:overflowPunct/>
                    <w:topLinePunct w:val="0"/>
                    <w:autoSpaceDE/>
                    <w:autoSpaceDN/>
                    <w:bidi w:val="0"/>
                    <w:spacing w:line="240" w:lineRule="auto"/>
                    <w:ind w:firstLine="0" w:firstLineChars="0"/>
                    <w:jc w:val="center"/>
                    <w:rPr>
                      <w:rFonts w:hint="default"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12</w:t>
                  </w:r>
                </w:p>
              </w:tc>
              <w:tc>
                <w:tcPr>
                  <w:tcW w:w="353" w:type="pct"/>
                  <w:noWrap/>
                  <w:vAlign w:val="center"/>
                </w:tcPr>
                <w:p w14:paraId="43D768B2">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kern w:val="2"/>
                      <w:sz w:val="21"/>
                      <w:szCs w:val="21"/>
                      <w:lang w:val="en-US" w:eastAsia="zh-CN" w:bidi="ar-SA"/>
                    </w:rPr>
                  </w:pPr>
                  <w:r>
                    <w:rPr>
                      <w:rFonts w:hint="eastAsia" w:cs="Times New Roman"/>
                      <w:color w:val="auto"/>
                      <w:sz w:val="21"/>
                      <w:szCs w:val="21"/>
                      <w:lang w:val="en-US" w:eastAsia="zh-CN"/>
                    </w:rPr>
                    <w:t>0.653</w:t>
                  </w:r>
                </w:p>
              </w:tc>
              <w:tc>
                <w:tcPr>
                  <w:tcW w:w="340" w:type="pct"/>
                  <w:noWrap w:val="0"/>
                  <w:vAlign w:val="center"/>
                </w:tcPr>
                <w:p w14:paraId="3FF7D191">
                  <w:pPr>
                    <w:pStyle w:val="95"/>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20</w:t>
                  </w:r>
                </w:p>
              </w:tc>
            </w:tr>
            <w:tr w14:paraId="5C45B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56" w:type="pct"/>
                  <w:vMerge w:val="continue"/>
                  <w:noWrap w:val="0"/>
                  <w:vAlign w:val="center"/>
                </w:tcPr>
                <w:p w14:paraId="05210F48">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sz w:val="21"/>
                      <w:szCs w:val="21"/>
                    </w:rPr>
                  </w:pPr>
                </w:p>
              </w:tc>
              <w:tc>
                <w:tcPr>
                  <w:tcW w:w="315" w:type="pct"/>
                  <w:vMerge w:val="continue"/>
                  <w:noWrap w:val="0"/>
                  <w:vAlign w:val="center"/>
                </w:tcPr>
                <w:p w14:paraId="234C1E97">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sz w:val="21"/>
                      <w:szCs w:val="21"/>
                    </w:rPr>
                  </w:pPr>
                </w:p>
              </w:tc>
              <w:tc>
                <w:tcPr>
                  <w:tcW w:w="481" w:type="pct"/>
                  <w:noWrap/>
                  <w:vAlign w:val="center"/>
                </w:tcPr>
                <w:p w14:paraId="5917CAE7">
                  <w:pPr>
                    <w:pStyle w:val="120"/>
                    <w:bidi w:val="0"/>
                    <w:ind w:firstLine="0" w:firstLineChars="0"/>
                    <w:jc w:val="center"/>
                    <w:rPr>
                      <w:rFonts w:hint="eastAsia"/>
                      <w:color w:val="auto"/>
                      <w:highlight w:val="none"/>
                      <w:lang w:val="en-US" w:eastAsia="zh-CN"/>
                    </w:rPr>
                  </w:pPr>
                  <w:r>
                    <w:rPr>
                      <w:rFonts w:hint="eastAsia"/>
                      <w:color w:val="auto"/>
                      <w:highlight w:val="none"/>
                      <w:lang w:val="en-US" w:eastAsia="zh-CN"/>
                    </w:rPr>
                    <w:t>粪大肠杆菌</w:t>
                  </w:r>
                </w:p>
                <w:p w14:paraId="76B63F4D">
                  <w:pPr>
                    <w:pStyle w:val="120"/>
                    <w:bidi w:val="0"/>
                    <w:ind w:firstLine="0" w:firstLineChars="0"/>
                    <w:jc w:val="center"/>
                    <w:rPr>
                      <w:rFonts w:hint="eastAsia" w:ascii="Times New Roman" w:hAnsi="Times New Roman" w:eastAsia="宋体" w:cs="Times New Roman"/>
                      <w:color w:val="auto"/>
                      <w:sz w:val="21"/>
                      <w:szCs w:val="21"/>
                      <w:lang w:eastAsia="zh-CN"/>
                    </w:rPr>
                  </w:pPr>
                  <w:r>
                    <w:rPr>
                      <w:rFonts w:hint="eastAsia"/>
                      <w:color w:val="auto"/>
                      <w:highlight w:val="none"/>
                      <w:lang w:val="en-US" w:eastAsia="zh-CN"/>
                    </w:rPr>
                    <w:t>(个/L)</w:t>
                  </w:r>
                </w:p>
              </w:tc>
              <w:tc>
                <w:tcPr>
                  <w:tcW w:w="498" w:type="pct"/>
                  <w:vMerge w:val="continue"/>
                  <w:noWrap w:val="0"/>
                  <w:vAlign w:val="center"/>
                </w:tcPr>
                <w:p w14:paraId="66BFAB23">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sz w:val="21"/>
                      <w:szCs w:val="21"/>
                    </w:rPr>
                  </w:pPr>
                </w:p>
              </w:tc>
              <w:tc>
                <w:tcPr>
                  <w:tcW w:w="407" w:type="pct"/>
                  <w:noWrap/>
                  <w:vAlign w:val="center"/>
                </w:tcPr>
                <w:p w14:paraId="0C63C0C2">
                  <w:pPr>
                    <w:pStyle w:val="12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highlight w:val="none"/>
                      <w:vertAlign w:val="superscript"/>
                      <w:lang w:val="en-US" w:eastAsia="zh-CN"/>
                    </w:rPr>
                  </w:pPr>
                  <w:r>
                    <w:rPr>
                      <w:color w:val="auto"/>
                      <w:highlight w:val="none"/>
                      <w:lang w:val="en-US" w:eastAsia="zh-CN"/>
                    </w:rPr>
                    <w:t>1.6×10</w:t>
                  </w:r>
                  <w:r>
                    <w:rPr>
                      <w:rFonts w:hint="eastAsia"/>
                      <w:color w:val="auto"/>
                      <w:highlight w:val="none"/>
                      <w:vertAlign w:val="superscript"/>
                      <w:lang w:val="en-US" w:eastAsia="zh-CN"/>
                    </w:rPr>
                    <w:t>8</w:t>
                  </w:r>
                </w:p>
                <w:p w14:paraId="1910B06D">
                  <w:pPr>
                    <w:pStyle w:val="12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highlight w:val="none"/>
                      <w:lang w:val="en-US" w:eastAsia="zh-CN"/>
                    </w:rPr>
                    <w:t>(个/L)</w:t>
                  </w:r>
                </w:p>
              </w:tc>
              <w:tc>
                <w:tcPr>
                  <w:tcW w:w="457" w:type="pct"/>
                  <w:noWrap w:val="0"/>
                  <w:vAlign w:val="center"/>
                </w:tcPr>
                <w:p w14:paraId="748BFD3B">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8.7</w:t>
                  </w:r>
                  <w:r>
                    <w:rPr>
                      <w:color w:val="auto"/>
                      <w:highlight w:val="none"/>
                      <w:lang w:val="en-US" w:eastAsia="zh-CN"/>
                    </w:rPr>
                    <w:t>×10</w:t>
                  </w:r>
                  <w:r>
                    <w:rPr>
                      <w:rFonts w:hint="eastAsia"/>
                      <w:color w:val="auto"/>
                      <w:highlight w:val="none"/>
                      <w:vertAlign w:val="superscript"/>
                      <w:lang w:val="en-US" w:eastAsia="zh-CN"/>
                    </w:rPr>
                    <w:t>15</w:t>
                  </w:r>
                  <w:r>
                    <w:rPr>
                      <w:rFonts w:hint="eastAsia"/>
                      <w:color w:val="auto"/>
                      <w:highlight w:val="none"/>
                      <w:vertAlign w:val="baseline"/>
                      <w:lang w:val="en-US" w:eastAsia="zh-CN"/>
                    </w:rPr>
                    <w:t>个</w:t>
                  </w:r>
                </w:p>
              </w:tc>
              <w:tc>
                <w:tcPr>
                  <w:tcW w:w="323" w:type="pct"/>
                  <w:vMerge w:val="continue"/>
                  <w:noWrap w:val="0"/>
                  <w:vAlign w:val="center"/>
                </w:tcPr>
                <w:p w14:paraId="225AB659">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p>
              </w:tc>
              <w:tc>
                <w:tcPr>
                  <w:tcW w:w="347" w:type="pct"/>
                  <w:noWrap w:val="0"/>
                  <w:vAlign w:val="center"/>
                </w:tcPr>
                <w:p w14:paraId="39E9C61D">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99.997</w:t>
                  </w:r>
                </w:p>
              </w:tc>
              <w:tc>
                <w:tcPr>
                  <w:tcW w:w="582" w:type="pct"/>
                  <w:vMerge w:val="continue"/>
                  <w:noWrap w:val="0"/>
                  <w:vAlign w:val="center"/>
                </w:tcPr>
                <w:p w14:paraId="2017BCEB">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sz w:val="21"/>
                      <w:szCs w:val="21"/>
                    </w:rPr>
                  </w:pPr>
                </w:p>
              </w:tc>
              <w:tc>
                <w:tcPr>
                  <w:tcW w:w="434" w:type="pct"/>
                  <w:noWrap/>
                  <w:vAlign w:val="center"/>
                </w:tcPr>
                <w:p w14:paraId="3BEF7025">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4800</w:t>
                  </w:r>
                  <w:r>
                    <w:rPr>
                      <w:rFonts w:hint="eastAsia"/>
                      <w:color w:val="auto"/>
                      <w:highlight w:val="none"/>
                      <w:lang w:val="en-US" w:eastAsia="zh-CN"/>
                    </w:rPr>
                    <w:t>(个/L)</w:t>
                  </w:r>
                </w:p>
              </w:tc>
              <w:tc>
                <w:tcPr>
                  <w:tcW w:w="353" w:type="pct"/>
                  <w:noWrap/>
                  <w:vAlign w:val="center"/>
                </w:tcPr>
                <w:p w14:paraId="7202234D">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olor w:val="auto"/>
                      <w:highlight w:val="none"/>
                      <w:lang w:val="en-US" w:eastAsia="zh-CN"/>
                    </w:rPr>
                    <w:t>2.6</w:t>
                  </w:r>
                  <w:r>
                    <w:rPr>
                      <w:color w:val="auto"/>
                      <w:highlight w:val="none"/>
                      <w:lang w:val="en-US" w:eastAsia="zh-CN"/>
                    </w:rPr>
                    <w:t>×10</w:t>
                  </w:r>
                  <w:r>
                    <w:rPr>
                      <w:rFonts w:hint="eastAsia"/>
                      <w:color w:val="auto"/>
                      <w:highlight w:val="none"/>
                      <w:vertAlign w:val="superscript"/>
                      <w:lang w:val="en-US" w:eastAsia="zh-CN"/>
                    </w:rPr>
                    <w:t>11</w:t>
                  </w:r>
                  <w:r>
                    <w:rPr>
                      <w:rFonts w:hint="eastAsia"/>
                      <w:color w:val="auto"/>
                      <w:highlight w:val="none"/>
                      <w:vertAlign w:val="baseline"/>
                      <w:lang w:val="en-US" w:eastAsia="zh-CN"/>
                    </w:rPr>
                    <w:t>个</w:t>
                  </w:r>
                </w:p>
              </w:tc>
              <w:tc>
                <w:tcPr>
                  <w:tcW w:w="340" w:type="pct"/>
                  <w:noWrap w:val="0"/>
                  <w:vAlign w:val="center"/>
                </w:tcPr>
                <w:p w14:paraId="7D3AD17D">
                  <w:pPr>
                    <w:pStyle w:val="95"/>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0"/>
                      <w:sz w:val="21"/>
                      <w:szCs w:val="21"/>
                      <w:lang w:val="en-US" w:eastAsia="zh-CN"/>
                    </w:rPr>
                    <w:t>5000</w:t>
                  </w:r>
                  <w:r>
                    <w:rPr>
                      <w:rFonts w:hint="eastAsia"/>
                      <w:color w:val="auto"/>
                      <w:highlight w:val="none"/>
                      <w:lang w:val="en-US" w:eastAsia="zh-CN"/>
                    </w:rPr>
                    <w:t>(个/L)</w:t>
                  </w:r>
                </w:p>
              </w:tc>
            </w:tr>
            <w:tr w14:paraId="2C466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56" w:type="pct"/>
                  <w:vMerge w:val="restart"/>
                  <w:noWrap w:val="0"/>
                  <w:vAlign w:val="center"/>
                </w:tcPr>
                <w:p w14:paraId="72A7AC61">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r>
                    <w:rPr>
                      <w:rFonts w:hint="eastAsia" w:ascii="Times New Roman" w:hAnsi="Times New Roman" w:eastAsia="宋体" w:cs="Times New Roman"/>
                      <w:color w:val="auto"/>
                      <w:kern w:val="0"/>
                      <w:sz w:val="21"/>
                      <w:szCs w:val="21"/>
                      <w:lang w:val="en-US" w:eastAsia="zh-CN"/>
                    </w:rPr>
                    <w:t>纯水制备、蒸汽发生器</w:t>
                  </w:r>
                </w:p>
              </w:tc>
              <w:tc>
                <w:tcPr>
                  <w:tcW w:w="315" w:type="pct"/>
                  <w:vMerge w:val="restart"/>
                  <w:noWrap w:val="0"/>
                  <w:vAlign w:val="center"/>
                </w:tcPr>
                <w:p w14:paraId="5DA46175">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r>
                    <w:rPr>
                      <w:rFonts w:hint="eastAsia" w:ascii="Times New Roman" w:hAnsi="Times New Roman" w:cs="Times New Roman"/>
                      <w:color w:val="auto"/>
                      <w:kern w:val="0"/>
                      <w:sz w:val="21"/>
                      <w:szCs w:val="21"/>
                      <w:lang w:val="en-US" w:eastAsia="zh-CN"/>
                    </w:rPr>
                    <w:t>浓水</w:t>
                  </w:r>
                </w:p>
              </w:tc>
              <w:tc>
                <w:tcPr>
                  <w:tcW w:w="481" w:type="pct"/>
                  <w:noWrap/>
                  <w:vAlign w:val="center"/>
                </w:tcPr>
                <w:p w14:paraId="4004F82E">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color w:val="auto"/>
                      <w:highlight w:val="none"/>
                      <w:lang w:val="en-US" w:eastAsia="zh-CN"/>
                    </w:rPr>
                    <w:t>pH</w:t>
                  </w:r>
                </w:p>
              </w:tc>
              <w:tc>
                <w:tcPr>
                  <w:tcW w:w="498" w:type="pct"/>
                  <w:vMerge w:val="restart"/>
                  <w:noWrap w:val="0"/>
                  <w:vAlign w:val="center"/>
                </w:tcPr>
                <w:p w14:paraId="56C371FB">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r>
                    <w:rPr>
                      <w:rFonts w:hint="eastAsia" w:ascii="Times New Roman" w:hAnsi="Times New Roman" w:eastAsia="宋体" w:cs="Times New Roman"/>
                      <w:color w:val="auto"/>
                      <w:kern w:val="0"/>
                      <w:sz w:val="21"/>
                      <w:szCs w:val="21"/>
                      <w:lang w:val="en-US" w:eastAsia="zh-CN"/>
                    </w:rPr>
                    <w:t>632.2</w:t>
                  </w:r>
                </w:p>
              </w:tc>
              <w:tc>
                <w:tcPr>
                  <w:tcW w:w="407" w:type="pct"/>
                  <w:noWrap/>
                  <w:vAlign w:val="center"/>
                </w:tcPr>
                <w:p w14:paraId="6ACE6CBB">
                  <w:pPr>
                    <w:keepNext w:val="0"/>
                    <w:keepLines w:val="0"/>
                    <w:pageBreakBefore w:val="0"/>
                    <w:kinsoku/>
                    <w:wordWrap/>
                    <w:overflowPunct/>
                    <w:topLinePunct w:val="0"/>
                    <w:autoSpaceDE/>
                    <w:autoSpaceDN/>
                    <w:bidi w:val="0"/>
                    <w:spacing w:line="240" w:lineRule="auto"/>
                    <w:ind w:left="0" w:leftChars="0" w:right="0" w:rightChars="0"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6-9</w:t>
                  </w:r>
                </w:p>
              </w:tc>
              <w:tc>
                <w:tcPr>
                  <w:tcW w:w="457" w:type="pct"/>
                  <w:noWrap w:val="0"/>
                  <w:vAlign w:val="center"/>
                </w:tcPr>
                <w:p w14:paraId="7ABCEA01">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eastAsia" w:eastAsia="等线" w:cs="Times New Roman"/>
                      <w:i w:val="0"/>
                      <w:color w:val="auto"/>
                      <w:kern w:val="0"/>
                      <w:sz w:val="21"/>
                      <w:szCs w:val="21"/>
                      <w:u w:val="none"/>
                      <w:lang w:val="en-US" w:eastAsia="zh-CN" w:bidi="ar"/>
                    </w:rPr>
                  </w:pPr>
                  <w:r>
                    <w:rPr>
                      <w:rFonts w:hint="eastAsia" w:cs="Times New Roman"/>
                      <w:color w:val="auto"/>
                      <w:sz w:val="21"/>
                      <w:szCs w:val="21"/>
                      <w:lang w:val="en-US" w:eastAsia="zh-CN"/>
                    </w:rPr>
                    <w:t>/</w:t>
                  </w:r>
                </w:p>
              </w:tc>
              <w:tc>
                <w:tcPr>
                  <w:tcW w:w="323" w:type="pct"/>
                  <w:vMerge w:val="restart"/>
                  <w:noWrap w:val="0"/>
                  <w:vAlign w:val="center"/>
                </w:tcPr>
                <w:p w14:paraId="1B601BBD">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kern w:val="0"/>
                      <w:sz w:val="21"/>
                      <w:szCs w:val="21"/>
                      <w:lang w:val="en-US" w:eastAsia="zh-CN"/>
                    </w:rPr>
                    <w:t>/</w:t>
                  </w:r>
                </w:p>
              </w:tc>
              <w:tc>
                <w:tcPr>
                  <w:tcW w:w="347" w:type="pct"/>
                  <w:noWrap w:val="0"/>
                  <w:vAlign w:val="center"/>
                </w:tcPr>
                <w:p w14:paraId="61A9A5A9">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cs="Times New Roman"/>
                      <w:color w:val="auto"/>
                      <w:kern w:val="0"/>
                      <w:sz w:val="21"/>
                      <w:szCs w:val="21"/>
                      <w:lang w:val="en-US" w:eastAsia="zh-CN"/>
                    </w:rPr>
                  </w:pPr>
                  <w:r>
                    <w:rPr>
                      <w:rFonts w:hint="eastAsia" w:cs="Times New Roman"/>
                      <w:color w:val="auto"/>
                      <w:sz w:val="21"/>
                      <w:szCs w:val="21"/>
                      <w:lang w:val="en-US" w:eastAsia="zh-CN"/>
                    </w:rPr>
                    <w:t>/</w:t>
                  </w:r>
                </w:p>
              </w:tc>
              <w:tc>
                <w:tcPr>
                  <w:tcW w:w="582" w:type="pct"/>
                  <w:vMerge w:val="restart"/>
                  <w:noWrap w:val="0"/>
                  <w:vAlign w:val="center"/>
                </w:tcPr>
                <w:p w14:paraId="4DEF5B6B">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0"/>
                      <w:sz w:val="21"/>
                      <w:szCs w:val="21"/>
                      <w:lang w:val="en-US" w:eastAsia="zh-CN"/>
                    </w:rPr>
                    <w:t>632.2</w:t>
                  </w:r>
                </w:p>
              </w:tc>
              <w:tc>
                <w:tcPr>
                  <w:tcW w:w="434" w:type="pct"/>
                  <w:noWrap/>
                  <w:vAlign w:val="center"/>
                </w:tcPr>
                <w:p w14:paraId="68AF1A6D">
                  <w:pPr>
                    <w:keepNext w:val="0"/>
                    <w:keepLines w:val="0"/>
                    <w:pageBreakBefore w:val="0"/>
                    <w:kinsoku/>
                    <w:wordWrap/>
                    <w:overflowPunct/>
                    <w:topLinePunct w:val="0"/>
                    <w:autoSpaceDE/>
                    <w:autoSpaceDN/>
                    <w:bidi w:val="0"/>
                    <w:spacing w:line="240" w:lineRule="auto"/>
                    <w:ind w:left="0" w:leftChars="0" w:right="0" w:rightChars="0"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6-9</w:t>
                  </w:r>
                </w:p>
              </w:tc>
              <w:tc>
                <w:tcPr>
                  <w:tcW w:w="353" w:type="pct"/>
                  <w:noWrap/>
                  <w:vAlign w:val="center"/>
                </w:tcPr>
                <w:p w14:paraId="0230153E">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eastAsia" w:eastAsia="等线" w:cs="Times New Roman"/>
                      <w:i w:val="0"/>
                      <w:color w:val="auto"/>
                      <w:kern w:val="0"/>
                      <w:sz w:val="21"/>
                      <w:szCs w:val="21"/>
                      <w:u w:val="none"/>
                      <w:lang w:val="en-US" w:eastAsia="zh-CN" w:bidi="ar"/>
                    </w:rPr>
                  </w:pPr>
                  <w:r>
                    <w:rPr>
                      <w:rFonts w:hint="eastAsia" w:cs="Times New Roman"/>
                      <w:color w:val="auto"/>
                      <w:sz w:val="21"/>
                      <w:szCs w:val="21"/>
                      <w:lang w:val="en-US" w:eastAsia="zh-CN"/>
                    </w:rPr>
                    <w:t>/</w:t>
                  </w:r>
                </w:p>
              </w:tc>
              <w:tc>
                <w:tcPr>
                  <w:tcW w:w="340" w:type="pct"/>
                  <w:noWrap w:val="0"/>
                  <w:vAlign w:val="center"/>
                </w:tcPr>
                <w:p w14:paraId="28EB224B">
                  <w:pPr>
                    <w:pStyle w:val="95"/>
                    <w:keepNext w:val="0"/>
                    <w:keepLines w:val="0"/>
                    <w:pageBreakBefore w:val="0"/>
                    <w:kinsoku/>
                    <w:wordWrap/>
                    <w:overflowPunct/>
                    <w:topLinePunct w:val="0"/>
                    <w:autoSpaceDE/>
                    <w:autoSpaceDN/>
                    <w:bidi w:val="0"/>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6-9</w:t>
                  </w:r>
                </w:p>
              </w:tc>
            </w:tr>
            <w:tr w14:paraId="6455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56" w:type="pct"/>
                  <w:vMerge w:val="continue"/>
                  <w:noWrap w:val="0"/>
                  <w:vAlign w:val="center"/>
                </w:tcPr>
                <w:p w14:paraId="51B8947F">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kern w:val="0"/>
                      <w:sz w:val="21"/>
                      <w:szCs w:val="21"/>
                      <w:lang w:eastAsia="zh-CN"/>
                    </w:rPr>
                  </w:pPr>
                </w:p>
              </w:tc>
              <w:tc>
                <w:tcPr>
                  <w:tcW w:w="315" w:type="pct"/>
                  <w:vMerge w:val="continue"/>
                  <w:noWrap w:val="0"/>
                  <w:vAlign w:val="center"/>
                </w:tcPr>
                <w:p w14:paraId="7D454908">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kern w:val="0"/>
                      <w:sz w:val="21"/>
                      <w:szCs w:val="21"/>
                      <w:lang w:eastAsia="zh-CN"/>
                    </w:rPr>
                  </w:pPr>
                </w:p>
              </w:tc>
              <w:tc>
                <w:tcPr>
                  <w:tcW w:w="481" w:type="pct"/>
                  <w:noWrap/>
                  <w:vAlign w:val="center"/>
                </w:tcPr>
                <w:p w14:paraId="347029D5">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COD</w:t>
                  </w:r>
                </w:p>
              </w:tc>
              <w:tc>
                <w:tcPr>
                  <w:tcW w:w="498" w:type="pct"/>
                  <w:vMerge w:val="continue"/>
                  <w:noWrap w:val="0"/>
                  <w:vAlign w:val="center"/>
                </w:tcPr>
                <w:p w14:paraId="3E9CF92B">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kern w:val="0"/>
                      <w:sz w:val="21"/>
                      <w:szCs w:val="21"/>
                      <w:lang w:val="en-US" w:eastAsia="zh-CN"/>
                    </w:rPr>
                  </w:pPr>
                </w:p>
              </w:tc>
              <w:tc>
                <w:tcPr>
                  <w:tcW w:w="407" w:type="pct"/>
                  <w:noWrap/>
                  <w:vAlign w:val="center"/>
                </w:tcPr>
                <w:p w14:paraId="03DFFA61">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100</w:t>
                  </w:r>
                </w:p>
              </w:tc>
              <w:tc>
                <w:tcPr>
                  <w:tcW w:w="457" w:type="pct"/>
                  <w:noWrap w:val="0"/>
                  <w:vAlign w:val="center"/>
                </w:tcPr>
                <w:p w14:paraId="3386D09F">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eastAsia" w:cs="Times New Roman"/>
                      <w:color w:val="auto"/>
                      <w:sz w:val="21"/>
                      <w:szCs w:val="21"/>
                      <w:lang w:val="en-US" w:eastAsia="zh-CN"/>
                    </w:rPr>
                  </w:pPr>
                  <w:r>
                    <w:rPr>
                      <w:rFonts w:hint="eastAsia" w:cs="Times New Roman"/>
                      <w:color w:val="auto"/>
                      <w:sz w:val="21"/>
                      <w:szCs w:val="21"/>
                      <w:lang w:val="en-US" w:eastAsia="zh-CN"/>
                    </w:rPr>
                    <w:t>0.063</w:t>
                  </w:r>
                </w:p>
              </w:tc>
              <w:tc>
                <w:tcPr>
                  <w:tcW w:w="323" w:type="pct"/>
                  <w:vMerge w:val="continue"/>
                  <w:noWrap w:val="0"/>
                  <w:vAlign w:val="center"/>
                </w:tcPr>
                <w:p w14:paraId="1EC00AAC">
                  <w:pPr>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auto"/>
                      <w:sz w:val="21"/>
                      <w:szCs w:val="21"/>
                      <w:lang w:val="en-US" w:eastAsia="zh-CN"/>
                    </w:rPr>
                  </w:pPr>
                </w:p>
              </w:tc>
              <w:tc>
                <w:tcPr>
                  <w:tcW w:w="347" w:type="pct"/>
                  <w:noWrap w:val="0"/>
                  <w:vAlign w:val="center"/>
                </w:tcPr>
                <w:p w14:paraId="57D66070">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kern w:val="0"/>
                      <w:sz w:val="21"/>
                      <w:szCs w:val="21"/>
                      <w:lang w:val="en-US" w:eastAsia="zh-CN"/>
                    </w:rPr>
                  </w:pPr>
                  <w:r>
                    <w:rPr>
                      <w:rFonts w:hint="eastAsia" w:cs="Times New Roman"/>
                      <w:color w:val="auto"/>
                      <w:sz w:val="21"/>
                      <w:szCs w:val="21"/>
                      <w:lang w:val="en-US" w:eastAsia="zh-CN"/>
                    </w:rPr>
                    <w:t>/</w:t>
                  </w:r>
                </w:p>
              </w:tc>
              <w:tc>
                <w:tcPr>
                  <w:tcW w:w="582" w:type="pct"/>
                  <w:vMerge w:val="continue"/>
                  <w:noWrap w:val="0"/>
                  <w:vAlign w:val="center"/>
                </w:tcPr>
                <w:p w14:paraId="43135398">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kern w:val="0"/>
                      <w:sz w:val="21"/>
                      <w:szCs w:val="21"/>
                      <w:lang w:val="en-US" w:eastAsia="zh-CN"/>
                    </w:rPr>
                  </w:pPr>
                </w:p>
              </w:tc>
              <w:tc>
                <w:tcPr>
                  <w:tcW w:w="434" w:type="pct"/>
                  <w:noWrap/>
                  <w:vAlign w:val="center"/>
                </w:tcPr>
                <w:p w14:paraId="5367ECA9">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100</w:t>
                  </w:r>
                </w:p>
              </w:tc>
              <w:tc>
                <w:tcPr>
                  <w:tcW w:w="353" w:type="pct"/>
                  <w:noWrap/>
                  <w:vAlign w:val="center"/>
                </w:tcPr>
                <w:p w14:paraId="2E5D188C">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eastAsia" w:cs="Times New Roman"/>
                      <w:color w:val="auto"/>
                      <w:sz w:val="21"/>
                      <w:szCs w:val="21"/>
                      <w:lang w:val="en-US" w:eastAsia="zh-CN"/>
                    </w:rPr>
                  </w:pPr>
                  <w:r>
                    <w:rPr>
                      <w:rFonts w:hint="eastAsia" w:cs="Times New Roman"/>
                      <w:color w:val="auto"/>
                      <w:sz w:val="21"/>
                      <w:szCs w:val="21"/>
                      <w:lang w:val="en-US" w:eastAsia="zh-CN"/>
                    </w:rPr>
                    <w:t>0.063</w:t>
                  </w:r>
                </w:p>
              </w:tc>
              <w:tc>
                <w:tcPr>
                  <w:tcW w:w="340" w:type="pct"/>
                  <w:noWrap w:val="0"/>
                  <w:vAlign w:val="center"/>
                </w:tcPr>
                <w:p w14:paraId="3FA2852A">
                  <w:pPr>
                    <w:pStyle w:val="95"/>
                    <w:keepNext w:val="0"/>
                    <w:keepLines w:val="0"/>
                    <w:pageBreakBefore w:val="0"/>
                    <w:kinsoku/>
                    <w:wordWrap/>
                    <w:overflowPunct/>
                    <w:topLinePunct w:val="0"/>
                    <w:autoSpaceDE/>
                    <w:autoSpaceDN/>
                    <w:bidi w:val="0"/>
                    <w:spacing w:line="240" w:lineRule="auto"/>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250</w:t>
                  </w:r>
                </w:p>
              </w:tc>
            </w:tr>
            <w:tr w14:paraId="7D59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56" w:type="pct"/>
                  <w:vMerge w:val="continue"/>
                  <w:noWrap w:val="0"/>
                  <w:vAlign w:val="center"/>
                </w:tcPr>
                <w:p w14:paraId="38AED841">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p>
              </w:tc>
              <w:tc>
                <w:tcPr>
                  <w:tcW w:w="315" w:type="pct"/>
                  <w:vMerge w:val="continue"/>
                  <w:noWrap w:val="0"/>
                  <w:vAlign w:val="center"/>
                </w:tcPr>
                <w:p w14:paraId="3FE755EE">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p>
              </w:tc>
              <w:tc>
                <w:tcPr>
                  <w:tcW w:w="481" w:type="pct"/>
                  <w:noWrap/>
                  <w:vAlign w:val="center"/>
                </w:tcPr>
                <w:p w14:paraId="3DE198D7">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eastAsia" w:cs="Times New Roman"/>
                      <w:color w:val="auto"/>
                      <w:kern w:val="0"/>
                      <w:sz w:val="21"/>
                      <w:szCs w:val="21"/>
                      <w:lang w:val="en-US" w:eastAsia="zh-CN"/>
                    </w:rPr>
                    <w:t>SS</w:t>
                  </w:r>
                </w:p>
              </w:tc>
              <w:tc>
                <w:tcPr>
                  <w:tcW w:w="498" w:type="pct"/>
                  <w:vMerge w:val="continue"/>
                  <w:noWrap w:val="0"/>
                  <w:vAlign w:val="center"/>
                </w:tcPr>
                <w:p w14:paraId="4EAA213B">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p>
              </w:tc>
              <w:tc>
                <w:tcPr>
                  <w:tcW w:w="407" w:type="pct"/>
                  <w:noWrap/>
                  <w:vAlign w:val="center"/>
                </w:tcPr>
                <w:p w14:paraId="2274AAE9">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50</w:t>
                  </w:r>
                </w:p>
              </w:tc>
              <w:tc>
                <w:tcPr>
                  <w:tcW w:w="457" w:type="pct"/>
                  <w:noWrap w:val="0"/>
                  <w:vAlign w:val="center"/>
                </w:tcPr>
                <w:p w14:paraId="1CE79DC7">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eastAsia" w:eastAsia="等线" w:cs="Times New Roman"/>
                      <w:i w:val="0"/>
                      <w:color w:val="auto"/>
                      <w:kern w:val="0"/>
                      <w:sz w:val="21"/>
                      <w:szCs w:val="21"/>
                      <w:u w:val="none"/>
                      <w:lang w:val="en-US" w:eastAsia="zh-CN" w:bidi="ar"/>
                    </w:rPr>
                  </w:pPr>
                  <w:r>
                    <w:rPr>
                      <w:rFonts w:hint="eastAsia" w:eastAsia="等线" w:cs="Times New Roman"/>
                      <w:i w:val="0"/>
                      <w:color w:val="auto"/>
                      <w:kern w:val="0"/>
                      <w:sz w:val="21"/>
                      <w:szCs w:val="21"/>
                      <w:u w:val="none"/>
                      <w:lang w:val="en-US" w:eastAsia="zh-CN" w:bidi="ar"/>
                    </w:rPr>
                    <w:t>0.032</w:t>
                  </w:r>
                </w:p>
              </w:tc>
              <w:tc>
                <w:tcPr>
                  <w:tcW w:w="323" w:type="pct"/>
                  <w:vMerge w:val="continue"/>
                  <w:noWrap w:val="0"/>
                  <w:vAlign w:val="center"/>
                </w:tcPr>
                <w:p w14:paraId="3BB42195">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p>
              </w:tc>
              <w:tc>
                <w:tcPr>
                  <w:tcW w:w="347" w:type="pct"/>
                  <w:noWrap w:val="0"/>
                  <w:vAlign w:val="center"/>
                </w:tcPr>
                <w:p w14:paraId="7EC1114C">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kern w:val="0"/>
                      <w:sz w:val="21"/>
                      <w:szCs w:val="21"/>
                      <w:lang w:val="en-US" w:eastAsia="zh-CN"/>
                    </w:rPr>
                  </w:pPr>
                  <w:r>
                    <w:rPr>
                      <w:rFonts w:hint="eastAsia" w:cs="Times New Roman"/>
                      <w:color w:val="auto"/>
                      <w:sz w:val="21"/>
                      <w:szCs w:val="21"/>
                      <w:lang w:val="en-US" w:eastAsia="zh-CN"/>
                    </w:rPr>
                    <w:t>/</w:t>
                  </w:r>
                </w:p>
              </w:tc>
              <w:tc>
                <w:tcPr>
                  <w:tcW w:w="582" w:type="pct"/>
                  <w:vMerge w:val="continue"/>
                  <w:noWrap w:val="0"/>
                  <w:vAlign w:val="center"/>
                </w:tcPr>
                <w:p w14:paraId="1B8615D0">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p>
              </w:tc>
              <w:tc>
                <w:tcPr>
                  <w:tcW w:w="434" w:type="pct"/>
                  <w:noWrap/>
                  <w:vAlign w:val="center"/>
                </w:tcPr>
                <w:p w14:paraId="4CC5345F">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50</w:t>
                  </w:r>
                </w:p>
              </w:tc>
              <w:tc>
                <w:tcPr>
                  <w:tcW w:w="353" w:type="pct"/>
                  <w:noWrap/>
                  <w:vAlign w:val="center"/>
                </w:tcPr>
                <w:p w14:paraId="5AB9C768">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eastAsia" w:eastAsia="等线" w:cs="Times New Roman"/>
                      <w:i w:val="0"/>
                      <w:color w:val="auto"/>
                      <w:kern w:val="0"/>
                      <w:sz w:val="21"/>
                      <w:szCs w:val="21"/>
                      <w:u w:val="none"/>
                      <w:lang w:val="en-US" w:eastAsia="zh-CN" w:bidi="ar"/>
                    </w:rPr>
                  </w:pPr>
                  <w:r>
                    <w:rPr>
                      <w:rFonts w:hint="eastAsia" w:eastAsia="等线" w:cs="Times New Roman"/>
                      <w:i w:val="0"/>
                      <w:color w:val="auto"/>
                      <w:kern w:val="0"/>
                      <w:sz w:val="21"/>
                      <w:szCs w:val="21"/>
                      <w:u w:val="none"/>
                      <w:lang w:val="en-US" w:eastAsia="zh-CN" w:bidi="ar"/>
                    </w:rPr>
                    <w:t>0.032</w:t>
                  </w:r>
                </w:p>
              </w:tc>
              <w:tc>
                <w:tcPr>
                  <w:tcW w:w="340" w:type="pct"/>
                  <w:noWrap w:val="0"/>
                  <w:vAlign w:val="center"/>
                </w:tcPr>
                <w:p w14:paraId="2A7D01B3">
                  <w:pPr>
                    <w:pStyle w:val="95"/>
                    <w:keepNext w:val="0"/>
                    <w:keepLines w:val="0"/>
                    <w:pageBreakBefore w:val="0"/>
                    <w:kinsoku/>
                    <w:wordWrap/>
                    <w:overflowPunct/>
                    <w:topLinePunct w:val="0"/>
                    <w:autoSpaceDE/>
                    <w:autoSpaceDN/>
                    <w:bidi w:val="0"/>
                    <w:spacing w:line="240" w:lineRule="auto"/>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60</w:t>
                  </w:r>
                </w:p>
              </w:tc>
            </w:tr>
            <w:tr w14:paraId="6FCD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56" w:type="pct"/>
                  <w:vMerge w:val="restart"/>
                  <w:noWrap w:val="0"/>
                  <w:vAlign w:val="center"/>
                </w:tcPr>
                <w:p w14:paraId="0021A83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eastAsia" w:cs="Times New Roman"/>
                      <w:color w:val="auto"/>
                      <w:sz w:val="21"/>
                      <w:szCs w:val="21"/>
                      <w:lang w:eastAsia="zh-CN"/>
                    </w:rPr>
                    <w:t>厂区废水总排口</w:t>
                  </w:r>
                </w:p>
              </w:tc>
              <w:tc>
                <w:tcPr>
                  <w:tcW w:w="315" w:type="pct"/>
                  <w:vMerge w:val="restart"/>
                  <w:noWrap w:val="0"/>
                  <w:vAlign w:val="center"/>
                </w:tcPr>
                <w:p w14:paraId="4049801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eastAsia" w:cs="Times New Roman"/>
                      <w:color w:val="auto"/>
                      <w:sz w:val="21"/>
                      <w:szCs w:val="21"/>
                      <w:lang w:eastAsia="zh-CN"/>
                    </w:rPr>
                    <w:t>厂区废水总排口</w:t>
                  </w:r>
                </w:p>
              </w:tc>
              <w:tc>
                <w:tcPr>
                  <w:tcW w:w="481" w:type="pct"/>
                  <w:noWrap/>
                  <w:vAlign w:val="center"/>
                </w:tcPr>
                <w:p w14:paraId="1D5C8DEA">
                  <w:pPr>
                    <w:pStyle w:val="120"/>
                    <w:bidi w:val="0"/>
                    <w:ind w:firstLine="0" w:firstLineChars="0"/>
                    <w:jc w:val="center"/>
                    <w:rPr>
                      <w:rFonts w:hint="eastAsia" w:cs="Times New Roman"/>
                      <w:color w:val="auto"/>
                      <w:kern w:val="0"/>
                      <w:sz w:val="21"/>
                      <w:szCs w:val="21"/>
                      <w:lang w:val="en-US" w:eastAsia="zh-CN"/>
                    </w:rPr>
                  </w:pPr>
                  <w:r>
                    <w:rPr>
                      <w:rFonts w:hint="default"/>
                      <w:color w:val="auto"/>
                      <w:highlight w:val="none"/>
                      <w:lang w:val="en-US" w:eastAsia="zh-CN"/>
                    </w:rPr>
                    <w:t>pH</w:t>
                  </w:r>
                </w:p>
              </w:tc>
              <w:tc>
                <w:tcPr>
                  <w:tcW w:w="498" w:type="pct"/>
                  <w:vMerge w:val="restart"/>
                  <w:noWrap w:val="0"/>
                  <w:vAlign w:val="center"/>
                </w:tcPr>
                <w:p w14:paraId="20406CD6">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55078.63</w:t>
                  </w:r>
                </w:p>
              </w:tc>
              <w:tc>
                <w:tcPr>
                  <w:tcW w:w="407" w:type="pct"/>
                  <w:noWrap/>
                  <w:vAlign w:val="center"/>
                </w:tcPr>
                <w:p w14:paraId="23C30D62">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457" w:type="pct"/>
                  <w:noWrap w:val="0"/>
                  <w:vAlign w:val="center"/>
                </w:tcPr>
                <w:p w14:paraId="1D9C4A4E">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323" w:type="pct"/>
                  <w:vMerge w:val="restart"/>
                  <w:noWrap w:val="0"/>
                  <w:vAlign w:val="center"/>
                </w:tcPr>
                <w:p w14:paraId="4B3FC87D">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r>
                    <w:rPr>
                      <w:rFonts w:hint="eastAsia" w:ascii="Times New Roman" w:hAnsi="Times New Roman" w:eastAsia="宋体" w:cs="Times New Roman"/>
                      <w:color w:val="auto"/>
                      <w:kern w:val="0"/>
                      <w:sz w:val="21"/>
                      <w:szCs w:val="21"/>
                      <w:lang w:val="en-US" w:eastAsia="zh-CN"/>
                    </w:rPr>
                    <w:t>隔油池+化粪池+格栅井+调节池+</w:t>
                  </w:r>
                  <w:r>
                    <w:rPr>
                      <w:rFonts w:hint="eastAsia" w:ascii="Times New Roman" w:hAnsi="Times New Roman" w:eastAsia="宋体" w:cs="Times New Roman"/>
                      <w:color w:val="auto"/>
                      <w:spacing w:val="0"/>
                      <w:sz w:val="21"/>
                      <w:szCs w:val="21"/>
                      <w:lang w:val="en-US" w:eastAsia="zh-CN" w:bidi="zh-CN"/>
                    </w:rPr>
                    <w:t>水解酸化</w:t>
                  </w:r>
                  <w:r>
                    <w:rPr>
                      <w:rFonts w:hint="default" w:ascii="Times New Roman" w:hAnsi="Times New Roman" w:eastAsia="宋体" w:cs="Times New Roman"/>
                      <w:color w:val="auto"/>
                      <w:spacing w:val="0"/>
                      <w:sz w:val="21"/>
                      <w:szCs w:val="21"/>
                      <w:lang w:val="en-US" w:eastAsia="zh-CN" w:bidi="zh-CN"/>
                    </w:rPr>
                    <w:t>+</w:t>
                  </w:r>
                  <w:r>
                    <w:rPr>
                      <w:rFonts w:hint="eastAsia" w:ascii="Times New Roman" w:hAnsi="Times New Roman" w:eastAsia="宋体" w:cs="Times New Roman"/>
                      <w:color w:val="auto"/>
                      <w:spacing w:val="0"/>
                      <w:sz w:val="21"/>
                      <w:szCs w:val="21"/>
                      <w:lang w:val="en-US" w:eastAsia="zh-CN" w:bidi="zh-CN"/>
                    </w:rPr>
                    <w:t>接触氧化</w:t>
                  </w:r>
                  <w:r>
                    <w:rPr>
                      <w:rFonts w:hint="default" w:ascii="Times New Roman" w:hAnsi="Times New Roman" w:eastAsia="宋体" w:cs="Times New Roman"/>
                      <w:color w:val="auto"/>
                      <w:spacing w:val="0"/>
                      <w:sz w:val="21"/>
                      <w:szCs w:val="21"/>
                      <w:lang w:val="en-US" w:eastAsia="zh-CN" w:bidi="zh-CN"/>
                    </w:rPr>
                    <w:t>+</w:t>
                  </w:r>
                  <w:r>
                    <w:rPr>
                      <w:rFonts w:hint="eastAsia" w:ascii="Times New Roman" w:hAnsi="Times New Roman" w:eastAsia="宋体" w:cs="Times New Roman"/>
                      <w:color w:val="auto"/>
                      <w:spacing w:val="0"/>
                      <w:sz w:val="21"/>
                      <w:szCs w:val="21"/>
                      <w:lang w:val="en-US" w:eastAsia="zh-CN" w:bidi="zh-CN"/>
                    </w:rPr>
                    <w:t>消毒</w:t>
                  </w:r>
                </w:p>
              </w:tc>
              <w:tc>
                <w:tcPr>
                  <w:tcW w:w="347" w:type="pct"/>
                  <w:noWrap w:val="0"/>
                  <w:vAlign w:val="center"/>
                </w:tcPr>
                <w:p w14:paraId="2E5720A3">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kern w:val="0"/>
                      <w:sz w:val="21"/>
                      <w:szCs w:val="21"/>
                      <w:lang w:val="en-US" w:eastAsia="zh-CN"/>
                    </w:rPr>
                  </w:pPr>
                  <w:r>
                    <w:rPr>
                      <w:rFonts w:hint="eastAsia" w:cs="Times New Roman"/>
                      <w:color w:val="auto"/>
                      <w:sz w:val="21"/>
                      <w:szCs w:val="21"/>
                      <w:lang w:val="en-US" w:eastAsia="zh-CN"/>
                    </w:rPr>
                    <w:t>/</w:t>
                  </w:r>
                </w:p>
              </w:tc>
              <w:tc>
                <w:tcPr>
                  <w:tcW w:w="582" w:type="pct"/>
                  <w:vMerge w:val="restart"/>
                  <w:noWrap w:val="0"/>
                  <w:vAlign w:val="center"/>
                </w:tcPr>
                <w:p w14:paraId="6B9210EA">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55078.63</w:t>
                  </w:r>
                </w:p>
              </w:tc>
              <w:tc>
                <w:tcPr>
                  <w:tcW w:w="1160" w:type="dxa"/>
                  <w:noWrap/>
                  <w:vAlign w:val="center"/>
                </w:tcPr>
                <w:p w14:paraId="649AC8CA">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6-9</w:t>
                  </w:r>
                </w:p>
              </w:tc>
              <w:tc>
                <w:tcPr>
                  <w:tcW w:w="944" w:type="dxa"/>
                  <w:noWrap/>
                  <w:vAlign w:val="center"/>
                </w:tcPr>
                <w:p w14:paraId="46FF0D77">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340" w:type="pct"/>
                  <w:noWrap w:val="0"/>
                  <w:vAlign w:val="center"/>
                </w:tcPr>
                <w:p w14:paraId="7EC27840">
                  <w:pPr>
                    <w:pStyle w:val="95"/>
                    <w:keepNext w:val="0"/>
                    <w:keepLines w:val="0"/>
                    <w:pageBreakBefore w:val="0"/>
                    <w:kinsoku/>
                    <w:wordWrap/>
                    <w:overflowPunct/>
                    <w:topLinePunct w:val="0"/>
                    <w:autoSpaceDE/>
                    <w:autoSpaceDN/>
                    <w:bidi w:val="0"/>
                    <w:spacing w:line="240" w:lineRule="auto"/>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6-9</w:t>
                  </w:r>
                </w:p>
              </w:tc>
            </w:tr>
            <w:tr w14:paraId="0C0FD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56" w:type="pct"/>
                  <w:vMerge w:val="continue"/>
                  <w:noWrap w:val="0"/>
                  <w:vAlign w:val="center"/>
                </w:tcPr>
                <w:p w14:paraId="017F2DD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lang w:eastAsia="zh-CN"/>
                    </w:rPr>
                  </w:pPr>
                </w:p>
              </w:tc>
              <w:tc>
                <w:tcPr>
                  <w:tcW w:w="315" w:type="pct"/>
                  <w:vMerge w:val="continue"/>
                  <w:noWrap w:val="0"/>
                  <w:vAlign w:val="center"/>
                </w:tcPr>
                <w:p w14:paraId="1ED252C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lang w:eastAsia="zh-CN"/>
                    </w:rPr>
                  </w:pPr>
                </w:p>
              </w:tc>
              <w:tc>
                <w:tcPr>
                  <w:tcW w:w="481" w:type="pct"/>
                  <w:noWrap/>
                  <w:vAlign w:val="center"/>
                </w:tcPr>
                <w:p w14:paraId="67745B29">
                  <w:pPr>
                    <w:pStyle w:val="120"/>
                    <w:bidi w:val="0"/>
                    <w:ind w:firstLine="0" w:firstLineChars="0"/>
                    <w:jc w:val="center"/>
                    <w:rPr>
                      <w:rFonts w:hint="default" w:ascii="Times New Roman" w:hAnsi="Times New Roman" w:cs="Times New Roman"/>
                      <w:color w:val="auto"/>
                      <w:kern w:val="0"/>
                      <w:sz w:val="21"/>
                      <w:szCs w:val="21"/>
                    </w:rPr>
                  </w:pPr>
                  <w:r>
                    <w:rPr>
                      <w:rFonts w:hint="default"/>
                      <w:color w:val="auto"/>
                      <w:highlight w:val="none"/>
                      <w:lang w:val="en-US" w:eastAsia="zh-CN"/>
                    </w:rPr>
                    <w:t>COD</w:t>
                  </w:r>
                </w:p>
              </w:tc>
              <w:tc>
                <w:tcPr>
                  <w:tcW w:w="498" w:type="pct"/>
                  <w:vMerge w:val="continue"/>
                  <w:noWrap w:val="0"/>
                  <w:vAlign w:val="center"/>
                </w:tcPr>
                <w:p w14:paraId="0585866B">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p>
              </w:tc>
              <w:tc>
                <w:tcPr>
                  <w:tcW w:w="1087" w:type="dxa"/>
                  <w:noWrap/>
                  <w:vAlign w:val="center"/>
                </w:tcPr>
                <w:p w14:paraId="24096C18">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1221" w:type="dxa"/>
                  <w:noWrap w:val="0"/>
                  <w:vAlign w:val="center"/>
                </w:tcPr>
                <w:p w14:paraId="2A9AEFA1">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323" w:type="pct"/>
                  <w:vMerge w:val="continue"/>
                  <w:noWrap w:val="0"/>
                  <w:vAlign w:val="center"/>
                </w:tcPr>
                <w:p w14:paraId="6D756066">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kern w:val="0"/>
                      <w:sz w:val="21"/>
                      <w:szCs w:val="21"/>
                      <w:lang w:val="en-US" w:eastAsia="zh-CN"/>
                    </w:rPr>
                  </w:pPr>
                </w:p>
              </w:tc>
              <w:tc>
                <w:tcPr>
                  <w:tcW w:w="347" w:type="pct"/>
                  <w:noWrap w:val="0"/>
                  <w:vAlign w:val="center"/>
                </w:tcPr>
                <w:p w14:paraId="564BE97A">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p>
              </w:tc>
              <w:tc>
                <w:tcPr>
                  <w:tcW w:w="582" w:type="pct"/>
                  <w:vMerge w:val="continue"/>
                  <w:noWrap w:val="0"/>
                  <w:vAlign w:val="center"/>
                </w:tcPr>
                <w:p w14:paraId="6D3BD45D">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p>
              </w:tc>
              <w:tc>
                <w:tcPr>
                  <w:tcW w:w="1160" w:type="dxa"/>
                  <w:noWrap/>
                  <w:vAlign w:val="center"/>
                </w:tcPr>
                <w:p w14:paraId="27B230FD">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50.6</w:t>
                  </w:r>
                </w:p>
              </w:tc>
              <w:tc>
                <w:tcPr>
                  <w:tcW w:w="944" w:type="dxa"/>
                  <w:noWrap/>
                  <w:vAlign w:val="center"/>
                </w:tcPr>
                <w:p w14:paraId="4A0CCA4E">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2.785</w:t>
                  </w:r>
                </w:p>
              </w:tc>
              <w:tc>
                <w:tcPr>
                  <w:tcW w:w="340" w:type="pct"/>
                  <w:noWrap w:val="0"/>
                  <w:vAlign w:val="center"/>
                </w:tcPr>
                <w:p w14:paraId="77819B6D">
                  <w:pPr>
                    <w:pStyle w:val="95"/>
                    <w:keepNext w:val="0"/>
                    <w:keepLines w:val="0"/>
                    <w:pageBreakBefore w:val="0"/>
                    <w:kinsoku/>
                    <w:wordWrap/>
                    <w:overflowPunct/>
                    <w:topLinePunct w:val="0"/>
                    <w:autoSpaceDE/>
                    <w:autoSpaceDN/>
                    <w:bidi w:val="0"/>
                    <w:spacing w:line="240" w:lineRule="auto"/>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250</w:t>
                  </w:r>
                </w:p>
              </w:tc>
            </w:tr>
            <w:tr w14:paraId="1292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56" w:type="pct"/>
                  <w:vMerge w:val="continue"/>
                  <w:noWrap w:val="0"/>
                  <w:vAlign w:val="center"/>
                </w:tcPr>
                <w:p w14:paraId="68D861E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lang w:eastAsia="zh-CN"/>
                    </w:rPr>
                  </w:pPr>
                </w:p>
              </w:tc>
              <w:tc>
                <w:tcPr>
                  <w:tcW w:w="315" w:type="pct"/>
                  <w:vMerge w:val="continue"/>
                  <w:noWrap w:val="0"/>
                  <w:vAlign w:val="center"/>
                </w:tcPr>
                <w:p w14:paraId="29E80AA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lang w:eastAsia="zh-CN"/>
                    </w:rPr>
                  </w:pPr>
                </w:p>
              </w:tc>
              <w:tc>
                <w:tcPr>
                  <w:tcW w:w="481" w:type="pct"/>
                  <w:noWrap/>
                  <w:vAlign w:val="center"/>
                </w:tcPr>
                <w:p w14:paraId="14AAA761">
                  <w:pPr>
                    <w:pStyle w:val="120"/>
                    <w:bidi w:val="0"/>
                    <w:ind w:firstLine="0" w:firstLineChars="0"/>
                    <w:jc w:val="center"/>
                    <w:rPr>
                      <w:rFonts w:hint="default" w:ascii="Times New Roman" w:hAnsi="Times New Roman" w:cs="Times New Roman"/>
                      <w:color w:val="auto"/>
                      <w:kern w:val="0"/>
                      <w:sz w:val="21"/>
                      <w:szCs w:val="21"/>
                    </w:rPr>
                  </w:pPr>
                  <w:r>
                    <w:rPr>
                      <w:rFonts w:hint="default"/>
                      <w:color w:val="auto"/>
                      <w:highlight w:val="none"/>
                      <w:lang w:val="en-US" w:eastAsia="zh-CN"/>
                    </w:rPr>
                    <w:t>BOD</w:t>
                  </w:r>
                  <w:r>
                    <w:rPr>
                      <w:rFonts w:hint="default"/>
                      <w:color w:val="auto"/>
                      <w:highlight w:val="none"/>
                      <w:vertAlign w:val="subscript"/>
                      <w:lang w:val="en-US" w:eastAsia="zh-CN"/>
                    </w:rPr>
                    <w:t>5</w:t>
                  </w:r>
                </w:p>
              </w:tc>
              <w:tc>
                <w:tcPr>
                  <w:tcW w:w="498" w:type="pct"/>
                  <w:vMerge w:val="continue"/>
                  <w:noWrap w:val="0"/>
                  <w:vAlign w:val="center"/>
                </w:tcPr>
                <w:p w14:paraId="36747360">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p>
              </w:tc>
              <w:tc>
                <w:tcPr>
                  <w:tcW w:w="1087" w:type="dxa"/>
                  <w:noWrap/>
                  <w:vAlign w:val="center"/>
                </w:tcPr>
                <w:p w14:paraId="2E93C162">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1221" w:type="dxa"/>
                  <w:noWrap w:val="0"/>
                  <w:vAlign w:val="center"/>
                </w:tcPr>
                <w:p w14:paraId="05BA61C3">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323" w:type="pct"/>
                  <w:vMerge w:val="continue"/>
                  <w:noWrap w:val="0"/>
                  <w:vAlign w:val="center"/>
                </w:tcPr>
                <w:p w14:paraId="275B7E4F">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kern w:val="0"/>
                      <w:sz w:val="21"/>
                      <w:szCs w:val="21"/>
                      <w:lang w:val="en-US" w:eastAsia="zh-CN"/>
                    </w:rPr>
                  </w:pPr>
                </w:p>
              </w:tc>
              <w:tc>
                <w:tcPr>
                  <w:tcW w:w="347" w:type="pct"/>
                  <w:noWrap w:val="0"/>
                  <w:vAlign w:val="center"/>
                </w:tcPr>
                <w:p w14:paraId="45BBB6F8">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p>
              </w:tc>
              <w:tc>
                <w:tcPr>
                  <w:tcW w:w="582" w:type="pct"/>
                  <w:vMerge w:val="continue"/>
                  <w:noWrap w:val="0"/>
                  <w:vAlign w:val="center"/>
                </w:tcPr>
                <w:p w14:paraId="13891F23">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p>
              </w:tc>
              <w:tc>
                <w:tcPr>
                  <w:tcW w:w="1160" w:type="dxa"/>
                  <w:noWrap/>
                  <w:vAlign w:val="center"/>
                </w:tcPr>
                <w:p w14:paraId="320FBD00">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69.2</w:t>
                  </w:r>
                </w:p>
              </w:tc>
              <w:tc>
                <w:tcPr>
                  <w:tcW w:w="944" w:type="dxa"/>
                  <w:noWrap/>
                  <w:vAlign w:val="center"/>
                </w:tcPr>
                <w:p w14:paraId="11DB1991">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3.812</w:t>
                  </w:r>
                </w:p>
              </w:tc>
              <w:tc>
                <w:tcPr>
                  <w:tcW w:w="340" w:type="pct"/>
                  <w:noWrap w:val="0"/>
                  <w:vAlign w:val="center"/>
                </w:tcPr>
                <w:p w14:paraId="3BE9645F">
                  <w:pPr>
                    <w:pStyle w:val="95"/>
                    <w:keepNext w:val="0"/>
                    <w:keepLines w:val="0"/>
                    <w:pageBreakBefore w:val="0"/>
                    <w:kinsoku/>
                    <w:wordWrap/>
                    <w:overflowPunct/>
                    <w:topLinePunct w:val="0"/>
                    <w:autoSpaceDE/>
                    <w:autoSpaceDN/>
                    <w:bidi w:val="0"/>
                    <w:spacing w:line="240" w:lineRule="auto"/>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100</w:t>
                  </w:r>
                </w:p>
              </w:tc>
            </w:tr>
            <w:tr w14:paraId="57C3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56" w:type="pct"/>
                  <w:vMerge w:val="continue"/>
                  <w:noWrap w:val="0"/>
                  <w:vAlign w:val="center"/>
                </w:tcPr>
                <w:p w14:paraId="4477062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lang w:eastAsia="zh-CN"/>
                    </w:rPr>
                  </w:pPr>
                </w:p>
              </w:tc>
              <w:tc>
                <w:tcPr>
                  <w:tcW w:w="315" w:type="pct"/>
                  <w:vMerge w:val="continue"/>
                  <w:noWrap w:val="0"/>
                  <w:vAlign w:val="center"/>
                </w:tcPr>
                <w:p w14:paraId="6367BFD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lang w:eastAsia="zh-CN"/>
                    </w:rPr>
                  </w:pPr>
                </w:p>
              </w:tc>
              <w:tc>
                <w:tcPr>
                  <w:tcW w:w="481" w:type="pct"/>
                  <w:noWrap/>
                  <w:vAlign w:val="center"/>
                </w:tcPr>
                <w:p w14:paraId="7C0A570B">
                  <w:pPr>
                    <w:pStyle w:val="120"/>
                    <w:bidi w:val="0"/>
                    <w:ind w:firstLine="0" w:firstLineChars="0"/>
                    <w:jc w:val="center"/>
                    <w:rPr>
                      <w:rFonts w:hint="default" w:ascii="Times New Roman" w:hAnsi="Times New Roman" w:cs="Times New Roman"/>
                      <w:color w:val="auto"/>
                      <w:kern w:val="0"/>
                      <w:sz w:val="21"/>
                      <w:szCs w:val="21"/>
                    </w:rPr>
                  </w:pPr>
                  <w:r>
                    <w:rPr>
                      <w:rFonts w:hint="default"/>
                      <w:color w:val="auto"/>
                      <w:highlight w:val="none"/>
                      <w:lang w:val="en-US" w:eastAsia="zh-CN"/>
                    </w:rPr>
                    <w:t>SS</w:t>
                  </w:r>
                </w:p>
              </w:tc>
              <w:tc>
                <w:tcPr>
                  <w:tcW w:w="498" w:type="pct"/>
                  <w:vMerge w:val="continue"/>
                  <w:noWrap w:val="0"/>
                  <w:vAlign w:val="center"/>
                </w:tcPr>
                <w:p w14:paraId="7A9228AA">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p>
              </w:tc>
              <w:tc>
                <w:tcPr>
                  <w:tcW w:w="1087" w:type="dxa"/>
                  <w:noWrap/>
                  <w:vAlign w:val="center"/>
                </w:tcPr>
                <w:p w14:paraId="43148934">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1221" w:type="dxa"/>
                  <w:noWrap w:val="0"/>
                  <w:vAlign w:val="center"/>
                </w:tcPr>
                <w:p w14:paraId="25F24B20">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323" w:type="pct"/>
                  <w:vMerge w:val="continue"/>
                  <w:noWrap w:val="0"/>
                  <w:vAlign w:val="center"/>
                </w:tcPr>
                <w:p w14:paraId="6E54C1A6">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kern w:val="0"/>
                      <w:sz w:val="21"/>
                      <w:szCs w:val="21"/>
                      <w:lang w:val="en-US" w:eastAsia="zh-CN"/>
                    </w:rPr>
                  </w:pPr>
                </w:p>
              </w:tc>
              <w:tc>
                <w:tcPr>
                  <w:tcW w:w="347" w:type="pct"/>
                  <w:noWrap w:val="0"/>
                  <w:vAlign w:val="center"/>
                </w:tcPr>
                <w:p w14:paraId="3AB74335">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p>
              </w:tc>
              <w:tc>
                <w:tcPr>
                  <w:tcW w:w="582" w:type="pct"/>
                  <w:vMerge w:val="continue"/>
                  <w:noWrap w:val="0"/>
                  <w:vAlign w:val="center"/>
                </w:tcPr>
                <w:p w14:paraId="634D3798">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p>
              </w:tc>
              <w:tc>
                <w:tcPr>
                  <w:tcW w:w="1160" w:type="dxa"/>
                  <w:noWrap/>
                  <w:vAlign w:val="center"/>
                </w:tcPr>
                <w:p w14:paraId="3587A508">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40.1</w:t>
                  </w:r>
                </w:p>
              </w:tc>
              <w:tc>
                <w:tcPr>
                  <w:tcW w:w="944" w:type="dxa"/>
                  <w:noWrap/>
                  <w:vAlign w:val="center"/>
                </w:tcPr>
                <w:p w14:paraId="50C50390">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2.210</w:t>
                  </w:r>
                </w:p>
              </w:tc>
              <w:tc>
                <w:tcPr>
                  <w:tcW w:w="340" w:type="pct"/>
                  <w:noWrap w:val="0"/>
                  <w:vAlign w:val="center"/>
                </w:tcPr>
                <w:p w14:paraId="7A75A2CE">
                  <w:pPr>
                    <w:pStyle w:val="95"/>
                    <w:keepNext w:val="0"/>
                    <w:keepLines w:val="0"/>
                    <w:pageBreakBefore w:val="0"/>
                    <w:kinsoku/>
                    <w:wordWrap/>
                    <w:overflowPunct/>
                    <w:topLinePunct w:val="0"/>
                    <w:autoSpaceDE/>
                    <w:autoSpaceDN/>
                    <w:bidi w:val="0"/>
                    <w:spacing w:line="240" w:lineRule="auto"/>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60</w:t>
                  </w:r>
                </w:p>
              </w:tc>
            </w:tr>
            <w:tr w14:paraId="62209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56" w:type="pct"/>
                  <w:vMerge w:val="continue"/>
                  <w:noWrap w:val="0"/>
                  <w:vAlign w:val="center"/>
                </w:tcPr>
                <w:p w14:paraId="136DF6D7">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p>
              </w:tc>
              <w:tc>
                <w:tcPr>
                  <w:tcW w:w="315" w:type="pct"/>
                  <w:vMerge w:val="continue"/>
                  <w:noWrap w:val="0"/>
                  <w:vAlign w:val="center"/>
                </w:tcPr>
                <w:p w14:paraId="745B8D37">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p>
              </w:tc>
              <w:tc>
                <w:tcPr>
                  <w:tcW w:w="481" w:type="pct"/>
                  <w:noWrap/>
                  <w:vAlign w:val="center"/>
                </w:tcPr>
                <w:p w14:paraId="7BCE25B2">
                  <w:pPr>
                    <w:pStyle w:val="120"/>
                    <w:bidi w:val="0"/>
                    <w:ind w:firstLine="0" w:firstLineChars="0"/>
                    <w:jc w:val="center"/>
                    <w:rPr>
                      <w:rFonts w:hint="eastAsia" w:cs="Times New Roman"/>
                      <w:color w:val="auto"/>
                      <w:kern w:val="0"/>
                      <w:sz w:val="21"/>
                      <w:szCs w:val="21"/>
                      <w:lang w:val="en-US" w:eastAsia="zh-CN"/>
                    </w:rPr>
                  </w:pPr>
                  <w:r>
                    <w:rPr>
                      <w:rFonts w:hint="default"/>
                      <w:color w:val="auto"/>
                      <w:highlight w:val="none"/>
                      <w:lang w:val="en-US" w:eastAsia="zh-CN"/>
                    </w:rPr>
                    <w:t>NH</w:t>
                  </w:r>
                  <w:r>
                    <w:rPr>
                      <w:rFonts w:hint="default"/>
                      <w:color w:val="auto"/>
                      <w:highlight w:val="none"/>
                      <w:vertAlign w:val="subscript"/>
                      <w:lang w:val="en-US" w:eastAsia="zh-CN"/>
                    </w:rPr>
                    <w:t>3</w:t>
                  </w:r>
                  <w:r>
                    <w:rPr>
                      <w:rFonts w:hint="default"/>
                      <w:color w:val="auto"/>
                      <w:highlight w:val="none"/>
                      <w:lang w:val="en-US" w:eastAsia="zh-CN"/>
                    </w:rPr>
                    <w:t>-N</w:t>
                  </w:r>
                </w:p>
              </w:tc>
              <w:tc>
                <w:tcPr>
                  <w:tcW w:w="498" w:type="pct"/>
                  <w:vMerge w:val="continue"/>
                  <w:noWrap w:val="0"/>
                  <w:vAlign w:val="center"/>
                </w:tcPr>
                <w:p w14:paraId="2F08C5DB">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p>
              </w:tc>
              <w:tc>
                <w:tcPr>
                  <w:tcW w:w="407" w:type="pct"/>
                  <w:noWrap/>
                  <w:vAlign w:val="center"/>
                </w:tcPr>
                <w:p w14:paraId="771245CC">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457" w:type="pct"/>
                  <w:noWrap w:val="0"/>
                  <w:vAlign w:val="center"/>
                </w:tcPr>
                <w:p w14:paraId="7BDCE213">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323" w:type="pct"/>
                  <w:vMerge w:val="continue"/>
                  <w:noWrap w:val="0"/>
                  <w:vAlign w:val="center"/>
                </w:tcPr>
                <w:p w14:paraId="23FB73B3">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p>
              </w:tc>
              <w:tc>
                <w:tcPr>
                  <w:tcW w:w="347" w:type="pct"/>
                  <w:noWrap w:val="0"/>
                  <w:vAlign w:val="center"/>
                </w:tcPr>
                <w:p w14:paraId="4F4CED95">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kern w:val="0"/>
                      <w:sz w:val="21"/>
                      <w:szCs w:val="21"/>
                      <w:lang w:val="en-US" w:eastAsia="zh-CN"/>
                    </w:rPr>
                  </w:pPr>
                  <w:r>
                    <w:rPr>
                      <w:rFonts w:hint="eastAsia" w:cs="Times New Roman"/>
                      <w:color w:val="auto"/>
                      <w:sz w:val="21"/>
                      <w:szCs w:val="21"/>
                      <w:lang w:val="en-US" w:eastAsia="zh-CN"/>
                    </w:rPr>
                    <w:t>/</w:t>
                  </w:r>
                </w:p>
              </w:tc>
              <w:tc>
                <w:tcPr>
                  <w:tcW w:w="582" w:type="pct"/>
                  <w:vMerge w:val="continue"/>
                  <w:noWrap w:val="0"/>
                  <w:vAlign w:val="center"/>
                </w:tcPr>
                <w:p w14:paraId="39D6412D">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p>
              </w:tc>
              <w:tc>
                <w:tcPr>
                  <w:tcW w:w="1160" w:type="dxa"/>
                  <w:noWrap/>
                  <w:vAlign w:val="center"/>
                </w:tcPr>
                <w:p w14:paraId="2613BFCB">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23.7</w:t>
                  </w:r>
                </w:p>
              </w:tc>
              <w:tc>
                <w:tcPr>
                  <w:tcW w:w="944" w:type="dxa"/>
                  <w:noWrap/>
                  <w:vAlign w:val="center"/>
                </w:tcPr>
                <w:p w14:paraId="03EEAD2E">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1.306</w:t>
                  </w:r>
                </w:p>
              </w:tc>
              <w:tc>
                <w:tcPr>
                  <w:tcW w:w="340" w:type="pct"/>
                  <w:noWrap w:val="0"/>
                  <w:vAlign w:val="center"/>
                </w:tcPr>
                <w:p w14:paraId="5398054E">
                  <w:pPr>
                    <w:pStyle w:val="95"/>
                    <w:keepNext w:val="0"/>
                    <w:keepLines w:val="0"/>
                    <w:pageBreakBefore w:val="0"/>
                    <w:kinsoku/>
                    <w:wordWrap/>
                    <w:overflowPunct/>
                    <w:topLinePunct w:val="0"/>
                    <w:autoSpaceDE/>
                    <w:autoSpaceDN/>
                    <w:bidi w:val="0"/>
                    <w:spacing w:line="240" w:lineRule="auto"/>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25</w:t>
                  </w:r>
                </w:p>
              </w:tc>
            </w:tr>
            <w:tr w14:paraId="19A51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56" w:type="pct"/>
                  <w:vMerge w:val="continue"/>
                  <w:noWrap w:val="0"/>
                  <w:vAlign w:val="center"/>
                </w:tcPr>
                <w:p w14:paraId="35557890">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p>
              </w:tc>
              <w:tc>
                <w:tcPr>
                  <w:tcW w:w="315" w:type="pct"/>
                  <w:vMerge w:val="continue"/>
                  <w:noWrap w:val="0"/>
                  <w:vAlign w:val="center"/>
                </w:tcPr>
                <w:p w14:paraId="7EB1F40E">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p>
              </w:tc>
              <w:tc>
                <w:tcPr>
                  <w:tcW w:w="481" w:type="pct"/>
                  <w:noWrap/>
                  <w:vAlign w:val="center"/>
                </w:tcPr>
                <w:p w14:paraId="66493860">
                  <w:pPr>
                    <w:pStyle w:val="120"/>
                    <w:bidi w:val="0"/>
                    <w:ind w:firstLine="0" w:firstLineChars="0"/>
                    <w:jc w:val="center"/>
                    <w:rPr>
                      <w:rFonts w:hint="eastAsia" w:cs="Times New Roman"/>
                      <w:color w:val="auto"/>
                      <w:kern w:val="0"/>
                      <w:sz w:val="21"/>
                      <w:szCs w:val="21"/>
                      <w:lang w:val="en-US" w:eastAsia="zh-CN"/>
                    </w:rPr>
                  </w:pPr>
                  <w:r>
                    <w:rPr>
                      <w:rFonts w:hint="eastAsia"/>
                      <w:color w:val="auto"/>
                      <w:highlight w:val="none"/>
                      <w:lang w:val="en-US" w:eastAsia="zh-CN"/>
                    </w:rPr>
                    <w:t>LAS</w:t>
                  </w:r>
                </w:p>
              </w:tc>
              <w:tc>
                <w:tcPr>
                  <w:tcW w:w="498" w:type="pct"/>
                  <w:vMerge w:val="continue"/>
                  <w:noWrap w:val="0"/>
                  <w:vAlign w:val="center"/>
                </w:tcPr>
                <w:p w14:paraId="19664614">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p>
              </w:tc>
              <w:tc>
                <w:tcPr>
                  <w:tcW w:w="407" w:type="pct"/>
                  <w:noWrap/>
                  <w:vAlign w:val="center"/>
                </w:tcPr>
                <w:p w14:paraId="140EFE20">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457" w:type="pct"/>
                  <w:noWrap w:val="0"/>
                  <w:vAlign w:val="center"/>
                </w:tcPr>
                <w:p w14:paraId="2E56AE28">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323" w:type="pct"/>
                  <w:vMerge w:val="continue"/>
                  <w:noWrap w:val="0"/>
                  <w:vAlign w:val="center"/>
                </w:tcPr>
                <w:p w14:paraId="14632902">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p>
              </w:tc>
              <w:tc>
                <w:tcPr>
                  <w:tcW w:w="347" w:type="pct"/>
                  <w:noWrap w:val="0"/>
                  <w:vAlign w:val="center"/>
                </w:tcPr>
                <w:p w14:paraId="477F2B69">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kern w:val="0"/>
                      <w:sz w:val="21"/>
                      <w:szCs w:val="21"/>
                      <w:lang w:val="en-US" w:eastAsia="zh-CN"/>
                    </w:rPr>
                  </w:pPr>
                  <w:r>
                    <w:rPr>
                      <w:rFonts w:hint="eastAsia" w:cs="Times New Roman"/>
                      <w:color w:val="auto"/>
                      <w:sz w:val="21"/>
                      <w:szCs w:val="21"/>
                      <w:lang w:val="en-US" w:eastAsia="zh-CN"/>
                    </w:rPr>
                    <w:t>/</w:t>
                  </w:r>
                </w:p>
              </w:tc>
              <w:tc>
                <w:tcPr>
                  <w:tcW w:w="582" w:type="pct"/>
                  <w:vMerge w:val="continue"/>
                  <w:noWrap w:val="0"/>
                  <w:vAlign w:val="center"/>
                </w:tcPr>
                <w:p w14:paraId="5F9D59AA">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p>
              </w:tc>
              <w:tc>
                <w:tcPr>
                  <w:tcW w:w="1160" w:type="dxa"/>
                  <w:noWrap/>
                  <w:vAlign w:val="center"/>
                </w:tcPr>
                <w:p w14:paraId="77C42141">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7.9</w:t>
                  </w:r>
                </w:p>
              </w:tc>
              <w:tc>
                <w:tcPr>
                  <w:tcW w:w="944" w:type="dxa"/>
                  <w:noWrap/>
                  <w:vAlign w:val="center"/>
                </w:tcPr>
                <w:p w14:paraId="65CD943B">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0.435</w:t>
                  </w:r>
                </w:p>
              </w:tc>
              <w:tc>
                <w:tcPr>
                  <w:tcW w:w="340" w:type="pct"/>
                  <w:noWrap w:val="0"/>
                  <w:vAlign w:val="center"/>
                </w:tcPr>
                <w:p w14:paraId="1E39C27A">
                  <w:pPr>
                    <w:pStyle w:val="95"/>
                    <w:keepNext w:val="0"/>
                    <w:keepLines w:val="0"/>
                    <w:pageBreakBefore w:val="0"/>
                    <w:kinsoku/>
                    <w:wordWrap/>
                    <w:overflowPunct/>
                    <w:topLinePunct w:val="0"/>
                    <w:autoSpaceDE/>
                    <w:autoSpaceDN/>
                    <w:bidi w:val="0"/>
                    <w:spacing w:line="240" w:lineRule="auto"/>
                    <w:ind w:firstLine="0" w:firstLineChars="0"/>
                    <w:jc w:val="center"/>
                    <w:rPr>
                      <w:rFonts w:hint="eastAsia"/>
                      <w:color w:val="auto"/>
                      <w:sz w:val="21"/>
                      <w:szCs w:val="21"/>
                      <w:highlight w:val="none"/>
                      <w:lang w:val="en-US" w:eastAsia="zh-CN"/>
                    </w:rPr>
                  </w:pPr>
                  <w:r>
                    <w:rPr>
                      <w:rFonts w:hint="eastAsia" w:ascii="Times New Roman" w:hAnsi="Times New Roman" w:cs="Times New Roman"/>
                      <w:color w:val="auto"/>
                      <w:kern w:val="0"/>
                      <w:sz w:val="21"/>
                      <w:szCs w:val="21"/>
                      <w:lang w:val="en-US" w:eastAsia="zh-CN"/>
                    </w:rPr>
                    <w:t>10</w:t>
                  </w:r>
                </w:p>
              </w:tc>
            </w:tr>
            <w:tr w14:paraId="28294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56" w:type="pct"/>
                  <w:vMerge w:val="continue"/>
                  <w:noWrap w:val="0"/>
                  <w:vAlign w:val="center"/>
                </w:tcPr>
                <w:p w14:paraId="7FE1BAE2">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p>
              </w:tc>
              <w:tc>
                <w:tcPr>
                  <w:tcW w:w="315" w:type="pct"/>
                  <w:vMerge w:val="continue"/>
                  <w:noWrap w:val="0"/>
                  <w:vAlign w:val="center"/>
                </w:tcPr>
                <w:p w14:paraId="0A2FF4DD">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p>
              </w:tc>
              <w:tc>
                <w:tcPr>
                  <w:tcW w:w="481" w:type="pct"/>
                  <w:noWrap/>
                  <w:vAlign w:val="center"/>
                </w:tcPr>
                <w:p w14:paraId="75B49D75">
                  <w:pPr>
                    <w:pStyle w:val="120"/>
                    <w:bidi w:val="0"/>
                    <w:ind w:firstLine="0" w:firstLineChars="0"/>
                    <w:jc w:val="center"/>
                    <w:rPr>
                      <w:rFonts w:hint="eastAsia" w:cs="Times New Roman"/>
                      <w:color w:val="auto"/>
                      <w:kern w:val="0"/>
                      <w:sz w:val="21"/>
                      <w:szCs w:val="21"/>
                      <w:lang w:val="en-US" w:eastAsia="zh-CN"/>
                    </w:rPr>
                  </w:pPr>
                  <w:r>
                    <w:rPr>
                      <w:rFonts w:hint="eastAsia"/>
                      <w:color w:val="auto"/>
                      <w:highlight w:val="none"/>
                      <w:lang w:val="en-US" w:eastAsia="zh-CN"/>
                    </w:rPr>
                    <w:t>动植物油</w:t>
                  </w:r>
                </w:p>
              </w:tc>
              <w:tc>
                <w:tcPr>
                  <w:tcW w:w="498" w:type="pct"/>
                  <w:vMerge w:val="continue"/>
                  <w:noWrap w:val="0"/>
                  <w:vAlign w:val="center"/>
                </w:tcPr>
                <w:p w14:paraId="29ED7E17">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p>
              </w:tc>
              <w:tc>
                <w:tcPr>
                  <w:tcW w:w="407" w:type="pct"/>
                  <w:noWrap/>
                  <w:vAlign w:val="center"/>
                </w:tcPr>
                <w:p w14:paraId="382044C3">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457" w:type="pct"/>
                  <w:noWrap w:val="0"/>
                  <w:vAlign w:val="center"/>
                </w:tcPr>
                <w:p w14:paraId="02C07C8A">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323" w:type="pct"/>
                  <w:vMerge w:val="continue"/>
                  <w:noWrap w:val="0"/>
                  <w:vAlign w:val="center"/>
                </w:tcPr>
                <w:p w14:paraId="1CAF1035">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p>
              </w:tc>
              <w:tc>
                <w:tcPr>
                  <w:tcW w:w="347" w:type="pct"/>
                  <w:noWrap w:val="0"/>
                  <w:vAlign w:val="center"/>
                </w:tcPr>
                <w:p w14:paraId="1FCED757">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kern w:val="0"/>
                      <w:sz w:val="21"/>
                      <w:szCs w:val="21"/>
                      <w:lang w:val="en-US" w:eastAsia="zh-CN"/>
                    </w:rPr>
                  </w:pPr>
                  <w:r>
                    <w:rPr>
                      <w:rFonts w:hint="eastAsia" w:cs="Times New Roman"/>
                      <w:color w:val="auto"/>
                      <w:sz w:val="21"/>
                      <w:szCs w:val="21"/>
                      <w:lang w:val="en-US" w:eastAsia="zh-CN"/>
                    </w:rPr>
                    <w:t>/</w:t>
                  </w:r>
                </w:p>
              </w:tc>
              <w:tc>
                <w:tcPr>
                  <w:tcW w:w="582" w:type="pct"/>
                  <w:vMerge w:val="continue"/>
                  <w:noWrap w:val="0"/>
                  <w:vAlign w:val="center"/>
                </w:tcPr>
                <w:p w14:paraId="70C9A4FF">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p>
              </w:tc>
              <w:tc>
                <w:tcPr>
                  <w:tcW w:w="1160" w:type="dxa"/>
                  <w:noWrap/>
                  <w:vAlign w:val="center"/>
                </w:tcPr>
                <w:p w14:paraId="5AE4581F">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11.9</w:t>
                  </w:r>
                </w:p>
              </w:tc>
              <w:tc>
                <w:tcPr>
                  <w:tcW w:w="944" w:type="dxa"/>
                  <w:noWrap/>
                  <w:vAlign w:val="center"/>
                </w:tcPr>
                <w:p w14:paraId="618AF2D4">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0.653</w:t>
                  </w:r>
                </w:p>
              </w:tc>
              <w:tc>
                <w:tcPr>
                  <w:tcW w:w="340" w:type="pct"/>
                  <w:noWrap w:val="0"/>
                  <w:vAlign w:val="center"/>
                </w:tcPr>
                <w:p w14:paraId="076B3181">
                  <w:pPr>
                    <w:pStyle w:val="95"/>
                    <w:keepNext w:val="0"/>
                    <w:keepLines w:val="0"/>
                    <w:pageBreakBefore w:val="0"/>
                    <w:kinsoku/>
                    <w:wordWrap/>
                    <w:overflowPunct/>
                    <w:topLinePunct w:val="0"/>
                    <w:autoSpaceDE/>
                    <w:autoSpaceDN/>
                    <w:bidi w:val="0"/>
                    <w:spacing w:line="240" w:lineRule="auto"/>
                    <w:ind w:firstLine="0" w:firstLineChars="0"/>
                    <w:jc w:val="center"/>
                    <w:rPr>
                      <w:rFonts w:hint="eastAsia"/>
                      <w:color w:val="auto"/>
                      <w:sz w:val="21"/>
                      <w:szCs w:val="21"/>
                      <w:highlight w:val="none"/>
                      <w:lang w:val="en-US" w:eastAsia="zh-CN"/>
                    </w:rPr>
                  </w:pPr>
                  <w:r>
                    <w:rPr>
                      <w:rFonts w:hint="eastAsia" w:ascii="Times New Roman" w:hAnsi="Times New Roman" w:cs="Times New Roman"/>
                      <w:color w:val="auto"/>
                      <w:kern w:val="0"/>
                      <w:sz w:val="21"/>
                      <w:szCs w:val="21"/>
                      <w:lang w:val="en-US" w:eastAsia="zh-CN"/>
                    </w:rPr>
                    <w:t>20</w:t>
                  </w:r>
                </w:p>
              </w:tc>
            </w:tr>
            <w:tr w14:paraId="0F76D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56" w:type="pct"/>
                  <w:vMerge w:val="continue"/>
                  <w:noWrap w:val="0"/>
                  <w:vAlign w:val="center"/>
                </w:tcPr>
                <w:p w14:paraId="6DB61BE0">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p>
              </w:tc>
              <w:tc>
                <w:tcPr>
                  <w:tcW w:w="315" w:type="pct"/>
                  <w:vMerge w:val="continue"/>
                  <w:noWrap w:val="0"/>
                  <w:vAlign w:val="center"/>
                </w:tcPr>
                <w:p w14:paraId="6E833A7A">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p>
              </w:tc>
              <w:tc>
                <w:tcPr>
                  <w:tcW w:w="481" w:type="pct"/>
                  <w:noWrap/>
                  <w:vAlign w:val="center"/>
                </w:tcPr>
                <w:p w14:paraId="613F27E9">
                  <w:pPr>
                    <w:pStyle w:val="120"/>
                    <w:bidi w:val="0"/>
                    <w:ind w:firstLine="0" w:firstLineChars="0"/>
                    <w:jc w:val="center"/>
                    <w:rPr>
                      <w:rFonts w:hint="eastAsia"/>
                      <w:color w:val="auto"/>
                      <w:highlight w:val="none"/>
                      <w:lang w:val="en-US" w:eastAsia="zh-CN"/>
                    </w:rPr>
                  </w:pPr>
                  <w:r>
                    <w:rPr>
                      <w:rFonts w:hint="eastAsia"/>
                      <w:color w:val="auto"/>
                      <w:highlight w:val="none"/>
                      <w:lang w:val="en-US" w:eastAsia="zh-CN"/>
                    </w:rPr>
                    <w:t>粪大肠杆菌</w:t>
                  </w:r>
                </w:p>
                <w:p w14:paraId="0F3025C9">
                  <w:pPr>
                    <w:pStyle w:val="120"/>
                    <w:bidi w:val="0"/>
                    <w:ind w:firstLine="0" w:firstLineChars="0"/>
                    <w:jc w:val="center"/>
                    <w:rPr>
                      <w:rFonts w:hint="eastAsia" w:cs="Times New Roman"/>
                      <w:color w:val="auto"/>
                      <w:kern w:val="0"/>
                      <w:sz w:val="21"/>
                      <w:szCs w:val="21"/>
                      <w:lang w:val="en-US" w:eastAsia="zh-CN"/>
                    </w:rPr>
                  </w:pPr>
                  <w:r>
                    <w:rPr>
                      <w:rFonts w:hint="eastAsia"/>
                      <w:color w:val="auto"/>
                      <w:highlight w:val="none"/>
                      <w:lang w:val="en-US" w:eastAsia="zh-CN"/>
                    </w:rPr>
                    <w:t>(个/L)</w:t>
                  </w:r>
                </w:p>
              </w:tc>
              <w:tc>
                <w:tcPr>
                  <w:tcW w:w="498" w:type="pct"/>
                  <w:vMerge w:val="continue"/>
                  <w:noWrap w:val="0"/>
                  <w:vAlign w:val="center"/>
                </w:tcPr>
                <w:p w14:paraId="66BE01A6">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p>
              </w:tc>
              <w:tc>
                <w:tcPr>
                  <w:tcW w:w="407" w:type="pct"/>
                  <w:noWrap/>
                  <w:vAlign w:val="center"/>
                </w:tcPr>
                <w:p w14:paraId="179BB7DB">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457" w:type="pct"/>
                  <w:noWrap w:val="0"/>
                  <w:vAlign w:val="center"/>
                </w:tcPr>
                <w:p w14:paraId="6A1DAC6A">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323" w:type="pct"/>
                  <w:vMerge w:val="continue"/>
                  <w:noWrap w:val="0"/>
                  <w:vAlign w:val="center"/>
                </w:tcPr>
                <w:p w14:paraId="39522453">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rPr>
                  </w:pPr>
                </w:p>
              </w:tc>
              <w:tc>
                <w:tcPr>
                  <w:tcW w:w="347" w:type="pct"/>
                  <w:noWrap w:val="0"/>
                  <w:vAlign w:val="center"/>
                </w:tcPr>
                <w:p w14:paraId="29821337">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cs="Times New Roman"/>
                      <w:color w:val="auto"/>
                      <w:kern w:val="0"/>
                      <w:sz w:val="21"/>
                      <w:szCs w:val="21"/>
                      <w:lang w:val="en-US" w:eastAsia="zh-CN"/>
                    </w:rPr>
                  </w:pPr>
                  <w:r>
                    <w:rPr>
                      <w:rFonts w:hint="eastAsia" w:cs="Times New Roman"/>
                      <w:color w:val="auto"/>
                      <w:sz w:val="21"/>
                      <w:szCs w:val="21"/>
                      <w:lang w:val="en-US" w:eastAsia="zh-CN"/>
                    </w:rPr>
                    <w:t>/</w:t>
                  </w:r>
                </w:p>
              </w:tc>
              <w:tc>
                <w:tcPr>
                  <w:tcW w:w="582" w:type="pct"/>
                  <w:vMerge w:val="continue"/>
                  <w:noWrap w:val="0"/>
                  <w:vAlign w:val="center"/>
                </w:tcPr>
                <w:p w14:paraId="52969221">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cs="Times New Roman"/>
                      <w:color w:val="auto"/>
                      <w:sz w:val="21"/>
                      <w:szCs w:val="21"/>
                    </w:rPr>
                  </w:pPr>
                </w:p>
              </w:tc>
              <w:tc>
                <w:tcPr>
                  <w:tcW w:w="1160" w:type="dxa"/>
                  <w:noWrap/>
                  <w:vAlign w:val="center"/>
                </w:tcPr>
                <w:p w14:paraId="42C15D1F">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4720.5</w:t>
                  </w:r>
                  <w:r>
                    <w:rPr>
                      <w:rFonts w:hint="eastAsia"/>
                      <w:color w:val="auto"/>
                      <w:highlight w:val="none"/>
                      <w:lang w:val="en-US" w:eastAsia="zh-CN"/>
                    </w:rPr>
                    <w:t>(个/L)</w:t>
                  </w:r>
                </w:p>
              </w:tc>
              <w:tc>
                <w:tcPr>
                  <w:tcW w:w="944" w:type="dxa"/>
                  <w:noWrap/>
                  <w:vAlign w:val="center"/>
                </w:tcPr>
                <w:p w14:paraId="37817867">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leftChars="0" w:right="0" w:rightChars="0" w:firstLine="0" w:firstLineChars="0"/>
                    <w:jc w:val="center"/>
                    <w:textAlignment w:val="center"/>
                    <w:rPr>
                      <w:rFonts w:hint="default" w:cs="Times New Roman"/>
                      <w:color w:val="auto"/>
                      <w:sz w:val="21"/>
                      <w:szCs w:val="21"/>
                      <w:lang w:val="en-US" w:eastAsia="zh-CN"/>
                    </w:rPr>
                  </w:pPr>
                  <w:r>
                    <w:rPr>
                      <w:rFonts w:hint="eastAsia"/>
                      <w:color w:val="auto"/>
                      <w:highlight w:val="none"/>
                      <w:lang w:val="en-US" w:eastAsia="zh-CN"/>
                    </w:rPr>
                    <w:t>2.6</w:t>
                  </w:r>
                  <w:r>
                    <w:rPr>
                      <w:color w:val="auto"/>
                      <w:highlight w:val="none"/>
                      <w:lang w:val="en-US" w:eastAsia="zh-CN"/>
                    </w:rPr>
                    <w:t>×10</w:t>
                  </w:r>
                  <w:r>
                    <w:rPr>
                      <w:rFonts w:hint="eastAsia"/>
                      <w:color w:val="auto"/>
                      <w:highlight w:val="none"/>
                      <w:vertAlign w:val="superscript"/>
                      <w:lang w:val="en-US" w:eastAsia="zh-CN"/>
                    </w:rPr>
                    <w:t>11</w:t>
                  </w:r>
                  <w:r>
                    <w:rPr>
                      <w:rFonts w:hint="eastAsia"/>
                      <w:color w:val="auto"/>
                      <w:highlight w:val="none"/>
                      <w:vertAlign w:val="baseline"/>
                      <w:lang w:val="en-US" w:eastAsia="zh-CN"/>
                    </w:rPr>
                    <w:t>个</w:t>
                  </w:r>
                </w:p>
              </w:tc>
              <w:tc>
                <w:tcPr>
                  <w:tcW w:w="340" w:type="pct"/>
                  <w:noWrap w:val="0"/>
                  <w:vAlign w:val="center"/>
                </w:tcPr>
                <w:p w14:paraId="3149C016">
                  <w:pPr>
                    <w:pStyle w:val="95"/>
                    <w:keepNext w:val="0"/>
                    <w:keepLines w:val="0"/>
                    <w:pageBreakBefore w:val="0"/>
                    <w:kinsoku/>
                    <w:wordWrap/>
                    <w:overflowPunct/>
                    <w:topLinePunct w:val="0"/>
                    <w:autoSpaceDE/>
                    <w:autoSpaceDN/>
                    <w:bidi w:val="0"/>
                    <w:spacing w:line="240" w:lineRule="auto"/>
                    <w:ind w:firstLine="0" w:firstLineChars="0"/>
                    <w:jc w:val="center"/>
                    <w:rPr>
                      <w:rFonts w:hint="default"/>
                      <w:color w:val="auto"/>
                      <w:sz w:val="21"/>
                      <w:szCs w:val="21"/>
                      <w:highlight w:val="none"/>
                      <w:lang w:val="en-US" w:eastAsia="zh-CN"/>
                    </w:rPr>
                  </w:pPr>
                  <w:r>
                    <w:rPr>
                      <w:rFonts w:hint="eastAsia" w:ascii="Times New Roman" w:hAnsi="Times New Roman" w:eastAsia="宋体" w:cs="Times New Roman"/>
                      <w:color w:val="auto"/>
                      <w:kern w:val="0"/>
                      <w:sz w:val="21"/>
                      <w:szCs w:val="21"/>
                      <w:lang w:val="en-US" w:eastAsia="zh-CN"/>
                    </w:rPr>
                    <w:t>5000</w:t>
                  </w:r>
                  <w:r>
                    <w:rPr>
                      <w:rFonts w:hint="eastAsia"/>
                      <w:color w:val="auto"/>
                      <w:highlight w:val="none"/>
                      <w:lang w:val="en-US" w:eastAsia="zh-CN"/>
                    </w:rPr>
                    <w:t>(个/L)</w:t>
                  </w:r>
                </w:p>
              </w:tc>
            </w:tr>
          </w:tbl>
          <w:p w14:paraId="4558B47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ascii="Times New Roman" w:hAnsi="Times New Roman" w:eastAsia="宋体" w:cs="Times New Roman"/>
                <w:b/>
                <w:color w:val="auto"/>
                <w:kern w:val="0"/>
                <w:sz w:val="28"/>
                <w:szCs w:val="28"/>
                <w:vertAlign w:val="baseline"/>
                <w:lang w:eastAsia="zh-CN"/>
              </w:rPr>
            </w:pPr>
          </w:p>
        </w:tc>
      </w:tr>
    </w:tbl>
    <w:p w14:paraId="0984A36E">
      <w:pPr>
        <w:rPr>
          <w:rFonts w:hint="default" w:ascii="Times New Roman" w:hAnsi="Times New Roman" w:cs="Times New Roman"/>
          <w:b/>
          <w:color w:val="FF0000"/>
          <w:kern w:val="0"/>
          <w:sz w:val="28"/>
          <w:szCs w:val="28"/>
        </w:rPr>
        <w:sectPr>
          <w:pgSz w:w="16838" w:h="11905" w:orient="landscape"/>
          <w:pgMar w:top="1417" w:right="1417" w:bottom="1417" w:left="1417" w:header="851" w:footer="850" w:gutter="0"/>
          <w:pgNumType w:fmt="decimal"/>
          <w:cols w:space="0" w:num="1"/>
          <w:rtlGutter w:val="0"/>
          <w:docGrid w:linePitch="312" w:charSpace="0"/>
        </w:sectPr>
      </w:pP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4"/>
        <w:gridCol w:w="8833"/>
      </w:tblGrid>
      <w:tr w14:paraId="3877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6" w:hRule="atLeast"/>
          <w:jc w:val="center"/>
        </w:trPr>
        <w:tc>
          <w:tcPr>
            <w:tcW w:w="440" w:type="dxa"/>
            <w:vAlign w:val="center"/>
          </w:tcPr>
          <w:p w14:paraId="5226776E">
            <w:pPr>
              <w:pStyle w:val="26"/>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color w:val="FF0000"/>
                <w:vertAlign w:val="baseline"/>
              </w:rPr>
            </w:pPr>
            <w:r>
              <w:rPr>
                <w:rFonts w:hint="default" w:ascii="Times New Roman" w:hAnsi="Times New Roman" w:cs="Times New Roman"/>
                <w:b/>
                <w:bCs/>
                <w:color w:val="auto"/>
                <w:sz w:val="24"/>
                <w:szCs w:val="32"/>
              </w:rPr>
              <w:t>运营期环境影响和保护措施</w:t>
            </w:r>
          </w:p>
        </w:tc>
        <w:tc>
          <w:tcPr>
            <w:tcW w:w="8847" w:type="dxa"/>
            <w:vAlign w:val="center"/>
          </w:tcPr>
          <w:p w14:paraId="4DAF5EA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color w:val="auto"/>
                <w:kern w:val="0"/>
                <w:sz w:val="24"/>
                <w:highlight w:val="none"/>
                <w:lang w:val="en-US" w:eastAsia="zh-CN"/>
              </w:rPr>
            </w:pPr>
            <w:r>
              <w:rPr>
                <w:rFonts w:hint="eastAsia" w:ascii="Times New Roman" w:hAnsi="Times New Roman" w:eastAsia="宋体" w:cs="Times New Roman"/>
                <w:b/>
                <w:color w:val="auto"/>
                <w:kern w:val="0"/>
                <w:sz w:val="24"/>
                <w:highlight w:val="none"/>
                <w:lang w:val="en-US" w:eastAsia="zh-CN"/>
              </w:rPr>
              <w:t>4、措施可行性及影响分析</w:t>
            </w:r>
          </w:p>
          <w:p w14:paraId="735B3F4E">
            <w:pPr>
              <w:keepNext w:val="0"/>
              <w:keepLines w:val="0"/>
              <w:pageBreakBefore w:val="0"/>
              <w:widowControl w:val="0"/>
              <w:numPr>
                <w:ilvl w:val="0"/>
                <w:numId w:val="0"/>
              </w:numPr>
              <w:bidi w:val="0"/>
              <w:adjustRightInd w:val="0"/>
              <w:snapToGrid w:val="0"/>
              <w:spacing w:beforeAutospacing="0" w:afterAutospacing="0" w:line="360" w:lineRule="auto"/>
              <w:ind w:left="0" w:leftChars="0" w:right="0" w:rightChars="0" w:firstLine="480" w:firstLineChars="200"/>
              <w:rPr>
                <w:rFonts w:hint="default"/>
                <w:color w:val="000000" w:themeColor="text1"/>
                <w:sz w:val="24"/>
                <w:szCs w:val="24"/>
                <w:highlight w:val="none"/>
                <w:lang w:val="en-US" w:eastAsia="zh-CN"/>
                <w14:textFill>
                  <w14:solidFill>
                    <w14:schemeClr w14:val="tx1"/>
                  </w14:solidFill>
                </w14:textFill>
              </w:rPr>
            </w:pPr>
            <w:r>
              <w:rPr>
                <w:rFonts w:hint="eastAsia" w:eastAsia="宋体" w:cs="Times New Roman"/>
                <w:color w:val="000000"/>
                <w:kern w:val="0"/>
                <w:sz w:val="24"/>
                <w:lang w:eastAsia="zh-CN"/>
              </w:rPr>
              <w:t>（</w:t>
            </w:r>
            <w:r>
              <w:rPr>
                <w:rFonts w:hint="eastAsia" w:eastAsia="宋体" w:cs="Times New Roman"/>
                <w:color w:val="000000"/>
                <w:kern w:val="0"/>
                <w:sz w:val="24"/>
                <w:lang w:val="en-US" w:eastAsia="zh-CN"/>
              </w:rPr>
              <w:t>1</w:t>
            </w:r>
            <w:r>
              <w:rPr>
                <w:rFonts w:hint="eastAsia" w:eastAsia="宋体" w:cs="Times New Roman"/>
                <w:color w:val="000000"/>
                <w:kern w:val="0"/>
                <w:sz w:val="24"/>
                <w:lang w:eastAsia="zh-CN"/>
              </w:rPr>
              <w:t>）</w:t>
            </w:r>
            <w:r>
              <w:rPr>
                <w:rFonts w:hint="eastAsia" w:eastAsia="宋体" w:cs="Times New Roman"/>
                <w:color w:val="000000"/>
                <w:kern w:val="0"/>
                <w:sz w:val="24"/>
                <w:lang w:val="en-US" w:eastAsia="zh-CN"/>
              </w:rPr>
              <w:t>依托现有</w:t>
            </w:r>
            <w:r>
              <w:rPr>
                <w:rFonts w:hint="eastAsia" w:cs="Times New Roman"/>
                <w:color w:val="000000"/>
                <w:kern w:val="0"/>
                <w:sz w:val="24"/>
                <w:lang w:eastAsia="zh-CN"/>
              </w:rPr>
              <w:t>废水</w:t>
            </w:r>
            <w:r>
              <w:rPr>
                <w:rFonts w:hint="eastAsia" w:cs="Times New Roman"/>
                <w:color w:val="000000"/>
                <w:kern w:val="0"/>
                <w:sz w:val="24"/>
                <w:lang w:val="en-US" w:eastAsia="zh-CN"/>
              </w:rPr>
              <w:t>处理设施可行性分析</w:t>
            </w:r>
          </w:p>
          <w:p w14:paraId="6464C3B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本项目</w:t>
            </w:r>
            <w:r>
              <w:rPr>
                <w:rFonts w:hint="eastAsia"/>
                <w:color w:val="000000" w:themeColor="text1"/>
                <w:sz w:val="24"/>
                <w:szCs w:val="24"/>
                <w:highlight w:val="none"/>
                <w:lang w:val="en-US" w:eastAsia="zh-CN"/>
                <w14:textFill>
                  <w14:solidFill>
                    <w14:schemeClr w14:val="tx1"/>
                  </w14:solidFill>
                </w14:textFill>
              </w:rPr>
              <w:t>废水主要为生活污水、食堂废水、医疗废水（</w:t>
            </w:r>
            <w:r>
              <w:rPr>
                <w:rFonts w:hint="eastAsia" w:cs="Times New Roman"/>
                <w:color w:val="auto"/>
                <w:kern w:val="0"/>
                <w:sz w:val="24"/>
                <w:szCs w:val="24"/>
                <w:lang w:val="en-US" w:eastAsia="zh-CN" w:bidi="ar-SA"/>
              </w:rPr>
              <w:t>住院病床废水、医疗器械洗消废水</w:t>
            </w:r>
            <w:r>
              <w:rPr>
                <w:rFonts w:hint="eastAsia"/>
                <w:color w:val="000000" w:themeColor="text1"/>
                <w:sz w:val="24"/>
                <w:szCs w:val="24"/>
                <w:highlight w:val="none"/>
                <w:lang w:val="en-US" w:eastAsia="zh-CN"/>
                <w14:textFill>
                  <w14:solidFill>
                    <w14:schemeClr w14:val="tx1"/>
                  </w14:solidFill>
                </w14:textFill>
              </w:rPr>
              <w:t>）以及纯水制备、蒸汽发生器浓水</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纯水制备、蒸汽发生器浓水属于清净下水，可直接通过厂区污水总排口接入市政管</w:t>
            </w:r>
            <w:r>
              <w:rPr>
                <w:rFonts w:hint="eastAsia"/>
                <w:color w:val="000000" w:themeColor="text1"/>
                <w:sz w:val="24"/>
                <w:szCs w:val="24"/>
                <w:highlight w:val="none"/>
                <w:lang w:val="en-US" w:eastAsia="zh-CN"/>
                <w14:textFill>
                  <w14:solidFill>
                    <w14:schemeClr w14:val="tx1"/>
                  </w14:solidFill>
                </w14:textFill>
              </w:rPr>
              <w:t>网排入潘集污水处理厂处理，</w:t>
            </w:r>
            <w:r>
              <w:rPr>
                <w:rFonts w:hint="eastAsia"/>
                <w:color w:val="000000" w:themeColor="text1"/>
                <w:sz w:val="24"/>
                <w:szCs w:val="24"/>
                <w:highlight w:val="none"/>
                <w:lang w:eastAsia="zh-CN"/>
                <w14:textFill>
                  <w14:solidFill>
                    <w14:schemeClr w14:val="tx1"/>
                  </w14:solidFill>
                </w14:textFill>
              </w:rPr>
              <w:t>可以达到</w:t>
            </w:r>
            <w:r>
              <w:rPr>
                <w:rFonts w:hint="default" w:ascii="Times New Roman" w:hAnsi="Times New Roman" w:cs="Times New Roman"/>
                <w:color w:val="auto"/>
                <w:sz w:val="24"/>
                <w:szCs w:val="24"/>
                <w:highlight w:val="none"/>
              </w:rPr>
              <w:t>《医疗机构水污染物排放标准》（GB18466</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2005）表</w:t>
            </w:r>
            <w:r>
              <w:rPr>
                <w:rFonts w:hint="eastAsia"/>
                <w:color w:val="auto"/>
                <w:sz w:val="24"/>
                <w:szCs w:val="24"/>
                <w:highlight w:val="none"/>
              </w:rPr>
              <w:t>2中预处理标准</w:t>
            </w:r>
            <w:r>
              <w:rPr>
                <w:rFonts w:hint="eastAsia"/>
                <w:color w:val="000000" w:themeColor="text1"/>
                <w:sz w:val="24"/>
                <w:szCs w:val="24"/>
                <w:highlight w:val="none"/>
                <w:lang w:val="en-US" w:eastAsia="zh-CN"/>
                <w14:textFill>
                  <w14:solidFill>
                    <w14:schemeClr w14:val="tx1"/>
                  </w14:solidFill>
                </w14:textFill>
              </w:rPr>
              <w:t>和潘集污水处理厂接管标准</w:t>
            </w:r>
            <w:r>
              <w:rPr>
                <w:rFonts w:hint="eastAsia"/>
                <w:color w:val="000000" w:themeColor="text1"/>
                <w:sz w:val="24"/>
                <w:szCs w:val="24"/>
                <w:highlight w:val="none"/>
                <w:lang w:eastAsia="zh-CN"/>
                <w14:textFill>
                  <w14:solidFill>
                    <w14:schemeClr w14:val="tx1"/>
                  </w14:solidFill>
                </w14:textFill>
              </w:rPr>
              <w:t>，满足</w:t>
            </w:r>
            <w:r>
              <w:rPr>
                <w:rFonts w:hint="eastAsia"/>
                <w:color w:val="000000" w:themeColor="text1"/>
                <w:sz w:val="24"/>
                <w:szCs w:val="24"/>
                <w:highlight w:val="none"/>
                <w:lang w:val="en-US" w:eastAsia="zh-CN"/>
                <w14:textFill>
                  <w14:solidFill>
                    <w14:schemeClr w14:val="tx1"/>
                  </w14:solidFill>
                </w14:textFill>
              </w:rPr>
              <w:t>潘集污水处理厂</w:t>
            </w:r>
            <w:r>
              <w:rPr>
                <w:rFonts w:hint="eastAsia"/>
                <w:color w:val="000000" w:themeColor="text1"/>
                <w:sz w:val="24"/>
                <w:szCs w:val="24"/>
                <w:highlight w:val="none"/>
                <w:lang w:eastAsia="zh-CN"/>
                <w14:textFill>
                  <w14:solidFill>
                    <w14:schemeClr w14:val="tx1"/>
                  </w14:solidFill>
                </w14:textFill>
              </w:rPr>
              <w:t>的进水水质要求</w:t>
            </w:r>
            <w:r>
              <w:rPr>
                <w:rFonts w:hint="eastAsia"/>
                <w:color w:val="000000" w:themeColor="text1"/>
                <w:sz w:val="24"/>
                <w:szCs w:val="24"/>
                <w:highlight w:val="none"/>
                <w:lang w:eastAsia="zh-CN"/>
                <w14:textFill>
                  <w14:solidFill>
                    <w14:schemeClr w14:val="tx1"/>
                  </w14:solidFill>
                </w14:textFill>
              </w:rPr>
              <w:t>。</w:t>
            </w:r>
          </w:p>
          <w:p w14:paraId="64A19FE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auto"/>
                <w:sz w:val="24"/>
                <w:szCs w:val="24"/>
                <w:lang w:val="en-US" w:eastAsia="zh-CN"/>
              </w:rPr>
            </w:pPr>
            <w:r>
              <w:rPr>
                <w:rFonts w:hint="eastAsia"/>
                <w:color w:val="000000" w:themeColor="text1"/>
                <w:sz w:val="24"/>
                <w:szCs w:val="24"/>
                <w:highlight w:val="none"/>
                <w:lang w:eastAsia="zh-CN"/>
                <w14:textFill>
                  <w14:solidFill>
                    <w14:schemeClr w14:val="tx1"/>
                  </w14:solidFill>
                </w14:textFill>
              </w:rPr>
              <w:t>生活污水、</w:t>
            </w:r>
            <w:r>
              <w:rPr>
                <w:rFonts w:hint="eastAsia"/>
                <w:color w:val="000000" w:themeColor="text1"/>
                <w:sz w:val="24"/>
                <w:szCs w:val="24"/>
                <w:highlight w:val="none"/>
                <w:lang w:val="en-US" w:eastAsia="zh-CN"/>
                <w14:textFill>
                  <w14:solidFill>
                    <w14:schemeClr w14:val="tx1"/>
                  </w14:solidFill>
                </w14:textFill>
              </w:rPr>
              <w:t>食堂废水</w:t>
            </w:r>
            <w:r>
              <w:rPr>
                <w:rFonts w:hint="eastAsia"/>
                <w:color w:val="000000" w:themeColor="text1"/>
                <w:sz w:val="24"/>
                <w:szCs w:val="24"/>
                <w:highlight w:val="none"/>
                <w:lang w:eastAsia="zh-CN"/>
                <w14:textFill>
                  <w14:solidFill>
                    <w14:schemeClr w14:val="tx1"/>
                  </w14:solidFill>
                </w14:textFill>
              </w:rPr>
              <w:t>来自</w:t>
            </w:r>
            <w:r>
              <w:rPr>
                <w:rFonts w:hint="eastAsia"/>
                <w:color w:val="000000" w:themeColor="text1"/>
                <w:sz w:val="24"/>
                <w:szCs w:val="24"/>
                <w:highlight w:val="none"/>
                <w:lang w:val="en-US" w:eastAsia="zh-CN"/>
                <w14:textFill>
                  <w14:solidFill>
                    <w14:schemeClr w14:val="tx1"/>
                  </w14:solidFill>
                </w14:textFill>
              </w:rPr>
              <w:t>医院</w:t>
            </w:r>
            <w:r>
              <w:rPr>
                <w:rFonts w:hint="eastAsia"/>
                <w:color w:val="000000" w:themeColor="text1"/>
                <w:sz w:val="24"/>
                <w:szCs w:val="24"/>
                <w:highlight w:val="none"/>
                <w:lang w:eastAsia="zh-CN"/>
                <w14:textFill>
                  <w14:solidFill>
                    <w14:schemeClr w14:val="tx1"/>
                  </w14:solidFill>
                </w14:textFill>
              </w:rPr>
              <w:t>日常运行，属于典型的城市生活</w:t>
            </w:r>
            <w:r>
              <w:rPr>
                <w:rFonts w:hint="eastAsia"/>
                <w:color w:val="000000" w:themeColor="text1"/>
                <w:sz w:val="24"/>
                <w:szCs w:val="24"/>
                <w:highlight w:val="none"/>
                <w:lang w:val="en-US" w:eastAsia="zh-CN"/>
                <w14:textFill>
                  <w14:solidFill>
                    <w14:schemeClr w14:val="tx1"/>
                  </w14:solidFill>
                </w14:textFill>
              </w:rPr>
              <w:t>污水</w:t>
            </w:r>
            <w:r>
              <w:rPr>
                <w:rFonts w:hint="eastAsia"/>
                <w:color w:val="000000" w:themeColor="text1"/>
                <w:sz w:val="24"/>
                <w:szCs w:val="24"/>
                <w:highlight w:val="none"/>
                <w:lang w:eastAsia="zh-CN"/>
                <w14:textFill>
                  <w14:solidFill>
                    <w14:schemeClr w14:val="tx1"/>
                  </w14:solidFill>
                </w14:textFill>
              </w:rPr>
              <w:t>，主要污染物成分为COD</w:t>
            </w:r>
            <w:r>
              <w:rPr>
                <w:rFonts w:hint="eastAsia"/>
                <w:color w:val="000000" w:themeColor="text1"/>
                <w:sz w:val="24"/>
                <w:szCs w:val="24"/>
                <w:highlight w:val="none"/>
                <w:vertAlign w:val="subscript"/>
                <w:lang w:eastAsia="zh-CN"/>
                <w14:textFill>
                  <w14:solidFill>
                    <w14:schemeClr w14:val="tx1"/>
                  </w14:solidFill>
                </w14:textFill>
              </w:rPr>
              <w:t>Cr</w:t>
            </w:r>
            <w:r>
              <w:rPr>
                <w:rFonts w:hint="eastAsia"/>
                <w:color w:val="000000" w:themeColor="text1"/>
                <w:sz w:val="24"/>
                <w:szCs w:val="24"/>
                <w:highlight w:val="none"/>
                <w:lang w:eastAsia="zh-CN"/>
                <w14:textFill>
                  <w14:solidFill>
                    <w14:schemeClr w14:val="tx1"/>
                  </w14:solidFill>
                </w14:textFill>
              </w:rPr>
              <w:t>、BOD</w:t>
            </w:r>
            <w:r>
              <w:rPr>
                <w:rFonts w:hint="eastAsia"/>
                <w:color w:val="000000" w:themeColor="text1"/>
                <w:sz w:val="24"/>
                <w:szCs w:val="24"/>
                <w:highlight w:val="none"/>
                <w:vertAlign w:val="subscript"/>
                <w:lang w:eastAsia="zh-CN"/>
                <w14:textFill>
                  <w14:solidFill>
                    <w14:schemeClr w14:val="tx1"/>
                  </w14:solidFill>
                </w14:textFill>
              </w:rPr>
              <w:t>5</w:t>
            </w:r>
            <w:r>
              <w:rPr>
                <w:rFonts w:hint="eastAsia"/>
                <w:color w:val="000000" w:themeColor="text1"/>
                <w:sz w:val="24"/>
                <w:szCs w:val="24"/>
                <w:highlight w:val="none"/>
                <w:lang w:eastAsia="zh-CN"/>
                <w14:textFill>
                  <w14:solidFill>
                    <w14:schemeClr w14:val="tx1"/>
                  </w14:solidFill>
                </w14:textFill>
              </w:rPr>
              <w:t>、SS、NH</w:t>
            </w:r>
            <w:r>
              <w:rPr>
                <w:rFonts w:hint="eastAsia"/>
                <w:color w:val="000000" w:themeColor="text1"/>
                <w:sz w:val="24"/>
                <w:szCs w:val="24"/>
                <w:highlight w:val="none"/>
                <w:vertAlign w:val="subscript"/>
                <w:lang w:eastAsia="zh-CN"/>
                <w14:textFill>
                  <w14:solidFill>
                    <w14:schemeClr w14:val="tx1"/>
                  </w14:solidFill>
                </w14:textFill>
              </w:rPr>
              <w:t>3</w:t>
            </w:r>
            <w:r>
              <w:rPr>
                <w:rFonts w:hint="eastAsia"/>
                <w:color w:val="000000" w:themeColor="text1"/>
                <w:sz w:val="24"/>
                <w:szCs w:val="24"/>
                <w:highlight w:val="none"/>
                <w:lang w:eastAsia="zh-CN"/>
                <w14:textFill>
                  <w14:solidFill>
                    <w14:schemeClr w14:val="tx1"/>
                  </w14:solidFill>
                </w14:textFill>
              </w:rPr>
              <w:t>-N、</w:t>
            </w:r>
            <w:r>
              <w:rPr>
                <w:rFonts w:hint="eastAsia"/>
                <w:color w:val="000000" w:themeColor="text1"/>
                <w:sz w:val="24"/>
                <w:szCs w:val="24"/>
                <w:highlight w:val="none"/>
                <w:lang w:val="en-US" w:eastAsia="zh-CN"/>
                <w14:textFill>
                  <w14:solidFill>
                    <w14:schemeClr w14:val="tx1"/>
                  </w14:solidFill>
                </w14:textFill>
              </w:rPr>
              <w:t>动植物油</w:t>
            </w:r>
            <w:r>
              <w:rPr>
                <w:rFonts w:hint="eastAsia"/>
                <w:color w:val="000000" w:themeColor="text1"/>
                <w:sz w:val="24"/>
                <w:szCs w:val="24"/>
                <w:highlight w:val="none"/>
                <w:lang w:eastAsia="zh-CN"/>
                <w14:textFill>
                  <w14:solidFill>
                    <w14:schemeClr w14:val="tx1"/>
                  </w14:solidFill>
                </w14:textFill>
              </w:rPr>
              <w:t>等，经过常规的</w:t>
            </w:r>
            <w:r>
              <w:rPr>
                <w:rFonts w:hint="eastAsia"/>
                <w:color w:val="000000" w:themeColor="text1"/>
                <w:sz w:val="24"/>
                <w:szCs w:val="24"/>
                <w:highlight w:val="none"/>
                <w:lang w:val="en-US" w:eastAsia="zh-CN"/>
                <w14:textFill>
                  <w14:solidFill>
                    <w14:schemeClr w14:val="tx1"/>
                  </w14:solidFill>
                </w14:textFill>
              </w:rPr>
              <w:t>隔油池、</w:t>
            </w:r>
            <w:r>
              <w:rPr>
                <w:rFonts w:hint="eastAsia"/>
                <w:color w:val="000000" w:themeColor="text1"/>
                <w:sz w:val="24"/>
                <w:szCs w:val="24"/>
                <w:highlight w:val="none"/>
                <w:lang w:eastAsia="zh-CN"/>
                <w14:textFill>
                  <w14:solidFill>
                    <w14:schemeClr w14:val="tx1"/>
                  </w14:solidFill>
                </w14:textFill>
              </w:rPr>
              <w:t>化粪池预处理后，</w:t>
            </w:r>
            <w:r>
              <w:rPr>
                <w:rFonts w:hint="eastAsia"/>
                <w:color w:val="000000" w:themeColor="text1"/>
                <w:sz w:val="24"/>
                <w:szCs w:val="24"/>
                <w:highlight w:val="none"/>
                <w:lang w:val="en-US" w:eastAsia="zh-CN"/>
                <w14:textFill>
                  <w14:solidFill>
                    <w14:schemeClr w14:val="tx1"/>
                  </w14:solidFill>
                </w14:textFill>
              </w:rPr>
              <w:t>随同医疗废水一起进入厂区现有污水处理厂处理后</w:t>
            </w:r>
            <w:r>
              <w:rPr>
                <w:rFonts w:hint="eastAsia"/>
                <w:color w:val="000000" w:themeColor="text1"/>
                <w:sz w:val="24"/>
                <w:szCs w:val="24"/>
                <w:highlight w:val="none"/>
                <w:lang w:val="en-US" w:eastAsia="zh-CN"/>
                <w14:textFill>
                  <w14:solidFill>
                    <w14:schemeClr w14:val="tx1"/>
                  </w14:solidFill>
                </w14:textFill>
              </w:rPr>
              <w:t>排入潘集污水处理厂处理</w:t>
            </w:r>
            <w:r>
              <w:rPr>
                <w:rFonts w:hint="eastAsia" w:eastAsia="宋体"/>
                <w:color w:val="auto"/>
                <w:kern w:val="1"/>
                <w:sz w:val="24"/>
                <w:szCs w:val="24"/>
                <w:lang w:eastAsia="zh-CN"/>
              </w:rPr>
              <w:t>。</w:t>
            </w:r>
            <w:r>
              <w:rPr>
                <w:rFonts w:hint="eastAsia" w:cs="Times New Roman"/>
                <w:color w:val="auto"/>
                <w:sz w:val="24"/>
                <w:szCs w:val="24"/>
                <w:lang w:eastAsia="zh-CN"/>
              </w:rPr>
              <w:t>本次扩建项目废水依托厂区现有</w:t>
            </w:r>
            <w:r>
              <w:rPr>
                <w:rFonts w:hint="eastAsia" w:cs="Times New Roman"/>
                <w:color w:val="auto"/>
                <w:sz w:val="24"/>
                <w:szCs w:val="24"/>
                <w:lang w:val="en-US" w:eastAsia="zh-CN"/>
              </w:rPr>
              <w:t>污水处理站</w:t>
            </w:r>
            <w:r>
              <w:rPr>
                <w:rFonts w:hint="eastAsia" w:cs="Times New Roman"/>
                <w:color w:val="auto"/>
                <w:sz w:val="24"/>
                <w:szCs w:val="24"/>
                <w:lang w:eastAsia="zh-CN"/>
              </w:rPr>
              <w:t>处理后，排入</w:t>
            </w:r>
            <w:r>
              <w:rPr>
                <w:rFonts w:hint="eastAsia" w:eastAsia="宋体" w:cs="Times New Roman"/>
                <w:kern w:val="0"/>
                <w:sz w:val="24"/>
                <w:szCs w:val="24"/>
                <w:lang w:val="en-US" w:eastAsia="zh-CN" w:bidi="ar-SA"/>
              </w:rPr>
              <w:t>潘集污水处理厂</w:t>
            </w:r>
            <w:r>
              <w:rPr>
                <w:rFonts w:hint="eastAsia" w:ascii="Times New Roman" w:hAnsi="Times New Roman" w:eastAsia="宋体" w:cs="Times New Roman"/>
                <w:kern w:val="0"/>
                <w:sz w:val="24"/>
                <w:szCs w:val="24"/>
                <w:lang w:val="en-US" w:eastAsia="zh-CN" w:bidi="ar-SA"/>
              </w:rPr>
              <w:t>处理</w:t>
            </w:r>
            <w:r>
              <w:rPr>
                <w:rFonts w:hint="eastAsia" w:cs="Times New Roman"/>
                <w:color w:val="auto"/>
                <w:sz w:val="24"/>
                <w:szCs w:val="24"/>
                <w:lang w:eastAsia="zh-CN"/>
              </w:rPr>
              <w:t>，</w:t>
            </w:r>
            <w:r>
              <w:rPr>
                <w:rFonts w:hint="eastAsia" w:cs="Times New Roman"/>
                <w:color w:val="auto"/>
                <w:sz w:val="24"/>
                <w:szCs w:val="24"/>
                <w:lang w:val="en-US" w:eastAsia="zh-CN"/>
              </w:rPr>
              <w:t>污水处理站</w:t>
            </w:r>
            <w:r>
              <w:rPr>
                <w:rFonts w:hint="eastAsia" w:cs="Times New Roman"/>
                <w:color w:val="auto"/>
                <w:sz w:val="24"/>
                <w:szCs w:val="24"/>
                <w:lang w:eastAsia="zh-CN"/>
              </w:rPr>
              <w:t>处理规模为</w:t>
            </w:r>
            <w:r>
              <w:rPr>
                <w:rFonts w:hint="eastAsia" w:cs="Times New Roman"/>
                <w:color w:val="auto"/>
                <w:sz w:val="24"/>
                <w:szCs w:val="24"/>
                <w:lang w:val="en-US" w:eastAsia="zh-CN"/>
              </w:rPr>
              <w:t>300t/d，</w:t>
            </w:r>
            <w:r>
              <w:rPr>
                <w:rFonts w:hint="eastAsia" w:cs="Times New Roman"/>
                <w:color w:val="auto"/>
                <w:kern w:val="0"/>
                <w:sz w:val="24"/>
                <w:szCs w:val="24"/>
                <w:lang w:val="en-US" w:eastAsia="zh-CN"/>
              </w:rPr>
              <w:t>本项目扩建完成后，全院进入污水处理站废水量约为229.9404t/d，因此本项目废水依托现有</w:t>
            </w:r>
            <w:r>
              <w:rPr>
                <w:rFonts w:hint="eastAsia" w:cs="Times New Roman"/>
                <w:color w:val="auto"/>
                <w:sz w:val="24"/>
                <w:szCs w:val="24"/>
                <w:lang w:val="en-US" w:eastAsia="zh-CN"/>
              </w:rPr>
              <w:t>污水处理站</w:t>
            </w:r>
            <w:r>
              <w:rPr>
                <w:rFonts w:hint="eastAsia" w:cs="Times New Roman"/>
                <w:color w:val="auto"/>
                <w:kern w:val="0"/>
                <w:sz w:val="24"/>
                <w:szCs w:val="24"/>
                <w:lang w:val="en-US" w:eastAsia="zh-CN"/>
              </w:rPr>
              <w:t>处理是可行的</w:t>
            </w:r>
            <w:r>
              <w:rPr>
                <w:rFonts w:hint="eastAsia" w:cs="Times New Roman"/>
                <w:color w:val="auto"/>
                <w:sz w:val="24"/>
                <w:szCs w:val="24"/>
                <w:lang w:val="en-US" w:eastAsia="zh-CN"/>
              </w:rPr>
              <w:t>，污水处理站处理工艺具体如下：</w:t>
            </w:r>
          </w:p>
          <w:p w14:paraId="41F469D3">
            <w:pPr>
              <w:keepNext w:val="0"/>
              <w:keepLines w:val="0"/>
              <w:pageBreakBefore w:val="0"/>
              <w:widowControl w:val="0"/>
              <w:numPr>
                <w:ilvl w:val="0"/>
                <w:numId w:val="0"/>
              </w:numPr>
              <w:bidi w:val="0"/>
              <w:adjustRightInd w:val="0"/>
              <w:snapToGrid w:val="0"/>
              <w:spacing w:beforeAutospacing="0" w:afterAutospacing="0" w:line="360" w:lineRule="auto"/>
              <w:ind w:right="0" w:rightChars="0"/>
              <w:jc w:val="left"/>
              <w:rPr>
                <w:rFonts w:hint="eastAsia" w:cs="Times New Roman"/>
                <w:color w:val="auto"/>
                <w:kern w:val="0"/>
                <w:sz w:val="24"/>
                <w:szCs w:val="24"/>
                <w:lang w:val="en-US" w:eastAsia="zh-CN"/>
              </w:rPr>
            </w:pPr>
            <w:r>
              <w:drawing>
                <wp:inline distT="0" distB="0" distL="114300" distR="114300">
                  <wp:extent cx="5534025" cy="1604010"/>
                  <wp:effectExtent l="0" t="0" r="9525" b="1524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534025" cy="1604010"/>
                          </a:xfrm>
                          <a:prstGeom prst="rect">
                            <a:avLst/>
                          </a:prstGeom>
                          <a:noFill/>
                          <a:ln>
                            <a:noFill/>
                          </a:ln>
                        </pic:spPr>
                      </pic:pic>
                    </a:graphicData>
                  </a:graphic>
                </wp:inline>
              </w:drawing>
            </w:r>
          </w:p>
          <w:p w14:paraId="750D6977">
            <w:pPr>
              <w:keepNext w:val="0"/>
              <w:keepLines w:val="0"/>
              <w:pageBreakBefore w:val="0"/>
              <w:widowControl w:val="0"/>
              <w:numPr>
                <w:ilvl w:val="0"/>
                <w:numId w:val="0"/>
              </w:numPr>
              <w:bidi w:val="0"/>
              <w:adjustRightInd w:val="0"/>
              <w:snapToGrid w:val="0"/>
              <w:spacing w:beforeAutospacing="0" w:afterAutospacing="0" w:line="360" w:lineRule="auto"/>
              <w:ind w:right="0" w:rightChars="0"/>
              <w:jc w:val="center"/>
              <w:rPr>
                <w:rFonts w:hint="eastAsia" w:ascii="Times New Roman" w:hAnsi="Times New Roman" w:cs="Times New Roman"/>
                <w:color w:val="auto"/>
                <w:kern w:val="0"/>
                <w:sz w:val="24"/>
                <w:szCs w:val="24"/>
                <w:lang w:val="en-US" w:eastAsia="zh-CN"/>
              </w:rPr>
            </w:pPr>
            <w:r>
              <w:rPr>
                <w:rFonts w:hint="eastAsia" w:cs="Times New Roman"/>
                <w:b/>
                <w:bCs/>
                <w:color w:val="auto"/>
                <w:kern w:val="0"/>
                <w:sz w:val="24"/>
                <w:szCs w:val="24"/>
                <w:lang w:val="en-US" w:eastAsia="zh-CN"/>
              </w:rPr>
              <w:t>图4-1  污水处理站工艺流程图</w:t>
            </w:r>
          </w:p>
          <w:p w14:paraId="4E9646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z w:val="24"/>
                <w:highlight w:val="none"/>
                <w:lang w:val="en-US" w:eastAsia="zh-CN"/>
              </w:rPr>
              <w:t>根据《排污许可证申请与核发技术规范 医疗机构》（HJ1105-2020）附录A表A.2，</w:t>
            </w:r>
            <w:r>
              <w:rPr>
                <w:rFonts w:hint="eastAsia" w:eastAsia="宋体" w:cs="Times New Roman"/>
                <w:color w:val="auto"/>
                <w:sz w:val="24"/>
                <w:highlight w:val="none"/>
                <w:lang w:val="en-US" w:eastAsia="zh-CN"/>
              </w:rPr>
              <w:t>医疗废水</w:t>
            </w:r>
            <w:r>
              <w:rPr>
                <w:rFonts w:hint="default" w:ascii="Times New Roman" w:hAnsi="Times New Roman" w:eastAsia="宋体" w:cs="Times New Roman"/>
                <w:color w:val="auto"/>
                <w:sz w:val="24"/>
                <w:highlight w:val="none"/>
                <w:lang w:val="en-US" w:eastAsia="zh-CN"/>
              </w:rPr>
              <w:t>排入城镇污水处理厂采用</w:t>
            </w:r>
            <w:r>
              <w:rPr>
                <w:rFonts w:hint="eastAsia" w:eastAsia="宋体" w:cs="Times New Roman"/>
                <w:color w:val="auto"/>
                <w:sz w:val="24"/>
                <w:highlight w:val="none"/>
                <w:lang w:val="en-US" w:eastAsia="zh-CN"/>
              </w:rPr>
              <w:t>“一级强化处理包括：化学混凝处理、机械过滤或不完全生物处理”</w:t>
            </w:r>
            <w:r>
              <w:rPr>
                <w:rFonts w:hint="default" w:ascii="Times New Roman" w:hAnsi="Times New Roman" w:eastAsia="宋体" w:cs="Times New Roman"/>
                <w:color w:val="auto"/>
                <w:sz w:val="24"/>
                <w:highlight w:val="none"/>
                <w:lang w:val="en-US" w:eastAsia="zh-CN"/>
              </w:rPr>
              <w:t>工艺，</w:t>
            </w:r>
            <w:r>
              <w:rPr>
                <w:rFonts w:hint="eastAsia" w:eastAsia="宋体" w:cs="Times New Roman"/>
                <w:color w:val="auto"/>
                <w:sz w:val="24"/>
                <w:highlight w:val="none"/>
                <w:lang w:val="en-US" w:eastAsia="zh-CN"/>
              </w:rPr>
              <w:t>属于</w:t>
            </w:r>
            <w:r>
              <w:rPr>
                <w:rFonts w:hint="default" w:ascii="Times New Roman" w:hAnsi="Times New Roman" w:eastAsia="宋体" w:cs="Times New Roman"/>
                <w:color w:val="auto"/>
                <w:sz w:val="24"/>
                <w:highlight w:val="none"/>
                <w:lang w:val="en-US" w:eastAsia="zh-CN"/>
              </w:rPr>
              <w:t>可行技术。</w:t>
            </w:r>
          </w:p>
          <w:p w14:paraId="27CF5E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项目污水处理</w:t>
            </w:r>
            <w:r>
              <w:rPr>
                <w:rFonts w:hint="default" w:ascii="Times New Roman" w:hAnsi="Times New Roman" w:eastAsia="宋体" w:cs="Times New Roman"/>
                <w:color w:val="auto"/>
                <w:sz w:val="24"/>
                <w:highlight w:val="none"/>
                <w:lang w:val="en-US" w:eastAsia="zh-CN"/>
              </w:rPr>
              <w:t>设施</w:t>
            </w:r>
            <w:r>
              <w:rPr>
                <w:rFonts w:hint="default" w:ascii="Times New Roman" w:hAnsi="Times New Roman" w:eastAsia="宋体" w:cs="Times New Roman"/>
                <w:color w:val="auto"/>
                <w:sz w:val="24"/>
                <w:highlight w:val="none"/>
              </w:rPr>
              <w:t>与《医院污水处理工程技术规范》（HJ2029-2013）、《医院污水处理技术指南》（环发[2003]197号）和《医院污水处理设计规范》（CECS07：2004）中废水处理与消毒工艺符合性分析</w:t>
            </w:r>
            <w:r>
              <w:rPr>
                <w:rFonts w:hint="default" w:ascii="Times New Roman" w:hAnsi="Times New Roman" w:eastAsia="宋体" w:cs="Times New Roman"/>
                <w:color w:val="auto"/>
                <w:sz w:val="24"/>
                <w:highlight w:val="none"/>
                <w:lang w:eastAsia="zh-CN"/>
              </w:rPr>
              <w:t>：</w:t>
            </w:r>
          </w:p>
          <w:p w14:paraId="73B677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①根据《医院污水处理工程技术规范》（HJ2029－2013），非传染病医院污水，若处理出水排入终端已建成正常运行的二级污水处理厂的城市污水管网时，可采用一级强化处理+消毒工艺；同时医院污水处理工程与病房、居民区等建筑物之间应设绿化防护带或隔离带。</w:t>
            </w:r>
          </w:p>
          <w:p w14:paraId="5E836D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②根据《医院污水处理技术指南》（环发[2003]197号），处理出水排入城市下水道（下游设有二级污水处理厂）的综合医院推荐采用二级处理，对采用一级处理工艺的必须加强处理效果，医院污水的一级强化处理宜采用混凝沉淀工艺；同时医院污水处理设施应与病房、居民区等建筑物保持一定距离，并应设绿化防护带或隔离带。</w:t>
            </w:r>
          </w:p>
          <w:p w14:paraId="3DC442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rPr>
            </w:pPr>
            <w:r>
              <w:rPr>
                <w:rFonts w:hint="eastAsia" w:eastAsia="宋体" w:cs="Times New Roman"/>
                <w:color w:val="auto"/>
                <w:sz w:val="24"/>
                <w:highlight w:val="none"/>
                <w:lang w:val="en-US" w:eastAsia="zh-CN"/>
              </w:rPr>
              <w:t>本项目不设传染病科，废水为</w:t>
            </w:r>
            <w:r>
              <w:rPr>
                <w:rFonts w:hint="default" w:ascii="Times New Roman" w:hAnsi="Times New Roman" w:eastAsia="宋体" w:cs="Times New Roman"/>
                <w:color w:val="auto"/>
                <w:sz w:val="24"/>
                <w:highlight w:val="none"/>
              </w:rPr>
              <w:t>非传染病医院污水</w:t>
            </w:r>
            <w:r>
              <w:rPr>
                <w:rFonts w:hint="eastAsia"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本项目排水终端</w:t>
            </w:r>
            <w:r>
              <w:rPr>
                <w:rFonts w:hint="eastAsia" w:ascii="Times New Roman" w:hAnsi="Times New Roman" w:eastAsia="宋体" w:cs="Times New Roman"/>
                <w:color w:val="auto"/>
                <w:sz w:val="24"/>
                <w:highlight w:val="none"/>
                <w:lang w:val="en-US" w:eastAsia="zh-CN"/>
              </w:rPr>
              <w:t>为</w:t>
            </w:r>
            <w:r>
              <w:rPr>
                <w:rFonts w:hint="eastAsia" w:cs="Times New Roman"/>
                <w:color w:val="auto"/>
                <w:sz w:val="24"/>
                <w:highlight w:val="none"/>
                <w:lang w:val="en-US" w:eastAsia="zh-CN"/>
              </w:rPr>
              <w:t>潘集污水处理厂</w:t>
            </w:r>
            <w:r>
              <w:rPr>
                <w:rFonts w:hint="default" w:ascii="Times New Roman" w:hAnsi="Times New Roman" w:eastAsia="宋体" w:cs="Times New Roman"/>
                <w:color w:val="auto"/>
                <w:sz w:val="24"/>
                <w:highlight w:val="none"/>
              </w:rPr>
              <w:t>，</w:t>
            </w:r>
            <w:r>
              <w:rPr>
                <w:rFonts w:hint="eastAsia" w:eastAsia="宋体" w:cs="Times New Roman"/>
                <w:color w:val="auto"/>
                <w:sz w:val="24"/>
                <w:highlight w:val="none"/>
                <w:lang w:val="en-US" w:eastAsia="zh-CN"/>
              </w:rPr>
              <w:t>污水处理站</w:t>
            </w:r>
            <w:r>
              <w:rPr>
                <w:rFonts w:hint="default" w:ascii="Times New Roman" w:hAnsi="Times New Roman" w:eastAsia="宋体" w:cs="Times New Roman"/>
                <w:color w:val="auto"/>
                <w:sz w:val="24"/>
                <w:highlight w:val="none"/>
              </w:rPr>
              <w:t>采用</w:t>
            </w:r>
            <w:r>
              <w:rPr>
                <w:rFonts w:hint="eastAsia" w:eastAsia="宋体" w:cs="Times New Roman"/>
                <w:color w:val="auto"/>
                <w:sz w:val="24"/>
                <w:highlight w:val="none"/>
                <w:lang w:eastAsia="zh-CN"/>
              </w:rPr>
              <w:t>“</w:t>
            </w:r>
            <w:r>
              <w:rPr>
                <w:rFonts w:hint="eastAsia" w:eastAsia="宋体" w:cs="Times New Roman"/>
                <w:color w:val="auto"/>
                <w:sz w:val="24"/>
                <w:highlight w:val="none"/>
                <w:lang w:val="en-US" w:eastAsia="zh-CN"/>
              </w:rPr>
              <w:t>调节池+</w:t>
            </w:r>
            <w:r>
              <w:rPr>
                <w:rFonts w:hint="eastAsia" w:cs="Times New Roman"/>
                <w:color w:val="auto"/>
                <w:sz w:val="24"/>
                <w:highlight w:val="none"/>
                <w:lang w:val="en-US" w:eastAsia="zh-CN"/>
              </w:rPr>
              <w:t>水解酸化</w:t>
            </w:r>
            <w:r>
              <w:rPr>
                <w:rFonts w:hint="eastAsia" w:eastAsia="宋体" w:cs="Times New Roman"/>
                <w:color w:val="auto"/>
                <w:sz w:val="24"/>
                <w:highlight w:val="none"/>
                <w:lang w:val="en-US" w:eastAsia="zh-CN"/>
              </w:rPr>
              <w:t>池</w:t>
            </w:r>
            <w:r>
              <w:rPr>
                <w:rFonts w:hint="eastAsia" w:cs="Times New Roman"/>
                <w:color w:val="auto"/>
                <w:sz w:val="24"/>
                <w:highlight w:val="none"/>
                <w:lang w:val="en-US" w:eastAsia="zh-CN"/>
              </w:rPr>
              <w:t>+接触氧化池</w:t>
            </w:r>
            <w:r>
              <w:rPr>
                <w:rFonts w:hint="eastAsia" w:eastAsia="宋体" w:cs="Times New Roman"/>
                <w:color w:val="auto"/>
                <w:sz w:val="24"/>
                <w:highlight w:val="none"/>
                <w:lang w:val="en-US" w:eastAsia="zh-CN"/>
              </w:rPr>
              <w:t>+</w:t>
            </w:r>
            <w:r>
              <w:rPr>
                <w:rFonts w:hint="eastAsia" w:cs="Times New Roman"/>
                <w:color w:val="auto"/>
                <w:sz w:val="24"/>
                <w:highlight w:val="none"/>
                <w:lang w:val="en-US" w:eastAsia="zh-CN"/>
              </w:rPr>
              <w:t>二沉池+</w:t>
            </w:r>
            <w:r>
              <w:rPr>
                <w:rFonts w:hint="eastAsia" w:eastAsia="宋体" w:cs="Times New Roman"/>
                <w:color w:val="auto"/>
                <w:sz w:val="24"/>
                <w:highlight w:val="none"/>
                <w:lang w:val="en-US" w:eastAsia="zh-CN"/>
              </w:rPr>
              <w:t>消毒池</w:t>
            </w:r>
            <w:r>
              <w:rPr>
                <w:rFonts w:hint="eastAsia" w:eastAsia="宋体" w:cs="Times New Roman"/>
                <w:color w:val="auto"/>
                <w:sz w:val="24"/>
                <w:highlight w:val="none"/>
                <w:lang w:eastAsia="zh-CN"/>
              </w:rPr>
              <w:t>”</w:t>
            </w:r>
            <w:r>
              <w:rPr>
                <w:rFonts w:hint="default" w:ascii="Times New Roman" w:hAnsi="Times New Roman" w:eastAsia="宋体" w:cs="Times New Roman"/>
                <w:color w:val="auto"/>
                <w:sz w:val="24"/>
                <w:highlight w:val="none"/>
              </w:rPr>
              <w:t>的处理工艺，</w:t>
            </w:r>
            <w:r>
              <w:rPr>
                <w:rFonts w:hint="eastAsia" w:eastAsia="宋体" w:cs="Times New Roman"/>
                <w:color w:val="auto"/>
                <w:sz w:val="24"/>
                <w:highlight w:val="none"/>
                <w:lang w:val="en-US" w:eastAsia="zh-CN"/>
              </w:rPr>
              <w:t>属于</w:t>
            </w:r>
            <w:r>
              <w:rPr>
                <w:rFonts w:hint="default" w:ascii="Times New Roman" w:hAnsi="Times New Roman" w:eastAsia="宋体" w:cs="Times New Roman"/>
                <w:color w:val="auto"/>
                <w:sz w:val="24"/>
                <w:highlight w:val="none"/>
              </w:rPr>
              <w:t>一级强化处理</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污水处理站</w:t>
            </w:r>
            <w:r>
              <w:rPr>
                <w:rFonts w:hint="eastAsia" w:eastAsia="宋体" w:cs="Times New Roman"/>
                <w:color w:val="auto"/>
                <w:sz w:val="24"/>
                <w:highlight w:val="none"/>
                <w:lang w:val="en-US" w:eastAsia="zh-CN"/>
              </w:rPr>
              <w:t>位于院区</w:t>
            </w:r>
            <w:r>
              <w:rPr>
                <w:rFonts w:hint="eastAsia" w:cs="Times New Roman"/>
                <w:color w:val="auto"/>
                <w:sz w:val="24"/>
                <w:highlight w:val="none"/>
                <w:lang w:val="en-US" w:eastAsia="zh-CN"/>
              </w:rPr>
              <w:t>内西</w:t>
            </w:r>
            <w:r>
              <w:rPr>
                <w:rFonts w:hint="eastAsia" w:eastAsia="宋体" w:cs="Times New Roman"/>
                <w:color w:val="auto"/>
                <w:sz w:val="24"/>
                <w:highlight w:val="none"/>
                <w:lang w:val="en-US" w:eastAsia="zh-CN"/>
              </w:rPr>
              <w:t>南侧，设计为地埋式，</w:t>
            </w:r>
            <w:r>
              <w:rPr>
                <w:rFonts w:hint="default" w:ascii="Times New Roman" w:hAnsi="Times New Roman" w:eastAsia="宋体" w:cs="Times New Roman"/>
                <w:color w:val="auto"/>
                <w:sz w:val="24"/>
                <w:highlight w:val="none"/>
                <w:lang w:val="en-US" w:eastAsia="zh-CN"/>
              </w:rPr>
              <w:t>加盖</w:t>
            </w:r>
            <w:r>
              <w:rPr>
                <w:rFonts w:hint="default" w:ascii="Times New Roman" w:hAnsi="Times New Roman" w:eastAsia="宋体" w:cs="Times New Roman"/>
                <w:color w:val="auto"/>
                <w:sz w:val="24"/>
                <w:highlight w:val="none"/>
              </w:rPr>
              <w:t>密闭隔离</w:t>
            </w:r>
            <w:r>
              <w:rPr>
                <w:rFonts w:hint="eastAsia" w:eastAsia="宋体" w:cs="Times New Roman"/>
                <w:color w:val="auto"/>
                <w:sz w:val="24"/>
                <w:highlight w:val="none"/>
                <w:lang w:val="en-US" w:eastAsia="zh-CN"/>
              </w:rPr>
              <w:t>，污水处理站与周边居住建筑物之间存在绿化带</w:t>
            </w:r>
            <w:r>
              <w:rPr>
                <w:rFonts w:hint="eastAsia" w:cs="Times New Roman"/>
                <w:color w:val="auto"/>
                <w:sz w:val="24"/>
                <w:highlight w:val="none"/>
                <w:lang w:val="en-US" w:eastAsia="zh-CN"/>
              </w:rPr>
              <w:t>或隔离带</w:t>
            </w:r>
            <w:r>
              <w:rPr>
                <w:rFonts w:hint="eastAsia"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与《医院污水处理工程技术规范》（HJ2029－2013）</w:t>
            </w:r>
            <w:r>
              <w:rPr>
                <w:rFonts w:hint="eastAsia" w:eastAsia="宋体" w:cs="Times New Roman"/>
                <w:color w:val="auto"/>
                <w:sz w:val="24"/>
                <w:highlight w:val="none"/>
                <w:lang w:eastAsia="zh-CN"/>
              </w:rPr>
              <w:t>、</w:t>
            </w:r>
            <w:r>
              <w:rPr>
                <w:rFonts w:hint="default" w:ascii="Times New Roman" w:hAnsi="Times New Roman" w:eastAsia="宋体" w:cs="Times New Roman"/>
                <w:color w:val="auto"/>
                <w:sz w:val="24"/>
                <w:highlight w:val="none"/>
              </w:rPr>
              <w:t>《医院污水处理技术指南》（环发[2003]197号）相符。</w:t>
            </w:r>
          </w:p>
          <w:p w14:paraId="4E5488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③根据《医院污水处理设计规范》（CECS07：2004）中第四章节要求，医院污水处理一级处理工艺流程（提升式）为沉淀池+消毒接触池；</w:t>
            </w:r>
            <w:r>
              <w:rPr>
                <w:rFonts w:hint="eastAsia" w:eastAsia="宋体" w:cs="Times New Roman"/>
                <w:color w:val="auto"/>
                <w:sz w:val="24"/>
                <w:highlight w:val="none"/>
                <w:lang w:val="en-US" w:eastAsia="zh-CN"/>
              </w:rPr>
              <w:t>项目污水处理工艺</w:t>
            </w:r>
            <w:r>
              <w:rPr>
                <w:rFonts w:hint="eastAsia" w:ascii="Times New Roman" w:hAnsi="Times New Roman" w:eastAsia="宋体" w:cs="Times New Roman"/>
                <w:color w:val="auto"/>
                <w:sz w:val="24"/>
                <w:highlight w:val="none"/>
                <w:lang w:val="en-US" w:eastAsia="zh-CN"/>
              </w:rPr>
              <w:t>与之相符</w:t>
            </w:r>
            <w:r>
              <w:rPr>
                <w:rFonts w:hint="default" w:ascii="Times New Roman" w:hAnsi="Times New Roman" w:eastAsia="宋体" w:cs="Times New Roman"/>
                <w:color w:val="auto"/>
                <w:sz w:val="24"/>
                <w:highlight w:val="none"/>
              </w:rPr>
              <w:t>。</w:t>
            </w:r>
          </w:p>
          <w:p w14:paraId="3B45FF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④医疗废水严格按照医院内部卫生安全管理体系，严格控制和分离医院污水和污物，不得将医院产生污物随意弃置排入污水系统。新建、改建和扩建的医院，在设计时应将可能受传染病病原体污染的污水与其他污水分开，医院尽可能将受传染病病原体污染的污水与其他污水分别收集。</w:t>
            </w:r>
          </w:p>
          <w:p w14:paraId="78333F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lang w:val="en-US" w:eastAsia="zh-CN"/>
              </w:rPr>
              <w:t>本项目不涉及</w:t>
            </w:r>
            <w:r>
              <w:rPr>
                <w:rFonts w:hint="default" w:ascii="Times New Roman" w:hAnsi="Times New Roman" w:eastAsia="宋体" w:cs="Times New Roman"/>
                <w:color w:val="auto"/>
                <w:sz w:val="24"/>
                <w:highlight w:val="none"/>
              </w:rPr>
              <w:t>含有传染性病原体的废水产生，故无需设置专门的</w:t>
            </w:r>
            <w:r>
              <w:rPr>
                <w:rFonts w:hint="default" w:ascii="Times New Roman" w:hAnsi="Times New Roman" w:eastAsia="宋体" w:cs="Times New Roman"/>
                <w:color w:val="auto"/>
                <w:sz w:val="24"/>
                <w:highlight w:val="none"/>
              </w:rPr>
              <w:t>污水系统</w:t>
            </w:r>
            <w:r>
              <w:rPr>
                <w:rFonts w:hint="default" w:ascii="Times New Roman" w:hAnsi="Times New Roman" w:eastAsia="宋体" w:cs="Times New Roman"/>
                <w:color w:val="auto"/>
                <w:sz w:val="24"/>
                <w:highlight w:val="none"/>
              </w:rPr>
              <w:t>。</w:t>
            </w:r>
          </w:p>
          <w:p w14:paraId="5F0E16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因此，本项目污水处理站符合《医院污水处理工程技术规范》（HJ2029-2013）、《医院污水处理技术指南》（环发[2003]197号）和《医院污水处理设计规范》（CECS07：2004）中相关要求。</w:t>
            </w:r>
          </w:p>
          <w:p w14:paraId="74ED9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szCs w:val="24"/>
                <w:highlight w:val="none"/>
                <w:lang w:val="en-US" w:eastAsia="zh-CN"/>
              </w:rPr>
            </w:pPr>
            <w:r>
              <w:rPr>
                <w:rFonts w:hint="default" w:ascii="Times New Roman" w:hAnsi="Times New Roman" w:eastAsia="宋体" w:cs="Times New Roman"/>
                <w:color w:val="auto"/>
                <w:sz w:val="24"/>
                <w:highlight w:val="none"/>
              </w:rPr>
              <w:t>综上所述</w:t>
            </w:r>
            <w:r>
              <w:rPr>
                <w:rFonts w:hint="eastAsia"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本项目的</w:t>
            </w:r>
            <w:r>
              <w:rPr>
                <w:rFonts w:hint="eastAsia" w:ascii="Times New Roman" w:hAnsi="Times New Roman" w:cs="Times New Roman"/>
                <w:color w:val="auto"/>
                <w:sz w:val="24"/>
                <w:highlight w:val="none"/>
                <w:lang w:val="en-US" w:eastAsia="zh-CN"/>
              </w:rPr>
              <w:t>医疗</w:t>
            </w:r>
            <w:r>
              <w:rPr>
                <w:rFonts w:hint="default" w:ascii="Times New Roman" w:hAnsi="Times New Roman" w:eastAsia="宋体" w:cs="Times New Roman"/>
                <w:color w:val="auto"/>
                <w:sz w:val="24"/>
                <w:highlight w:val="none"/>
              </w:rPr>
              <w:t>废水处理措施是可行</w:t>
            </w:r>
            <w:r>
              <w:rPr>
                <w:rFonts w:hint="eastAsia" w:eastAsia="宋体"/>
                <w:color w:val="auto"/>
                <w:kern w:val="1"/>
                <w:sz w:val="24"/>
                <w:szCs w:val="24"/>
                <w:lang w:val="en-US" w:eastAsia="zh-CN"/>
              </w:rPr>
              <w:t>。</w:t>
            </w:r>
          </w:p>
          <w:p w14:paraId="32292ED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eastAsia" w:ascii="宋体" w:hAnsi="宋体" w:eastAsia="宋体" w:cs="宋体"/>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w:t>
            </w:r>
            <w:r>
              <w:rPr>
                <w:rFonts w:hint="eastAsia" w:eastAsia="宋体"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lang w:val="en-US" w:eastAsia="zh-CN" w:bidi="ar"/>
              </w:rPr>
              <w:t>）接</w:t>
            </w:r>
            <w:r>
              <w:rPr>
                <w:rFonts w:hint="eastAsia" w:ascii="Times New Roman" w:hAnsi="Times New Roman" w:cs="Times New Roman"/>
                <w:color w:val="000000"/>
                <w:kern w:val="0"/>
                <w:sz w:val="24"/>
                <w:szCs w:val="24"/>
                <w:lang w:val="en-US" w:eastAsia="zh-CN" w:bidi="ar"/>
              </w:rPr>
              <w:t>管可行性分析</w:t>
            </w:r>
          </w:p>
          <w:p w14:paraId="75F7512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color w:val="auto"/>
                <w:sz w:val="24"/>
                <w:lang w:eastAsia="zh-CN"/>
              </w:rPr>
              <w:t>淮南市顺通污水处理有限责任公司潘集污水处理厂于2013年建设，淮南市顺通污水处理有限责任公司潘集污水处理厂采用较为先进的污水处理工艺carrousel氧化沟+深度处理，其设计规模为4万立方米/日，先期日处理规模达到2万立方米/日，项目投资近7800万元，淮南市潘集区污水处理厂建设地点：潘集区古沟乡蔡庙村境内，占地约80亩。建设规模：设计日处理污水4万吨，分两期进行建设，一期为日处理污水2万吨，二期为2020年增建处理污水2万吨。污水处理工艺：carrousel氧化沟工艺，深度处理工艺采用絮你凝沉淀+活性砂滤、二氧氯消毒</w:t>
            </w:r>
            <w:r>
              <w:rPr>
                <w:rFonts w:hint="eastAsia" w:cs="Times New Roman"/>
                <w:color w:val="000000"/>
                <w:kern w:val="0"/>
                <w:sz w:val="24"/>
                <w:lang w:eastAsia="zh-CN"/>
              </w:rPr>
              <w:t>。</w:t>
            </w:r>
          </w:p>
          <w:p w14:paraId="654A391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leftChars="0" w:right="0" w:rightChars="0"/>
              <w:jc w:val="center"/>
              <w:textAlignment w:val="auto"/>
              <w:rPr>
                <w:rFonts w:hint="default" w:ascii="Times New Roman" w:hAnsi="Times New Roman" w:eastAsia="宋体" w:cs="Times New Roman"/>
                <w:sz w:val="24"/>
                <w:szCs w:val="24"/>
                <w:lang w:val="en-US" w:eastAsia="zh-CN"/>
              </w:rPr>
            </w:pPr>
            <w:r>
              <w:drawing>
                <wp:inline distT="0" distB="0" distL="114300" distR="114300">
                  <wp:extent cx="5369560" cy="3241040"/>
                  <wp:effectExtent l="0" t="0" r="2540" b="1651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2"/>
                          <a:srcRect l="13096" t="20000" r="13973" b="17776"/>
                          <a:stretch>
                            <a:fillRect/>
                          </a:stretch>
                        </pic:blipFill>
                        <pic:spPr>
                          <a:xfrm>
                            <a:off x="0" y="0"/>
                            <a:ext cx="5369560" cy="3241040"/>
                          </a:xfrm>
                          <a:prstGeom prst="rect">
                            <a:avLst/>
                          </a:prstGeom>
                          <a:noFill/>
                          <a:ln>
                            <a:noFill/>
                          </a:ln>
                        </pic:spPr>
                      </pic:pic>
                    </a:graphicData>
                  </a:graphic>
                </wp:inline>
              </w:drawing>
            </w:r>
          </w:p>
          <w:p w14:paraId="7799BA5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r>
              <w:rPr>
                <w:rFonts w:hint="eastAsia" w:cs="Times New Roman"/>
                <w:b/>
                <w:bCs/>
                <w:sz w:val="24"/>
                <w:szCs w:val="24"/>
                <w:lang w:val="en-US" w:eastAsia="zh-CN"/>
              </w:rPr>
              <w:t>图4-2  潘集污水处理厂处理工艺</w:t>
            </w:r>
          </w:p>
          <w:p w14:paraId="5104C30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color w:val="auto"/>
                <w:sz w:val="24"/>
                <w:szCs w:val="24"/>
              </w:rPr>
              <w:t>本项目</w:t>
            </w:r>
            <w:r>
              <w:rPr>
                <w:rFonts w:hint="default" w:ascii="Times New Roman" w:hAnsi="Times New Roman" w:eastAsia="宋体" w:cs="Times New Roman"/>
                <w:color w:val="auto"/>
                <w:sz w:val="24"/>
                <w:szCs w:val="24"/>
                <w:lang w:val="en-US" w:eastAsia="zh-CN"/>
              </w:rPr>
              <w:t>位于</w:t>
            </w:r>
            <w:r>
              <w:rPr>
                <w:rFonts w:hint="eastAsia" w:cs="Times New Roman"/>
                <w:color w:val="auto"/>
                <w:kern w:val="2"/>
                <w:sz w:val="24"/>
                <w:szCs w:val="32"/>
                <w:lang w:eastAsia="zh-CN"/>
              </w:rPr>
              <w:t>安徽省淮南市潘集区珠江路北侧、武夷山路西侧</w:t>
            </w:r>
            <w:r>
              <w:rPr>
                <w:rFonts w:hint="default" w:ascii="Times New Roman" w:hAnsi="Times New Roman" w:eastAsia="宋体" w:cs="Times New Roman"/>
                <w:color w:val="auto"/>
                <w:sz w:val="24"/>
                <w:szCs w:val="24"/>
                <w:lang w:val="en-US" w:eastAsia="zh-CN"/>
              </w:rPr>
              <w:t>，</w:t>
            </w:r>
            <w:r>
              <w:rPr>
                <w:rFonts w:hint="eastAsia" w:eastAsia="宋体" w:cs="Times New Roman"/>
                <w:color w:val="auto"/>
                <w:sz w:val="24"/>
                <w:szCs w:val="24"/>
                <w:lang w:val="en-US" w:eastAsia="zh-CN"/>
              </w:rPr>
              <w:t>属于</w:t>
            </w:r>
            <w:r>
              <w:rPr>
                <w:rFonts w:hint="eastAsia" w:cs="Times New Roman"/>
                <w:color w:val="auto"/>
                <w:sz w:val="24"/>
                <w:szCs w:val="24"/>
                <w:lang w:val="en-US" w:eastAsia="zh-CN"/>
              </w:rPr>
              <w:t>潘集污水处理厂</w:t>
            </w:r>
            <w:r>
              <w:rPr>
                <w:rFonts w:hint="default" w:ascii="Times New Roman" w:hAnsi="Times New Roman" w:eastAsia="宋体" w:cs="Times New Roman"/>
                <w:color w:val="auto"/>
                <w:sz w:val="24"/>
                <w:szCs w:val="24"/>
                <w:lang w:val="en-US" w:eastAsia="zh-CN"/>
              </w:rPr>
              <w:t>收水范围内</w:t>
            </w:r>
            <w:r>
              <w:rPr>
                <w:rFonts w:hint="eastAsia" w:ascii="Times New Roman" w:hAnsi="Times New Roman" w:eastAsia="宋体" w:cs="Times New Roman"/>
                <w:color w:val="auto"/>
                <w:sz w:val="24"/>
                <w:szCs w:val="24"/>
                <w:lang w:val="en-US" w:eastAsia="zh-CN"/>
              </w:rPr>
              <w:t>，项目厂区规划</w:t>
            </w:r>
            <w:r>
              <w:rPr>
                <w:rFonts w:hint="default" w:ascii="Times New Roman" w:hAnsi="Times New Roman" w:eastAsia="宋体" w:cs="Times New Roman"/>
                <w:color w:val="auto"/>
                <w:sz w:val="24"/>
                <w:szCs w:val="24"/>
                <w:lang w:val="en-US" w:eastAsia="zh-CN"/>
              </w:rPr>
              <w:t>污水管网建成</w:t>
            </w:r>
            <w:r>
              <w:rPr>
                <w:rFonts w:hint="eastAsia" w:ascii="Times New Roman" w:hAnsi="Times New Roman" w:eastAsia="宋体" w:cs="Times New Roman"/>
                <w:color w:val="auto"/>
                <w:sz w:val="24"/>
                <w:szCs w:val="24"/>
                <w:lang w:val="en-US" w:eastAsia="zh-CN"/>
              </w:rPr>
              <w:t>后</w:t>
            </w:r>
            <w:r>
              <w:rPr>
                <w:rFonts w:hint="default" w:ascii="Times New Roman" w:hAnsi="Times New Roman" w:eastAsia="宋体" w:cs="Times New Roman"/>
                <w:color w:val="auto"/>
                <w:sz w:val="24"/>
                <w:szCs w:val="24"/>
                <w:lang w:val="en-US" w:eastAsia="zh-CN"/>
              </w:rPr>
              <w:t>与区域市政污水管网相接，本项目所排的废水可以进入</w:t>
            </w:r>
            <w:r>
              <w:rPr>
                <w:rFonts w:hint="eastAsia" w:eastAsia="宋体" w:cs="Times New Roman"/>
                <w:color w:val="auto"/>
                <w:sz w:val="24"/>
                <w:szCs w:val="24"/>
                <w:lang w:val="en-US" w:eastAsia="zh-CN"/>
              </w:rPr>
              <w:t>潘集污水处理厂</w:t>
            </w:r>
            <w:r>
              <w:rPr>
                <w:rFonts w:hint="default" w:ascii="Times New Roman" w:hAnsi="Times New Roman" w:eastAsia="宋体" w:cs="Times New Roman"/>
                <w:color w:val="auto"/>
                <w:sz w:val="24"/>
                <w:szCs w:val="24"/>
                <w:lang w:val="en-US" w:eastAsia="zh-CN"/>
              </w:rPr>
              <w:t>处理。故在本项目运营时，从管网衔接上来说是可行的</w:t>
            </w:r>
            <w:r>
              <w:rPr>
                <w:rFonts w:hint="eastAsia" w:ascii="Times New Roman" w:hAnsi="Times New Roman" w:eastAsia="宋体" w:cs="Times New Roman"/>
                <w:color w:val="auto"/>
                <w:sz w:val="24"/>
                <w:szCs w:val="24"/>
                <w:lang w:val="en-US" w:eastAsia="zh-CN"/>
              </w:rPr>
              <w:t>。</w:t>
            </w:r>
            <w:r>
              <w:rPr>
                <w:rFonts w:hint="eastAsia" w:ascii="宋体" w:hAnsi="宋体" w:eastAsia="宋体" w:cs="宋体"/>
                <w:color w:val="000000"/>
                <w:kern w:val="0"/>
                <w:sz w:val="24"/>
                <w:szCs w:val="24"/>
                <w:lang w:val="en-US" w:eastAsia="zh-CN" w:bidi="ar"/>
              </w:rPr>
              <w:t>项目扩建后运营期排入污水处理厂的污水</w:t>
            </w:r>
            <w:r>
              <w:rPr>
                <w:rFonts w:hint="default" w:ascii="Times New Roman" w:hAnsi="Times New Roman" w:eastAsia="宋体" w:cs="Times New Roman"/>
                <w:color w:val="000000"/>
                <w:kern w:val="0"/>
                <w:sz w:val="24"/>
                <w:szCs w:val="24"/>
                <w:lang w:val="en-US" w:eastAsia="zh-CN" w:bidi="ar"/>
              </w:rPr>
              <w:t>量为</w:t>
            </w:r>
            <w:r>
              <w:rPr>
                <w:rFonts w:hint="eastAsia" w:eastAsia="宋体" w:cs="Times New Roman"/>
                <w:color w:val="000000"/>
                <w:kern w:val="0"/>
                <w:sz w:val="24"/>
                <w:szCs w:val="24"/>
                <w:lang w:val="en-US" w:eastAsia="zh-CN" w:bidi="ar"/>
              </w:rPr>
              <w:t>229.9404</w:t>
            </w:r>
            <w:r>
              <w:rPr>
                <w:rFonts w:hint="default" w:ascii="Times New Roman" w:hAnsi="Times New Roman" w:eastAsia="宋体" w:cs="Times New Roman"/>
                <w:color w:val="000000"/>
                <w:kern w:val="0"/>
                <w:sz w:val="24"/>
                <w:szCs w:val="24"/>
                <w:lang w:val="en-US" w:eastAsia="zh-CN" w:bidi="ar"/>
              </w:rPr>
              <w:t>m</w:t>
            </w:r>
            <w:r>
              <w:rPr>
                <w:rFonts w:hint="eastAsia" w:ascii="Times New Roman" w:hAnsi="Times New Roman" w:eastAsia="宋体" w:cs="Times New Roman"/>
                <w:color w:val="000000"/>
                <w:kern w:val="0"/>
                <w:sz w:val="24"/>
                <w:szCs w:val="24"/>
                <w:vertAlign w:val="superscript"/>
                <w:lang w:val="en-US" w:eastAsia="zh-CN" w:bidi="ar"/>
              </w:rPr>
              <w:t>3</w:t>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d</w:t>
            </w:r>
            <w:r>
              <w:rPr>
                <w:rFonts w:hint="eastAsia" w:ascii="宋体" w:hAnsi="宋体" w:cs="宋体"/>
                <w:color w:val="000000"/>
                <w:kern w:val="0"/>
                <w:sz w:val="24"/>
                <w:szCs w:val="24"/>
                <w:lang w:val="en-US" w:eastAsia="zh-CN" w:bidi="ar"/>
              </w:rPr>
              <w:t>，</w:t>
            </w:r>
            <w:r>
              <w:rPr>
                <w:rFonts w:hint="default" w:ascii="Times New Roman" w:hAnsi="Times New Roman" w:eastAsia="宋体" w:cs="Times New Roman"/>
                <w:b w:val="0"/>
                <w:bCs w:val="0"/>
                <w:color w:val="auto"/>
                <w:sz w:val="24"/>
                <w:szCs w:val="24"/>
                <w:highlight w:val="none"/>
              </w:rPr>
              <w:t>废水排放量所占</w:t>
            </w:r>
            <w:r>
              <w:rPr>
                <w:rFonts w:hint="eastAsia" w:cs="Times New Roman"/>
                <w:color w:val="auto"/>
                <w:sz w:val="24"/>
                <w:szCs w:val="24"/>
                <w:lang w:val="en-US" w:eastAsia="zh-CN"/>
              </w:rPr>
              <w:t>潘集污水处理厂</w:t>
            </w:r>
            <w:r>
              <w:rPr>
                <w:rFonts w:hint="default" w:ascii="Times New Roman" w:hAnsi="Times New Roman" w:eastAsia="宋体" w:cs="Times New Roman"/>
                <w:b w:val="0"/>
                <w:bCs w:val="0"/>
                <w:color w:val="auto"/>
                <w:sz w:val="24"/>
                <w:szCs w:val="24"/>
                <w:highlight w:val="none"/>
              </w:rPr>
              <w:t>处理量的比例为</w:t>
            </w:r>
            <w:r>
              <w:rPr>
                <w:rFonts w:hint="eastAsia" w:eastAsia="宋体" w:cs="Times New Roman"/>
                <w:b w:val="0"/>
                <w:bCs w:val="0"/>
                <w:color w:val="auto"/>
                <w:sz w:val="24"/>
                <w:szCs w:val="24"/>
                <w:highlight w:val="none"/>
                <w:lang w:val="en-US" w:eastAsia="zh-CN"/>
              </w:rPr>
              <w:t>1.1</w:t>
            </w:r>
            <w:r>
              <w:rPr>
                <w:rFonts w:hint="default" w:ascii="Times New Roman" w:hAnsi="Times New Roman" w:eastAsia="宋体" w:cs="Times New Roman"/>
                <w:b w:val="0"/>
                <w:bCs w:val="0"/>
                <w:color w:val="auto"/>
                <w:sz w:val="24"/>
                <w:szCs w:val="24"/>
                <w:highlight w:val="none"/>
              </w:rPr>
              <w:t>%</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对污水处理厂影响较小。本项目外排废水水质能达到污水处理厂的进水水质要求，不会对污水处理厂正常运行造成影响。因此，本项目运营期污水接管可行</w:t>
            </w:r>
            <w:r>
              <w:rPr>
                <w:rFonts w:hint="eastAsia" w:cs="Times New Roman"/>
                <w:b w:val="0"/>
                <w:bCs w:val="0"/>
                <w:color w:val="auto"/>
                <w:sz w:val="24"/>
                <w:szCs w:val="24"/>
                <w:lang w:eastAsia="zh-CN"/>
              </w:rPr>
              <w:t>。</w:t>
            </w:r>
          </w:p>
          <w:p w14:paraId="3A5FDF6F">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cs="Times New Roman"/>
                <w:color w:val="auto"/>
                <w:kern w:val="0"/>
                <w:sz w:val="24"/>
                <w:szCs w:val="24"/>
                <w:lang w:val="en-US" w:eastAsia="zh-CN"/>
              </w:rPr>
            </w:pPr>
            <w:r>
              <w:rPr>
                <w:rFonts w:hint="default" w:ascii="Times New Roman" w:hAnsi="Times New Roman" w:eastAsia="宋体" w:cs="Times New Roman"/>
                <w:sz w:val="24"/>
                <w:szCs w:val="24"/>
                <w:lang w:val="en-US" w:eastAsia="zh-CN"/>
              </w:rPr>
              <w:t>综上，本项目废</w:t>
            </w:r>
            <w:r>
              <w:rPr>
                <w:rFonts w:hint="eastAsia" w:cs="Times New Roman"/>
                <w:b w:val="0"/>
                <w:bCs w:val="0"/>
                <w:color w:val="auto"/>
                <w:sz w:val="24"/>
                <w:szCs w:val="24"/>
                <w:lang w:eastAsia="zh-CN"/>
              </w:rPr>
              <w:t>水可确保稳定达标排放</w:t>
            </w:r>
            <w:r>
              <w:rPr>
                <w:rFonts w:hint="default" w:ascii="Times New Roman" w:hAnsi="Times New Roman" w:eastAsia="宋体" w:cs="Times New Roman"/>
                <w:sz w:val="24"/>
                <w:szCs w:val="24"/>
                <w:lang w:val="en-US" w:eastAsia="zh-CN"/>
              </w:rPr>
              <w:t>，不会对污水处理厂运行产生冲击负荷，污水管网已覆盖至项目所在地。因此从水质、水量以及管网配套来讲，本项目废水接管至</w:t>
            </w:r>
            <w:r>
              <w:rPr>
                <w:rFonts w:hint="eastAsia" w:cs="Times New Roman"/>
                <w:sz w:val="24"/>
                <w:szCs w:val="24"/>
                <w:lang w:val="en-US" w:eastAsia="zh-CN"/>
              </w:rPr>
              <w:t>潘集污水处理厂</w:t>
            </w:r>
            <w:r>
              <w:rPr>
                <w:rFonts w:hint="default" w:ascii="Times New Roman" w:hAnsi="Times New Roman" w:eastAsia="宋体" w:cs="Times New Roman"/>
                <w:sz w:val="24"/>
                <w:szCs w:val="24"/>
                <w:lang w:val="en-US" w:eastAsia="zh-CN"/>
              </w:rPr>
              <w:t>集中处理是可行的</w:t>
            </w:r>
            <w:r>
              <w:rPr>
                <w:rFonts w:hint="eastAsia" w:ascii="Times New Roman" w:hAnsi="Times New Roman" w:cs="Times New Roman"/>
                <w:color w:val="auto"/>
                <w:kern w:val="0"/>
                <w:sz w:val="24"/>
                <w:szCs w:val="24"/>
                <w:lang w:val="en-US" w:eastAsia="zh-CN"/>
              </w:rPr>
              <w:t>。</w:t>
            </w:r>
          </w:p>
          <w:p w14:paraId="2B9466D1">
            <w:pPr>
              <w:pStyle w:val="11"/>
              <w:keepNext w:val="0"/>
              <w:keepLines w:val="0"/>
              <w:pageBreakBefore w:val="0"/>
              <w:kinsoku/>
              <w:wordWrap/>
              <w:overflowPunct/>
              <w:topLinePunct w:val="0"/>
              <w:autoSpaceDE/>
              <w:autoSpaceDN/>
              <w:bidi w:val="0"/>
              <w:spacing w:before="0" w:after="0" w:line="360" w:lineRule="auto"/>
              <w:ind w:right="0"/>
              <w:jc w:val="both"/>
              <w:textAlignment w:val="auto"/>
              <w:rPr>
                <w:rFonts w:hint="eastAsia" w:eastAsia="宋体"/>
                <w:color w:val="FF0000"/>
                <w:vertAlign w:val="baseline"/>
                <w:lang w:eastAsia="zh-CN"/>
              </w:rPr>
            </w:pPr>
          </w:p>
        </w:tc>
      </w:tr>
    </w:tbl>
    <w:p w14:paraId="6CC90FB9">
      <w:pPr>
        <w:pStyle w:val="26"/>
        <w:ind w:left="0" w:leftChars="0" w:firstLine="0" w:firstLineChars="0"/>
        <w:rPr>
          <w:rFonts w:hint="default"/>
          <w:color w:val="FF0000"/>
        </w:rPr>
        <w:sectPr>
          <w:pgSz w:w="11905" w:h="16838"/>
          <w:pgMar w:top="1417" w:right="1417" w:bottom="1417" w:left="1417" w:header="851" w:footer="850" w:gutter="0"/>
          <w:pgNumType w:fmt="decimal"/>
          <w:cols w:space="0" w:num="1"/>
          <w:rtlGutter w:val="0"/>
          <w:docGrid w:linePitch="312" w:charSpace="0"/>
        </w:sectPr>
      </w:pP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
        <w:gridCol w:w="13759"/>
      </w:tblGrid>
      <w:tr w14:paraId="4419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 w:type="dxa"/>
            <w:vAlign w:val="center"/>
          </w:tcPr>
          <w:p w14:paraId="53E248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color w:val="FF0000"/>
                <w:vertAlign w:val="baseline"/>
              </w:rPr>
            </w:pPr>
            <w:r>
              <w:rPr>
                <w:rFonts w:hint="default" w:ascii="Times New Roman" w:hAnsi="Times New Roman" w:cs="Times New Roman"/>
                <w:b/>
                <w:bCs/>
                <w:color w:val="auto"/>
                <w:sz w:val="24"/>
                <w:szCs w:val="32"/>
              </w:rPr>
              <w:t>运营期环境影响和保护措施</w:t>
            </w:r>
          </w:p>
        </w:tc>
        <w:tc>
          <w:tcPr>
            <w:tcW w:w="13631" w:type="dxa"/>
            <w:vAlign w:val="top"/>
          </w:tcPr>
          <w:p w14:paraId="6F69968D">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三、噪声</w:t>
            </w:r>
          </w:p>
          <w:p w14:paraId="4544F886">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360" w:lineRule="auto"/>
              <w:ind w:firstLine="482"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噪声源强</w:t>
            </w:r>
          </w:p>
          <w:p w14:paraId="75F4E3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本项目的噪声源主要为</w:t>
            </w:r>
            <w:r>
              <w:rPr>
                <w:rFonts w:hint="eastAsia" w:cs="Times New Roman"/>
                <w:color w:val="auto"/>
                <w:sz w:val="24"/>
                <w:szCs w:val="24"/>
                <w:highlight w:val="none"/>
                <w:lang w:val="en-US" w:eastAsia="zh-CN"/>
              </w:rPr>
              <w:t>污水处理站水泵、住院综合楼各类抽排风机组、蒸汽发生器</w:t>
            </w:r>
            <w:r>
              <w:rPr>
                <w:rFonts w:hint="default" w:ascii="Times New Roman" w:hAnsi="Times New Roman" w:eastAsia="宋体" w:cs="Times New Roman"/>
                <w:color w:val="auto"/>
                <w:sz w:val="24"/>
                <w:szCs w:val="24"/>
                <w:highlight w:val="none"/>
                <w:lang w:val="en-US" w:eastAsia="zh-CN"/>
              </w:rPr>
              <w:t>、风机等，</w:t>
            </w:r>
            <w:r>
              <w:rPr>
                <w:rFonts w:hint="eastAsia" w:cs="Times New Roman"/>
                <w:color w:val="auto"/>
                <w:sz w:val="24"/>
                <w:szCs w:val="24"/>
                <w:highlight w:val="none"/>
                <w:lang w:val="en-US" w:eastAsia="zh-CN"/>
              </w:rPr>
              <w:t>项目</w:t>
            </w:r>
            <w:r>
              <w:rPr>
                <w:rFonts w:hint="default" w:ascii="Times New Roman" w:hAnsi="Times New Roman" w:eastAsia="宋体" w:cs="Times New Roman"/>
                <w:color w:val="auto"/>
                <w:sz w:val="24"/>
                <w:szCs w:val="24"/>
                <w:highlight w:val="none"/>
                <w:lang w:val="en-US" w:eastAsia="zh-CN"/>
              </w:rPr>
              <w:t>噪声源强在</w:t>
            </w:r>
            <w:r>
              <w:rPr>
                <w:rFonts w:hint="eastAsia"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rPr>
              <w:t>dB（A），</w:t>
            </w:r>
            <w:r>
              <w:rPr>
                <w:rFonts w:hint="default" w:ascii="Times New Roman" w:hAnsi="Times New Roman" w:eastAsia="宋体" w:cs="Times New Roman"/>
                <w:color w:val="auto"/>
                <w:sz w:val="24"/>
                <w:szCs w:val="24"/>
                <w:highlight w:val="none"/>
                <w:lang w:val="en-US" w:eastAsia="zh-CN"/>
              </w:rPr>
              <w:t>本项目主要设备噪声源强见下表。</w:t>
            </w:r>
          </w:p>
          <w:p w14:paraId="5E6097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kern w:val="0"/>
                <w:sz w:val="24"/>
                <w:lang w:val="en-US" w:eastAsia="zh-CN"/>
              </w:rPr>
            </w:pPr>
            <w:r>
              <w:rPr>
                <w:rFonts w:hint="eastAsia" w:ascii="Times New Roman" w:hAnsi="Times New Roman" w:eastAsia="宋体" w:cs="Times New Roman"/>
                <w:b/>
                <w:color w:val="auto"/>
                <w:kern w:val="0"/>
                <w:sz w:val="24"/>
                <w:lang w:val="en-US" w:eastAsia="zh-CN"/>
              </w:rPr>
              <w:t>表4-</w:t>
            </w:r>
            <w:r>
              <w:rPr>
                <w:rFonts w:hint="eastAsia" w:cs="Times New Roman"/>
                <w:b/>
                <w:color w:val="auto"/>
                <w:kern w:val="0"/>
                <w:sz w:val="24"/>
                <w:lang w:val="en-US" w:eastAsia="zh-CN"/>
              </w:rPr>
              <w:t>12</w:t>
            </w:r>
            <w:r>
              <w:rPr>
                <w:rFonts w:hint="eastAsia" w:ascii="Times New Roman" w:hAnsi="Times New Roman" w:eastAsia="宋体" w:cs="Times New Roman"/>
                <w:b/>
                <w:color w:val="auto"/>
                <w:kern w:val="0"/>
                <w:sz w:val="24"/>
                <w:lang w:val="en-US" w:eastAsia="zh-CN"/>
              </w:rPr>
              <w:t xml:space="preserve">  噪声污染源强核算表格（室内）</w:t>
            </w:r>
          </w:p>
          <w:tbl>
            <w:tblPr>
              <w:tblStyle w:val="27"/>
              <w:tblW w:w="4996" w:type="pct"/>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autofit"/>
              <w:tblCellMar>
                <w:top w:w="0" w:type="dxa"/>
                <w:left w:w="108" w:type="dxa"/>
                <w:bottom w:w="0" w:type="dxa"/>
                <w:right w:w="108" w:type="dxa"/>
              </w:tblCellMar>
            </w:tblPr>
            <w:tblGrid>
              <w:gridCol w:w="427"/>
              <w:gridCol w:w="427"/>
              <w:gridCol w:w="1125"/>
              <w:gridCol w:w="427"/>
              <w:gridCol w:w="823"/>
              <w:gridCol w:w="636"/>
              <w:gridCol w:w="750"/>
              <w:gridCol w:w="960"/>
              <w:gridCol w:w="645"/>
              <w:gridCol w:w="531"/>
              <w:gridCol w:w="531"/>
              <w:gridCol w:w="447"/>
              <w:gridCol w:w="531"/>
              <w:gridCol w:w="427"/>
              <w:gridCol w:w="427"/>
              <w:gridCol w:w="427"/>
              <w:gridCol w:w="427"/>
              <w:gridCol w:w="636"/>
              <w:gridCol w:w="790"/>
              <w:gridCol w:w="427"/>
              <w:gridCol w:w="427"/>
              <w:gridCol w:w="427"/>
              <w:gridCol w:w="427"/>
              <w:gridCol w:w="427"/>
            </w:tblGrid>
            <w:tr w14:paraId="319374E5">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57" w:type="pct"/>
                  <w:vMerge w:val="restart"/>
                  <w:noWrap w:val="0"/>
                  <w:vAlign w:val="center"/>
                </w:tcPr>
                <w:p w14:paraId="0538EA1F">
                  <w:pPr>
                    <w:pStyle w:val="95"/>
                    <w:keepNext w:val="0"/>
                    <w:keepLines w:val="0"/>
                    <w:pageBreakBefore w:val="0"/>
                    <w:widowControl w:val="0"/>
                    <w:kinsoku/>
                    <w:wordWrap/>
                    <w:overflowPunct/>
                    <w:topLinePunct w:val="0"/>
                    <w:autoSpaceDE/>
                    <w:autoSpaceDN/>
                    <w:bidi w:val="0"/>
                    <w:jc w:val="center"/>
                    <w:textAlignment w:val="auto"/>
                    <w:rPr>
                      <w:rFonts w:hint="default"/>
                      <w:b/>
                      <w:bCs/>
                      <w:color w:val="auto"/>
                      <w:sz w:val="21"/>
                      <w:szCs w:val="21"/>
                      <w:highlight w:val="none"/>
                    </w:rPr>
                  </w:pPr>
                  <w:r>
                    <w:rPr>
                      <w:rFonts w:hint="default"/>
                      <w:b/>
                      <w:bCs/>
                      <w:color w:val="auto"/>
                      <w:sz w:val="21"/>
                      <w:szCs w:val="21"/>
                      <w:highlight w:val="none"/>
                    </w:rPr>
                    <w:t>序号</w:t>
                  </w:r>
                </w:p>
              </w:tc>
              <w:tc>
                <w:tcPr>
                  <w:tcW w:w="157" w:type="pct"/>
                  <w:vMerge w:val="restart"/>
                  <w:noWrap w:val="0"/>
                  <w:vAlign w:val="center"/>
                </w:tcPr>
                <w:p w14:paraId="3D590085">
                  <w:pPr>
                    <w:pStyle w:val="95"/>
                    <w:keepNext w:val="0"/>
                    <w:keepLines w:val="0"/>
                    <w:pageBreakBefore w:val="0"/>
                    <w:widowControl w:val="0"/>
                    <w:kinsoku/>
                    <w:wordWrap/>
                    <w:overflowPunct/>
                    <w:topLinePunct w:val="0"/>
                    <w:autoSpaceDE/>
                    <w:autoSpaceDN/>
                    <w:bidi w:val="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建筑物名称</w:t>
                  </w:r>
                </w:p>
              </w:tc>
              <w:tc>
                <w:tcPr>
                  <w:tcW w:w="440" w:type="pct"/>
                  <w:vMerge w:val="restart"/>
                  <w:noWrap w:val="0"/>
                  <w:vAlign w:val="center"/>
                </w:tcPr>
                <w:p w14:paraId="56BF1B4F">
                  <w:pPr>
                    <w:pStyle w:val="95"/>
                    <w:keepNext w:val="0"/>
                    <w:keepLines w:val="0"/>
                    <w:pageBreakBefore w:val="0"/>
                    <w:widowControl w:val="0"/>
                    <w:kinsoku/>
                    <w:wordWrap/>
                    <w:overflowPunct/>
                    <w:topLinePunct w:val="0"/>
                    <w:autoSpaceDE/>
                    <w:autoSpaceDN/>
                    <w:bidi w:val="0"/>
                    <w:jc w:val="center"/>
                    <w:textAlignment w:val="auto"/>
                    <w:rPr>
                      <w:rFonts w:hint="default"/>
                      <w:b/>
                      <w:bCs/>
                      <w:color w:val="auto"/>
                      <w:sz w:val="21"/>
                      <w:szCs w:val="21"/>
                      <w:highlight w:val="none"/>
                    </w:rPr>
                  </w:pPr>
                  <w:r>
                    <w:rPr>
                      <w:rFonts w:hint="eastAsia"/>
                      <w:b/>
                      <w:bCs/>
                      <w:color w:val="auto"/>
                      <w:sz w:val="21"/>
                      <w:szCs w:val="21"/>
                      <w:highlight w:val="none"/>
                      <w:lang w:val="en-US" w:eastAsia="zh-CN"/>
                    </w:rPr>
                    <w:t>声源</w:t>
                  </w:r>
                  <w:r>
                    <w:rPr>
                      <w:rFonts w:hint="default"/>
                      <w:b/>
                      <w:bCs/>
                      <w:color w:val="auto"/>
                      <w:sz w:val="21"/>
                      <w:szCs w:val="21"/>
                      <w:highlight w:val="none"/>
                    </w:rPr>
                    <w:t>名称</w:t>
                  </w:r>
                </w:p>
              </w:tc>
              <w:tc>
                <w:tcPr>
                  <w:tcW w:w="157" w:type="pct"/>
                  <w:vMerge w:val="restart"/>
                  <w:noWrap w:val="0"/>
                  <w:vAlign w:val="center"/>
                </w:tcPr>
                <w:p w14:paraId="4926C6D0">
                  <w:pPr>
                    <w:pStyle w:val="95"/>
                    <w:keepNext w:val="0"/>
                    <w:keepLines w:val="0"/>
                    <w:pageBreakBefore w:val="0"/>
                    <w:widowControl w:val="0"/>
                    <w:kinsoku/>
                    <w:wordWrap/>
                    <w:overflowPunct/>
                    <w:topLinePunct w:val="0"/>
                    <w:autoSpaceDE/>
                    <w:autoSpaceDN/>
                    <w:bidi w:val="0"/>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型号</w:t>
                  </w:r>
                </w:p>
              </w:tc>
              <w:tc>
                <w:tcPr>
                  <w:tcW w:w="304" w:type="pct"/>
                  <w:vMerge w:val="restart"/>
                  <w:noWrap w:val="0"/>
                  <w:vAlign w:val="center"/>
                </w:tcPr>
                <w:p w14:paraId="4954A3E5">
                  <w:pPr>
                    <w:pStyle w:val="95"/>
                    <w:keepNext w:val="0"/>
                    <w:keepLines w:val="0"/>
                    <w:pageBreakBefore w:val="0"/>
                    <w:widowControl w:val="0"/>
                    <w:kinsoku/>
                    <w:wordWrap/>
                    <w:overflowPunct/>
                    <w:topLinePunct w:val="0"/>
                    <w:autoSpaceDE/>
                    <w:autoSpaceDN/>
                    <w:bidi w:val="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声功率级</w:t>
                  </w:r>
                  <w:r>
                    <w:rPr>
                      <w:rFonts w:hint="default"/>
                      <w:b/>
                      <w:bCs/>
                      <w:color w:val="auto"/>
                      <w:sz w:val="21"/>
                      <w:szCs w:val="21"/>
                      <w:highlight w:val="none"/>
                      <w:lang w:val="en-US" w:eastAsia="zh-CN"/>
                    </w:rPr>
                    <w:t>/dB(A)</w:t>
                  </w:r>
                </w:p>
              </w:tc>
              <w:tc>
                <w:tcPr>
                  <w:tcW w:w="235" w:type="pct"/>
                  <w:vMerge w:val="restart"/>
                  <w:noWrap w:val="0"/>
                  <w:vAlign w:val="center"/>
                </w:tcPr>
                <w:p w14:paraId="205F5D84">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val="en-US" w:eastAsia="zh-CN"/>
                    </w:rPr>
                    <w:t>治理措施</w:t>
                  </w:r>
                </w:p>
              </w:tc>
              <w:tc>
                <w:tcPr>
                  <w:tcW w:w="866" w:type="pct"/>
                  <w:gridSpan w:val="3"/>
                  <w:noWrap w:val="0"/>
                  <w:vAlign w:val="center"/>
                </w:tcPr>
                <w:p w14:paraId="10848932">
                  <w:pPr>
                    <w:pStyle w:val="95"/>
                    <w:keepNext w:val="0"/>
                    <w:keepLines w:val="0"/>
                    <w:pageBreakBefore w:val="0"/>
                    <w:widowControl w:val="0"/>
                    <w:kinsoku/>
                    <w:wordWrap/>
                    <w:overflowPunct/>
                    <w:topLinePunct w:val="0"/>
                    <w:autoSpaceDE/>
                    <w:autoSpaceDN/>
                    <w:bidi w:val="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空间相对位置/m</w:t>
                  </w:r>
                </w:p>
              </w:tc>
              <w:tc>
                <w:tcPr>
                  <w:tcW w:w="710" w:type="pct"/>
                  <w:gridSpan w:val="4"/>
                  <w:noWrap w:val="0"/>
                  <w:vAlign w:val="center"/>
                </w:tcPr>
                <w:p w14:paraId="2ED783CE">
                  <w:pPr>
                    <w:pStyle w:val="95"/>
                    <w:keepNext w:val="0"/>
                    <w:keepLines w:val="0"/>
                    <w:pageBreakBefore w:val="0"/>
                    <w:widowControl w:val="0"/>
                    <w:kinsoku/>
                    <w:wordWrap/>
                    <w:overflowPunct/>
                    <w:topLinePunct w:val="0"/>
                    <w:autoSpaceDE/>
                    <w:autoSpaceDN/>
                    <w:bidi w:val="0"/>
                    <w:jc w:val="center"/>
                    <w:textAlignment w:val="auto"/>
                    <w:rPr>
                      <w:rFonts w:hint="eastAsia"/>
                      <w:b/>
                      <w:bCs/>
                      <w:i w:val="0"/>
                      <w:iCs w:val="0"/>
                      <w:color w:val="auto"/>
                      <w:sz w:val="21"/>
                      <w:szCs w:val="21"/>
                      <w:highlight w:val="none"/>
                      <w:lang w:val="en-US" w:eastAsia="zh-CN"/>
                    </w:rPr>
                  </w:pPr>
                  <w:r>
                    <w:rPr>
                      <w:rFonts w:hint="eastAsia"/>
                      <w:b/>
                      <w:bCs/>
                      <w:i w:val="0"/>
                      <w:iCs w:val="0"/>
                      <w:color w:val="auto"/>
                      <w:sz w:val="21"/>
                      <w:szCs w:val="21"/>
                      <w:highlight w:val="none"/>
                      <w:lang w:val="en-US" w:eastAsia="zh-CN"/>
                    </w:rPr>
                    <w:t>距室内边界距离/m</w:t>
                  </w:r>
                </w:p>
              </w:tc>
              <w:tc>
                <w:tcPr>
                  <w:tcW w:w="634" w:type="pct"/>
                  <w:gridSpan w:val="4"/>
                  <w:noWrap w:val="0"/>
                  <w:vAlign w:val="center"/>
                </w:tcPr>
                <w:p w14:paraId="6E02FA0C">
                  <w:pPr>
                    <w:pStyle w:val="95"/>
                    <w:keepNext w:val="0"/>
                    <w:keepLines w:val="0"/>
                    <w:pageBreakBefore w:val="0"/>
                    <w:widowControl w:val="0"/>
                    <w:kinsoku/>
                    <w:wordWrap/>
                    <w:overflowPunct/>
                    <w:topLinePunct w:val="0"/>
                    <w:autoSpaceDE/>
                    <w:autoSpaceDN/>
                    <w:bidi w:val="0"/>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室内边界声级</w:t>
                  </w:r>
                </w:p>
                <w:p w14:paraId="402FCEA7">
                  <w:pPr>
                    <w:pStyle w:val="95"/>
                    <w:keepNext w:val="0"/>
                    <w:keepLines w:val="0"/>
                    <w:pageBreakBefore w:val="0"/>
                    <w:widowControl w:val="0"/>
                    <w:kinsoku/>
                    <w:wordWrap/>
                    <w:overflowPunct/>
                    <w:topLinePunct w:val="0"/>
                    <w:autoSpaceDE/>
                    <w:autoSpaceDN/>
                    <w:bidi w:val="0"/>
                    <w:jc w:val="center"/>
                    <w:textAlignment w:val="auto"/>
                    <w:rPr>
                      <w:rFonts w:hint="default"/>
                      <w:b/>
                      <w:bCs/>
                      <w:color w:val="auto"/>
                      <w:sz w:val="21"/>
                      <w:szCs w:val="21"/>
                      <w:highlight w:val="none"/>
                      <w:lang w:val="en-US" w:eastAsia="zh-CN"/>
                    </w:rPr>
                  </w:pPr>
                  <w:r>
                    <w:rPr>
                      <w:rFonts w:hint="default"/>
                      <w:b/>
                      <w:bCs/>
                      <w:color w:val="auto"/>
                      <w:sz w:val="21"/>
                      <w:szCs w:val="21"/>
                      <w:highlight w:val="none"/>
                      <w:lang w:val="en-US" w:eastAsia="zh-CN"/>
                    </w:rPr>
                    <w:t>/dB</w:t>
                  </w:r>
                  <w:r>
                    <w:rPr>
                      <w:rFonts w:hint="eastAsia"/>
                      <w:b/>
                      <w:bCs/>
                      <w:color w:val="auto"/>
                      <w:sz w:val="21"/>
                      <w:szCs w:val="21"/>
                      <w:highlight w:val="none"/>
                      <w:lang w:val="en-US" w:eastAsia="zh-CN"/>
                    </w:rPr>
                    <w:t>（</w:t>
                  </w:r>
                  <w:r>
                    <w:rPr>
                      <w:rFonts w:hint="default"/>
                      <w:b/>
                      <w:bCs/>
                      <w:color w:val="auto"/>
                      <w:sz w:val="21"/>
                      <w:szCs w:val="21"/>
                      <w:highlight w:val="none"/>
                      <w:lang w:val="en-US" w:eastAsia="zh-CN"/>
                    </w:rPr>
                    <w:t>A</w:t>
                  </w:r>
                  <w:r>
                    <w:rPr>
                      <w:rFonts w:hint="eastAsia"/>
                      <w:b/>
                      <w:bCs/>
                      <w:color w:val="auto"/>
                      <w:sz w:val="21"/>
                      <w:szCs w:val="21"/>
                      <w:highlight w:val="none"/>
                      <w:lang w:val="en-US" w:eastAsia="zh-CN"/>
                    </w:rPr>
                    <w:t>）</w:t>
                  </w:r>
                </w:p>
              </w:tc>
              <w:tc>
                <w:tcPr>
                  <w:tcW w:w="235" w:type="pct"/>
                  <w:vMerge w:val="restart"/>
                  <w:noWrap w:val="0"/>
                  <w:vAlign w:val="center"/>
                </w:tcPr>
                <w:p w14:paraId="5959729C">
                  <w:pPr>
                    <w:pStyle w:val="95"/>
                    <w:keepNext w:val="0"/>
                    <w:keepLines w:val="0"/>
                    <w:pageBreakBefore w:val="0"/>
                    <w:widowControl w:val="0"/>
                    <w:kinsoku/>
                    <w:wordWrap/>
                    <w:overflowPunct/>
                    <w:topLinePunct w:val="0"/>
                    <w:autoSpaceDE/>
                    <w:autoSpaceDN/>
                    <w:bidi w:val="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运行时段</w:t>
                  </w:r>
                </w:p>
              </w:tc>
              <w:tc>
                <w:tcPr>
                  <w:tcW w:w="291" w:type="pct"/>
                  <w:vMerge w:val="restart"/>
                  <w:noWrap w:val="0"/>
                  <w:vAlign w:val="center"/>
                </w:tcPr>
                <w:p w14:paraId="16518453">
                  <w:pPr>
                    <w:pStyle w:val="95"/>
                    <w:keepNext w:val="0"/>
                    <w:keepLines w:val="0"/>
                    <w:pageBreakBefore w:val="0"/>
                    <w:widowControl w:val="0"/>
                    <w:kinsoku/>
                    <w:wordWrap/>
                    <w:overflowPunct/>
                    <w:topLinePunct w:val="0"/>
                    <w:autoSpaceDE/>
                    <w:autoSpaceDN/>
                    <w:bidi w:val="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建筑物插入损失</w:t>
                  </w:r>
                  <w:r>
                    <w:rPr>
                      <w:rFonts w:hint="default"/>
                      <w:b/>
                      <w:bCs/>
                      <w:color w:val="auto"/>
                      <w:sz w:val="21"/>
                      <w:szCs w:val="21"/>
                      <w:highlight w:val="none"/>
                      <w:lang w:val="en-US" w:eastAsia="zh-CN"/>
                    </w:rPr>
                    <w:t>/dB</w:t>
                  </w:r>
                  <w:r>
                    <w:rPr>
                      <w:rFonts w:hint="eastAsia"/>
                      <w:b/>
                      <w:bCs/>
                      <w:color w:val="auto"/>
                      <w:sz w:val="21"/>
                      <w:szCs w:val="21"/>
                      <w:highlight w:val="none"/>
                      <w:lang w:val="en-US" w:eastAsia="zh-CN"/>
                    </w:rPr>
                    <w:t>（</w:t>
                  </w:r>
                  <w:r>
                    <w:rPr>
                      <w:rFonts w:hint="default"/>
                      <w:b/>
                      <w:bCs/>
                      <w:color w:val="auto"/>
                      <w:sz w:val="21"/>
                      <w:szCs w:val="21"/>
                      <w:highlight w:val="none"/>
                      <w:lang w:val="en-US" w:eastAsia="zh-CN"/>
                    </w:rPr>
                    <w:t>A</w:t>
                  </w:r>
                  <w:r>
                    <w:rPr>
                      <w:rFonts w:hint="eastAsia"/>
                      <w:b/>
                      <w:bCs/>
                      <w:color w:val="auto"/>
                      <w:sz w:val="21"/>
                      <w:szCs w:val="21"/>
                      <w:highlight w:val="none"/>
                      <w:lang w:val="en-US" w:eastAsia="zh-CN"/>
                    </w:rPr>
                    <w:t>）</w:t>
                  </w:r>
                </w:p>
              </w:tc>
              <w:tc>
                <w:tcPr>
                  <w:tcW w:w="808" w:type="pct"/>
                  <w:gridSpan w:val="5"/>
                  <w:noWrap w:val="0"/>
                  <w:vAlign w:val="center"/>
                </w:tcPr>
                <w:p w14:paraId="17BD632F">
                  <w:pPr>
                    <w:pStyle w:val="95"/>
                    <w:keepNext w:val="0"/>
                    <w:keepLines w:val="0"/>
                    <w:pageBreakBefore w:val="0"/>
                    <w:widowControl w:val="0"/>
                    <w:kinsoku/>
                    <w:wordWrap/>
                    <w:overflowPunct/>
                    <w:topLinePunct w:val="0"/>
                    <w:autoSpaceDE/>
                    <w:autoSpaceDN/>
                    <w:bidi w:val="0"/>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建筑物外噪声</w:t>
                  </w:r>
                </w:p>
              </w:tc>
            </w:tr>
            <w:tr w14:paraId="26FA316B">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57" w:type="pct"/>
                  <w:vMerge w:val="continue"/>
                  <w:noWrap w:val="0"/>
                  <w:vAlign w:val="center"/>
                </w:tcPr>
                <w:p w14:paraId="62215331">
                  <w:pPr>
                    <w:pStyle w:val="95"/>
                    <w:keepNext w:val="0"/>
                    <w:keepLines w:val="0"/>
                    <w:pageBreakBefore w:val="0"/>
                    <w:widowControl w:val="0"/>
                    <w:kinsoku/>
                    <w:wordWrap/>
                    <w:overflowPunct/>
                    <w:topLinePunct w:val="0"/>
                    <w:autoSpaceDE/>
                    <w:autoSpaceDN/>
                    <w:bidi w:val="0"/>
                    <w:jc w:val="center"/>
                    <w:textAlignment w:val="auto"/>
                    <w:rPr>
                      <w:b/>
                      <w:bCs/>
                      <w:color w:val="auto"/>
                      <w:sz w:val="21"/>
                      <w:szCs w:val="21"/>
                      <w:highlight w:val="none"/>
                    </w:rPr>
                  </w:pPr>
                </w:p>
              </w:tc>
              <w:tc>
                <w:tcPr>
                  <w:tcW w:w="157" w:type="pct"/>
                  <w:vMerge w:val="continue"/>
                  <w:noWrap w:val="0"/>
                  <w:vAlign w:val="center"/>
                </w:tcPr>
                <w:p w14:paraId="505A6F5A">
                  <w:pPr>
                    <w:pStyle w:val="95"/>
                    <w:keepNext w:val="0"/>
                    <w:keepLines w:val="0"/>
                    <w:pageBreakBefore w:val="0"/>
                    <w:widowControl w:val="0"/>
                    <w:kinsoku/>
                    <w:wordWrap/>
                    <w:overflowPunct/>
                    <w:topLinePunct w:val="0"/>
                    <w:autoSpaceDE/>
                    <w:autoSpaceDN/>
                    <w:bidi w:val="0"/>
                    <w:jc w:val="center"/>
                    <w:textAlignment w:val="auto"/>
                    <w:rPr>
                      <w:b/>
                      <w:bCs/>
                      <w:color w:val="auto"/>
                      <w:sz w:val="21"/>
                      <w:szCs w:val="21"/>
                      <w:highlight w:val="none"/>
                    </w:rPr>
                  </w:pPr>
                </w:p>
              </w:tc>
              <w:tc>
                <w:tcPr>
                  <w:tcW w:w="440" w:type="pct"/>
                  <w:vMerge w:val="continue"/>
                  <w:noWrap w:val="0"/>
                  <w:vAlign w:val="center"/>
                </w:tcPr>
                <w:p w14:paraId="0C348927">
                  <w:pPr>
                    <w:pStyle w:val="95"/>
                    <w:keepNext w:val="0"/>
                    <w:keepLines w:val="0"/>
                    <w:pageBreakBefore w:val="0"/>
                    <w:widowControl w:val="0"/>
                    <w:kinsoku/>
                    <w:wordWrap/>
                    <w:overflowPunct/>
                    <w:topLinePunct w:val="0"/>
                    <w:autoSpaceDE/>
                    <w:autoSpaceDN/>
                    <w:bidi w:val="0"/>
                    <w:jc w:val="center"/>
                    <w:textAlignment w:val="auto"/>
                    <w:rPr>
                      <w:b/>
                      <w:bCs/>
                      <w:color w:val="auto"/>
                      <w:sz w:val="21"/>
                      <w:szCs w:val="21"/>
                      <w:highlight w:val="none"/>
                    </w:rPr>
                  </w:pPr>
                </w:p>
              </w:tc>
              <w:tc>
                <w:tcPr>
                  <w:tcW w:w="157" w:type="pct"/>
                  <w:vMerge w:val="continue"/>
                  <w:noWrap w:val="0"/>
                  <w:vAlign w:val="center"/>
                </w:tcPr>
                <w:p w14:paraId="3F6AD5F7">
                  <w:pPr>
                    <w:pStyle w:val="95"/>
                    <w:keepNext w:val="0"/>
                    <w:keepLines w:val="0"/>
                    <w:pageBreakBefore w:val="0"/>
                    <w:widowControl w:val="0"/>
                    <w:kinsoku/>
                    <w:wordWrap/>
                    <w:overflowPunct/>
                    <w:topLinePunct w:val="0"/>
                    <w:autoSpaceDE/>
                    <w:autoSpaceDN/>
                    <w:bidi w:val="0"/>
                    <w:jc w:val="center"/>
                    <w:textAlignment w:val="auto"/>
                    <w:rPr>
                      <w:b/>
                      <w:bCs/>
                      <w:color w:val="auto"/>
                      <w:sz w:val="21"/>
                      <w:szCs w:val="21"/>
                      <w:highlight w:val="none"/>
                    </w:rPr>
                  </w:pPr>
                </w:p>
              </w:tc>
              <w:tc>
                <w:tcPr>
                  <w:tcW w:w="304" w:type="pct"/>
                  <w:vMerge w:val="continue"/>
                  <w:noWrap w:val="0"/>
                  <w:vAlign w:val="center"/>
                </w:tcPr>
                <w:p w14:paraId="107E56DD">
                  <w:pPr>
                    <w:pStyle w:val="95"/>
                    <w:keepNext w:val="0"/>
                    <w:keepLines w:val="0"/>
                    <w:pageBreakBefore w:val="0"/>
                    <w:widowControl w:val="0"/>
                    <w:kinsoku/>
                    <w:wordWrap/>
                    <w:overflowPunct/>
                    <w:topLinePunct w:val="0"/>
                    <w:autoSpaceDE/>
                    <w:autoSpaceDN/>
                    <w:bidi w:val="0"/>
                    <w:jc w:val="center"/>
                    <w:textAlignment w:val="auto"/>
                    <w:rPr>
                      <w:b/>
                      <w:bCs/>
                      <w:color w:val="auto"/>
                      <w:sz w:val="21"/>
                      <w:szCs w:val="21"/>
                      <w:highlight w:val="none"/>
                    </w:rPr>
                  </w:pPr>
                </w:p>
              </w:tc>
              <w:tc>
                <w:tcPr>
                  <w:tcW w:w="235" w:type="pct"/>
                  <w:vMerge w:val="continue"/>
                  <w:noWrap w:val="0"/>
                  <w:vAlign w:val="center"/>
                </w:tcPr>
                <w:p w14:paraId="2BE6E0DE">
                  <w:pPr>
                    <w:pStyle w:val="95"/>
                    <w:keepNext w:val="0"/>
                    <w:keepLines w:val="0"/>
                    <w:pageBreakBefore w:val="0"/>
                    <w:widowControl w:val="0"/>
                    <w:kinsoku/>
                    <w:wordWrap/>
                    <w:overflowPunct/>
                    <w:topLinePunct w:val="0"/>
                    <w:autoSpaceDE/>
                    <w:autoSpaceDN/>
                    <w:bidi w:val="0"/>
                    <w:jc w:val="center"/>
                    <w:textAlignment w:val="auto"/>
                    <w:rPr>
                      <w:b/>
                      <w:bCs/>
                      <w:color w:val="auto"/>
                      <w:sz w:val="21"/>
                      <w:szCs w:val="21"/>
                      <w:highlight w:val="none"/>
                    </w:rPr>
                  </w:pPr>
                </w:p>
              </w:tc>
              <w:tc>
                <w:tcPr>
                  <w:tcW w:w="313" w:type="pct"/>
                  <w:vMerge w:val="restart"/>
                  <w:noWrap w:val="0"/>
                  <w:vAlign w:val="center"/>
                </w:tcPr>
                <w:p w14:paraId="22F6326A">
                  <w:pPr>
                    <w:pStyle w:val="95"/>
                    <w:keepNext w:val="0"/>
                    <w:keepLines w:val="0"/>
                    <w:pageBreakBefore w:val="0"/>
                    <w:widowControl w:val="0"/>
                    <w:kinsoku/>
                    <w:wordWrap/>
                    <w:overflowPunct/>
                    <w:topLinePunct w:val="0"/>
                    <w:autoSpaceDE/>
                    <w:autoSpaceDN/>
                    <w:bidi w:val="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X</w:t>
                  </w:r>
                </w:p>
              </w:tc>
              <w:tc>
                <w:tcPr>
                  <w:tcW w:w="315" w:type="pct"/>
                  <w:vMerge w:val="restart"/>
                  <w:noWrap w:val="0"/>
                  <w:vAlign w:val="center"/>
                </w:tcPr>
                <w:p w14:paraId="175F91BF">
                  <w:pPr>
                    <w:pStyle w:val="95"/>
                    <w:keepNext w:val="0"/>
                    <w:keepLines w:val="0"/>
                    <w:pageBreakBefore w:val="0"/>
                    <w:widowControl w:val="0"/>
                    <w:kinsoku/>
                    <w:wordWrap/>
                    <w:overflowPunct/>
                    <w:topLinePunct w:val="0"/>
                    <w:autoSpaceDE/>
                    <w:autoSpaceDN/>
                    <w:bidi w:val="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Y</w:t>
                  </w:r>
                </w:p>
              </w:tc>
              <w:tc>
                <w:tcPr>
                  <w:tcW w:w="237" w:type="pct"/>
                  <w:vMerge w:val="restart"/>
                  <w:noWrap w:val="0"/>
                  <w:vAlign w:val="center"/>
                </w:tcPr>
                <w:p w14:paraId="1759F1B9">
                  <w:pPr>
                    <w:pStyle w:val="95"/>
                    <w:keepNext w:val="0"/>
                    <w:keepLines w:val="0"/>
                    <w:pageBreakBefore w:val="0"/>
                    <w:widowControl w:val="0"/>
                    <w:kinsoku/>
                    <w:wordWrap/>
                    <w:overflowPunct/>
                    <w:topLinePunct w:val="0"/>
                    <w:autoSpaceDE/>
                    <w:autoSpaceDN/>
                    <w:bidi w:val="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Z</w:t>
                  </w:r>
                </w:p>
              </w:tc>
              <w:tc>
                <w:tcPr>
                  <w:tcW w:w="187" w:type="pct"/>
                  <w:vMerge w:val="restart"/>
                  <w:noWrap w:val="0"/>
                  <w:vAlign w:val="center"/>
                </w:tcPr>
                <w:p w14:paraId="53E7B3EB">
                  <w:pPr>
                    <w:pStyle w:val="95"/>
                    <w:keepNext w:val="0"/>
                    <w:keepLines w:val="0"/>
                    <w:pageBreakBefore w:val="0"/>
                    <w:widowControl w:val="0"/>
                    <w:kinsoku/>
                    <w:wordWrap/>
                    <w:overflowPunct/>
                    <w:topLinePunct w:val="0"/>
                    <w:autoSpaceDE/>
                    <w:autoSpaceDN/>
                    <w:bidi w:val="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东</w:t>
                  </w:r>
                </w:p>
              </w:tc>
              <w:tc>
                <w:tcPr>
                  <w:tcW w:w="157" w:type="pct"/>
                  <w:vMerge w:val="restart"/>
                  <w:noWrap w:val="0"/>
                  <w:vAlign w:val="center"/>
                </w:tcPr>
                <w:p w14:paraId="21ACE433">
                  <w:pPr>
                    <w:pStyle w:val="95"/>
                    <w:keepNext w:val="0"/>
                    <w:keepLines w:val="0"/>
                    <w:pageBreakBefore w:val="0"/>
                    <w:widowControl w:val="0"/>
                    <w:kinsoku/>
                    <w:wordWrap/>
                    <w:overflowPunct/>
                    <w:topLinePunct w:val="0"/>
                    <w:autoSpaceDE/>
                    <w:autoSpaceDN/>
                    <w:bidi w:val="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南</w:t>
                  </w:r>
                </w:p>
              </w:tc>
              <w:tc>
                <w:tcPr>
                  <w:tcW w:w="190" w:type="pct"/>
                  <w:vMerge w:val="restart"/>
                  <w:noWrap w:val="0"/>
                  <w:vAlign w:val="center"/>
                </w:tcPr>
                <w:p w14:paraId="3E60C738">
                  <w:pPr>
                    <w:pStyle w:val="95"/>
                    <w:keepNext w:val="0"/>
                    <w:keepLines w:val="0"/>
                    <w:pageBreakBefore w:val="0"/>
                    <w:widowControl w:val="0"/>
                    <w:kinsoku/>
                    <w:wordWrap/>
                    <w:overflowPunct/>
                    <w:topLinePunct w:val="0"/>
                    <w:autoSpaceDE/>
                    <w:autoSpaceDN/>
                    <w:bidi w:val="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西</w:t>
                  </w:r>
                </w:p>
              </w:tc>
              <w:tc>
                <w:tcPr>
                  <w:tcW w:w="174" w:type="pct"/>
                  <w:vMerge w:val="restart"/>
                  <w:noWrap w:val="0"/>
                  <w:vAlign w:val="center"/>
                </w:tcPr>
                <w:p w14:paraId="4DE5BA51">
                  <w:pPr>
                    <w:pStyle w:val="95"/>
                    <w:keepNext w:val="0"/>
                    <w:keepLines w:val="0"/>
                    <w:pageBreakBefore w:val="0"/>
                    <w:widowControl w:val="0"/>
                    <w:kinsoku/>
                    <w:wordWrap/>
                    <w:overflowPunct/>
                    <w:topLinePunct w:val="0"/>
                    <w:autoSpaceDE/>
                    <w:autoSpaceDN/>
                    <w:bidi w:val="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北</w:t>
                  </w:r>
                </w:p>
              </w:tc>
              <w:tc>
                <w:tcPr>
                  <w:tcW w:w="157" w:type="pct"/>
                  <w:vMerge w:val="restart"/>
                  <w:shd w:val="clear" w:color="auto" w:fill="auto"/>
                  <w:noWrap w:val="0"/>
                  <w:vAlign w:val="center"/>
                </w:tcPr>
                <w:p w14:paraId="402FD0F7">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b/>
                      <w:bCs/>
                      <w:color w:val="auto"/>
                      <w:sz w:val="21"/>
                      <w:szCs w:val="21"/>
                      <w:highlight w:val="none"/>
                      <w:lang w:val="en-US" w:eastAsia="zh-CN"/>
                    </w:rPr>
                    <w:t>东</w:t>
                  </w:r>
                </w:p>
              </w:tc>
              <w:tc>
                <w:tcPr>
                  <w:tcW w:w="157" w:type="pct"/>
                  <w:vMerge w:val="restart"/>
                  <w:shd w:val="clear" w:color="auto" w:fill="auto"/>
                  <w:noWrap w:val="0"/>
                  <w:vAlign w:val="center"/>
                </w:tcPr>
                <w:p w14:paraId="12793670">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b/>
                      <w:bCs/>
                      <w:color w:val="auto"/>
                      <w:sz w:val="21"/>
                      <w:szCs w:val="21"/>
                      <w:highlight w:val="none"/>
                      <w:lang w:val="en-US" w:eastAsia="zh-CN"/>
                    </w:rPr>
                    <w:t>南</w:t>
                  </w:r>
                </w:p>
              </w:tc>
              <w:tc>
                <w:tcPr>
                  <w:tcW w:w="158" w:type="pct"/>
                  <w:vMerge w:val="restart"/>
                  <w:shd w:val="clear" w:color="auto" w:fill="auto"/>
                  <w:noWrap w:val="0"/>
                  <w:vAlign w:val="center"/>
                </w:tcPr>
                <w:p w14:paraId="75F7311D">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b/>
                      <w:bCs/>
                      <w:color w:val="auto"/>
                      <w:sz w:val="21"/>
                      <w:szCs w:val="21"/>
                      <w:highlight w:val="none"/>
                      <w:lang w:val="en-US" w:eastAsia="zh-CN"/>
                    </w:rPr>
                    <w:t>西</w:t>
                  </w:r>
                </w:p>
              </w:tc>
              <w:tc>
                <w:tcPr>
                  <w:tcW w:w="160" w:type="pct"/>
                  <w:vMerge w:val="restart"/>
                  <w:shd w:val="clear" w:color="auto" w:fill="auto"/>
                  <w:noWrap w:val="0"/>
                  <w:vAlign w:val="center"/>
                </w:tcPr>
                <w:p w14:paraId="452DF6A2">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b/>
                      <w:bCs/>
                      <w:color w:val="auto"/>
                      <w:sz w:val="21"/>
                      <w:szCs w:val="21"/>
                      <w:highlight w:val="none"/>
                      <w:lang w:val="en-US" w:eastAsia="zh-CN"/>
                    </w:rPr>
                    <w:t>北</w:t>
                  </w:r>
                </w:p>
              </w:tc>
              <w:tc>
                <w:tcPr>
                  <w:tcW w:w="235" w:type="pct"/>
                  <w:vMerge w:val="continue"/>
                  <w:noWrap w:val="0"/>
                  <w:vAlign w:val="center"/>
                </w:tcPr>
                <w:p w14:paraId="22EC402C">
                  <w:pPr>
                    <w:pStyle w:val="95"/>
                    <w:keepNext w:val="0"/>
                    <w:keepLines w:val="0"/>
                    <w:pageBreakBefore w:val="0"/>
                    <w:widowControl w:val="0"/>
                    <w:kinsoku/>
                    <w:wordWrap/>
                    <w:overflowPunct/>
                    <w:topLinePunct w:val="0"/>
                    <w:autoSpaceDE/>
                    <w:autoSpaceDN/>
                    <w:bidi w:val="0"/>
                    <w:jc w:val="center"/>
                    <w:textAlignment w:val="auto"/>
                    <w:rPr>
                      <w:rFonts w:hint="eastAsia"/>
                      <w:b/>
                      <w:bCs/>
                      <w:color w:val="auto"/>
                      <w:sz w:val="21"/>
                      <w:szCs w:val="21"/>
                      <w:highlight w:val="none"/>
                      <w:lang w:val="en-US" w:eastAsia="zh-CN"/>
                    </w:rPr>
                  </w:pPr>
                </w:p>
              </w:tc>
              <w:tc>
                <w:tcPr>
                  <w:tcW w:w="291" w:type="pct"/>
                  <w:vMerge w:val="continue"/>
                  <w:noWrap w:val="0"/>
                  <w:vAlign w:val="center"/>
                </w:tcPr>
                <w:p w14:paraId="4672F3A7">
                  <w:pPr>
                    <w:pStyle w:val="95"/>
                    <w:keepNext w:val="0"/>
                    <w:keepLines w:val="0"/>
                    <w:pageBreakBefore w:val="0"/>
                    <w:widowControl w:val="0"/>
                    <w:kinsoku/>
                    <w:wordWrap/>
                    <w:overflowPunct/>
                    <w:topLinePunct w:val="0"/>
                    <w:autoSpaceDE/>
                    <w:autoSpaceDN/>
                    <w:bidi w:val="0"/>
                    <w:jc w:val="center"/>
                    <w:textAlignment w:val="auto"/>
                    <w:rPr>
                      <w:rFonts w:hint="eastAsia"/>
                      <w:b/>
                      <w:bCs/>
                      <w:color w:val="auto"/>
                      <w:sz w:val="21"/>
                      <w:szCs w:val="21"/>
                      <w:highlight w:val="none"/>
                      <w:lang w:val="en-US" w:eastAsia="zh-CN"/>
                    </w:rPr>
                  </w:pPr>
                </w:p>
              </w:tc>
              <w:tc>
                <w:tcPr>
                  <w:tcW w:w="634" w:type="pct"/>
                  <w:gridSpan w:val="4"/>
                  <w:noWrap w:val="0"/>
                  <w:vAlign w:val="center"/>
                </w:tcPr>
                <w:p w14:paraId="367FD439">
                  <w:pPr>
                    <w:pStyle w:val="95"/>
                    <w:keepNext w:val="0"/>
                    <w:keepLines w:val="0"/>
                    <w:pageBreakBefore w:val="0"/>
                    <w:widowControl w:val="0"/>
                    <w:kinsoku/>
                    <w:wordWrap/>
                    <w:overflowPunct/>
                    <w:topLinePunct w:val="0"/>
                    <w:autoSpaceDE/>
                    <w:autoSpaceDN/>
                    <w:bidi w:val="0"/>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声压级</w:t>
                  </w:r>
                </w:p>
                <w:p w14:paraId="4FE16EB2">
                  <w:pPr>
                    <w:pStyle w:val="95"/>
                    <w:keepNext w:val="0"/>
                    <w:keepLines w:val="0"/>
                    <w:pageBreakBefore w:val="0"/>
                    <w:widowControl w:val="0"/>
                    <w:kinsoku/>
                    <w:wordWrap/>
                    <w:overflowPunct/>
                    <w:topLinePunct w:val="0"/>
                    <w:autoSpaceDE/>
                    <w:autoSpaceDN/>
                    <w:bidi w:val="0"/>
                    <w:jc w:val="center"/>
                    <w:textAlignment w:val="auto"/>
                    <w:rPr>
                      <w:rFonts w:hint="default"/>
                      <w:b/>
                      <w:bCs/>
                      <w:color w:val="auto"/>
                      <w:sz w:val="21"/>
                      <w:szCs w:val="21"/>
                      <w:highlight w:val="none"/>
                      <w:lang w:val="en-US" w:eastAsia="zh-CN"/>
                    </w:rPr>
                  </w:pPr>
                  <w:r>
                    <w:rPr>
                      <w:rFonts w:hint="default"/>
                      <w:b/>
                      <w:bCs/>
                      <w:color w:val="auto"/>
                      <w:sz w:val="21"/>
                      <w:szCs w:val="21"/>
                      <w:highlight w:val="none"/>
                      <w:lang w:val="en-US" w:eastAsia="zh-CN"/>
                    </w:rPr>
                    <w:t>/dB</w:t>
                  </w:r>
                  <w:r>
                    <w:rPr>
                      <w:rFonts w:hint="eastAsia"/>
                      <w:b/>
                      <w:bCs/>
                      <w:color w:val="auto"/>
                      <w:sz w:val="21"/>
                      <w:szCs w:val="21"/>
                      <w:highlight w:val="none"/>
                      <w:lang w:val="en-US" w:eastAsia="zh-CN"/>
                    </w:rPr>
                    <w:t>（</w:t>
                  </w:r>
                  <w:r>
                    <w:rPr>
                      <w:rFonts w:hint="default"/>
                      <w:b/>
                      <w:bCs/>
                      <w:color w:val="auto"/>
                      <w:sz w:val="21"/>
                      <w:szCs w:val="21"/>
                      <w:highlight w:val="none"/>
                      <w:lang w:val="en-US" w:eastAsia="zh-CN"/>
                    </w:rPr>
                    <w:t>A</w:t>
                  </w:r>
                  <w:r>
                    <w:rPr>
                      <w:rFonts w:hint="eastAsia"/>
                      <w:b/>
                      <w:bCs/>
                      <w:color w:val="auto"/>
                      <w:sz w:val="21"/>
                      <w:szCs w:val="21"/>
                      <w:highlight w:val="none"/>
                      <w:lang w:val="en-US" w:eastAsia="zh-CN"/>
                    </w:rPr>
                    <w:t>）</w:t>
                  </w:r>
                </w:p>
              </w:tc>
              <w:tc>
                <w:tcPr>
                  <w:tcW w:w="173" w:type="pct"/>
                  <w:vMerge w:val="restart"/>
                  <w:noWrap w:val="0"/>
                  <w:vAlign w:val="center"/>
                </w:tcPr>
                <w:p w14:paraId="25003695">
                  <w:pPr>
                    <w:pStyle w:val="95"/>
                    <w:keepNext w:val="0"/>
                    <w:keepLines w:val="0"/>
                    <w:pageBreakBefore w:val="0"/>
                    <w:widowControl w:val="0"/>
                    <w:kinsoku/>
                    <w:wordWrap/>
                    <w:overflowPunct/>
                    <w:topLinePunct w:val="0"/>
                    <w:autoSpaceDE/>
                    <w:autoSpaceDN/>
                    <w:bidi w:val="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建筑物外距离m</w:t>
                  </w:r>
                </w:p>
              </w:tc>
            </w:tr>
            <w:tr w14:paraId="313E7F2E">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57" w:type="pct"/>
                  <w:vMerge w:val="continue"/>
                  <w:noWrap w:val="0"/>
                  <w:vAlign w:val="center"/>
                </w:tcPr>
                <w:p w14:paraId="6795B93E">
                  <w:pPr>
                    <w:pStyle w:val="95"/>
                    <w:keepNext w:val="0"/>
                    <w:keepLines w:val="0"/>
                    <w:pageBreakBefore w:val="0"/>
                    <w:widowControl w:val="0"/>
                    <w:kinsoku/>
                    <w:wordWrap/>
                    <w:overflowPunct/>
                    <w:topLinePunct w:val="0"/>
                    <w:autoSpaceDE/>
                    <w:autoSpaceDN/>
                    <w:bidi w:val="0"/>
                    <w:jc w:val="center"/>
                    <w:textAlignment w:val="auto"/>
                    <w:rPr>
                      <w:color w:val="auto"/>
                      <w:sz w:val="21"/>
                      <w:szCs w:val="21"/>
                    </w:rPr>
                  </w:pPr>
                </w:p>
              </w:tc>
              <w:tc>
                <w:tcPr>
                  <w:tcW w:w="157" w:type="pct"/>
                  <w:vMerge w:val="continue"/>
                  <w:noWrap w:val="0"/>
                  <w:vAlign w:val="center"/>
                </w:tcPr>
                <w:p w14:paraId="37C64112">
                  <w:pPr>
                    <w:pStyle w:val="95"/>
                    <w:keepNext w:val="0"/>
                    <w:keepLines w:val="0"/>
                    <w:pageBreakBefore w:val="0"/>
                    <w:widowControl w:val="0"/>
                    <w:kinsoku/>
                    <w:wordWrap/>
                    <w:overflowPunct/>
                    <w:topLinePunct w:val="0"/>
                    <w:autoSpaceDE/>
                    <w:autoSpaceDN/>
                    <w:bidi w:val="0"/>
                    <w:jc w:val="center"/>
                    <w:textAlignment w:val="auto"/>
                    <w:rPr>
                      <w:color w:val="auto"/>
                      <w:sz w:val="21"/>
                      <w:szCs w:val="21"/>
                    </w:rPr>
                  </w:pPr>
                </w:p>
              </w:tc>
              <w:tc>
                <w:tcPr>
                  <w:tcW w:w="440" w:type="pct"/>
                  <w:vMerge w:val="continue"/>
                  <w:noWrap w:val="0"/>
                  <w:vAlign w:val="center"/>
                </w:tcPr>
                <w:p w14:paraId="25DD70B2">
                  <w:pPr>
                    <w:pStyle w:val="95"/>
                    <w:keepNext w:val="0"/>
                    <w:keepLines w:val="0"/>
                    <w:pageBreakBefore w:val="0"/>
                    <w:widowControl w:val="0"/>
                    <w:kinsoku/>
                    <w:wordWrap/>
                    <w:overflowPunct/>
                    <w:topLinePunct w:val="0"/>
                    <w:autoSpaceDE/>
                    <w:autoSpaceDN/>
                    <w:bidi w:val="0"/>
                    <w:jc w:val="center"/>
                    <w:textAlignment w:val="auto"/>
                    <w:rPr>
                      <w:color w:val="auto"/>
                      <w:sz w:val="21"/>
                      <w:szCs w:val="21"/>
                    </w:rPr>
                  </w:pPr>
                </w:p>
              </w:tc>
              <w:tc>
                <w:tcPr>
                  <w:tcW w:w="157" w:type="pct"/>
                  <w:vMerge w:val="continue"/>
                  <w:noWrap w:val="0"/>
                  <w:vAlign w:val="center"/>
                </w:tcPr>
                <w:p w14:paraId="32666358">
                  <w:pPr>
                    <w:pStyle w:val="95"/>
                    <w:keepNext w:val="0"/>
                    <w:keepLines w:val="0"/>
                    <w:pageBreakBefore w:val="0"/>
                    <w:widowControl w:val="0"/>
                    <w:kinsoku/>
                    <w:wordWrap/>
                    <w:overflowPunct/>
                    <w:topLinePunct w:val="0"/>
                    <w:autoSpaceDE/>
                    <w:autoSpaceDN/>
                    <w:bidi w:val="0"/>
                    <w:jc w:val="center"/>
                    <w:textAlignment w:val="auto"/>
                    <w:rPr>
                      <w:color w:val="auto"/>
                      <w:sz w:val="21"/>
                      <w:szCs w:val="21"/>
                    </w:rPr>
                  </w:pPr>
                </w:p>
              </w:tc>
              <w:tc>
                <w:tcPr>
                  <w:tcW w:w="304" w:type="pct"/>
                  <w:vMerge w:val="continue"/>
                  <w:noWrap w:val="0"/>
                  <w:vAlign w:val="center"/>
                </w:tcPr>
                <w:p w14:paraId="7B7E2132">
                  <w:pPr>
                    <w:pStyle w:val="95"/>
                    <w:keepNext w:val="0"/>
                    <w:keepLines w:val="0"/>
                    <w:pageBreakBefore w:val="0"/>
                    <w:widowControl w:val="0"/>
                    <w:kinsoku/>
                    <w:wordWrap/>
                    <w:overflowPunct/>
                    <w:topLinePunct w:val="0"/>
                    <w:autoSpaceDE/>
                    <w:autoSpaceDN/>
                    <w:bidi w:val="0"/>
                    <w:jc w:val="center"/>
                    <w:textAlignment w:val="auto"/>
                    <w:rPr>
                      <w:color w:val="auto"/>
                      <w:sz w:val="21"/>
                      <w:szCs w:val="21"/>
                    </w:rPr>
                  </w:pPr>
                </w:p>
              </w:tc>
              <w:tc>
                <w:tcPr>
                  <w:tcW w:w="235" w:type="pct"/>
                  <w:vMerge w:val="continue"/>
                  <w:noWrap w:val="0"/>
                  <w:vAlign w:val="center"/>
                </w:tcPr>
                <w:p w14:paraId="274FCE62">
                  <w:pPr>
                    <w:pStyle w:val="95"/>
                    <w:keepNext w:val="0"/>
                    <w:keepLines w:val="0"/>
                    <w:pageBreakBefore w:val="0"/>
                    <w:widowControl w:val="0"/>
                    <w:kinsoku/>
                    <w:wordWrap/>
                    <w:overflowPunct/>
                    <w:topLinePunct w:val="0"/>
                    <w:autoSpaceDE/>
                    <w:autoSpaceDN/>
                    <w:bidi w:val="0"/>
                    <w:jc w:val="center"/>
                    <w:textAlignment w:val="auto"/>
                    <w:rPr>
                      <w:color w:val="auto"/>
                      <w:sz w:val="21"/>
                      <w:szCs w:val="21"/>
                    </w:rPr>
                  </w:pPr>
                </w:p>
              </w:tc>
              <w:tc>
                <w:tcPr>
                  <w:tcW w:w="313" w:type="pct"/>
                  <w:vMerge w:val="continue"/>
                  <w:noWrap w:val="0"/>
                  <w:vAlign w:val="center"/>
                </w:tcPr>
                <w:p w14:paraId="48061EEF">
                  <w:pPr>
                    <w:pStyle w:val="95"/>
                    <w:keepNext w:val="0"/>
                    <w:keepLines w:val="0"/>
                    <w:pageBreakBefore w:val="0"/>
                    <w:widowControl w:val="0"/>
                    <w:kinsoku/>
                    <w:wordWrap/>
                    <w:overflowPunct/>
                    <w:topLinePunct w:val="0"/>
                    <w:autoSpaceDE/>
                    <w:autoSpaceDN/>
                    <w:bidi w:val="0"/>
                    <w:jc w:val="center"/>
                    <w:textAlignment w:val="auto"/>
                    <w:rPr>
                      <w:color w:val="auto"/>
                      <w:sz w:val="21"/>
                      <w:szCs w:val="21"/>
                    </w:rPr>
                  </w:pPr>
                </w:p>
              </w:tc>
              <w:tc>
                <w:tcPr>
                  <w:tcW w:w="315" w:type="pct"/>
                  <w:vMerge w:val="continue"/>
                  <w:noWrap w:val="0"/>
                  <w:vAlign w:val="center"/>
                </w:tcPr>
                <w:p w14:paraId="1BAF4DD7">
                  <w:pPr>
                    <w:pStyle w:val="95"/>
                    <w:keepNext w:val="0"/>
                    <w:keepLines w:val="0"/>
                    <w:pageBreakBefore w:val="0"/>
                    <w:widowControl w:val="0"/>
                    <w:kinsoku/>
                    <w:wordWrap/>
                    <w:overflowPunct/>
                    <w:topLinePunct w:val="0"/>
                    <w:autoSpaceDE/>
                    <w:autoSpaceDN/>
                    <w:bidi w:val="0"/>
                    <w:jc w:val="center"/>
                    <w:textAlignment w:val="auto"/>
                    <w:rPr>
                      <w:color w:val="auto"/>
                      <w:sz w:val="21"/>
                      <w:szCs w:val="21"/>
                    </w:rPr>
                  </w:pPr>
                </w:p>
              </w:tc>
              <w:tc>
                <w:tcPr>
                  <w:tcW w:w="237" w:type="pct"/>
                  <w:vMerge w:val="continue"/>
                  <w:noWrap w:val="0"/>
                  <w:vAlign w:val="center"/>
                </w:tcPr>
                <w:p w14:paraId="76881F00">
                  <w:pPr>
                    <w:pStyle w:val="95"/>
                    <w:keepNext w:val="0"/>
                    <w:keepLines w:val="0"/>
                    <w:pageBreakBefore w:val="0"/>
                    <w:widowControl w:val="0"/>
                    <w:kinsoku/>
                    <w:wordWrap/>
                    <w:overflowPunct/>
                    <w:topLinePunct w:val="0"/>
                    <w:autoSpaceDE/>
                    <w:autoSpaceDN/>
                    <w:bidi w:val="0"/>
                    <w:jc w:val="center"/>
                    <w:textAlignment w:val="auto"/>
                    <w:rPr>
                      <w:color w:val="auto"/>
                      <w:sz w:val="21"/>
                      <w:szCs w:val="21"/>
                    </w:rPr>
                  </w:pPr>
                </w:p>
              </w:tc>
              <w:tc>
                <w:tcPr>
                  <w:tcW w:w="187" w:type="pct"/>
                  <w:vMerge w:val="continue"/>
                  <w:noWrap w:val="0"/>
                  <w:vAlign w:val="center"/>
                </w:tcPr>
                <w:p w14:paraId="19ACEEF7">
                  <w:pPr>
                    <w:pStyle w:val="95"/>
                    <w:keepNext w:val="0"/>
                    <w:keepLines w:val="0"/>
                    <w:pageBreakBefore w:val="0"/>
                    <w:widowControl w:val="0"/>
                    <w:kinsoku/>
                    <w:wordWrap/>
                    <w:overflowPunct/>
                    <w:topLinePunct w:val="0"/>
                    <w:autoSpaceDE/>
                    <w:autoSpaceDN/>
                    <w:bidi w:val="0"/>
                    <w:jc w:val="center"/>
                    <w:textAlignment w:val="auto"/>
                    <w:rPr>
                      <w:color w:val="auto"/>
                      <w:sz w:val="21"/>
                      <w:szCs w:val="21"/>
                    </w:rPr>
                  </w:pPr>
                </w:p>
              </w:tc>
              <w:tc>
                <w:tcPr>
                  <w:tcW w:w="157" w:type="pct"/>
                  <w:vMerge w:val="continue"/>
                  <w:noWrap w:val="0"/>
                  <w:vAlign w:val="center"/>
                </w:tcPr>
                <w:p w14:paraId="1933EEB8">
                  <w:pPr>
                    <w:pStyle w:val="95"/>
                    <w:keepNext w:val="0"/>
                    <w:keepLines w:val="0"/>
                    <w:pageBreakBefore w:val="0"/>
                    <w:widowControl w:val="0"/>
                    <w:kinsoku/>
                    <w:wordWrap/>
                    <w:overflowPunct/>
                    <w:topLinePunct w:val="0"/>
                    <w:autoSpaceDE/>
                    <w:autoSpaceDN/>
                    <w:bidi w:val="0"/>
                    <w:jc w:val="center"/>
                    <w:textAlignment w:val="auto"/>
                    <w:rPr>
                      <w:color w:val="auto"/>
                      <w:sz w:val="21"/>
                      <w:szCs w:val="21"/>
                    </w:rPr>
                  </w:pPr>
                </w:p>
              </w:tc>
              <w:tc>
                <w:tcPr>
                  <w:tcW w:w="190" w:type="pct"/>
                  <w:vMerge w:val="continue"/>
                  <w:noWrap w:val="0"/>
                  <w:vAlign w:val="center"/>
                </w:tcPr>
                <w:p w14:paraId="6B2EEE1F">
                  <w:pPr>
                    <w:pStyle w:val="95"/>
                    <w:keepNext w:val="0"/>
                    <w:keepLines w:val="0"/>
                    <w:pageBreakBefore w:val="0"/>
                    <w:widowControl w:val="0"/>
                    <w:kinsoku/>
                    <w:wordWrap/>
                    <w:overflowPunct/>
                    <w:topLinePunct w:val="0"/>
                    <w:autoSpaceDE/>
                    <w:autoSpaceDN/>
                    <w:bidi w:val="0"/>
                    <w:jc w:val="center"/>
                    <w:textAlignment w:val="auto"/>
                    <w:rPr>
                      <w:color w:val="auto"/>
                      <w:sz w:val="21"/>
                      <w:szCs w:val="21"/>
                    </w:rPr>
                  </w:pPr>
                </w:p>
              </w:tc>
              <w:tc>
                <w:tcPr>
                  <w:tcW w:w="174" w:type="pct"/>
                  <w:vMerge w:val="continue"/>
                  <w:noWrap w:val="0"/>
                  <w:vAlign w:val="center"/>
                </w:tcPr>
                <w:p w14:paraId="727DE901">
                  <w:pPr>
                    <w:pStyle w:val="95"/>
                    <w:keepNext w:val="0"/>
                    <w:keepLines w:val="0"/>
                    <w:pageBreakBefore w:val="0"/>
                    <w:widowControl w:val="0"/>
                    <w:kinsoku/>
                    <w:wordWrap/>
                    <w:overflowPunct/>
                    <w:topLinePunct w:val="0"/>
                    <w:autoSpaceDE/>
                    <w:autoSpaceDN/>
                    <w:bidi w:val="0"/>
                    <w:jc w:val="center"/>
                    <w:textAlignment w:val="auto"/>
                    <w:rPr>
                      <w:color w:val="auto"/>
                      <w:sz w:val="21"/>
                      <w:szCs w:val="21"/>
                    </w:rPr>
                  </w:pPr>
                </w:p>
              </w:tc>
              <w:tc>
                <w:tcPr>
                  <w:tcW w:w="157" w:type="pct"/>
                  <w:vMerge w:val="continue"/>
                  <w:shd w:val="clear" w:color="auto" w:fill="auto"/>
                  <w:noWrap w:val="0"/>
                  <w:vAlign w:val="center"/>
                </w:tcPr>
                <w:p w14:paraId="7D58F9A2">
                  <w:pPr>
                    <w:pStyle w:val="95"/>
                    <w:keepNext w:val="0"/>
                    <w:keepLines w:val="0"/>
                    <w:pageBreakBefore w:val="0"/>
                    <w:widowControl w:val="0"/>
                    <w:kinsoku/>
                    <w:wordWrap/>
                    <w:overflowPunct/>
                    <w:topLinePunct w:val="0"/>
                    <w:autoSpaceDE/>
                    <w:autoSpaceDN/>
                    <w:bidi w:val="0"/>
                    <w:jc w:val="center"/>
                    <w:textAlignment w:val="auto"/>
                    <w:rPr>
                      <w:color w:val="auto"/>
                      <w:sz w:val="21"/>
                      <w:szCs w:val="21"/>
                    </w:rPr>
                  </w:pPr>
                </w:p>
              </w:tc>
              <w:tc>
                <w:tcPr>
                  <w:tcW w:w="157" w:type="pct"/>
                  <w:vMerge w:val="continue"/>
                  <w:shd w:val="clear" w:color="auto" w:fill="auto"/>
                  <w:noWrap w:val="0"/>
                  <w:vAlign w:val="center"/>
                </w:tcPr>
                <w:p w14:paraId="3C47A4A9">
                  <w:pPr>
                    <w:pStyle w:val="95"/>
                    <w:keepNext w:val="0"/>
                    <w:keepLines w:val="0"/>
                    <w:pageBreakBefore w:val="0"/>
                    <w:widowControl w:val="0"/>
                    <w:kinsoku/>
                    <w:wordWrap/>
                    <w:overflowPunct/>
                    <w:topLinePunct w:val="0"/>
                    <w:autoSpaceDE/>
                    <w:autoSpaceDN/>
                    <w:bidi w:val="0"/>
                    <w:jc w:val="center"/>
                    <w:textAlignment w:val="auto"/>
                    <w:rPr>
                      <w:color w:val="auto"/>
                      <w:sz w:val="21"/>
                      <w:szCs w:val="21"/>
                    </w:rPr>
                  </w:pPr>
                </w:p>
              </w:tc>
              <w:tc>
                <w:tcPr>
                  <w:tcW w:w="158" w:type="pct"/>
                  <w:vMerge w:val="continue"/>
                  <w:shd w:val="clear" w:color="auto" w:fill="auto"/>
                  <w:noWrap w:val="0"/>
                  <w:vAlign w:val="center"/>
                </w:tcPr>
                <w:p w14:paraId="2AD2CFCE">
                  <w:pPr>
                    <w:pStyle w:val="95"/>
                    <w:keepNext w:val="0"/>
                    <w:keepLines w:val="0"/>
                    <w:pageBreakBefore w:val="0"/>
                    <w:widowControl w:val="0"/>
                    <w:kinsoku/>
                    <w:wordWrap/>
                    <w:overflowPunct/>
                    <w:topLinePunct w:val="0"/>
                    <w:autoSpaceDE/>
                    <w:autoSpaceDN/>
                    <w:bidi w:val="0"/>
                    <w:jc w:val="center"/>
                    <w:textAlignment w:val="auto"/>
                    <w:rPr>
                      <w:color w:val="auto"/>
                      <w:sz w:val="21"/>
                      <w:szCs w:val="21"/>
                    </w:rPr>
                  </w:pPr>
                </w:p>
              </w:tc>
              <w:tc>
                <w:tcPr>
                  <w:tcW w:w="160" w:type="pct"/>
                  <w:vMerge w:val="continue"/>
                  <w:shd w:val="clear" w:color="auto" w:fill="auto"/>
                  <w:noWrap w:val="0"/>
                  <w:vAlign w:val="center"/>
                </w:tcPr>
                <w:p w14:paraId="0E09016F">
                  <w:pPr>
                    <w:pStyle w:val="95"/>
                    <w:keepNext w:val="0"/>
                    <w:keepLines w:val="0"/>
                    <w:pageBreakBefore w:val="0"/>
                    <w:widowControl w:val="0"/>
                    <w:kinsoku/>
                    <w:wordWrap/>
                    <w:overflowPunct/>
                    <w:topLinePunct w:val="0"/>
                    <w:autoSpaceDE/>
                    <w:autoSpaceDN/>
                    <w:bidi w:val="0"/>
                    <w:jc w:val="center"/>
                    <w:textAlignment w:val="auto"/>
                    <w:rPr>
                      <w:color w:val="auto"/>
                      <w:sz w:val="21"/>
                      <w:szCs w:val="21"/>
                    </w:rPr>
                  </w:pPr>
                </w:p>
              </w:tc>
              <w:tc>
                <w:tcPr>
                  <w:tcW w:w="235" w:type="pct"/>
                  <w:vMerge w:val="continue"/>
                  <w:noWrap w:val="0"/>
                  <w:vAlign w:val="center"/>
                </w:tcPr>
                <w:p w14:paraId="7FA9AF6C">
                  <w:pPr>
                    <w:pStyle w:val="95"/>
                    <w:keepNext w:val="0"/>
                    <w:keepLines w:val="0"/>
                    <w:pageBreakBefore w:val="0"/>
                    <w:widowControl w:val="0"/>
                    <w:kinsoku/>
                    <w:wordWrap/>
                    <w:overflowPunct/>
                    <w:topLinePunct w:val="0"/>
                    <w:autoSpaceDE/>
                    <w:autoSpaceDN/>
                    <w:bidi w:val="0"/>
                    <w:jc w:val="center"/>
                    <w:textAlignment w:val="auto"/>
                    <w:rPr>
                      <w:color w:val="auto"/>
                      <w:sz w:val="21"/>
                      <w:szCs w:val="21"/>
                    </w:rPr>
                  </w:pPr>
                </w:p>
              </w:tc>
              <w:tc>
                <w:tcPr>
                  <w:tcW w:w="291" w:type="pct"/>
                  <w:vMerge w:val="continue"/>
                  <w:noWrap w:val="0"/>
                  <w:vAlign w:val="center"/>
                </w:tcPr>
                <w:p w14:paraId="01FF4252">
                  <w:pPr>
                    <w:pStyle w:val="95"/>
                    <w:keepNext w:val="0"/>
                    <w:keepLines w:val="0"/>
                    <w:pageBreakBefore w:val="0"/>
                    <w:widowControl w:val="0"/>
                    <w:kinsoku/>
                    <w:wordWrap/>
                    <w:overflowPunct/>
                    <w:topLinePunct w:val="0"/>
                    <w:autoSpaceDE/>
                    <w:autoSpaceDN/>
                    <w:bidi w:val="0"/>
                    <w:jc w:val="center"/>
                    <w:textAlignment w:val="auto"/>
                    <w:rPr>
                      <w:color w:val="auto"/>
                      <w:sz w:val="21"/>
                      <w:szCs w:val="21"/>
                    </w:rPr>
                  </w:pPr>
                </w:p>
              </w:tc>
              <w:tc>
                <w:tcPr>
                  <w:tcW w:w="157" w:type="pct"/>
                  <w:shd w:val="clear" w:color="auto" w:fill="auto"/>
                  <w:noWrap w:val="0"/>
                  <w:vAlign w:val="center"/>
                </w:tcPr>
                <w:p w14:paraId="24D2836E">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b/>
                      <w:bCs/>
                      <w:color w:val="auto"/>
                      <w:sz w:val="21"/>
                      <w:szCs w:val="21"/>
                      <w:highlight w:val="none"/>
                      <w:lang w:val="en-US" w:eastAsia="zh-CN"/>
                    </w:rPr>
                    <w:t>东</w:t>
                  </w:r>
                </w:p>
              </w:tc>
              <w:tc>
                <w:tcPr>
                  <w:tcW w:w="157" w:type="pct"/>
                  <w:shd w:val="clear" w:color="auto" w:fill="auto"/>
                  <w:noWrap w:val="0"/>
                  <w:vAlign w:val="center"/>
                </w:tcPr>
                <w:p w14:paraId="688ABD16">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b/>
                      <w:bCs/>
                      <w:color w:val="auto"/>
                      <w:sz w:val="21"/>
                      <w:szCs w:val="21"/>
                      <w:highlight w:val="none"/>
                      <w:lang w:val="en-US" w:eastAsia="zh-CN"/>
                    </w:rPr>
                    <w:t>南</w:t>
                  </w:r>
                </w:p>
              </w:tc>
              <w:tc>
                <w:tcPr>
                  <w:tcW w:w="157" w:type="pct"/>
                  <w:shd w:val="clear" w:color="auto" w:fill="auto"/>
                  <w:noWrap w:val="0"/>
                  <w:vAlign w:val="center"/>
                </w:tcPr>
                <w:p w14:paraId="22449CA1">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b/>
                      <w:bCs/>
                      <w:color w:val="auto"/>
                      <w:sz w:val="21"/>
                      <w:szCs w:val="21"/>
                      <w:highlight w:val="none"/>
                      <w:lang w:val="en-US" w:eastAsia="zh-CN"/>
                    </w:rPr>
                    <w:t>西</w:t>
                  </w:r>
                </w:p>
              </w:tc>
              <w:tc>
                <w:tcPr>
                  <w:tcW w:w="161" w:type="pct"/>
                  <w:shd w:val="clear" w:color="auto" w:fill="auto"/>
                  <w:noWrap w:val="0"/>
                  <w:vAlign w:val="center"/>
                </w:tcPr>
                <w:p w14:paraId="0D677D7A">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b/>
                      <w:bCs/>
                      <w:color w:val="auto"/>
                      <w:sz w:val="21"/>
                      <w:szCs w:val="21"/>
                      <w:highlight w:val="none"/>
                      <w:lang w:val="en-US" w:eastAsia="zh-CN"/>
                    </w:rPr>
                    <w:t>北</w:t>
                  </w:r>
                </w:p>
              </w:tc>
              <w:tc>
                <w:tcPr>
                  <w:tcW w:w="173" w:type="pct"/>
                  <w:vMerge w:val="continue"/>
                  <w:noWrap w:val="0"/>
                  <w:vAlign w:val="center"/>
                </w:tcPr>
                <w:p w14:paraId="0495B413">
                  <w:pPr>
                    <w:pStyle w:val="95"/>
                    <w:keepNext w:val="0"/>
                    <w:keepLines w:val="0"/>
                    <w:pageBreakBefore w:val="0"/>
                    <w:widowControl w:val="0"/>
                    <w:kinsoku/>
                    <w:wordWrap/>
                    <w:overflowPunct/>
                    <w:topLinePunct w:val="0"/>
                    <w:autoSpaceDE/>
                    <w:autoSpaceDN/>
                    <w:bidi w:val="0"/>
                    <w:jc w:val="center"/>
                    <w:textAlignment w:val="auto"/>
                    <w:rPr>
                      <w:color w:val="auto"/>
                      <w:sz w:val="21"/>
                      <w:szCs w:val="21"/>
                    </w:rPr>
                  </w:pPr>
                </w:p>
              </w:tc>
            </w:tr>
            <w:tr w14:paraId="48A3015A">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57" w:type="pct"/>
                  <w:vMerge w:val="restart"/>
                  <w:noWrap w:val="0"/>
                  <w:vAlign w:val="center"/>
                </w:tcPr>
                <w:p w14:paraId="47F1E813">
                  <w:pPr>
                    <w:pStyle w:val="95"/>
                    <w:keepNext w:val="0"/>
                    <w:keepLines w:val="0"/>
                    <w:pageBreakBefore w:val="0"/>
                    <w:widowControl w:val="0"/>
                    <w:kinsoku/>
                    <w:wordWrap/>
                    <w:overflowPunct/>
                    <w:topLinePunct w:val="0"/>
                    <w:autoSpaceDE/>
                    <w:autoSpaceDN/>
                    <w:bidi w:val="0"/>
                    <w:jc w:val="center"/>
                    <w:textAlignment w:val="auto"/>
                    <w:rPr>
                      <w:rFonts w:hint="eastAsia"/>
                      <w:color w:val="auto"/>
                      <w:sz w:val="21"/>
                      <w:szCs w:val="21"/>
                      <w:highlight w:val="none"/>
                      <w:lang w:eastAsia="zh-CN"/>
                    </w:rPr>
                  </w:pPr>
                  <w:r>
                    <w:rPr>
                      <w:rFonts w:hint="eastAsia"/>
                      <w:color w:val="auto"/>
                      <w:sz w:val="21"/>
                      <w:szCs w:val="21"/>
                      <w:highlight w:val="none"/>
                      <w:lang w:val="en-US" w:eastAsia="zh-CN"/>
                    </w:rPr>
                    <w:t>1</w:t>
                  </w:r>
                </w:p>
              </w:tc>
              <w:tc>
                <w:tcPr>
                  <w:tcW w:w="157" w:type="pct"/>
                  <w:vMerge w:val="restart"/>
                  <w:noWrap w:val="0"/>
                  <w:vAlign w:val="center"/>
                </w:tcPr>
                <w:p w14:paraId="44881C26">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住院综合楼及裙房</w:t>
                  </w:r>
                </w:p>
              </w:tc>
              <w:tc>
                <w:tcPr>
                  <w:tcW w:w="440" w:type="pct"/>
                  <w:shd w:val="clear" w:color="auto" w:fill="auto"/>
                  <w:noWrap w:val="0"/>
                  <w:vAlign w:val="center"/>
                </w:tcPr>
                <w:p w14:paraId="02F2CDAD">
                  <w:pPr>
                    <w:pStyle w:val="95"/>
                    <w:widowControl w:val="0"/>
                    <w:ind w:firstLine="0" w:firstLineChars="0"/>
                    <w:rPr>
                      <w:rFonts w:hint="default" w:ascii="Times New Roman" w:hAnsi="Times New Roman" w:eastAsia="宋体" w:cstheme="minorBidi"/>
                      <w:color w:val="auto"/>
                      <w:kern w:val="2"/>
                      <w:sz w:val="21"/>
                      <w:szCs w:val="21"/>
                      <w:highlight w:val="none"/>
                      <w:lang w:val="en-US" w:eastAsia="zh-CN" w:bidi="ar-SA"/>
                    </w:rPr>
                  </w:pPr>
                  <w:r>
                    <w:rPr>
                      <w:rFonts w:hint="eastAsia" w:cs="Times New Roman"/>
                      <w:sz w:val="21"/>
                      <w:szCs w:val="21"/>
                      <w:lang w:val="en-US" w:eastAsia="zh-CN"/>
                    </w:rPr>
                    <w:t>各类抽排风机组</w:t>
                  </w:r>
                </w:p>
              </w:tc>
              <w:tc>
                <w:tcPr>
                  <w:tcW w:w="157" w:type="pct"/>
                  <w:shd w:val="clear" w:color="auto" w:fill="auto"/>
                  <w:noWrap w:val="0"/>
                  <w:vAlign w:val="center"/>
                </w:tcPr>
                <w:p w14:paraId="79744A29">
                  <w:pPr>
                    <w:spacing w:line="240" w:lineRule="auto"/>
                    <w:ind w:firstLine="0" w:firstLineChars="0"/>
                    <w:jc w:val="center"/>
                    <w:outlineLvl w:val="0"/>
                    <w:rPr>
                      <w:rFonts w:hint="default" w:cstheme="minorBidi"/>
                      <w:color w:val="auto"/>
                      <w:kern w:val="2"/>
                      <w:sz w:val="21"/>
                      <w:szCs w:val="21"/>
                      <w:highlight w:val="none"/>
                      <w:lang w:val="en-US" w:eastAsia="zh-CN" w:bidi="ar-SA"/>
                    </w:rPr>
                  </w:pPr>
                  <w:r>
                    <w:rPr>
                      <w:rFonts w:hint="eastAsia" w:cstheme="minorBidi"/>
                      <w:color w:val="auto"/>
                      <w:kern w:val="2"/>
                      <w:sz w:val="21"/>
                      <w:szCs w:val="21"/>
                      <w:highlight w:val="none"/>
                      <w:lang w:val="en-US" w:eastAsia="zh-CN" w:bidi="ar-SA"/>
                    </w:rPr>
                    <w:t>/</w:t>
                  </w:r>
                </w:p>
              </w:tc>
              <w:tc>
                <w:tcPr>
                  <w:tcW w:w="304" w:type="pct"/>
                  <w:shd w:val="clear" w:color="auto" w:fill="auto"/>
                  <w:noWrap w:val="0"/>
                  <w:vAlign w:val="center"/>
                </w:tcPr>
                <w:p w14:paraId="7A93B711">
                  <w:pPr>
                    <w:keepNext w:val="0"/>
                    <w:keepLines w:val="0"/>
                    <w:widowControl/>
                    <w:suppressLineNumbers w:val="0"/>
                    <w:spacing w:line="240" w:lineRule="auto"/>
                    <w:ind w:firstLine="0" w:firstLineChars="0"/>
                    <w:jc w:val="center"/>
                    <w:textAlignment w:val="center"/>
                    <w:rPr>
                      <w:rFonts w:hint="default" w:ascii="Times New Roman" w:hAnsi="Times New Roman" w:eastAsia="宋体" w:cstheme="minorBidi"/>
                      <w:color w:val="auto"/>
                      <w:kern w:val="2"/>
                      <w:sz w:val="21"/>
                      <w:szCs w:val="21"/>
                      <w:highlight w:val="none"/>
                      <w:lang w:val="en-US" w:eastAsia="zh-CN" w:bidi="ar-SA"/>
                    </w:rPr>
                  </w:pPr>
                  <w:r>
                    <w:rPr>
                      <w:rFonts w:hint="eastAsia" w:cstheme="minorBidi"/>
                      <w:color w:val="auto"/>
                      <w:kern w:val="2"/>
                      <w:sz w:val="21"/>
                      <w:szCs w:val="21"/>
                      <w:highlight w:val="none"/>
                      <w:lang w:val="en-US" w:eastAsia="zh-CN" w:bidi="ar-SA"/>
                    </w:rPr>
                    <w:t>80</w:t>
                  </w:r>
                </w:p>
              </w:tc>
              <w:tc>
                <w:tcPr>
                  <w:tcW w:w="235" w:type="pct"/>
                  <w:vMerge w:val="restart"/>
                  <w:noWrap w:val="0"/>
                  <w:vAlign w:val="center"/>
                </w:tcPr>
                <w:p w14:paraId="2FC19FD6">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宋体" w:cstheme="minorBidi"/>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设备基础减振、厂房隔声</w:t>
                  </w:r>
                </w:p>
              </w:tc>
              <w:tc>
                <w:tcPr>
                  <w:tcW w:w="313" w:type="pct"/>
                  <w:noWrap w:val="0"/>
                  <w:vAlign w:val="center"/>
                </w:tcPr>
                <w:p w14:paraId="1C00B223">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20~88</w:t>
                  </w:r>
                </w:p>
              </w:tc>
              <w:tc>
                <w:tcPr>
                  <w:tcW w:w="315" w:type="pct"/>
                  <w:noWrap w:val="0"/>
                  <w:vAlign w:val="center"/>
                </w:tcPr>
                <w:p w14:paraId="5DDA8579">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215~237</w:t>
                  </w:r>
                </w:p>
              </w:tc>
              <w:tc>
                <w:tcPr>
                  <w:tcW w:w="237" w:type="pct"/>
                  <w:noWrap w:val="0"/>
                  <w:vAlign w:val="center"/>
                </w:tcPr>
                <w:p w14:paraId="0017DC02">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0~37</w:t>
                  </w:r>
                </w:p>
              </w:tc>
              <w:tc>
                <w:tcPr>
                  <w:tcW w:w="187" w:type="pct"/>
                  <w:shd w:val="clear" w:color="auto" w:fill="auto"/>
                  <w:noWrap w:val="0"/>
                  <w:vAlign w:val="center"/>
                </w:tcPr>
                <w:p w14:paraId="5C6B5BC4">
                  <w:pPr>
                    <w:keepNext w:val="0"/>
                    <w:keepLines w:val="0"/>
                    <w:widowControl/>
                    <w:suppressLineNumbers w:val="0"/>
                    <w:spacing w:line="240" w:lineRule="auto"/>
                    <w:ind w:firstLine="0" w:firstLineChars="0"/>
                    <w:jc w:val="center"/>
                    <w:textAlignment w:val="center"/>
                    <w:rPr>
                      <w:rFonts w:hint="default" w:ascii="Times New Roman" w:hAnsi="Times New Roman" w:eastAsia="宋体" w:cstheme="minorBidi"/>
                      <w:color w:val="auto"/>
                      <w:kern w:val="2"/>
                      <w:sz w:val="21"/>
                      <w:szCs w:val="21"/>
                      <w:highlight w:val="none"/>
                      <w:lang w:val="en-US" w:eastAsia="zh-CN" w:bidi="ar-SA"/>
                    </w:rPr>
                  </w:pPr>
                  <w:r>
                    <w:rPr>
                      <w:rFonts w:hint="eastAsia" w:cstheme="minorBidi"/>
                      <w:color w:val="auto"/>
                      <w:kern w:val="2"/>
                      <w:sz w:val="21"/>
                      <w:szCs w:val="21"/>
                      <w:highlight w:val="none"/>
                      <w:lang w:val="en-US" w:eastAsia="zh-CN" w:bidi="ar-SA"/>
                    </w:rPr>
                    <w:t>18</w:t>
                  </w:r>
                </w:p>
              </w:tc>
              <w:tc>
                <w:tcPr>
                  <w:tcW w:w="157" w:type="pct"/>
                  <w:shd w:val="clear" w:color="auto" w:fill="auto"/>
                  <w:noWrap w:val="0"/>
                  <w:vAlign w:val="center"/>
                </w:tcPr>
                <w:p w14:paraId="3CE8BC40">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215</w:t>
                  </w:r>
                </w:p>
              </w:tc>
              <w:tc>
                <w:tcPr>
                  <w:tcW w:w="190" w:type="pct"/>
                  <w:shd w:val="clear" w:color="auto" w:fill="auto"/>
                  <w:noWrap w:val="0"/>
                  <w:vAlign w:val="center"/>
                </w:tcPr>
                <w:p w14:paraId="73038049">
                  <w:pPr>
                    <w:keepNext w:val="0"/>
                    <w:keepLines w:val="0"/>
                    <w:widowControl/>
                    <w:suppressLineNumbers w:val="0"/>
                    <w:spacing w:line="240" w:lineRule="auto"/>
                    <w:ind w:firstLine="0" w:firstLineChars="0"/>
                    <w:jc w:val="center"/>
                    <w:textAlignment w:val="center"/>
                    <w:rPr>
                      <w:rFonts w:hint="default" w:ascii="Times New Roman" w:hAnsi="Times New Roman" w:eastAsia="宋体" w:cstheme="minorBidi"/>
                      <w:color w:val="auto"/>
                      <w:kern w:val="2"/>
                      <w:sz w:val="21"/>
                      <w:szCs w:val="21"/>
                      <w:highlight w:val="none"/>
                      <w:lang w:val="en-US" w:eastAsia="zh-CN" w:bidi="ar-SA"/>
                    </w:rPr>
                  </w:pPr>
                  <w:r>
                    <w:rPr>
                      <w:rFonts w:hint="eastAsia" w:cstheme="minorBidi"/>
                      <w:color w:val="auto"/>
                      <w:kern w:val="2"/>
                      <w:sz w:val="21"/>
                      <w:szCs w:val="21"/>
                      <w:highlight w:val="none"/>
                      <w:lang w:val="en-US" w:eastAsia="zh-CN" w:bidi="ar-SA"/>
                    </w:rPr>
                    <w:t>20</w:t>
                  </w:r>
                </w:p>
              </w:tc>
              <w:tc>
                <w:tcPr>
                  <w:tcW w:w="174" w:type="pct"/>
                  <w:shd w:val="clear" w:color="auto" w:fill="auto"/>
                  <w:noWrap w:val="0"/>
                  <w:vAlign w:val="center"/>
                </w:tcPr>
                <w:p w14:paraId="00214C3D">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16</w:t>
                  </w:r>
                </w:p>
              </w:tc>
              <w:tc>
                <w:tcPr>
                  <w:tcW w:w="427" w:type="dxa"/>
                  <w:shd w:val="clear" w:color="auto" w:fill="auto"/>
                  <w:noWrap w:val="0"/>
                  <w:vAlign w:val="center"/>
                </w:tcPr>
                <w:p w14:paraId="62E7EFAF">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55</w:t>
                  </w:r>
                </w:p>
              </w:tc>
              <w:tc>
                <w:tcPr>
                  <w:tcW w:w="427" w:type="dxa"/>
                  <w:shd w:val="clear" w:color="auto" w:fill="auto"/>
                  <w:noWrap w:val="0"/>
                  <w:vAlign w:val="center"/>
                </w:tcPr>
                <w:p w14:paraId="5712720D">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33</w:t>
                  </w:r>
                </w:p>
              </w:tc>
              <w:tc>
                <w:tcPr>
                  <w:tcW w:w="427" w:type="dxa"/>
                  <w:shd w:val="clear" w:color="auto" w:fill="auto"/>
                  <w:noWrap w:val="0"/>
                  <w:vAlign w:val="center"/>
                </w:tcPr>
                <w:p w14:paraId="394BA4E8">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54</w:t>
                  </w:r>
                </w:p>
              </w:tc>
              <w:tc>
                <w:tcPr>
                  <w:tcW w:w="427" w:type="dxa"/>
                  <w:shd w:val="clear" w:color="auto" w:fill="auto"/>
                  <w:noWrap w:val="0"/>
                  <w:vAlign w:val="center"/>
                </w:tcPr>
                <w:p w14:paraId="69067009">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56</w:t>
                  </w:r>
                </w:p>
              </w:tc>
              <w:tc>
                <w:tcPr>
                  <w:tcW w:w="235" w:type="pct"/>
                  <w:vMerge w:val="restart"/>
                  <w:noWrap w:val="0"/>
                  <w:vAlign w:val="center"/>
                </w:tcPr>
                <w:p w14:paraId="53549E4D">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eastAsia" w:ascii="Times New Roman" w:hAnsi="Times New Roman" w:eastAsia="宋体" w:cstheme="minorBidi"/>
                      <w:color w:val="auto"/>
                      <w:kern w:val="2"/>
                      <w:sz w:val="21"/>
                      <w:szCs w:val="21"/>
                      <w:highlight w:val="none"/>
                      <w:lang w:val="en-US" w:eastAsia="zh-CN" w:bidi="ar-SA"/>
                    </w:rPr>
                  </w:pPr>
                  <w:r>
                    <w:rPr>
                      <w:rFonts w:hint="eastAsia"/>
                      <w:color w:val="auto"/>
                      <w:sz w:val="21"/>
                      <w:szCs w:val="21"/>
                      <w:highlight w:val="none"/>
                      <w:lang w:val="en-US" w:eastAsia="zh-CN"/>
                    </w:rPr>
                    <w:t>昼、夜间</w:t>
                  </w:r>
                </w:p>
              </w:tc>
              <w:tc>
                <w:tcPr>
                  <w:tcW w:w="291" w:type="pct"/>
                  <w:shd w:val="clear" w:color="auto" w:fill="auto"/>
                  <w:noWrap w:val="0"/>
                  <w:vAlign w:val="center"/>
                </w:tcPr>
                <w:p w14:paraId="17B4F84D">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宋体" w:cstheme="minorBidi"/>
                      <w:color w:val="auto"/>
                      <w:kern w:val="2"/>
                      <w:sz w:val="21"/>
                      <w:szCs w:val="21"/>
                      <w:highlight w:val="none"/>
                      <w:lang w:val="en-US" w:eastAsia="zh-CN" w:bidi="ar-SA"/>
                    </w:rPr>
                  </w:pPr>
                  <w:r>
                    <w:rPr>
                      <w:rFonts w:hint="eastAsia"/>
                      <w:color w:val="auto"/>
                      <w:sz w:val="21"/>
                      <w:szCs w:val="21"/>
                      <w:highlight w:val="none"/>
                      <w:lang w:val="en-US" w:eastAsia="zh-CN"/>
                    </w:rPr>
                    <w:t>15</w:t>
                  </w:r>
                </w:p>
              </w:tc>
              <w:tc>
                <w:tcPr>
                  <w:tcW w:w="427" w:type="dxa"/>
                  <w:noWrap w:val="0"/>
                  <w:vAlign w:val="center"/>
                </w:tcPr>
                <w:p w14:paraId="2E82771A">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40</w:t>
                  </w:r>
                </w:p>
              </w:tc>
              <w:tc>
                <w:tcPr>
                  <w:tcW w:w="427" w:type="dxa"/>
                  <w:noWrap w:val="0"/>
                  <w:vAlign w:val="center"/>
                </w:tcPr>
                <w:p w14:paraId="7FA20318">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18</w:t>
                  </w:r>
                </w:p>
              </w:tc>
              <w:tc>
                <w:tcPr>
                  <w:tcW w:w="427" w:type="dxa"/>
                  <w:noWrap w:val="0"/>
                  <w:vAlign w:val="center"/>
                </w:tcPr>
                <w:p w14:paraId="2D4C67BD">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39</w:t>
                  </w:r>
                </w:p>
              </w:tc>
              <w:tc>
                <w:tcPr>
                  <w:tcW w:w="427" w:type="dxa"/>
                  <w:noWrap w:val="0"/>
                  <w:vAlign w:val="center"/>
                </w:tcPr>
                <w:p w14:paraId="35E5739E">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41</w:t>
                  </w:r>
                </w:p>
              </w:tc>
              <w:tc>
                <w:tcPr>
                  <w:tcW w:w="173" w:type="pct"/>
                  <w:shd w:val="clear" w:color="auto" w:fill="auto"/>
                  <w:noWrap w:val="0"/>
                  <w:vAlign w:val="center"/>
                </w:tcPr>
                <w:p w14:paraId="0E0EB731">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宋体" w:cstheme="minorBidi"/>
                      <w:color w:val="auto"/>
                      <w:kern w:val="2"/>
                      <w:sz w:val="21"/>
                      <w:szCs w:val="21"/>
                      <w:highlight w:val="none"/>
                      <w:lang w:val="en-US" w:eastAsia="zh-CN" w:bidi="ar-SA"/>
                    </w:rPr>
                  </w:pPr>
                  <w:r>
                    <w:rPr>
                      <w:rFonts w:hint="eastAsia"/>
                      <w:color w:val="auto"/>
                      <w:sz w:val="21"/>
                      <w:szCs w:val="21"/>
                      <w:highlight w:val="none"/>
                      <w:lang w:val="en-US" w:eastAsia="zh-CN"/>
                    </w:rPr>
                    <w:t>1</w:t>
                  </w:r>
                </w:p>
              </w:tc>
            </w:tr>
            <w:tr w14:paraId="5A3B4EAB">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57" w:type="pct"/>
                  <w:vMerge w:val="continue"/>
                  <w:noWrap w:val="0"/>
                  <w:vAlign w:val="center"/>
                </w:tcPr>
                <w:p w14:paraId="167FCA27">
                  <w:pPr>
                    <w:pStyle w:val="95"/>
                    <w:keepNext w:val="0"/>
                    <w:keepLines w:val="0"/>
                    <w:pageBreakBefore w:val="0"/>
                    <w:widowControl w:val="0"/>
                    <w:kinsoku/>
                    <w:wordWrap/>
                    <w:overflowPunct/>
                    <w:topLinePunct w:val="0"/>
                    <w:autoSpaceDE/>
                    <w:autoSpaceDN/>
                    <w:bidi w:val="0"/>
                    <w:jc w:val="center"/>
                    <w:textAlignment w:val="auto"/>
                    <w:rPr>
                      <w:rFonts w:hint="eastAsia"/>
                      <w:color w:val="auto"/>
                      <w:sz w:val="21"/>
                      <w:szCs w:val="21"/>
                      <w:highlight w:val="none"/>
                      <w:lang w:val="en-US" w:eastAsia="zh-CN"/>
                    </w:rPr>
                  </w:pPr>
                </w:p>
              </w:tc>
              <w:tc>
                <w:tcPr>
                  <w:tcW w:w="157" w:type="pct"/>
                  <w:vMerge w:val="continue"/>
                  <w:noWrap w:val="0"/>
                  <w:vAlign w:val="center"/>
                </w:tcPr>
                <w:p w14:paraId="25E75668">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lang w:val="en-US" w:eastAsia="zh-CN"/>
                    </w:rPr>
                  </w:pPr>
                </w:p>
              </w:tc>
              <w:tc>
                <w:tcPr>
                  <w:tcW w:w="440" w:type="pct"/>
                  <w:shd w:val="clear" w:color="auto" w:fill="auto"/>
                  <w:noWrap w:val="0"/>
                  <w:vAlign w:val="center"/>
                </w:tcPr>
                <w:p w14:paraId="12F301C1">
                  <w:pPr>
                    <w:pStyle w:val="22"/>
                    <w:jc w:val="center"/>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平移门脉动真空灭菌器</w:t>
                  </w:r>
                </w:p>
              </w:tc>
              <w:tc>
                <w:tcPr>
                  <w:tcW w:w="157" w:type="pct"/>
                  <w:shd w:val="clear" w:color="auto" w:fill="auto"/>
                  <w:noWrap w:val="0"/>
                  <w:vAlign w:val="center"/>
                </w:tcPr>
                <w:p w14:paraId="102BB14F">
                  <w:pPr>
                    <w:spacing w:line="240" w:lineRule="auto"/>
                    <w:ind w:firstLine="0" w:firstLineChars="0"/>
                    <w:jc w:val="center"/>
                    <w:outlineLvl w:val="0"/>
                    <w:rPr>
                      <w:rFonts w:hint="eastAsia"/>
                      <w:color w:val="auto"/>
                      <w:sz w:val="21"/>
                      <w:szCs w:val="21"/>
                      <w:lang w:val="en-US" w:eastAsia="zh-CN"/>
                    </w:rPr>
                  </w:pPr>
                  <w:r>
                    <w:rPr>
                      <w:rFonts w:hint="eastAsia"/>
                      <w:color w:val="auto"/>
                      <w:sz w:val="21"/>
                      <w:szCs w:val="21"/>
                      <w:lang w:val="en-US" w:eastAsia="zh-CN"/>
                    </w:rPr>
                    <w:t>/</w:t>
                  </w:r>
                </w:p>
              </w:tc>
              <w:tc>
                <w:tcPr>
                  <w:tcW w:w="304" w:type="pct"/>
                  <w:shd w:val="clear" w:color="auto" w:fill="auto"/>
                  <w:noWrap w:val="0"/>
                  <w:vAlign w:val="center"/>
                </w:tcPr>
                <w:p w14:paraId="1EBA91B6">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60</w:t>
                  </w:r>
                </w:p>
              </w:tc>
              <w:tc>
                <w:tcPr>
                  <w:tcW w:w="235" w:type="pct"/>
                  <w:vMerge w:val="continue"/>
                  <w:tcBorders/>
                  <w:noWrap w:val="0"/>
                  <w:vAlign w:val="center"/>
                </w:tcPr>
                <w:p w14:paraId="167200F6">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rPr>
                  </w:pPr>
                </w:p>
              </w:tc>
              <w:tc>
                <w:tcPr>
                  <w:tcW w:w="313" w:type="pct"/>
                  <w:shd w:val="clear" w:color="auto" w:fill="auto"/>
                  <w:noWrap w:val="0"/>
                  <w:vAlign w:val="center"/>
                </w:tcPr>
                <w:p w14:paraId="23796B89">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86~88</w:t>
                  </w:r>
                </w:p>
              </w:tc>
              <w:tc>
                <w:tcPr>
                  <w:tcW w:w="315" w:type="pct"/>
                  <w:shd w:val="clear" w:color="auto" w:fill="auto"/>
                  <w:noWrap w:val="0"/>
                  <w:vAlign w:val="center"/>
                </w:tcPr>
                <w:p w14:paraId="2D541ADE">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188~190</w:t>
                  </w:r>
                </w:p>
              </w:tc>
              <w:tc>
                <w:tcPr>
                  <w:tcW w:w="237" w:type="pct"/>
                  <w:noWrap w:val="0"/>
                  <w:vAlign w:val="center"/>
                </w:tcPr>
                <w:p w14:paraId="1EBBB637">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5~6</w:t>
                  </w:r>
                </w:p>
              </w:tc>
              <w:tc>
                <w:tcPr>
                  <w:tcW w:w="187" w:type="pct"/>
                  <w:shd w:val="clear" w:color="auto" w:fill="auto"/>
                  <w:noWrap w:val="0"/>
                  <w:vAlign w:val="center"/>
                </w:tcPr>
                <w:p w14:paraId="3806B423">
                  <w:pPr>
                    <w:keepNext w:val="0"/>
                    <w:keepLines w:val="0"/>
                    <w:widowControl/>
                    <w:suppressLineNumbers w:val="0"/>
                    <w:spacing w:line="240" w:lineRule="auto"/>
                    <w:ind w:firstLine="0" w:firstLineChars="0"/>
                    <w:jc w:val="center"/>
                    <w:textAlignment w:val="center"/>
                    <w:rPr>
                      <w:rFonts w:hint="default" w:ascii="Times New Roman" w:hAnsi="Times New Roman" w:eastAsia="宋体" w:cstheme="minorBidi"/>
                      <w:color w:val="auto"/>
                      <w:kern w:val="2"/>
                      <w:sz w:val="21"/>
                      <w:szCs w:val="21"/>
                      <w:highlight w:val="none"/>
                      <w:lang w:val="en-US" w:eastAsia="zh-CN" w:bidi="ar-SA"/>
                    </w:rPr>
                  </w:pPr>
                  <w:r>
                    <w:rPr>
                      <w:rFonts w:hint="eastAsia" w:cstheme="minorBidi"/>
                      <w:color w:val="auto"/>
                      <w:kern w:val="2"/>
                      <w:sz w:val="21"/>
                      <w:szCs w:val="21"/>
                      <w:highlight w:val="none"/>
                      <w:lang w:val="en-US" w:eastAsia="zh-CN" w:bidi="ar-SA"/>
                    </w:rPr>
                    <w:t>18</w:t>
                  </w:r>
                </w:p>
              </w:tc>
              <w:tc>
                <w:tcPr>
                  <w:tcW w:w="157" w:type="pct"/>
                  <w:shd w:val="clear" w:color="auto" w:fill="auto"/>
                  <w:noWrap w:val="0"/>
                  <w:vAlign w:val="center"/>
                </w:tcPr>
                <w:p w14:paraId="11830403">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188</w:t>
                  </w:r>
                </w:p>
              </w:tc>
              <w:tc>
                <w:tcPr>
                  <w:tcW w:w="190" w:type="pct"/>
                  <w:shd w:val="clear" w:color="auto" w:fill="auto"/>
                  <w:noWrap w:val="0"/>
                  <w:vAlign w:val="center"/>
                </w:tcPr>
                <w:p w14:paraId="5B288BD3">
                  <w:pPr>
                    <w:keepNext w:val="0"/>
                    <w:keepLines w:val="0"/>
                    <w:widowControl/>
                    <w:suppressLineNumbers w:val="0"/>
                    <w:spacing w:line="240" w:lineRule="auto"/>
                    <w:ind w:firstLine="0" w:firstLineChars="0"/>
                    <w:jc w:val="center"/>
                    <w:textAlignment w:val="center"/>
                    <w:rPr>
                      <w:rFonts w:hint="default" w:cstheme="minorBidi"/>
                      <w:color w:val="auto"/>
                      <w:kern w:val="2"/>
                      <w:sz w:val="21"/>
                      <w:szCs w:val="21"/>
                      <w:highlight w:val="none"/>
                      <w:lang w:val="en-US" w:eastAsia="zh-CN" w:bidi="ar-SA"/>
                    </w:rPr>
                  </w:pPr>
                  <w:r>
                    <w:rPr>
                      <w:rFonts w:hint="eastAsia" w:cstheme="minorBidi"/>
                      <w:color w:val="auto"/>
                      <w:kern w:val="2"/>
                      <w:sz w:val="21"/>
                      <w:szCs w:val="21"/>
                      <w:highlight w:val="none"/>
                      <w:lang w:val="en-US" w:eastAsia="zh-CN" w:bidi="ar-SA"/>
                    </w:rPr>
                    <w:t>86</w:t>
                  </w:r>
                </w:p>
              </w:tc>
              <w:tc>
                <w:tcPr>
                  <w:tcW w:w="174" w:type="pct"/>
                  <w:shd w:val="clear" w:color="auto" w:fill="auto"/>
                  <w:noWrap w:val="0"/>
                  <w:vAlign w:val="center"/>
                </w:tcPr>
                <w:p w14:paraId="63AEA7F6">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63</w:t>
                  </w:r>
                </w:p>
              </w:tc>
              <w:tc>
                <w:tcPr>
                  <w:tcW w:w="427" w:type="dxa"/>
                  <w:shd w:val="clear" w:color="auto" w:fill="auto"/>
                  <w:noWrap w:val="0"/>
                  <w:vAlign w:val="center"/>
                </w:tcPr>
                <w:p w14:paraId="5F266F15">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35</w:t>
                  </w:r>
                </w:p>
              </w:tc>
              <w:tc>
                <w:tcPr>
                  <w:tcW w:w="427" w:type="dxa"/>
                  <w:shd w:val="clear" w:color="auto" w:fill="auto"/>
                  <w:noWrap w:val="0"/>
                  <w:vAlign w:val="center"/>
                </w:tcPr>
                <w:p w14:paraId="3219435C">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16</w:t>
                  </w:r>
                </w:p>
              </w:tc>
              <w:tc>
                <w:tcPr>
                  <w:tcW w:w="427" w:type="dxa"/>
                  <w:shd w:val="clear" w:color="auto" w:fill="auto"/>
                  <w:noWrap w:val="0"/>
                  <w:vAlign w:val="center"/>
                </w:tcPr>
                <w:p w14:paraId="7D4163D1">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21</w:t>
                  </w:r>
                </w:p>
              </w:tc>
              <w:tc>
                <w:tcPr>
                  <w:tcW w:w="427" w:type="dxa"/>
                  <w:shd w:val="clear" w:color="auto" w:fill="auto"/>
                  <w:noWrap w:val="0"/>
                  <w:vAlign w:val="center"/>
                </w:tcPr>
                <w:p w14:paraId="0FE13E35">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24</w:t>
                  </w:r>
                </w:p>
              </w:tc>
              <w:tc>
                <w:tcPr>
                  <w:tcW w:w="235" w:type="pct"/>
                  <w:vMerge w:val="continue"/>
                  <w:tcBorders/>
                  <w:noWrap w:val="0"/>
                  <w:vAlign w:val="center"/>
                </w:tcPr>
                <w:p w14:paraId="5F1FD7AC">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lang w:val="en-US" w:eastAsia="zh-CN"/>
                    </w:rPr>
                  </w:pPr>
                </w:p>
              </w:tc>
              <w:tc>
                <w:tcPr>
                  <w:tcW w:w="291" w:type="pct"/>
                  <w:shd w:val="clear" w:color="auto" w:fill="auto"/>
                  <w:noWrap w:val="0"/>
                  <w:vAlign w:val="center"/>
                </w:tcPr>
                <w:p w14:paraId="34B7C0D6">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15</w:t>
                  </w:r>
                </w:p>
              </w:tc>
              <w:tc>
                <w:tcPr>
                  <w:tcW w:w="427" w:type="dxa"/>
                  <w:noWrap w:val="0"/>
                  <w:vAlign w:val="center"/>
                </w:tcPr>
                <w:p w14:paraId="722588E1">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20</w:t>
                  </w:r>
                </w:p>
              </w:tc>
              <w:tc>
                <w:tcPr>
                  <w:tcW w:w="427" w:type="dxa"/>
                  <w:noWrap w:val="0"/>
                  <w:vAlign w:val="center"/>
                </w:tcPr>
                <w:p w14:paraId="66F5BCC6">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427" w:type="dxa"/>
                  <w:noWrap w:val="0"/>
                  <w:vAlign w:val="center"/>
                </w:tcPr>
                <w:p w14:paraId="06DB19D1">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w:t>
                  </w:r>
                </w:p>
              </w:tc>
              <w:tc>
                <w:tcPr>
                  <w:tcW w:w="427" w:type="dxa"/>
                  <w:noWrap w:val="0"/>
                  <w:vAlign w:val="center"/>
                </w:tcPr>
                <w:p w14:paraId="2A6ADEA8">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w:t>
                  </w:r>
                </w:p>
              </w:tc>
              <w:tc>
                <w:tcPr>
                  <w:tcW w:w="173" w:type="pct"/>
                  <w:shd w:val="clear" w:color="auto" w:fill="auto"/>
                  <w:noWrap w:val="0"/>
                  <w:vAlign w:val="center"/>
                </w:tcPr>
                <w:p w14:paraId="39FCE3E5">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r>
            <w:tr w14:paraId="78484DA1">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57" w:type="pct"/>
                  <w:vMerge w:val="continue"/>
                  <w:noWrap w:val="0"/>
                  <w:vAlign w:val="center"/>
                </w:tcPr>
                <w:p w14:paraId="42D1A058">
                  <w:pPr>
                    <w:pStyle w:val="95"/>
                    <w:keepNext w:val="0"/>
                    <w:keepLines w:val="0"/>
                    <w:pageBreakBefore w:val="0"/>
                    <w:widowControl w:val="0"/>
                    <w:kinsoku/>
                    <w:wordWrap/>
                    <w:overflowPunct/>
                    <w:topLinePunct w:val="0"/>
                    <w:autoSpaceDE/>
                    <w:autoSpaceDN/>
                    <w:bidi w:val="0"/>
                    <w:jc w:val="center"/>
                    <w:textAlignment w:val="auto"/>
                    <w:rPr>
                      <w:rFonts w:hint="eastAsia"/>
                      <w:color w:val="auto"/>
                      <w:sz w:val="21"/>
                      <w:szCs w:val="21"/>
                      <w:highlight w:val="none"/>
                      <w:lang w:val="en-US" w:eastAsia="zh-CN"/>
                    </w:rPr>
                  </w:pPr>
                </w:p>
              </w:tc>
              <w:tc>
                <w:tcPr>
                  <w:tcW w:w="157" w:type="pct"/>
                  <w:vMerge w:val="continue"/>
                  <w:noWrap w:val="0"/>
                  <w:vAlign w:val="center"/>
                </w:tcPr>
                <w:p w14:paraId="153DB59F">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lang w:val="en-US" w:eastAsia="zh-CN"/>
                    </w:rPr>
                  </w:pPr>
                </w:p>
              </w:tc>
              <w:tc>
                <w:tcPr>
                  <w:tcW w:w="440" w:type="pct"/>
                  <w:shd w:val="clear" w:color="auto" w:fill="auto"/>
                  <w:noWrap w:val="0"/>
                  <w:vAlign w:val="center"/>
                </w:tcPr>
                <w:p w14:paraId="787D2E13">
                  <w:pPr>
                    <w:pStyle w:val="22"/>
                    <w:jc w:val="center"/>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全自动清洗消毒器</w:t>
                  </w:r>
                </w:p>
              </w:tc>
              <w:tc>
                <w:tcPr>
                  <w:tcW w:w="157" w:type="pct"/>
                  <w:shd w:val="clear" w:color="auto" w:fill="auto"/>
                  <w:noWrap w:val="0"/>
                  <w:vAlign w:val="center"/>
                </w:tcPr>
                <w:p w14:paraId="1E9FD029">
                  <w:pPr>
                    <w:spacing w:line="240" w:lineRule="auto"/>
                    <w:ind w:firstLine="0" w:firstLineChars="0"/>
                    <w:jc w:val="center"/>
                    <w:outlineLvl w:val="0"/>
                    <w:rPr>
                      <w:rFonts w:hint="eastAsia"/>
                      <w:color w:val="auto"/>
                      <w:sz w:val="21"/>
                      <w:szCs w:val="21"/>
                      <w:lang w:val="en-US" w:eastAsia="zh-CN"/>
                    </w:rPr>
                  </w:pPr>
                  <w:r>
                    <w:rPr>
                      <w:rFonts w:hint="eastAsia" w:cstheme="minorBidi"/>
                      <w:color w:val="auto"/>
                      <w:kern w:val="2"/>
                      <w:sz w:val="21"/>
                      <w:szCs w:val="21"/>
                      <w:highlight w:val="none"/>
                      <w:lang w:val="en-US" w:eastAsia="zh-CN" w:bidi="ar-SA"/>
                    </w:rPr>
                    <w:t>/</w:t>
                  </w:r>
                </w:p>
              </w:tc>
              <w:tc>
                <w:tcPr>
                  <w:tcW w:w="304" w:type="pct"/>
                  <w:shd w:val="clear" w:color="auto" w:fill="auto"/>
                  <w:noWrap w:val="0"/>
                  <w:vAlign w:val="center"/>
                </w:tcPr>
                <w:p w14:paraId="62213E00">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65</w:t>
                  </w:r>
                </w:p>
              </w:tc>
              <w:tc>
                <w:tcPr>
                  <w:tcW w:w="235" w:type="pct"/>
                  <w:vMerge w:val="continue"/>
                  <w:tcBorders/>
                  <w:noWrap w:val="0"/>
                  <w:vAlign w:val="center"/>
                </w:tcPr>
                <w:p w14:paraId="712415EF">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rPr>
                  </w:pPr>
                </w:p>
              </w:tc>
              <w:tc>
                <w:tcPr>
                  <w:tcW w:w="313" w:type="pct"/>
                  <w:shd w:val="clear" w:color="auto" w:fill="auto"/>
                  <w:noWrap w:val="0"/>
                  <w:vAlign w:val="center"/>
                </w:tcPr>
                <w:p w14:paraId="0198B87A">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84~86</w:t>
                  </w:r>
                </w:p>
              </w:tc>
              <w:tc>
                <w:tcPr>
                  <w:tcW w:w="315" w:type="pct"/>
                  <w:shd w:val="clear" w:color="auto" w:fill="auto"/>
                  <w:noWrap w:val="0"/>
                  <w:vAlign w:val="center"/>
                </w:tcPr>
                <w:p w14:paraId="51B17DCD">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180~182</w:t>
                  </w:r>
                </w:p>
              </w:tc>
              <w:tc>
                <w:tcPr>
                  <w:tcW w:w="237" w:type="pct"/>
                  <w:noWrap w:val="0"/>
                  <w:vAlign w:val="center"/>
                </w:tcPr>
                <w:p w14:paraId="678F9BEA">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5~6</w:t>
                  </w:r>
                </w:p>
              </w:tc>
              <w:tc>
                <w:tcPr>
                  <w:tcW w:w="187" w:type="pct"/>
                  <w:shd w:val="clear" w:color="auto" w:fill="auto"/>
                  <w:noWrap w:val="0"/>
                  <w:vAlign w:val="center"/>
                </w:tcPr>
                <w:p w14:paraId="15D26F9F">
                  <w:pPr>
                    <w:keepNext w:val="0"/>
                    <w:keepLines w:val="0"/>
                    <w:widowControl/>
                    <w:suppressLineNumbers w:val="0"/>
                    <w:spacing w:line="240" w:lineRule="auto"/>
                    <w:ind w:firstLine="0" w:firstLineChars="0"/>
                    <w:jc w:val="center"/>
                    <w:textAlignment w:val="center"/>
                    <w:rPr>
                      <w:rFonts w:hint="default" w:ascii="Times New Roman" w:hAnsi="Times New Roman" w:eastAsia="宋体" w:cstheme="minorBidi"/>
                      <w:color w:val="auto"/>
                      <w:kern w:val="2"/>
                      <w:sz w:val="21"/>
                      <w:szCs w:val="21"/>
                      <w:highlight w:val="none"/>
                      <w:lang w:val="en-US" w:eastAsia="zh-CN" w:bidi="ar-SA"/>
                    </w:rPr>
                  </w:pPr>
                  <w:r>
                    <w:rPr>
                      <w:rFonts w:hint="eastAsia" w:cstheme="minorBidi"/>
                      <w:color w:val="auto"/>
                      <w:kern w:val="2"/>
                      <w:sz w:val="21"/>
                      <w:szCs w:val="21"/>
                      <w:highlight w:val="none"/>
                      <w:lang w:val="en-US" w:eastAsia="zh-CN" w:bidi="ar-SA"/>
                    </w:rPr>
                    <w:t>20</w:t>
                  </w:r>
                </w:p>
              </w:tc>
              <w:tc>
                <w:tcPr>
                  <w:tcW w:w="157" w:type="pct"/>
                  <w:shd w:val="clear" w:color="auto" w:fill="auto"/>
                  <w:noWrap w:val="0"/>
                  <w:vAlign w:val="center"/>
                </w:tcPr>
                <w:p w14:paraId="3A9788DE">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180</w:t>
                  </w:r>
                </w:p>
              </w:tc>
              <w:tc>
                <w:tcPr>
                  <w:tcW w:w="190" w:type="pct"/>
                  <w:shd w:val="clear" w:color="auto" w:fill="auto"/>
                  <w:noWrap w:val="0"/>
                  <w:vAlign w:val="center"/>
                </w:tcPr>
                <w:p w14:paraId="3A49D37B">
                  <w:pPr>
                    <w:keepNext w:val="0"/>
                    <w:keepLines w:val="0"/>
                    <w:widowControl/>
                    <w:suppressLineNumbers w:val="0"/>
                    <w:spacing w:line="240" w:lineRule="auto"/>
                    <w:ind w:firstLine="0" w:firstLineChars="0"/>
                    <w:jc w:val="center"/>
                    <w:textAlignment w:val="center"/>
                    <w:rPr>
                      <w:rFonts w:hint="default" w:cstheme="minorBidi"/>
                      <w:color w:val="auto"/>
                      <w:kern w:val="2"/>
                      <w:sz w:val="21"/>
                      <w:szCs w:val="21"/>
                      <w:highlight w:val="none"/>
                      <w:lang w:val="en-US" w:eastAsia="zh-CN" w:bidi="ar-SA"/>
                    </w:rPr>
                  </w:pPr>
                  <w:r>
                    <w:rPr>
                      <w:rFonts w:hint="eastAsia" w:cstheme="minorBidi"/>
                      <w:color w:val="auto"/>
                      <w:kern w:val="2"/>
                      <w:sz w:val="21"/>
                      <w:szCs w:val="21"/>
                      <w:highlight w:val="none"/>
                      <w:lang w:val="en-US" w:eastAsia="zh-CN" w:bidi="ar-SA"/>
                    </w:rPr>
                    <w:t>84</w:t>
                  </w:r>
                </w:p>
              </w:tc>
              <w:tc>
                <w:tcPr>
                  <w:tcW w:w="174" w:type="pct"/>
                  <w:shd w:val="clear" w:color="auto" w:fill="auto"/>
                  <w:noWrap w:val="0"/>
                  <w:vAlign w:val="center"/>
                </w:tcPr>
                <w:p w14:paraId="3C75A91E">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71</w:t>
                  </w:r>
                </w:p>
              </w:tc>
              <w:tc>
                <w:tcPr>
                  <w:tcW w:w="427" w:type="dxa"/>
                  <w:shd w:val="clear" w:color="auto" w:fill="auto"/>
                  <w:noWrap w:val="0"/>
                  <w:vAlign w:val="center"/>
                </w:tcPr>
                <w:p w14:paraId="4C0E84C4">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39</w:t>
                  </w:r>
                </w:p>
              </w:tc>
              <w:tc>
                <w:tcPr>
                  <w:tcW w:w="427" w:type="dxa"/>
                  <w:shd w:val="clear" w:color="auto" w:fill="auto"/>
                  <w:noWrap w:val="0"/>
                  <w:vAlign w:val="center"/>
                </w:tcPr>
                <w:p w14:paraId="70E4782F">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20</w:t>
                  </w:r>
                </w:p>
              </w:tc>
              <w:tc>
                <w:tcPr>
                  <w:tcW w:w="427" w:type="dxa"/>
                  <w:shd w:val="clear" w:color="auto" w:fill="auto"/>
                  <w:noWrap w:val="0"/>
                  <w:vAlign w:val="center"/>
                </w:tcPr>
                <w:p w14:paraId="25FB16A1">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27</w:t>
                  </w:r>
                </w:p>
              </w:tc>
              <w:tc>
                <w:tcPr>
                  <w:tcW w:w="427" w:type="dxa"/>
                  <w:shd w:val="clear" w:color="auto" w:fill="auto"/>
                  <w:noWrap w:val="0"/>
                  <w:vAlign w:val="center"/>
                </w:tcPr>
                <w:p w14:paraId="753EBC88">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28</w:t>
                  </w:r>
                </w:p>
              </w:tc>
              <w:tc>
                <w:tcPr>
                  <w:tcW w:w="235" w:type="pct"/>
                  <w:vMerge w:val="continue"/>
                  <w:tcBorders/>
                  <w:noWrap w:val="0"/>
                  <w:vAlign w:val="center"/>
                </w:tcPr>
                <w:p w14:paraId="57E52EFE">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lang w:val="en-US" w:eastAsia="zh-CN"/>
                    </w:rPr>
                  </w:pPr>
                </w:p>
              </w:tc>
              <w:tc>
                <w:tcPr>
                  <w:tcW w:w="291" w:type="pct"/>
                  <w:shd w:val="clear" w:color="auto" w:fill="auto"/>
                  <w:noWrap w:val="0"/>
                  <w:vAlign w:val="center"/>
                </w:tcPr>
                <w:p w14:paraId="12229DFD">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15</w:t>
                  </w:r>
                </w:p>
              </w:tc>
              <w:tc>
                <w:tcPr>
                  <w:tcW w:w="427" w:type="dxa"/>
                  <w:noWrap w:val="0"/>
                  <w:vAlign w:val="center"/>
                </w:tcPr>
                <w:p w14:paraId="6072FEC7">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24</w:t>
                  </w:r>
                </w:p>
              </w:tc>
              <w:tc>
                <w:tcPr>
                  <w:tcW w:w="427" w:type="dxa"/>
                  <w:noWrap w:val="0"/>
                  <w:vAlign w:val="center"/>
                </w:tcPr>
                <w:p w14:paraId="2142433A">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w:t>
                  </w:r>
                </w:p>
              </w:tc>
              <w:tc>
                <w:tcPr>
                  <w:tcW w:w="427" w:type="dxa"/>
                  <w:noWrap w:val="0"/>
                  <w:vAlign w:val="center"/>
                </w:tcPr>
                <w:p w14:paraId="25AEEE7D">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12</w:t>
                  </w:r>
                </w:p>
              </w:tc>
              <w:tc>
                <w:tcPr>
                  <w:tcW w:w="427" w:type="dxa"/>
                  <w:noWrap w:val="0"/>
                  <w:vAlign w:val="center"/>
                </w:tcPr>
                <w:p w14:paraId="1612A8BD">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13</w:t>
                  </w:r>
                </w:p>
              </w:tc>
              <w:tc>
                <w:tcPr>
                  <w:tcW w:w="173" w:type="pct"/>
                  <w:shd w:val="clear" w:color="auto" w:fill="auto"/>
                  <w:noWrap w:val="0"/>
                  <w:vAlign w:val="center"/>
                </w:tcPr>
                <w:p w14:paraId="03CE624A">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r>
            <w:tr w14:paraId="747DC906">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57" w:type="pct"/>
                  <w:vMerge w:val="continue"/>
                  <w:noWrap w:val="0"/>
                  <w:vAlign w:val="center"/>
                </w:tcPr>
                <w:p w14:paraId="09C4A5FB">
                  <w:pPr>
                    <w:pStyle w:val="95"/>
                    <w:keepNext w:val="0"/>
                    <w:keepLines w:val="0"/>
                    <w:pageBreakBefore w:val="0"/>
                    <w:widowControl w:val="0"/>
                    <w:kinsoku/>
                    <w:wordWrap/>
                    <w:overflowPunct/>
                    <w:topLinePunct w:val="0"/>
                    <w:autoSpaceDE/>
                    <w:autoSpaceDN/>
                    <w:bidi w:val="0"/>
                    <w:jc w:val="center"/>
                    <w:textAlignment w:val="auto"/>
                    <w:rPr>
                      <w:rFonts w:hint="eastAsia"/>
                      <w:color w:val="auto"/>
                      <w:sz w:val="21"/>
                      <w:szCs w:val="21"/>
                      <w:highlight w:val="none"/>
                      <w:lang w:val="en-US" w:eastAsia="zh-CN"/>
                    </w:rPr>
                  </w:pPr>
                </w:p>
              </w:tc>
              <w:tc>
                <w:tcPr>
                  <w:tcW w:w="157" w:type="pct"/>
                  <w:vMerge w:val="continue"/>
                  <w:noWrap w:val="0"/>
                  <w:vAlign w:val="center"/>
                </w:tcPr>
                <w:p w14:paraId="258955C6">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lang w:val="en-US" w:eastAsia="zh-CN"/>
                    </w:rPr>
                  </w:pPr>
                </w:p>
              </w:tc>
              <w:tc>
                <w:tcPr>
                  <w:tcW w:w="440" w:type="pct"/>
                  <w:shd w:val="clear" w:color="auto" w:fill="auto"/>
                  <w:noWrap w:val="0"/>
                  <w:vAlign w:val="center"/>
                </w:tcPr>
                <w:p w14:paraId="53D18C59">
                  <w:pPr>
                    <w:pStyle w:val="22"/>
                    <w:jc w:val="center"/>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低温等离子灭菌器</w:t>
                  </w:r>
                </w:p>
              </w:tc>
              <w:tc>
                <w:tcPr>
                  <w:tcW w:w="157" w:type="pct"/>
                  <w:shd w:val="clear" w:color="auto" w:fill="auto"/>
                  <w:noWrap w:val="0"/>
                  <w:vAlign w:val="center"/>
                </w:tcPr>
                <w:p w14:paraId="6E279B2B">
                  <w:pPr>
                    <w:spacing w:line="240" w:lineRule="auto"/>
                    <w:ind w:firstLine="0" w:firstLineChars="0"/>
                    <w:jc w:val="center"/>
                    <w:outlineLvl w:val="0"/>
                    <w:rPr>
                      <w:rFonts w:hint="eastAsia"/>
                      <w:color w:val="auto"/>
                      <w:sz w:val="21"/>
                      <w:szCs w:val="21"/>
                      <w:lang w:val="en-US" w:eastAsia="zh-CN"/>
                    </w:rPr>
                  </w:pPr>
                  <w:r>
                    <w:rPr>
                      <w:rFonts w:hint="eastAsia"/>
                      <w:color w:val="auto"/>
                      <w:sz w:val="21"/>
                      <w:szCs w:val="21"/>
                      <w:lang w:val="en-US" w:eastAsia="zh-CN"/>
                    </w:rPr>
                    <w:t>/</w:t>
                  </w:r>
                </w:p>
              </w:tc>
              <w:tc>
                <w:tcPr>
                  <w:tcW w:w="304" w:type="pct"/>
                  <w:shd w:val="clear" w:color="auto" w:fill="auto"/>
                  <w:noWrap w:val="0"/>
                  <w:vAlign w:val="center"/>
                </w:tcPr>
                <w:p w14:paraId="5C0A358B">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65</w:t>
                  </w:r>
                </w:p>
              </w:tc>
              <w:tc>
                <w:tcPr>
                  <w:tcW w:w="235" w:type="pct"/>
                  <w:vMerge w:val="continue"/>
                  <w:tcBorders/>
                  <w:noWrap w:val="0"/>
                  <w:vAlign w:val="center"/>
                </w:tcPr>
                <w:p w14:paraId="5710472A">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rPr>
                  </w:pPr>
                </w:p>
              </w:tc>
              <w:tc>
                <w:tcPr>
                  <w:tcW w:w="800" w:type="dxa"/>
                  <w:shd w:val="clear" w:color="auto" w:fill="auto"/>
                  <w:noWrap w:val="0"/>
                  <w:vAlign w:val="center"/>
                </w:tcPr>
                <w:p w14:paraId="2034DD71">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84~86</w:t>
                  </w:r>
                </w:p>
              </w:tc>
              <w:tc>
                <w:tcPr>
                  <w:tcW w:w="960" w:type="dxa"/>
                  <w:shd w:val="clear" w:color="auto" w:fill="auto"/>
                  <w:noWrap w:val="0"/>
                  <w:vAlign w:val="center"/>
                </w:tcPr>
                <w:p w14:paraId="4293586A">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184~186</w:t>
                  </w:r>
                </w:p>
              </w:tc>
              <w:tc>
                <w:tcPr>
                  <w:tcW w:w="645" w:type="dxa"/>
                  <w:noWrap w:val="0"/>
                  <w:vAlign w:val="center"/>
                </w:tcPr>
                <w:p w14:paraId="3257457D">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5~6</w:t>
                  </w:r>
                </w:p>
              </w:tc>
              <w:tc>
                <w:tcPr>
                  <w:tcW w:w="187" w:type="pct"/>
                  <w:shd w:val="clear" w:color="auto" w:fill="auto"/>
                  <w:noWrap w:val="0"/>
                  <w:vAlign w:val="center"/>
                </w:tcPr>
                <w:p w14:paraId="47167218">
                  <w:pPr>
                    <w:keepNext w:val="0"/>
                    <w:keepLines w:val="0"/>
                    <w:widowControl/>
                    <w:suppressLineNumbers w:val="0"/>
                    <w:spacing w:line="240" w:lineRule="auto"/>
                    <w:ind w:firstLine="0" w:firstLineChars="0"/>
                    <w:jc w:val="center"/>
                    <w:textAlignment w:val="center"/>
                    <w:rPr>
                      <w:rFonts w:hint="default" w:ascii="Times New Roman" w:hAnsi="Times New Roman" w:eastAsia="宋体" w:cstheme="minorBidi"/>
                      <w:color w:val="auto"/>
                      <w:kern w:val="2"/>
                      <w:sz w:val="21"/>
                      <w:szCs w:val="21"/>
                      <w:highlight w:val="none"/>
                      <w:lang w:val="en-US" w:eastAsia="zh-CN" w:bidi="ar-SA"/>
                    </w:rPr>
                  </w:pPr>
                  <w:r>
                    <w:rPr>
                      <w:rFonts w:hint="eastAsia" w:cstheme="minorBidi"/>
                      <w:color w:val="auto"/>
                      <w:kern w:val="2"/>
                      <w:sz w:val="21"/>
                      <w:szCs w:val="21"/>
                      <w:highlight w:val="none"/>
                      <w:lang w:val="en-US" w:eastAsia="zh-CN" w:bidi="ar-SA"/>
                    </w:rPr>
                    <w:t>20</w:t>
                  </w:r>
                </w:p>
              </w:tc>
              <w:tc>
                <w:tcPr>
                  <w:tcW w:w="157" w:type="pct"/>
                  <w:shd w:val="clear" w:color="auto" w:fill="auto"/>
                  <w:noWrap w:val="0"/>
                  <w:vAlign w:val="center"/>
                </w:tcPr>
                <w:p w14:paraId="71CE1EAE">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184</w:t>
                  </w:r>
                </w:p>
              </w:tc>
              <w:tc>
                <w:tcPr>
                  <w:tcW w:w="190" w:type="pct"/>
                  <w:shd w:val="clear" w:color="auto" w:fill="auto"/>
                  <w:noWrap w:val="0"/>
                  <w:vAlign w:val="center"/>
                </w:tcPr>
                <w:p w14:paraId="5003F106">
                  <w:pPr>
                    <w:keepNext w:val="0"/>
                    <w:keepLines w:val="0"/>
                    <w:widowControl/>
                    <w:suppressLineNumbers w:val="0"/>
                    <w:spacing w:line="240" w:lineRule="auto"/>
                    <w:ind w:firstLine="0" w:firstLineChars="0"/>
                    <w:jc w:val="center"/>
                    <w:textAlignment w:val="center"/>
                    <w:rPr>
                      <w:rFonts w:hint="default" w:cstheme="minorBidi"/>
                      <w:color w:val="auto"/>
                      <w:kern w:val="2"/>
                      <w:sz w:val="21"/>
                      <w:szCs w:val="21"/>
                      <w:highlight w:val="none"/>
                      <w:lang w:val="en-US" w:eastAsia="zh-CN" w:bidi="ar-SA"/>
                    </w:rPr>
                  </w:pPr>
                  <w:r>
                    <w:rPr>
                      <w:rFonts w:hint="eastAsia" w:cstheme="minorBidi"/>
                      <w:color w:val="auto"/>
                      <w:kern w:val="2"/>
                      <w:sz w:val="21"/>
                      <w:szCs w:val="21"/>
                      <w:highlight w:val="none"/>
                      <w:lang w:val="en-US" w:eastAsia="zh-CN" w:bidi="ar-SA"/>
                    </w:rPr>
                    <w:t>84</w:t>
                  </w:r>
                </w:p>
              </w:tc>
              <w:tc>
                <w:tcPr>
                  <w:tcW w:w="174" w:type="pct"/>
                  <w:shd w:val="clear" w:color="auto" w:fill="auto"/>
                  <w:noWrap w:val="0"/>
                  <w:vAlign w:val="center"/>
                </w:tcPr>
                <w:p w14:paraId="223B347A">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67</w:t>
                  </w:r>
                </w:p>
              </w:tc>
              <w:tc>
                <w:tcPr>
                  <w:tcW w:w="427" w:type="dxa"/>
                  <w:shd w:val="clear" w:color="auto" w:fill="auto"/>
                  <w:noWrap w:val="0"/>
                  <w:vAlign w:val="center"/>
                </w:tcPr>
                <w:p w14:paraId="2F0B19D7">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39</w:t>
                  </w:r>
                </w:p>
              </w:tc>
              <w:tc>
                <w:tcPr>
                  <w:tcW w:w="427" w:type="dxa"/>
                  <w:shd w:val="clear" w:color="auto" w:fill="auto"/>
                  <w:noWrap w:val="0"/>
                  <w:vAlign w:val="center"/>
                </w:tcPr>
                <w:p w14:paraId="688D1361">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20</w:t>
                  </w:r>
                </w:p>
              </w:tc>
              <w:tc>
                <w:tcPr>
                  <w:tcW w:w="427" w:type="dxa"/>
                  <w:shd w:val="clear" w:color="auto" w:fill="auto"/>
                  <w:noWrap w:val="0"/>
                  <w:vAlign w:val="center"/>
                </w:tcPr>
                <w:p w14:paraId="57756D6B">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27</w:t>
                  </w:r>
                </w:p>
              </w:tc>
              <w:tc>
                <w:tcPr>
                  <w:tcW w:w="427" w:type="dxa"/>
                  <w:shd w:val="clear" w:color="auto" w:fill="auto"/>
                  <w:noWrap w:val="0"/>
                  <w:vAlign w:val="center"/>
                </w:tcPr>
                <w:p w14:paraId="2F789015">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28</w:t>
                  </w:r>
                </w:p>
              </w:tc>
              <w:tc>
                <w:tcPr>
                  <w:tcW w:w="235" w:type="pct"/>
                  <w:vMerge w:val="continue"/>
                  <w:tcBorders/>
                  <w:noWrap w:val="0"/>
                  <w:vAlign w:val="center"/>
                </w:tcPr>
                <w:p w14:paraId="7E791F50">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lang w:val="en-US" w:eastAsia="zh-CN"/>
                    </w:rPr>
                  </w:pPr>
                </w:p>
              </w:tc>
              <w:tc>
                <w:tcPr>
                  <w:tcW w:w="291" w:type="pct"/>
                  <w:shd w:val="clear" w:color="auto" w:fill="auto"/>
                  <w:noWrap w:val="0"/>
                  <w:vAlign w:val="center"/>
                </w:tcPr>
                <w:p w14:paraId="16345342">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15</w:t>
                  </w:r>
                </w:p>
              </w:tc>
              <w:tc>
                <w:tcPr>
                  <w:tcW w:w="427" w:type="dxa"/>
                  <w:noWrap w:val="0"/>
                  <w:vAlign w:val="center"/>
                </w:tcPr>
                <w:p w14:paraId="7C4EFFE6">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24</w:t>
                  </w:r>
                </w:p>
              </w:tc>
              <w:tc>
                <w:tcPr>
                  <w:tcW w:w="427" w:type="dxa"/>
                  <w:noWrap w:val="0"/>
                  <w:vAlign w:val="center"/>
                </w:tcPr>
                <w:p w14:paraId="6D145E4B">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w:t>
                  </w:r>
                </w:p>
              </w:tc>
              <w:tc>
                <w:tcPr>
                  <w:tcW w:w="427" w:type="dxa"/>
                  <w:noWrap w:val="0"/>
                  <w:vAlign w:val="center"/>
                </w:tcPr>
                <w:p w14:paraId="63F1C51D">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12</w:t>
                  </w:r>
                </w:p>
              </w:tc>
              <w:tc>
                <w:tcPr>
                  <w:tcW w:w="427" w:type="dxa"/>
                  <w:noWrap w:val="0"/>
                  <w:vAlign w:val="center"/>
                </w:tcPr>
                <w:p w14:paraId="3A17D30A">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13</w:t>
                  </w:r>
                </w:p>
              </w:tc>
              <w:tc>
                <w:tcPr>
                  <w:tcW w:w="173" w:type="pct"/>
                  <w:shd w:val="clear" w:color="auto" w:fill="auto"/>
                  <w:noWrap w:val="0"/>
                  <w:vAlign w:val="center"/>
                </w:tcPr>
                <w:p w14:paraId="3FEDAB72">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r>
            <w:tr w14:paraId="7B82080E">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57" w:type="pct"/>
                  <w:vMerge w:val="continue"/>
                  <w:noWrap w:val="0"/>
                  <w:vAlign w:val="center"/>
                </w:tcPr>
                <w:p w14:paraId="6BBADD01">
                  <w:pPr>
                    <w:pStyle w:val="95"/>
                    <w:keepNext w:val="0"/>
                    <w:keepLines w:val="0"/>
                    <w:pageBreakBefore w:val="0"/>
                    <w:widowControl w:val="0"/>
                    <w:kinsoku/>
                    <w:wordWrap/>
                    <w:overflowPunct/>
                    <w:topLinePunct w:val="0"/>
                    <w:autoSpaceDE/>
                    <w:autoSpaceDN/>
                    <w:bidi w:val="0"/>
                    <w:jc w:val="center"/>
                    <w:textAlignment w:val="auto"/>
                    <w:rPr>
                      <w:rFonts w:hint="eastAsia"/>
                      <w:color w:val="auto"/>
                      <w:sz w:val="21"/>
                      <w:szCs w:val="21"/>
                      <w:highlight w:val="none"/>
                      <w:lang w:val="en-US" w:eastAsia="zh-CN"/>
                    </w:rPr>
                  </w:pPr>
                </w:p>
              </w:tc>
              <w:tc>
                <w:tcPr>
                  <w:tcW w:w="157" w:type="pct"/>
                  <w:vMerge w:val="continue"/>
                  <w:noWrap w:val="0"/>
                  <w:vAlign w:val="center"/>
                </w:tcPr>
                <w:p w14:paraId="74806B9F">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lang w:val="en-US" w:eastAsia="zh-CN"/>
                    </w:rPr>
                  </w:pPr>
                </w:p>
              </w:tc>
              <w:tc>
                <w:tcPr>
                  <w:tcW w:w="440" w:type="pct"/>
                  <w:shd w:val="clear" w:color="auto" w:fill="auto"/>
                  <w:noWrap w:val="0"/>
                  <w:vAlign w:val="center"/>
                </w:tcPr>
                <w:p w14:paraId="364E1B05">
                  <w:pPr>
                    <w:pStyle w:val="22"/>
                    <w:jc w:val="center"/>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蒸汽发生器（电）</w:t>
                  </w:r>
                </w:p>
              </w:tc>
              <w:tc>
                <w:tcPr>
                  <w:tcW w:w="157" w:type="pct"/>
                  <w:shd w:val="clear" w:color="auto" w:fill="auto"/>
                  <w:noWrap w:val="0"/>
                  <w:vAlign w:val="center"/>
                </w:tcPr>
                <w:p w14:paraId="14D7EE14">
                  <w:pPr>
                    <w:spacing w:line="240" w:lineRule="auto"/>
                    <w:ind w:firstLine="0" w:firstLineChars="0"/>
                    <w:jc w:val="center"/>
                    <w:outlineLvl w:val="0"/>
                    <w:rPr>
                      <w:rFonts w:hint="eastAsia"/>
                      <w:color w:val="auto"/>
                      <w:sz w:val="21"/>
                      <w:szCs w:val="21"/>
                      <w:lang w:val="en-US" w:eastAsia="zh-CN"/>
                    </w:rPr>
                  </w:pPr>
                  <w:r>
                    <w:rPr>
                      <w:rFonts w:hint="eastAsia" w:cstheme="minorBidi"/>
                      <w:color w:val="auto"/>
                      <w:kern w:val="2"/>
                      <w:sz w:val="21"/>
                      <w:szCs w:val="21"/>
                      <w:highlight w:val="none"/>
                      <w:lang w:val="en-US" w:eastAsia="zh-CN" w:bidi="ar-SA"/>
                    </w:rPr>
                    <w:t>/</w:t>
                  </w:r>
                </w:p>
              </w:tc>
              <w:tc>
                <w:tcPr>
                  <w:tcW w:w="304" w:type="pct"/>
                  <w:shd w:val="clear" w:color="auto" w:fill="auto"/>
                  <w:noWrap w:val="0"/>
                  <w:vAlign w:val="center"/>
                </w:tcPr>
                <w:p w14:paraId="4F82CC99">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75</w:t>
                  </w:r>
                </w:p>
              </w:tc>
              <w:tc>
                <w:tcPr>
                  <w:tcW w:w="235" w:type="pct"/>
                  <w:vMerge w:val="continue"/>
                  <w:tcBorders/>
                  <w:noWrap w:val="0"/>
                  <w:vAlign w:val="center"/>
                </w:tcPr>
                <w:p w14:paraId="388EB880">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rPr>
                  </w:pPr>
                </w:p>
              </w:tc>
              <w:tc>
                <w:tcPr>
                  <w:tcW w:w="800" w:type="dxa"/>
                  <w:shd w:val="clear" w:color="auto" w:fill="auto"/>
                  <w:noWrap w:val="0"/>
                  <w:vAlign w:val="center"/>
                </w:tcPr>
                <w:p w14:paraId="5DC91502">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80~88</w:t>
                  </w:r>
                </w:p>
              </w:tc>
              <w:tc>
                <w:tcPr>
                  <w:tcW w:w="960" w:type="dxa"/>
                  <w:shd w:val="clear" w:color="auto" w:fill="auto"/>
                  <w:noWrap w:val="0"/>
                  <w:vAlign w:val="center"/>
                </w:tcPr>
                <w:p w14:paraId="49231AF1">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180~185</w:t>
                  </w:r>
                </w:p>
              </w:tc>
              <w:tc>
                <w:tcPr>
                  <w:tcW w:w="645" w:type="dxa"/>
                  <w:noWrap w:val="0"/>
                  <w:vAlign w:val="center"/>
                </w:tcPr>
                <w:p w14:paraId="7BAD356A">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0~3</w:t>
                  </w:r>
                </w:p>
              </w:tc>
              <w:tc>
                <w:tcPr>
                  <w:tcW w:w="187" w:type="pct"/>
                  <w:shd w:val="clear" w:color="auto" w:fill="auto"/>
                  <w:noWrap w:val="0"/>
                  <w:vAlign w:val="center"/>
                </w:tcPr>
                <w:p w14:paraId="42E3768B">
                  <w:pPr>
                    <w:keepNext w:val="0"/>
                    <w:keepLines w:val="0"/>
                    <w:widowControl/>
                    <w:suppressLineNumbers w:val="0"/>
                    <w:spacing w:line="240" w:lineRule="auto"/>
                    <w:ind w:firstLine="0" w:firstLineChars="0"/>
                    <w:jc w:val="center"/>
                    <w:textAlignment w:val="center"/>
                    <w:rPr>
                      <w:rFonts w:hint="default" w:ascii="Times New Roman" w:hAnsi="Times New Roman" w:eastAsia="宋体" w:cstheme="minorBidi"/>
                      <w:color w:val="auto"/>
                      <w:kern w:val="2"/>
                      <w:sz w:val="21"/>
                      <w:szCs w:val="21"/>
                      <w:highlight w:val="none"/>
                      <w:lang w:val="en-US" w:eastAsia="zh-CN" w:bidi="ar-SA"/>
                    </w:rPr>
                  </w:pPr>
                  <w:r>
                    <w:rPr>
                      <w:rFonts w:hint="eastAsia" w:cstheme="minorBidi"/>
                      <w:color w:val="auto"/>
                      <w:kern w:val="2"/>
                      <w:sz w:val="21"/>
                      <w:szCs w:val="21"/>
                      <w:highlight w:val="none"/>
                      <w:lang w:val="en-US" w:eastAsia="zh-CN" w:bidi="ar-SA"/>
                    </w:rPr>
                    <w:t>18</w:t>
                  </w:r>
                </w:p>
              </w:tc>
              <w:tc>
                <w:tcPr>
                  <w:tcW w:w="157" w:type="pct"/>
                  <w:shd w:val="clear" w:color="auto" w:fill="auto"/>
                  <w:noWrap w:val="0"/>
                  <w:vAlign w:val="center"/>
                </w:tcPr>
                <w:p w14:paraId="2095ACB0">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180</w:t>
                  </w:r>
                </w:p>
              </w:tc>
              <w:tc>
                <w:tcPr>
                  <w:tcW w:w="190" w:type="pct"/>
                  <w:shd w:val="clear" w:color="auto" w:fill="auto"/>
                  <w:noWrap w:val="0"/>
                  <w:vAlign w:val="center"/>
                </w:tcPr>
                <w:p w14:paraId="478C352F">
                  <w:pPr>
                    <w:keepNext w:val="0"/>
                    <w:keepLines w:val="0"/>
                    <w:widowControl/>
                    <w:suppressLineNumbers w:val="0"/>
                    <w:spacing w:line="240" w:lineRule="auto"/>
                    <w:ind w:firstLine="0" w:firstLineChars="0"/>
                    <w:jc w:val="center"/>
                    <w:textAlignment w:val="center"/>
                    <w:rPr>
                      <w:rFonts w:hint="default" w:cstheme="minorBidi"/>
                      <w:color w:val="auto"/>
                      <w:kern w:val="2"/>
                      <w:sz w:val="21"/>
                      <w:szCs w:val="21"/>
                      <w:highlight w:val="none"/>
                      <w:lang w:val="en-US" w:eastAsia="zh-CN" w:bidi="ar-SA"/>
                    </w:rPr>
                  </w:pPr>
                  <w:r>
                    <w:rPr>
                      <w:rFonts w:hint="eastAsia" w:cstheme="minorBidi"/>
                      <w:color w:val="auto"/>
                      <w:kern w:val="2"/>
                      <w:sz w:val="21"/>
                      <w:szCs w:val="21"/>
                      <w:highlight w:val="none"/>
                      <w:lang w:val="en-US" w:eastAsia="zh-CN" w:bidi="ar-SA"/>
                    </w:rPr>
                    <w:t>80</w:t>
                  </w:r>
                </w:p>
              </w:tc>
              <w:tc>
                <w:tcPr>
                  <w:tcW w:w="174" w:type="pct"/>
                  <w:shd w:val="clear" w:color="auto" w:fill="auto"/>
                  <w:noWrap w:val="0"/>
                  <w:vAlign w:val="center"/>
                </w:tcPr>
                <w:p w14:paraId="26E49E2C">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68</w:t>
                  </w:r>
                </w:p>
              </w:tc>
              <w:tc>
                <w:tcPr>
                  <w:tcW w:w="427" w:type="dxa"/>
                  <w:shd w:val="clear" w:color="auto" w:fill="auto"/>
                  <w:noWrap w:val="0"/>
                  <w:vAlign w:val="center"/>
                </w:tcPr>
                <w:p w14:paraId="563E0383">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50</w:t>
                  </w:r>
                </w:p>
              </w:tc>
              <w:tc>
                <w:tcPr>
                  <w:tcW w:w="427" w:type="dxa"/>
                  <w:shd w:val="clear" w:color="auto" w:fill="auto"/>
                  <w:noWrap w:val="0"/>
                  <w:vAlign w:val="center"/>
                </w:tcPr>
                <w:p w14:paraId="328F79CD">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30</w:t>
                  </w:r>
                </w:p>
              </w:tc>
              <w:tc>
                <w:tcPr>
                  <w:tcW w:w="427" w:type="dxa"/>
                  <w:shd w:val="clear" w:color="auto" w:fill="auto"/>
                  <w:noWrap w:val="0"/>
                  <w:vAlign w:val="center"/>
                </w:tcPr>
                <w:p w14:paraId="6B3C3493">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37</w:t>
                  </w:r>
                </w:p>
              </w:tc>
              <w:tc>
                <w:tcPr>
                  <w:tcW w:w="427" w:type="dxa"/>
                  <w:shd w:val="clear" w:color="auto" w:fill="auto"/>
                  <w:noWrap w:val="0"/>
                  <w:vAlign w:val="center"/>
                </w:tcPr>
                <w:p w14:paraId="55AC892C">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38</w:t>
                  </w:r>
                </w:p>
              </w:tc>
              <w:tc>
                <w:tcPr>
                  <w:tcW w:w="235" w:type="pct"/>
                  <w:vMerge w:val="continue"/>
                  <w:tcBorders/>
                  <w:noWrap w:val="0"/>
                  <w:vAlign w:val="center"/>
                </w:tcPr>
                <w:p w14:paraId="42F71B0D">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lang w:val="en-US" w:eastAsia="zh-CN"/>
                    </w:rPr>
                  </w:pPr>
                </w:p>
              </w:tc>
              <w:tc>
                <w:tcPr>
                  <w:tcW w:w="291" w:type="pct"/>
                  <w:shd w:val="clear" w:color="auto" w:fill="auto"/>
                  <w:noWrap w:val="0"/>
                  <w:vAlign w:val="center"/>
                </w:tcPr>
                <w:p w14:paraId="73AFB8E9">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15</w:t>
                  </w:r>
                </w:p>
              </w:tc>
              <w:tc>
                <w:tcPr>
                  <w:tcW w:w="427" w:type="dxa"/>
                  <w:noWrap w:val="0"/>
                  <w:vAlign w:val="center"/>
                </w:tcPr>
                <w:p w14:paraId="6C6B1ECB">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35</w:t>
                  </w:r>
                </w:p>
              </w:tc>
              <w:tc>
                <w:tcPr>
                  <w:tcW w:w="427" w:type="dxa"/>
                  <w:noWrap w:val="0"/>
                  <w:vAlign w:val="center"/>
                </w:tcPr>
                <w:p w14:paraId="26D87C01">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15</w:t>
                  </w:r>
                </w:p>
              </w:tc>
              <w:tc>
                <w:tcPr>
                  <w:tcW w:w="427" w:type="dxa"/>
                  <w:noWrap w:val="0"/>
                  <w:vAlign w:val="center"/>
                </w:tcPr>
                <w:p w14:paraId="38CAC793">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22</w:t>
                  </w:r>
                </w:p>
              </w:tc>
              <w:tc>
                <w:tcPr>
                  <w:tcW w:w="427" w:type="dxa"/>
                  <w:noWrap w:val="0"/>
                  <w:vAlign w:val="center"/>
                </w:tcPr>
                <w:p w14:paraId="55986A6A">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23</w:t>
                  </w:r>
                </w:p>
              </w:tc>
              <w:tc>
                <w:tcPr>
                  <w:tcW w:w="173" w:type="pct"/>
                  <w:shd w:val="clear" w:color="auto" w:fill="auto"/>
                  <w:noWrap w:val="0"/>
                  <w:vAlign w:val="center"/>
                </w:tcPr>
                <w:p w14:paraId="0AA2F555">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r>
            <w:tr w14:paraId="55A83731">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57" w:type="pct"/>
                  <w:vMerge w:val="continue"/>
                  <w:noWrap w:val="0"/>
                  <w:vAlign w:val="center"/>
                </w:tcPr>
                <w:p w14:paraId="69BDA435">
                  <w:pPr>
                    <w:pStyle w:val="95"/>
                    <w:keepNext w:val="0"/>
                    <w:keepLines w:val="0"/>
                    <w:pageBreakBefore w:val="0"/>
                    <w:widowControl w:val="0"/>
                    <w:kinsoku/>
                    <w:wordWrap/>
                    <w:overflowPunct/>
                    <w:topLinePunct w:val="0"/>
                    <w:autoSpaceDE/>
                    <w:autoSpaceDN/>
                    <w:bidi w:val="0"/>
                    <w:jc w:val="center"/>
                    <w:textAlignment w:val="auto"/>
                    <w:rPr>
                      <w:rFonts w:hint="eastAsia"/>
                      <w:color w:val="auto"/>
                      <w:sz w:val="21"/>
                      <w:szCs w:val="21"/>
                      <w:highlight w:val="none"/>
                      <w:lang w:val="en-US" w:eastAsia="zh-CN"/>
                    </w:rPr>
                  </w:pPr>
                </w:p>
              </w:tc>
              <w:tc>
                <w:tcPr>
                  <w:tcW w:w="157" w:type="pct"/>
                  <w:vMerge w:val="continue"/>
                  <w:noWrap w:val="0"/>
                  <w:vAlign w:val="center"/>
                </w:tcPr>
                <w:p w14:paraId="49852F34">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lang w:val="en-US" w:eastAsia="zh-CN"/>
                    </w:rPr>
                  </w:pPr>
                </w:p>
              </w:tc>
              <w:tc>
                <w:tcPr>
                  <w:tcW w:w="440" w:type="pct"/>
                  <w:shd w:val="clear" w:color="auto" w:fill="auto"/>
                  <w:noWrap w:val="0"/>
                  <w:vAlign w:val="center"/>
                </w:tcPr>
                <w:p w14:paraId="6F05F733">
                  <w:pPr>
                    <w:pStyle w:val="22"/>
                    <w:jc w:val="center"/>
                    <w:rPr>
                      <w:rFonts w:hint="eastAsia" w:ascii="Times New Roman" w:hAnsi="Times New Roman" w:eastAsia="宋体" w:cs="Times New Roman"/>
                      <w:sz w:val="21"/>
                      <w:szCs w:val="21"/>
                      <w:lang w:eastAsia="zh-CN"/>
                    </w:rPr>
                  </w:pPr>
                  <w:r>
                    <w:rPr>
                      <w:rFonts w:hint="eastAsia" w:ascii="Times New Roman" w:hAnsi="Times New Roman" w:eastAsia="宋体" w:cs="Times New Roman"/>
                      <w:color w:val="auto"/>
                      <w:sz w:val="21"/>
                      <w:szCs w:val="21"/>
                      <w:lang w:val="en-US" w:eastAsia="zh-CN"/>
                    </w:rPr>
                    <w:t>医用干燥柜</w:t>
                  </w:r>
                </w:p>
              </w:tc>
              <w:tc>
                <w:tcPr>
                  <w:tcW w:w="157" w:type="pct"/>
                  <w:shd w:val="clear" w:color="auto" w:fill="auto"/>
                  <w:noWrap w:val="0"/>
                  <w:vAlign w:val="center"/>
                </w:tcPr>
                <w:p w14:paraId="308CF6D2">
                  <w:pPr>
                    <w:spacing w:line="240" w:lineRule="auto"/>
                    <w:ind w:firstLine="0" w:firstLineChars="0"/>
                    <w:jc w:val="center"/>
                    <w:outlineLvl w:val="0"/>
                    <w:rPr>
                      <w:rFonts w:hint="eastAsia"/>
                      <w:color w:val="auto"/>
                      <w:sz w:val="21"/>
                      <w:szCs w:val="21"/>
                      <w:lang w:val="en-US" w:eastAsia="zh-CN"/>
                    </w:rPr>
                  </w:pPr>
                  <w:r>
                    <w:rPr>
                      <w:rFonts w:hint="eastAsia"/>
                      <w:color w:val="auto"/>
                      <w:sz w:val="21"/>
                      <w:szCs w:val="21"/>
                      <w:lang w:val="en-US" w:eastAsia="zh-CN"/>
                    </w:rPr>
                    <w:t>/</w:t>
                  </w:r>
                </w:p>
              </w:tc>
              <w:tc>
                <w:tcPr>
                  <w:tcW w:w="304" w:type="pct"/>
                  <w:shd w:val="clear" w:color="auto" w:fill="auto"/>
                  <w:noWrap w:val="0"/>
                  <w:vAlign w:val="center"/>
                </w:tcPr>
                <w:p w14:paraId="4EA63C9A">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70</w:t>
                  </w:r>
                </w:p>
              </w:tc>
              <w:tc>
                <w:tcPr>
                  <w:tcW w:w="235" w:type="pct"/>
                  <w:vMerge w:val="continue"/>
                  <w:tcBorders/>
                  <w:noWrap w:val="0"/>
                  <w:vAlign w:val="center"/>
                </w:tcPr>
                <w:p w14:paraId="6F059E68">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rPr>
                  </w:pPr>
                </w:p>
              </w:tc>
              <w:tc>
                <w:tcPr>
                  <w:tcW w:w="800" w:type="dxa"/>
                  <w:shd w:val="clear" w:color="auto" w:fill="auto"/>
                  <w:noWrap w:val="0"/>
                  <w:vAlign w:val="center"/>
                </w:tcPr>
                <w:p w14:paraId="2014A4E8">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88~90</w:t>
                  </w:r>
                </w:p>
              </w:tc>
              <w:tc>
                <w:tcPr>
                  <w:tcW w:w="960" w:type="dxa"/>
                  <w:shd w:val="clear" w:color="auto" w:fill="auto"/>
                  <w:noWrap w:val="0"/>
                  <w:vAlign w:val="center"/>
                </w:tcPr>
                <w:p w14:paraId="5CF3882F">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184~186</w:t>
                  </w:r>
                </w:p>
              </w:tc>
              <w:tc>
                <w:tcPr>
                  <w:tcW w:w="645" w:type="dxa"/>
                  <w:noWrap w:val="0"/>
                  <w:vAlign w:val="center"/>
                </w:tcPr>
                <w:p w14:paraId="69363097">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5~6</w:t>
                  </w:r>
                </w:p>
              </w:tc>
              <w:tc>
                <w:tcPr>
                  <w:tcW w:w="187" w:type="pct"/>
                  <w:shd w:val="clear" w:color="auto" w:fill="auto"/>
                  <w:noWrap w:val="0"/>
                  <w:vAlign w:val="center"/>
                </w:tcPr>
                <w:p w14:paraId="66BCBEFF">
                  <w:pPr>
                    <w:keepNext w:val="0"/>
                    <w:keepLines w:val="0"/>
                    <w:widowControl/>
                    <w:suppressLineNumbers w:val="0"/>
                    <w:spacing w:line="240" w:lineRule="auto"/>
                    <w:ind w:firstLine="0" w:firstLineChars="0"/>
                    <w:jc w:val="center"/>
                    <w:textAlignment w:val="center"/>
                    <w:rPr>
                      <w:rFonts w:hint="default" w:ascii="Times New Roman" w:hAnsi="Times New Roman" w:eastAsia="宋体" w:cstheme="minorBidi"/>
                      <w:color w:val="auto"/>
                      <w:kern w:val="2"/>
                      <w:sz w:val="21"/>
                      <w:szCs w:val="21"/>
                      <w:highlight w:val="none"/>
                      <w:lang w:val="en-US" w:eastAsia="zh-CN" w:bidi="ar-SA"/>
                    </w:rPr>
                  </w:pPr>
                  <w:r>
                    <w:rPr>
                      <w:rFonts w:hint="eastAsia" w:cstheme="minorBidi"/>
                      <w:color w:val="auto"/>
                      <w:kern w:val="2"/>
                      <w:sz w:val="21"/>
                      <w:szCs w:val="21"/>
                      <w:highlight w:val="none"/>
                      <w:lang w:val="en-US" w:eastAsia="zh-CN" w:bidi="ar-SA"/>
                    </w:rPr>
                    <w:t>16</w:t>
                  </w:r>
                </w:p>
              </w:tc>
              <w:tc>
                <w:tcPr>
                  <w:tcW w:w="157" w:type="pct"/>
                  <w:shd w:val="clear" w:color="auto" w:fill="auto"/>
                  <w:noWrap w:val="0"/>
                  <w:vAlign w:val="center"/>
                </w:tcPr>
                <w:p w14:paraId="16276960">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184</w:t>
                  </w:r>
                </w:p>
              </w:tc>
              <w:tc>
                <w:tcPr>
                  <w:tcW w:w="190" w:type="pct"/>
                  <w:shd w:val="clear" w:color="auto" w:fill="auto"/>
                  <w:noWrap w:val="0"/>
                  <w:vAlign w:val="center"/>
                </w:tcPr>
                <w:p w14:paraId="204600DD">
                  <w:pPr>
                    <w:keepNext w:val="0"/>
                    <w:keepLines w:val="0"/>
                    <w:widowControl/>
                    <w:suppressLineNumbers w:val="0"/>
                    <w:spacing w:line="240" w:lineRule="auto"/>
                    <w:ind w:firstLine="0" w:firstLineChars="0"/>
                    <w:jc w:val="center"/>
                    <w:textAlignment w:val="center"/>
                    <w:rPr>
                      <w:rFonts w:hint="default" w:cstheme="minorBidi"/>
                      <w:color w:val="auto"/>
                      <w:kern w:val="2"/>
                      <w:sz w:val="21"/>
                      <w:szCs w:val="21"/>
                      <w:highlight w:val="none"/>
                      <w:lang w:val="en-US" w:eastAsia="zh-CN" w:bidi="ar-SA"/>
                    </w:rPr>
                  </w:pPr>
                  <w:r>
                    <w:rPr>
                      <w:rFonts w:hint="eastAsia" w:cstheme="minorBidi"/>
                      <w:color w:val="auto"/>
                      <w:kern w:val="2"/>
                      <w:sz w:val="21"/>
                      <w:szCs w:val="21"/>
                      <w:highlight w:val="none"/>
                      <w:lang w:val="en-US" w:eastAsia="zh-CN" w:bidi="ar-SA"/>
                    </w:rPr>
                    <w:t>88</w:t>
                  </w:r>
                </w:p>
              </w:tc>
              <w:tc>
                <w:tcPr>
                  <w:tcW w:w="174" w:type="pct"/>
                  <w:shd w:val="clear" w:color="auto" w:fill="auto"/>
                  <w:noWrap w:val="0"/>
                  <w:vAlign w:val="center"/>
                </w:tcPr>
                <w:p w14:paraId="0A679352">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67</w:t>
                  </w:r>
                </w:p>
              </w:tc>
              <w:tc>
                <w:tcPr>
                  <w:tcW w:w="427" w:type="dxa"/>
                  <w:shd w:val="clear" w:color="auto" w:fill="auto"/>
                  <w:noWrap w:val="0"/>
                  <w:vAlign w:val="center"/>
                </w:tcPr>
                <w:p w14:paraId="239DCF2E">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46</w:t>
                  </w:r>
                </w:p>
              </w:tc>
              <w:tc>
                <w:tcPr>
                  <w:tcW w:w="427" w:type="dxa"/>
                  <w:shd w:val="clear" w:color="auto" w:fill="auto"/>
                  <w:noWrap w:val="0"/>
                  <w:vAlign w:val="center"/>
                </w:tcPr>
                <w:p w14:paraId="44D10C83">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25</w:t>
                  </w:r>
                </w:p>
              </w:tc>
              <w:tc>
                <w:tcPr>
                  <w:tcW w:w="427" w:type="dxa"/>
                  <w:shd w:val="clear" w:color="auto" w:fill="auto"/>
                  <w:noWrap w:val="0"/>
                  <w:vAlign w:val="center"/>
                </w:tcPr>
                <w:p w14:paraId="04425E7C">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31</w:t>
                  </w:r>
                </w:p>
              </w:tc>
              <w:tc>
                <w:tcPr>
                  <w:tcW w:w="427" w:type="dxa"/>
                  <w:shd w:val="clear" w:color="auto" w:fill="auto"/>
                  <w:noWrap w:val="0"/>
                  <w:vAlign w:val="center"/>
                </w:tcPr>
                <w:p w14:paraId="2D793C82">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33</w:t>
                  </w:r>
                </w:p>
              </w:tc>
              <w:tc>
                <w:tcPr>
                  <w:tcW w:w="235" w:type="pct"/>
                  <w:vMerge w:val="continue"/>
                  <w:tcBorders/>
                  <w:noWrap w:val="0"/>
                  <w:vAlign w:val="center"/>
                </w:tcPr>
                <w:p w14:paraId="5EDF80FB">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lang w:val="en-US" w:eastAsia="zh-CN"/>
                    </w:rPr>
                  </w:pPr>
                </w:p>
              </w:tc>
              <w:tc>
                <w:tcPr>
                  <w:tcW w:w="291" w:type="pct"/>
                  <w:shd w:val="clear" w:color="auto" w:fill="auto"/>
                  <w:noWrap w:val="0"/>
                  <w:vAlign w:val="center"/>
                </w:tcPr>
                <w:p w14:paraId="17029872">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15</w:t>
                  </w:r>
                </w:p>
              </w:tc>
              <w:tc>
                <w:tcPr>
                  <w:tcW w:w="427" w:type="dxa"/>
                  <w:noWrap w:val="0"/>
                  <w:vAlign w:val="center"/>
                </w:tcPr>
                <w:p w14:paraId="0C5A70EE">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31</w:t>
                  </w:r>
                </w:p>
              </w:tc>
              <w:tc>
                <w:tcPr>
                  <w:tcW w:w="427" w:type="dxa"/>
                  <w:noWrap w:val="0"/>
                  <w:vAlign w:val="center"/>
                </w:tcPr>
                <w:p w14:paraId="0AA881A7">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w:t>
                  </w:r>
                </w:p>
              </w:tc>
              <w:tc>
                <w:tcPr>
                  <w:tcW w:w="427" w:type="dxa"/>
                  <w:noWrap w:val="0"/>
                  <w:vAlign w:val="center"/>
                </w:tcPr>
                <w:p w14:paraId="61ADE9EE">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16</w:t>
                  </w:r>
                </w:p>
              </w:tc>
              <w:tc>
                <w:tcPr>
                  <w:tcW w:w="427" w:type="dxa"/>
                  <w:noWrap w:val="0"/>
                  <w:vAlign w:val="center"/>
                </w:tcPr>
                <w:p w14:paraId="54F749BD">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18</w:t>
                  </w:r>
                </w:p>
              </w:tc>
              <w:tc>
                <w:tcPr>
                  <w:tcW w:w="173" w:type="pct"/>
                  <w:shd w:val="clear" w:color="auto" w:fill="auto"/>
                  <w:noWrap w:val="0"/>
                  <w:vAlign w:val="center"/>
                </w:tcPr>
                <w:p w14:paraId="3C5FACD6">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r>
            <w:tr w14:paraId="4B4D868C">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57" w:type="pct"/>
                  <w:vMerge w:val="continue"/>
                  <w:noWrap w:val="0"/>
                  <w:vAlign w:val="center"/>
                </w:tcPr>
                <w:p w14:paraId="4E8C7844">
                  <w:pPr>
                    <w:pStyle w:val="95"/>
                    <w:keepNext w:val="0"/>
                    <w:keepLines w:val="0"/>
                    <w:pageBreakBefore w:val="0"/>
                    <w:widowControl w:val="0"/>
                    <w:kinsoku/>
                    <w:wordWrap/>
                    <w:overflowPunct/>
                    <w:topLinePunct w:val="0"/>
                    <w:autoSpaceDE/>
                    <w:autoSpaceDN/>
                    <w:bidi w:val="0"/>
                    <w:jc w:val="center"/>
                    <w:textAlignment w:val="auto"/>
                    <w:rPr>
                      <w:rFonts w:hint="eastAsia"/>
                      <w:color w:val="auto"/>
                      <w:sz w:val="21"/>
                      <w:szCs w:val="21"/>
                      <w:highlight w:val="none"/>
                      <w:lang w:val="en-US" w:eastAsia="zh-CN"/>
                    </w:rPr>
                  </w:pPr>
                </w:p>
              </w:tc>
              <w:tc>
                <w:tcPr>
                  <w:tcW w:w="157" w:type="pct"/>
                  <w:vMerge w:val="continue"/>
                  <w:noWrap w:val="0"/>
                  <w:vAlign w:val="center"/>
                </w:tcPr>
                <w:p w14:paraId="42469DBA">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lang w:val="en-US" w:eastAsia="zh-CN"/>
                    </w:rPr>
                  </w:pPr>
                </w:p>
              </w:tc>
              <w:tc>
                <w:tcPr>
                  <w:tcW w:w="440" w:type="pct"/>
                  <w:shd w:val="clear" w:color="auto" w:fill="auto"/>
                  <w:noWrap w:val="0"/>
                  <w:vAlign w:val="center"/>
                </w:tcPr>
                <w:p w14:paraId="44DC9E6E">
                  <w:pPr>
                    <w:pStyle w:val="22"/>
                    <w:jc w:val="center"/>
                    <w:rPr>
                      <w:rFonts w:hint="eastAsia"/>
                      <w:color w:val="auto"/>
                      <w:sz w:val="21"/>
                      <w:szCs w:val="21"/>
                      <w:lang w:eastAsia="zh-CN"/>
                    </w:rPr>
                  </w:pPr>
                  <w:r>
                    <w:rPr>
                      <w:rFonts w:hint="eastAsia" w:ascii="Times New Roman" w:hAnsi="Times New Roman" w:eastAsia="宋体" w:cs="Times New Roman"/>
                      <w:color w:val="auto"/>
                      <w:sz w:val="21"/>
                      <w:szCs w:val="21"/>
                      <w:lang w:val="en-US" w:eastAsia="zh-CN"/>
                    </w:rPr>
                    <w:t>超声波清洗机</w:t>
                  </w:r>
                </w:p>
              </w:tc>
              <w:tc>
                <w:tcPr>
                  <w:tcW w:w="157" w:type="pct"/>
                  <w:shd w:val="clear" w:color="auto" w:fill="auto"/>
                  <w:noWrap w:val="0"/>
                  <w:vAlign w:val="center"/>
                </w:tcPr>
                <w:p w14:paraId="28B792A5">
                  <w:pPr>
                    <w:spacing w:line="240" w:lineRule="auto"/>
                    <w:ind w:firstLine="0" w:firstLineChars="0"/>
                    <w:jc w:val="center"/>
                    <w:outlineLvl w:val="0"/>
                    <w:rPr>
                      <w:rFonts w:hint="eastAsia"/>
                      <w:color w:val="auto"/>
                      <w:sz w:val="21"/>
                      <w:szCs w:val="21"/>
                      <w:lang w:val="en-US" w:eastAsia="zh-CN"/>
                    </w:rPr>
                  </w:pPr>
                  <w:r>
                    <w:rPr>
                      <w:rFonts w:hint="eastAsia" w:cstheme="minorBidi"/>
                      <w:color w:val="auto"/>
                      <w:kern w:val="2"/>
                      <w:sz w:val="21"/>
                      <w:szCs w:val="21"/>
                      <w:highlight w:val="none"/>
                      <w:lang w:val="en-US" w:eastAsia="zh-CN" w:bidi="ar-SA"/>
                    </w:rPr>
                    <w:t>/</w:t>
                  </w:r>
                </w:p>
              </w:tc>
              <w:tc>
                <w:tcPr>
                  <w:tcW w:w="304" w:type="pct"/>
                  <w:shd w:val="clear" w:color="auto" w:fill="auto"/>
                  <w:noWrap w:val="0"/>
                  <w:vAlign w:val="center"/>
                </w:tcPr>
                <w:p w14:paraId="45807138">
                  <w:pPr>
                    <w:keepNext w:val="0"/>
                    <w:keepLines w:val="0"/>
                    <w:widowControl/>
                    <w:suppressLineNumbers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eastAsia" w:cstheme="minorBidi"/>
                      <w:color w:val="auto"/>
                      <w:kern w:val="2"/>
                      <w:sz w:val="21"/>
                      <w:szCs w:val="21"/>
                      <w:highlight w:val="none"/>
                      <w:lang w:val="en-US" w:eastAsia="zh-CN" w:bidi="ar-SA"/>
                    </w:rPr>
                    <w:t>75</w:t>
                  </w:r>
                </w:p>
              </w:tc>
              <w:tc>
                <w:tcPr>
                  <w:tcW w:w="235" w:type="pct"/>
                  <w:vMerge w:val="continue"/>
                  <w:tcBorders/>
                  <w:noWrap w:val="0"/>
                  <w:vAlign w:val="center"/>
                </w:tcPr>
                <w:p w14:paraId="7A188C8A">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rPr>
                  </w:pPr>
                </w:p>
              </w:tc>
              <w:tc>
                <w:tcPr>
                  <w:tcW w:w="800" w:type="dxa"/>
                  <w:shd w:val="clear" w:color="auto" w:fill="auto"/>
                  <w:noWrap w:val="0"/>
                  <w:vAlign w:val="center"/>
                </w:tcPr>
                <w:p w14:paraId="59935EDB">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82~84</w:t>
                  </w:r>
                </w:p>
              </w:tc>
              <w:tc>
                <w:tcPr>
                  <w:tcW w:w="960" w:type="dxa"/>
                  <w:shd w:val="clear" w:color="auto" w:fill="auto"/>
                  <w:noWrap w:val="0"/>
                  <w:vAlign w:val="center"/>
                </w:tcPr>
                <w:p w14:paraId="2B4C2823">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180~182</w:t>
                  </w:r>
                </w:p>
              </w:tc>
              <w:tc>
                <w:tcPr>
                  <w:tcW w:w="645" w:type="dxa"/>
                  <w:noWrap w:val="0"/>
                  <w:vAlign w:val="center"/>
                </w:tcPr>
                <w:p w14:paraId="63495A8A">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5~6</w:t>
                  </w:r>
                </w:p>
              </w:tc>
              <w:tc>
                <w:tcPr>
                  <w:tcW w:w="187" w:type="pct"/>
                  <w:shd w:val="clear" w:color="auto" w:fill="auto"/>
                  <w:noWrap w:val="0"/>
                  <w:vAlign w:val="center"/>
                </w:tcPr>
                <w:p w14:paraId="126324CA">
                  <w:pPr>
                    <w:keepNext w:val="0"/>
                    <w:keepLines w:val="0"/>
                    <w:widowControl/>
                    <w:suppressLineNumbers w:val="0"/>
                    <w:spacing w:line="240" w:lineRule="auto"/>
                    <w:ind w:firstLine="0" w:firstLineChars="0"/>
                    <w:jc w:val="center"/>
                    <w:textAlignment w:val="center"/>
                    <w:rPr>
                      <w:rFonts w:hint="default" w:cstheme="minorBidi"/>
                      <w:color w:val="auto"/>
                      <w:kern w:val="2"/>
                      <w:sz w:val="21"/>
                      <w:szCs w:val="21"/>
                      <w:highlight w:val="none"/>
                      <w:lang w:val="en-US" w:eastAsia="zh-CN" w:bidi="ar-SA"/>
                    </w:rPr>
                  </w:pPr>
                  <w:r>
                    <w:rPr>
                      <w:rFonts w:hint="eastAsia" w:cstheme="minorBidi"/>
                      <w:color w:val="auto"/>
                      <w:kern w:val="2"/>
                      <w:sz w:val="21"/>
                      <w:szCs w:val="21"/>
                      <w:highlight w:val="none"/>
                      <w:lang w:val="en-US" w:eastAsia="zh-CN" w:bidi="ar-SA"/>
                    </w:rPr>
                    <w:t>22</w:t>
                  </w:r>
                </w:p>
              </w:tc>
              <w:tc>
                <w:tcPr>
                  <w:tcW w:w="157" w:type="pct"/>
                  <w:shd w:val="clear" w:color="auto" w:fill="auto"/>
                  <w:noWrap w:val="0"/>
                  <w:vAlign w:val="center"/>
                </w:tcPr>
                <w:p w14:paraId="4C4ABE4A">
                  <w:pPr>
                    <w:keepNext w:val="0"/>
                    <w:keepLines w:val="0"/>
                    <w:widowControl/>
                    <w:suppressLineNumbers w:val="0"/>
                    <w:spacing w:line="240" w:lineRule="auto"/>
                    <w:ind w:firstLine="0" w:firstLineChars="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180</w:t>
                  </w:r>
                </w:p>
              </w:tc>
              <w:tc>
                <w:tcPr>
                  <w:tcW w:w="190" w:type="pct"/>
                  <w:shd w:val="clear" w:color="auto" w:fill="auto"/>
                  <w:noWrap w:val="0"/>
                  <w:vAlign w:val="center"/>
                </w:tcPr>
                <w:p w14:paraId="0EAA0EC9">
                  <w:pPr>
                    <w:keepNext w:val="0"/>
                    <w:keepLines w:val="0"/>
                    <w:widowControl/>
                    <w:suppressLineNumbers w:val="0"/>
                    <w:spacing w:line="240" w:lineRule="auto"/>
                    <w:ind w:firstLine="0" w:firstLineChars="0"/>
                    <w:jc w:val="center"/>
                    <w:textAlignment w:val="center"/>
                    <w:rPr>
                      <w:rFonts w:hint="default" w:cstheme="minorBidi"/>
                      <w:color w:val="auto"/>
                      <w:kern w:val="2"/>
                      <w:sz w:val="21"/>
                      <w:szCs w:val="21"/>
                      <w:highlight w:val="none"/>
                      <w:lang w:val="en-US" w:eastAsia="zh-CN" w:bidi="ar-SA"/>
                    </w:rPr>
                  </w:pPr>
                  <w:r>
                    <w:rPr>
                      <w:rFonts w:hint="eastAsia" w:cstheme="minorBidi"/>
                      <w:color w:val="auto"/>
                      <w:kern w:val="2"/>
                      <w:sz w:val="21"/>
                      <w:szCs w:val="21"/>
                      <w:highlight w:val="none"/>
                      <w:lang w:val="en-US" w:eastAsia="zh-CN" w:bidi="ar-SA"/>
                    </w:rPr>
                    <w:t>82</w:t>
                  </w:r>
                </w:p>
              </w:tc>
              <w:tc>
                <w:tcPr>
                  <w:tcW w:w="174" w:type="pct"/>
                  <w:shd w:val="clear" w:color="auto" w:fill="auto"/>
                  <w:noWrap w:val="0"/>
                  <w:vAlign w:val="center"/>
                </w:tcPr>
                <w:p w14:paraId="44E93D05">
                  <w:pPr>
                    <w:keepNext w:val="0"/>
                    <w:keepLines w:val="0"/>
                    <w:widowControl/>
                    <w:suppressLineNumbers w:val="0"/>
                    <w:spacing w:line="240" w:lineRule="auto"/>
                    <w:ind w:firstLine="0" w:firstLineChars="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71</w:t>
                  </w:r>
                </w:p>
              </w:tc>
              <w:tc>
                <w:tcPr>
                  <w:tcW w:w="427" w:type="dxa"/>
                  <w:shd w:val="clear" w:color="auto" w:fill="auto"/>
                  <w:noWrap w:val="0"/>
                  <w:vAlign w:val="center"/>
                </w:tcPr>
                <w:p w14:paraId="13E93D2C">
                  <w:pPr>
                    <w:keepNext w:val="0"/>
                    <w:keepLines w:val="0"/>
                    <w:widowControl/>
                    <w:suppressLineNumbers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48</w:t>
                  </w:r>
                </w:p>
              </w:tc>
              <w:tc>
                <w:tcPr>
                  <w:tcW w:w="427" w:type="dxa"/>
                  <w:shd w:val="clear" w:color="auto" w:fill="auto"/>
                  <w:noWrap w:val="0"/>
                  <w:vAlign w:val="center"/>
                </w:tcPr>
                <w:p w14:paraId="1D3B6D27">
                  <w:pPr>
                    <w:keepNext w:val="0"/>
                    <w:keepLines w:val="0"/>
                    <w:widowControl/>
                    <w:suppressLineNumbers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30</w:t>
                  </w:r>
                </w:p>
              </w:tc>
              <w:tc>
                <w:tcPr>
                  <w:tcW w:w="427" w:type="dxa"/>
                  <w:shd w:val="clear" w:color="auto" w:fill="auto"/>
                  <w:noWrap w:val="0"/>
                  <w:vAlign w:val="center"/>
                </w:tcPr>
                <w:p w14:paraId="677F19BC">
                  <w:pPr>
                    <w:keepNext w:val="0"/>
                    <w:keepLines w:val="0"/>
                    <w:widowControl/>
                    <w:suppressLineNumbers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37</w:t>
                  </w:r>
                </w:p>
              </w:tc>
              <w:tc>
                <w:tcPr>
                  <w:tcW w:w="427" w:type="dxa"/>
                  <w:shd w:val="clear" w:color="auto" w:fill="auto"/>
                  <w:noWrap w:val="0"/>
                  <w:vAlign w:val="center"/>
                </w:tcPr>
                <w:p w14:paraId="59C656BC">
                  <w:pPr>
                    <w:keepNext w:val="0"/>
                    <w:keepLines w:val="0"/>
                    <w:widowControl/>
                    <w:suppressLineNumbers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38</w:t>
                  </w:r>
                </w:p>
              </w:tc>
              <w:tc>
                <w:tcPr>
                  <w:tcW w:w="235" w:type="pct"/>
                  <w:vMerge w:val="continue"/>
                  <w:tcBorders/>
                  <w:noWrap w:val="0"/>
                  <w:vAlign w:val="center"/>
                </w:tcPr>
                <w:p w14:paraId="4BA4AB8C">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lang w:val="en-US" w:eastAsia="zh-CN"/>
                    </w:rPr>
                  </w:pPr>
                </w:p>
              </w:tc>
              <w:tc>
                <w:tcPr>
                  <w:tcW w:w="291" w:type="pct"/>
                  <w:shd w:val="clear" w:color="auto" w:fill="auto"/>
                  <w:noWrap w:val="0"/>
                  <w:vAlign w:val="center"/>
                </w:tcPr>
                <w:p w14:paraId="3FB646E4">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15</w:t>
                  </w:r>
                </w:p>
              </w:tc>
              <w:tc>
                <w:tcPr>
                  <w:tcW w:w="427" w:type="dxa"/>
                  <w:noWrap w:val="0"/>
                  <w:vAlign w:val="center"/>
                </w:tcPr>
                <w:p w14:paraId="480AD1B2">
                  <w:pPr>
                    <w:keepNext w:val="0"/>
                    <w:keepLines w:val="0"/>
                    <w:widowControl/>
                    <w:suppressLineNumbers w:val="0"/>
                    <w:spacing w:line="240" w:lineRule="auto"/>
                    <w:ind w:firstLine="0" w:firstLineChars="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33</w:t>
                  </w:r>
                </w:p>
              </w:tc>
              <w:tc>
                <w:tcPr>
                  <w:tcW w:w="427" w:type="dxa"/>
                  <w:noWrap w:val="0"/>
                  <w:vAlign w:val="center"/>
                </w:tcPr>
                <w:p w14:paraId="6951922E">
                  <w:pPr>
                    <w:keepNext w:val="0"/>
                    <w:keepLines w:val="0"/>
                    <w:widowControl/>
                    <w:suppressLineNumbers w:val="0"/>
                    <w:spacing w:line="240" w:lineRule="auto"/>
                    <w:ind w:firstLine="0" w:firstLineChars="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15</w:t>
                  </w:r>
                </w:p>
              </w:tc>
              <w:tc>
                <w:tcPr>
                  <w:tcW w:w="427" w:type="dxa"/>
                  <w:noWrap w:val="0"/>
                  <w:vAlign w:val="center"/>
                </w:tcPr>
                <w:p w14:paraId="428FB7D1">
                  <w:pPr>
                    <w:keepNext w:val="0"/>
                    <w:keepLines w:val="0"/>
                    <w:widowControl/>
                    <w:suppressLineNumbers w:val="0"/>
                    <w:spacing w:line="240" w:lineRule="auto"/>
                    <w:ind w:firstLine="0" w:firstLineChars="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22</w:t>
                  </w:r>
                </w:p>
              </w:tc>
              <w:tc>
                <w:tcPr>
                  <w:tcW w:w="427" w:type="dxa"/>
                  <w:noWrap w:val="0"/>
                  <w:vAlign w:val="center"/>
                </w:tcPr>
                <w:p w14:paraId="6E66537D">
                  <w:pPr>
                    <w:keepNext w:val="0"/>
                    <w:keepLines w:val="0"/>
                    <w:widowControl/>
                    <w:suppressLineNumbers w:val="0"/>
                    <w:spacing w:line="240" w:lineRule="auto"/>
                    <w:ind w:firstLine="0" w:firstLineChars="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23</w:t>
                  </w:r>
                </w:p>
              </w:tc>
              <w:tc>
                <w:tcPr>
                  <w:tcW w:w="173" w:type="pct"/>
                  <w:shd w:val="clear" w:color="auto" w:fill="auto"/>
                  <w:noWrap w:val="0"/>
                  <w:vAlign w:val="center"/>
                </w:tcPr>
                <w:p w14:paraId="7E34DA0F">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62F3F525">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57" w:type="pct"/>
                  <w:noWrap w:val="0"/>
                  <w:vAlign w:val="center"/>
                </w:tcPr>
                <w:p w14:paraId="25E86B6F">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w:t>
                  </w:r>
                </w:p>
              </w:tc>
              <w:tc>
                <w:tcPr>
                  <w:tcW w:w="157" w:type="pct"/>
                  <w:noWrap w:val="0"/>
                  <w:vAlign w:val="center"/>
                </w:tcPr>
                <w:p w14:paraId="3F597941">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污水处理站</w:t>
                  </w:r>
                </w:p>
              </w:tc>
              <w:tc>
                <w:tcPr>
                  <w:tcW w:w="440" w:type="pct"/>
                  <w:shd w:val="clear" w:color="auto" w:fill="auto"/>
                  <w:noWrap w:val="0"/>
                  <w:vAlign w:val="center"/>
                </w:tcPr>
                <w:p w14:paraId="0A77724D">
                  <w:pPr>
                    <w:pStyle w:val="22"/>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泵机组</w:t>
                  </w:r>
                </w:p>
              </w:tc>
              <w:tc>
                <w:tcPr>
                  <w:tcW w:w="157" w:type="pct"/>
                  <w:shd w:val="clear" w:color="auto" w:fill="auto"/>
                  <w:noWrap w:val="0"/>
                  <w:vAlign w:val="center"/>
                </w:tcPr>
                <w:p w14:paraId="447232EC">
                  <w:pPr>
                    <w:spacing w:line="240" w:lineRule="auto"/>
                    <w:ind w:firstLine="0" w:firstLineChars="0"/>
                    <w:jc w:val="center"/>
                    <w:outlineLvl w:val="0"/>
                    <w:rPr>
                      <w:rFonts w:hint="default" w:cstheme="minorBidi"/>
                      <w:color w:val="auto"/>
                      <w:kern w:val="2"/>
                      <w:sz w:val="21"/>
                      <w:szCs w:val="21"/>
                      <w:highlight w:val="none"/>
                      <w:lang w:val="en-US" w:eastAsia="zh-CN" w:bidi="ar-SA"/>
                    </w:rPr>
                  </w:pPr>
                  <w:r>
                    <w:rPr>
                      <w:rFonts w:hint="eastAsia" w:cstheme="minorBidi"/>
                      <w:color w:val="auto"/>
                      <w:kern w:val="2"/>
                      <w:sz w:val="21"/>
                      <w:szCs w:val="21"/>
                      <w:highlight w:val="none"/>
                      <w:lang w:val="en-US" w:eastAsia="zh-CN" w:bidi="ar-SA"/>
                    </w:rPr>
                    <w:t>/</w:t>
                  </w:r>
                </w:p>
              </w:tc>
              <w:tc>
                <w:tcPr>
                  <w:tcW w:w="304" w:type="pct"/>
                  <w:shd w:val="clear" w:color="auto" w:fill="auto"/>
                  <w:noWrap w:val="0"/>
                  <w:vAlign w:val="center"/>
                </w:tcPr>
                <w:p w14:paraId="2561F74D">
                  <w:pPr>
                    <w:keepNext w:val="0"/>
                    <w:keepLines w:val="0"/>
                    <w:widowControl/>
                    <w:suppressLineNumbers w:val="0"/>
                    <w:spacing w:line="240" w:lineRule="auto"/>
                    <w:ind w:firstLine="0" w:firstLineChars="0"/>
                    <w:jc w:val="center"/>
                    <w:textAlignment w:val="center"/>
                    <w:rPr>
                      <w:rFonts w:hint="default" w:cstheme="minorBidi"/>
                      <w:color w:val="auto"/>
                      <w:kern w:val="2"/>
                      <w:sz w:val="21"/>
                      <w:szCs w:val="21"/>
                      <w:highlight w:val="none"/>
                      <w:lang w:val="en-US" w:eastAsia="zh-CN" w:bidi="ar-SA"/>
                    </w:rPr>
                  </w:pPr>
                  <w:r>
                    <w:rPr>
                      <w:rFonts w:hint="eastAsia" w:cstheme="minorBidi"/>
                      <w:color w:val="auto"/>
                      <w:kern w:val="2"/>
                      <w:sz w:val="21"/>
                      <w:szCs w:val="21"/>
                      <w:highlight w:val="none"/>
                      <w:lang w:val="en-US" w:eastAsia="zh-CN" w:bidi="ar-SA"/>
                    </w:rPr>
                    <w:t>80</w:t>
                  </w:r>
                </w:p>
              </w:tc>
              <w:tc>
                <w:tcPr>
                  <w:tcW w:w="235" w:type="pct"/>
                  <w:vMerge w:val="continue"/>
                  <w:tcBorders/>
                  <w:noWrap w:val="0"/>
                  <w:vAlign w:val="center"/>
                </w:tcPr>
                <w:p w14:paraId="121BDE9A">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rPr>
                  </w:pPr>
                </w:p>
              </w:tc>
              <w:tc>
                <w:tcPr>
                  <w:tcW w:w="313" w:type="pct"/>
                  <w:shd w:val="clear" w:color="auto" w:fill="auto"/>
                  <w:noWrap w:val="0"/>
                  <w:vAlign w:val="center"/>
                </w:tcPr>
                <w:p w14:paraId="6E4F7E75">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10~20</w:t>
                  </w:r>
                </w:p>
              </w:tc>
              <w:tc>
                <w:tcPr>
                  <w:tcW w:w="315" w:type="pct"/>
                  <w:shd w:val="clear" w:color="auto" w:fill="auto"/>
                  <w:noWrap w:val="0"/>
                  <w:vAlign w:val="center"/>
                </w:tcPr>
                <w:p w14:paraId="547F2871">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8~13</w:t>
                  </w:r>
                </w:p>
              </w:tc>
              <w:tc>
                <w:tcPr>
                  <w:tcW w:w="237" w:type="pct"/>
                  <w:noWrap w:val="0"/>
                  <w:vAlign w:val="center"/>
                </w:tcPr>
                <w:p w14:paraId="3E289B8A">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0~3</w:t>
                  </w:r>
                </w:p>
              </w:tc>
              <w:tc>
                <w:tcPr>
                  <w:tcW w:w="187" w:type="pct"/>
                  <w:shd w:val="clear" w:color="auto" w:fill="auto"/>
                  <w:noWrap w:val="0"/>
                  <w:vAlign w:val="center"/>
                </w:tcPr>
                <w:p w14:paraId="0784CFEC">
                  <w:pPr>
                    <w:keepNext w:val="0"/>
                    <w:keepLines w:val="0"/>
                    <w:widowControl/>
                    <w:suppressLineNumbers w:val="0"/>
                    <w:spacing w:line="240" w:lineRule="auto"/>
                    <w:ind w:firstLine="0" w:firstLineChars="0"/>
                    <w:jc w:val="center"/>
                    <w:textAlignment w:val="center"/>
                    <w:rPr>
                      <w:rFonts w:hint="default" w:cstheme="minorBidi"/>
                      <w:color w:val="auto"/>
                      <w:kern w:val="2"/>
                      <w:sz w:val="21"/>
                      <w:szCs w:val="21"/>
                      <w:highlight w:val="none"/>
                      <w:lang w:val="en-US" w:eastAsia="zh-CN" w:bidi="ar-SA"/>
                    </w:rPr>
                  </w:pPr>
                  <w:r>
                    <w:rPr>
                      <w:rFonts w:hint="eastAsia" w:cstheme="minorBidi"/>
                      <w:color w:val="auto"/>
                      <w:kern w:val="2"/>
                      <w:sz w:val="21"/>
                      <w:szCs w:val="21"/>
                      <w:highlight w:val="none"/>
                      <w:lang w:val="en-US" w:eastAsia="zh-CN" w:bidi="ar-SA"/>
                    </w:rPr>
                    <w:t>138</w:t>
                  </w:r>
                </w:p>
              </w:tc>
              <w:tc>
                <w:tcPr>
                  <w:tcW w:w="157" w:type="pct"/>
                  <w:shd w:val="clear" w:color="auto" w:fill="auto"/>
                  <w:noWrap w:val="0"/>
                  <w:vAlign w:val="center"/>
                </w:tcPr>
                <w:p w14:paraId="4202165E">
                  <w:pPr>
                    <w:keepNext w:val="0"/>
                    <w:keepLines w:val="0"/>
                    <w:widowControl/>
                    <w:suppressLineNumbers w:val="0"/>
                    <w:spacing w:line="240" w:lineRule="auto"/>
                    <w:ind w:firstLine="0" w:firstLineChars="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w:t>
                  </w:r>
                </w:p>
              </w:tc>
              <w:tc>
                <w:tcPr>
                  <w:tcW w:w="190" w:type="pct"/>
                  <w:shd w:val="clear" w:color="auto" w:fill="auto"/>
                  <w:noWrap w:val="0"/>
                  <w:vAlign w:val="center"/>
                </w:tcPr>
                <w:p w14:paraId="6AF18643">
                  <w:pPr>
                    <w:keepNext w:val="0"/>
                    <w:keepLines w:val="0"/>
                    <w:widowControl/>
                    <w:suppressLineNumbers w:val="0"/>
                    <w:spacing w:line="240" w:lineRule="auto"/>
                    <w:ind w:firstLine="0" w:firstLineChars="0"/>
                    <w:jc w:val="center"/>
                    <w:textAlignment w:val="center"/>
                    <w:rPr>
                      <w:rFonts w:hint="default" w:cstheme="minorBidi"/>
                      <w:color w:val="auto"/>
                      <w:kern w:val="2"/>
                      <w:sz w:val="21"/>
                      <w:szCs w:val="21"/>
                      <w:highlight w:val="none"/>
                      <w:lang w:val="en-US" w:eastAsia="zh-CN" w:bidi="ar-SA"/>
                    </w:rPr>
                  </w:pPr>
                  <w:r>
                    <w:rPr>
                      <w:rFonts w:hint="eastAsia" w:cstheme="minorBidi"/>
                      <w:color w:val="auto"/>
                      <w:kern w:val="2"/>
                      <w:sz w:val="21"/>
                      <w:szCs w:val="21"/>
                      <w:highlight w:val="none"/>
                      <w:lang w:val="en-US" w:eastAsia="zh-CN" w:bidi="ar-SA"/>
                    </w:rPr>
                    <w:t>10</w:t>
                  </w:r>
                </w:p>
              </w:tc>
              <w:tc>
                <w:tcPr>
                  <w:tcW w:w="174" w:type="pct"/>
                  <w:shd w:val="clear" w:color="auto" w:fill="auto"/>
                  <w:noWrap w:val="0"/>
                  <w:vAlign w:val="center"/>
                </w:tcPr>
                <w:p w14:paraId="75F36385">
                  <w:pPr>
                    <w:keepNext w:val="0"/>
                    <w:keepLines w:val="0"/>
                    <w:widowControl/>
                    <w:suppressLineNumbers w:val="0"/>
                    <w:spacing w:line="240" w:lineRule="auto"/>
                    <w:ind w:firstLine="0" w:firstLineChars="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240</w:t>
                  </w:r>
                </w:p>
              </w:tc>
              <w:tc>
                <w:tcPr>
                  <w:tcW w:w="157" w:type="pct"/>
                  <w:shd w:val="clear" w:color="auto" w:fill="auto"/>
                  <w:noWrap w:val="0"/>
                  <w:vAlign w:val="center"/>
                </w:tcPr>
                <w:p w14:paraId="350F10C6">
                  <w:pPr>
                    <w:keepNext w:val="0"/>
                    <w:keepLines w:val="0"/>
                    <w:widowControl/>
                    <w:suppressLineNumbers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37</w:t>
                  </w:r>
                </w:p>
              </w:tc>
              <w:tc>
                <w:tcPr>
                  <w:tcW w:w="157" w:type="pct"/>
                  <w:shd w:val="clear" w:color="auto" w:fill="auto"/>
                  <w:noWrap w:val="0"/>
                  <w:vAlign w:val="center"/>
                </w:tcPr>
                <w:p w14:paraId="6E9855AD">
                  <w:pPr>
                    <w:keepNext w:val="0"/>
                    <w:keepLines w:val="0"/>
                    <w:widowControl/>
                    <w:suppressLineNumbers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62</w:t>
                  </w:r>
                </w:p>
              </w:tc>
              <w:tc>
                <w:tcPr>
                  <w:tcW w:w="158" w:type="pct"/>
                  <w:shd w:val="clear" w:color="auto" w:fill="auto"/>
                  <w:noWrap w:val="0"/>
                  <w:vAlign w:val="center"/>
                </w:tcPr>
                <w:p w14:paraId="22F51163">
                  <w:pPr>
                    <w:keepNext w:val="0"/>
                    <w:keepLines w:val="0"/>
                    <w:widowControl/>
                    <w:suppressLineNumbers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60</w:t>
                  </w:r>
                </w:p>
              </w:tc>
              <w:tc>
                <w:tcPr>
                  <w:tcW w:w="160" w:type="pct"/>
                  <w:shd w:val="clear" w:color="auto" w:fill="auto"/>
                  <w:noWrap w:val="0"/>
                  <w:vAlign w:val="center"/>
                </w:tcPr>
                <w:p w14:paraId="160C9A65">
                  <w:pPr>
                    <w:keepNext w:val="0"/>
                    <w:keepLines w:val="0"/>
                    <w:widowControl/>
                    <w:suppressLineNumbers w:val="0"/>
                    <w:spacing w:line="240" w:lineRule="auto"/>
                    <w:ind w:firstLine="0" w:firstLineChars="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32</w:t>
                  </w:r>
                </w:p>
              </w:tc>
              <w:tc>
                <w:tcPr>
                  <w:tcW w:w="235" w:type="pct"/>
                  <w:vMerge w:val="continue"/>
                  <w:tcBorders/>
                  <w:noWrap w:val="0"/>
                  <w:vAlign w:val="center"/>
                </w:tcPr>
                <w:p w14:paraId="2929D186">
                  <w:pPr>
                    <w:pStyle w:val="95"/>
                    <w:keepNext w:val="0"/>
                    <w:keepLines w:val="0"/>
                    <w:pageBreakBefore w:val="0"/>
                    <w:widowControl w:val="0"/>
                    <w:kinsoku/>
                    <w:wordWrap/>
                    <w:overflowPunct/>
                    <w:topLinePunct w:val="0"/>
                    <w:autoSpaceDE/>
                    <w:autoSpaceDN/>
                    <w:bidi w:val="0"/>
                    <w:jc w:val="center"/>
                    <w:textAlignment w:val="auto"/>
                    <w:rPr>
                      <w:rFonts w:hint="default"/>
                      <w:color w:val="auto"/>
                      <w:sz w:val="21"/>
                      <w:szCs w:val="21"/>
                      <w:highlight w:val="none"/>
                      <w:lang w:val="en-US" w:eastAsia="zh-CN"/>
                    </w:rPr>
                  </w:pPr>
                </w:p>
              </w:tc>
              <w:tc>
                <w:tcPr>
                  <w:tcW w:w="291" w:type="pct"/>
                  <w:shd w:val="clear" w:color="auto" w:fill="auto"/>
                  <w:noWrap w:val="0"/>
                  <w:vAlign w:val="center"/>
                </w:tcPr>
                <w:p w14:paraId="7A0938E1">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15</w:t>
                  </w:r>
                </w:p>
              </w:tc>
              <w:tc>
                <w:tcPr>
                  <w:tcW w:w="157" w:type="pct"/>
                  <w:noWrap w:val="0"/>
                  <w:vAlign w:val="center"/>
                </w:tcPr>
                <w:p w14:paraId="3E283A6A">
                  <w:pPr>
                    <w:keepNext w:val="0"/>
                    <w:keepLines w:val="0"/>
                    <w:widowControl/>
                    <w:suppressLineNumbers w:val="0"/>
                    <w:spacing w:line="240" w:lineRule="auto"/>
                    <w:ind w:firstLine="0" w:firstLineChars="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22</w:t>
                  </w:r>
                </w:p>
              </w:tc>
              <w:tc>
                <w:tcPr>
                  <w:tcW w:w="157" w:type="pct"/>
                  <w:noWrap w:val="0"/>
                  <w:vAlign w:val="center"/>
                </w:tcPr>
                <w:p w14:paraId="5D46E221">
                  <w:pPr>
                    <w:keepNext w:val="0"/>
                    <w:keepLines w:val="0"/>
                    <w:widowControl/>
                    <w:suppressLineNumbers w:val="0"/>
                    <w:spacing w:line="240" w:lineRule="auto"/>
                    <w:ind w:firstLine="0" w:firstLineChars="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47</w:t>
                  </w:r>
                </w:p>
              </w:tc>
              <w:tc>
                <w:tcPr>
                  <w:tcW w:w="157" w:type="pct"/>
                  <w:noWrap w:val="0"/>
                  <w:vAlign w:val="center"/>
                </w:tcPr>
                <w:p w14:paraId="6D98BE44">
                  <w:pPr>
                    <w:keepNext w:val="0"/>
                    <w:keepLines w:val="0"/>
                    <w:widowControl/>
                    <w:suppressLineNumbers w:val="0"/>
                    <w:spacing w:line="240" w:lineRule="auto"/>
                    <w:ind w:firstLine="0" w:firstLineChars="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45</w:t>
                  </w:r>
                </w:p>
              </w:tc>
              <w:tc>
                <w:tcPr>
                  <w:tcW w:w="161" w:type="pct"/>
                  <w:noWrap w:val="0"/>
                  <w:vAlign w:val="center"/>
                </w:tcPr>
                <w:p w14:paraId="10D57A80">
                  <w:pPr>
                    <w:keepNext w:val="0"/>
                    <w:keepLines w:val="0"/>
                    <w:widowControl/>
                    <w:suppressLineNumbers w:val="0"/>
                    <w:spacing w:line="240" w:lineRule="auto"/>
                    <w:ind w:firstLine="0" w:firstLineChars="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17</w:t>
                  </w:r>
                </w:p>
              </w:tc>
              <w:tc>
                <w:tcPr>
                  <w:tcW w:w="173" w:type="pct"/>
                  <w:shd w:val="clear" w:color="auto" w:fill="auto"/>
                  <w:noWrap w:val="0"/>
                  <w:vAlign w:val="center"/>
                </w:tcPr>
                <w:p w14:paraId="04A3BF2B">
                  <w:pPr>
                    <w:pStyle w:val="95"/>
                    <w:keepNext w:val="0"/>
                    <w:keepLines w:val="0"/>
                    <w:pageBreakBefore w:val="0"/>
                    <w:widowControl w:val="0"/>
                    <w:kinsoku/>
                    <w:wordWrap/>
                    <w:overflowPunct/>
                    <w:topLinePunct w:val="0"/>
                    <w:autoSpaceDE/>
                    <w:autoSpaceDN/>
                    <w:bidi w:val="0"/>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r>
          </w:tbl>
          <w:p w14:paraId="13FC1145">
            <w:pPr>
              <w:pStyle w:val="50"/>
              <w:keepNext w:val="0"/>
              <w:keepLines w:val="0"/>
              <w:pageBreakBefore w:val="0"/>
              <w:widowControl w:val="0"/>
              <w:tabs>
                <w:tab w:val="left" w:pos="1485"/>
                <w:tab w:val="center" w:pos="4113"/>
              </w:tabs>
              <w:kinsoku/>
              <w:wordWrap/>
              <w:overflowPunct/>
              <w:topLinePunct w:val="0"/>
              <w:autoSpaceDE/>
              <w:autoSpaceDN/>
              <w:bidi w:val="0"/>
              <w:adjustRightInd/>
              <w:snapToGrid/>
              <w:spacing w:before="0" w:beforeLines="0" w:after="0" w:afterLines="0" w:line="360" w:lineRule="auto"/>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kern w:val="0"/>
                <w:sz w:val="21"/>
                <w:szCs w:val="21"/>
                <w:highlight w:val="none"/>
                <w:lang w:val="en-US" w:eastAsia="zh-CN"/>
              </w:rPr>
              <w:t>注：以</w:t>
            </w:r>
            <w:r>
              <w:rPr>
                <w:rFonts w:hint="eastAsia" w:eastAsia="宋体" w:cs="Times New Roman"/>
                <w:b/>
                <w:bCs/>
                <w:color w:val="auto"/>
                <w:kern w:val="0"/>
                <w:sz w:val="21"/>
                <w:szCs w:val="21"/>
                <w:highlight w:val="none"/>
                <w:lang w:val="en-US" w:eastAsia="zh-CN"/>
              </w:rPr>
              <w:t>医院院区</w:t>
            </w:r>
            <w:r>
              <w:rPr>
                <w:rFonts w:hint="default" w:ascii="Times New Roman" w:hAnsi="Times New Roman" w:eastAsia="宋体" w:cs="Times New Roman"/>
                <w:b/>
                <w:bCs/>
                <w:color w:val="auto"/>
                <w:kern w:val="0"/>
                <w:sz w:val="21"/>
                <w:szCs w:val="21"/>
                <w:highlight w:val="none"/>
                <w:lang w:val="en-US" w:eastAsia="zh-CN"/>
              </w:rPr>
              <w:t>西南角为坐标原点，</w:t>
            </w:r>
            <w:r>
              <w:rPr>
                <w:rFonts w:hint="default" w:ascii="Times New Roman" w:hAnsi="Times New Roman" w:eastAsia="宋体" w:cs="Times New Roman"/>
                <w:b/>
                <w:bCs/>
                <w:color w:val="000000" w:themeColor="text1"/>
                <w:kern w:val="0"/>
                <w:sz w:val="21"/>
                <w:szCs w:val="21"/>
                <w:highlight w:val="none"/>
                <w:lang w:val="en-US" w:eastAsia="zh-CN"/>
                <w14:textFill>
                  <w14:solidFill>
                    <w14:schemeClr w14:val="tx1"/>
                  </w14:solidFill>
                </w14:textFill>
              </w:rPr>
              <w:t>以东为X轴正坐标、北为Y轴正坐标，上为Z轴正坐标</w:t>
            </w:r>
            <w:r>
              <w:rPr>
                <w:rFonts w:hint="default" w:ascii="Times New Roman" w:hAnsi="Times New Roman" w:eastAsia="宋体" w:cs="Times New Roman"/>
                <w:b/>
                <w:bCs/>
                <w:color w:val="auto"/>
                <w:kern w:val="0"/>
                <w:sz w:val="21"/>
                <w:szCs w:val="21"/>
                <w:highlight w:val="none"/>
                <w:lang w:val="en-US" w:eastAsia="zh-CN"/>
              </w:rPr>
              <w:t>。</w:t>
            </w:r>
          </w:p>
          <w:p w14:paraId="0BEE4281">
            <w:pPr>
              <w:pStyle w:val="50"/>
              <w:keepNext w:val="0"/>
              <w:keepLines w:val="0"/>
              <w:pageBreakBefore w:val="0"/>
              <w:widowControl w:val="0"/>
              <w:tabs>
                <w:tab w:val="left" w:pos="1485"/>
                <w:tab w:val="center" w:pos="4113"/>
              </w:tabs>
              <w:kinsoku/>
              <w:wordWrap/>
              <w:overflowPunct/>
              <w:topLinePunct w:val="0"/>
              <w:autoSpaceDE/>
              <w:autoSpaceDN/>
              <w:bidi w:val="0"/>
              <w:adjustRightInd/>
              <w:snapToGrid/>
              <w:spacing w:before="0" w:beforeLines="0" w:after="0" w:afterLines="0" w:line="240" w:lineRule="auto"/>
              <w:ind w:firstLine="0" w:firstLineChars="0"/>
              <w:textAlignment w:val="auto"/>
              <w:rPr>
                <w:rFonts w:hint="eastAsia" w:ascii="Times New Roman" w:hAnsi="Times New Roman" w:eastAsia="宋体" w:cs="Times New Roman"/>
                <w:b/>
                <w:color w:val="auto"/>
                <w:kern w:val="0"/>
                <w:sz w:val="24"/>
                <w:szCs w:val="24"/>
                <w:lang w:val="en-US" w:eastAsia="zh-CN" w:bidi="ar-SA"/>
              </w:rPr>
            </w:pPr>
            <w:r>
              <w:rPr>
                <w:rFonts w:hint="eastAsia" w:ascii="Times New Roman" w:hAnsi="Times New Roman" w:eastAsia="宋体" w:cs="Times New Roman"/>
                <w:b/>
                <w:color w:val="auto"/>
                <w:kern w:val="0"/>
                <w:sz w:val="24"/>
                <w:szCs w:val="24"/>
                <w:lang w:val="en-US" w:eastAsia="zh-CN" w:bidi="ar-SA"/>
              </w:rPr>
              <w:t>表4-</w:t>
            </w:r>
            <w:r>
              <w:rPr>
                <w:rFonts w:hint="eastAsia" w:eastAsia="宋体" w:cs="Times New Roman"/>
                <w:b/>
                <w:color w:val="auto"/>
                <w:kern w:val="0"/>
                <w:sz w:val="24"/>
                <w:szCs w:val="24"/>
                <w:lang w:val="en-US" w:eastAsia="zh-CN" w:bidi="ar-SA"/>
              </w:rPr>
              <w:t>13</w:t>
            </w:r>
            <w:r>
              <w:rPr>
                <w:rFonts w:hint="eastAsia" w:ascii="Times New Roman" w:hAnsi="Times New Roman" w:eastAsia="宋体" w:cs="Times New Roman"/>
                <w:b/>
                <w:color w:val="auto"/>
                <w:kern w:val="0"/>
                <w:sz w:val="24"/>
                <w:szCs w:val="24"/>
                <w:lang w:val="en-US" w:eastAsia="zh-CN" w:bidi="ar-SA"/>
              </w:rPr>
              <w:t xml:space="preserve">  噪声污染源强核算表（室外）</w:t>
            </w:r>
          </w:p>
          <w:tbl>
            <w:tblPr>
              <w:tblStyle w:val="27"/>
              <w:tblW w:w="4988" w:type="pct"/>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autofit"/>
              <w:tblCellMar>
                <w:top w:w="0" w:type="dxa"/>
                <w:left w:w="108" w:type="dxa"/>
                <w:bottom w:w="0" w:type="dxa"/>
                <w:right w:w="108" w:type="dxa"/>
              </w:tblCellMar>
            </w:tblPr>
            <w:tblGrid>
              <w:gridCol w:w="1054"/>
              <w:gridCol w:w="1399"/>
              <w:gridCol w:w="1147"/>
              <w:gridCol w:w="1160"/>
              <w:gridCol w:w="1146"/>
              <w:gridCol w:w="980"/>
              <w:gridCol w:w="1659"/>
              <w:gridCol w:w="3389"/>
              <w:gridCol w:w="1572"/>
            </w:tblGrid>
            <w:tr w14:paraId="24E9BDB0">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1054" w:type="dxa"/>
                  <w:vMerge w:val="restart"/>
                  <w:vAlign w:val="center"/>
                </w:tcPr>
                <w:p w14:paraId="0FAAF6D0">
                  <w:pPr>
                    <w:pStyle w:val="95"/>
                    <w:tabs>
                      <w:tab w:val="left" w:pos="0"/>
                    </w:tabs>
                    <w:bidi w:val="0"/>
                    <w:rPr>
                      <w:b/>
                      <w:bCs/>
                      <w:color w:val="auto"/>
                      <w:highlight w:val="none"/>
                    </w:rPr>
                  </w:pPr>
                  <w:r>
                    <w:rPr>
                      <w:b/>
                      <w:bCs/>
                      <w:color w:val="auto"/>
                      <w:highlight w:val="none"/>
                    </w:rPr>
                    <w:t>序号</w:t>
                  </w:r>
                </w:p>
              </w:tc>
              <w:tc>
                <w:tcPr>
                  <w:tcW w:w="1399" w:type="dxa"/>
                  <w:vMerge w:val="restart"/>
                  <w:vAlign w:val="center"/>
                </w:tcPr>
                <w:p w14:paraId="3DE50247">
                  <w:pPr>
                    <w:pStyle w:val="95"/>
                    <w:tabs>
                      <w:tab w:val="left" w:pos="0"/>
                    </w:tabs>
                    <w:bidi w:val="0"/>
                    <w:rPr>
                      <w:b/>
                      <w:bCs/>
                      <w:color w:val="auto"/>
                      <w:highlight w:val="none"/>
                    </w:rPr>
                  </w:pPr>
                  <w:r>
                    <w:rPr>
                      <w:rFonts w:hint="eastAsia"/>
                      <w:b/>
                      <w:bCs/>
                      <w:color w:val="auto"/>
                      <w:highlight w:val="none"/>
                    </w:rPr>
                    <w:t>声源</w:t>
                  </w:r>
                  <w:r>
                    <w:rPr>
                      <w:b/>
                      <w:bCs/>
                      <w:color w:val="auto"/>
                      <w:highlight w:val="none"/>
                    </w:rPr>
                    <w:t>名称</w:t>
                  </w:r>
                </w:p>
              </w:tc>
              <w:tc>
                <w:tcPr>
                  <w:tcW w:w="1147" w:type="dxa"/>
                  <w:vMerge w:val="restart"/>
                  <w:vAlign w:val="center"/>
                </w:tcPr>
                <w:p w14:paraId="3A841BF0">
                  <w:pPr>
                    <w:pStyle w:val="95"/>
                    <w:tabs>
                      <w:tab w:val="left" w:pos="0"/>
                    </w:tabs>
                    <w:bidi w:val="0"/>
                    <w:rPr>
                      <w:b/>
                      <w:bCs/>
                      <w:color w:val="auto"/>
                      <w:highlight w:val="none"/>
                    </w:rPr>
                  </w:pPr>
                  <w:r>
                    <w:rPr>
                      <w:rFonts w:hint="eastAsia"/>
                      <w:b/>
                      <w:bCs/>
                      <w:color w:val="auto"/>
                      <w:highlight w:val="none"/>
                    </w:rPr>
                    <w:t>型号</w:t>
                  </w:r>
                </w:p>
              </w:tc>
              <w:tc>
                <w:tcPr>
                  <w:tcW w:w="3286" w:type="dxa"/>
                  <w:gridSpan w:val="3"/>
                  <w:vAlign w:val="center"/>
                </w:tcPr>
                <w:p w14:paraId="189E456A">
                  <w:pPr>
                    <w:pStyle w:val="95"/>
                    <w:tabs>
                      <w:tab w:val="left" w:pos="0"/>
                    </w:tabs>
                    <w:bidi w:val="0"/>
                    <w:rPr>
                      <w:b/>
                      <w:bCs/>
                      <w:color w:val="auto"/>
                      <w:highlight w:val="none"/>
                    </w:rPr>
                  </w:pPr>
                  <w:r>
                    <w:rPr>
                      <w:rFonts w:hint="eastAsia"/>
                      <w:b/>
                      <w:bCs/>
                      <w:color w:val="auto"/>
                      <w:highlight w:val="none"/>
                    </w:rPr>
                    <w:t>空间相对位置/m</w:t>
                  </w:r>
                </w:p>
              </w:tc>
              <w:tc>
                <w:tcPr>
                  <w:tcW w:w="1659" w:type="dxa"/>
                  <w:vAlign w:val="center"/>
                </w:tcPr>
                <w:p w14:paraId="2D16A638">
                  <w:pPr>
                    <w:pStyle w:val="95"/>
                    <w:tabs>
                      <w:tab w:val="left" w:pos="0"/>
                    </w:tabs>
                    <w:bidi w:val="0"/>
                    <w:rPr>
                      <w:b/>
                      <w:bCs/>
                      <w:color w:val="auto"/>
                      <w:highlight w:val="none"/>
                    </w:rPr>
                  </w:pPr>
                  <w:r>
                    <w:rPr>
                      <w:rFonts w:hint="eastAsia"/>
                      <w:b/>
                      <w:bCs/>
                      <w:color w:val="auto"/>
                      <w:highlight w:val="none"/>
                    </w:rPr>
                    <w:t>声源源强</w:t>
                  </w:r>
                </w:p>
              </w:tc>
              <w:tc>
                <w:tcPr>
                  <w:tcW w:w="3389" w:type="dxa"/>
                  <w:vMerge w:val="restart"/>
                  <w:vAlign w:val="center"/>
                </w:tcPr>
                <w:p w14:paraId="13FDC046">
                  <w:pPr>
                    <w:pStyle w:val="95"/>
                    <w:tabs>
                      <w:tab w:val="left" w:pos="0"/>
                    </w:tabs>
                    <w:bidi w:val="0"/>
                    <w:rPr>
                      <w:b/>
                      <w:bCs/>
                      <w:color w:val="auto"/>
                      <w:highlight w:val="none"/>
                    </w:rPr>
                  </w:pPr>
                  <w:r>
                    <w:rPr>
                      <w:rFonts w:hint="eastAsia"/>
                      <w:b/>
                      <w:bCs/>
                      <w:color w:val="auto"/>
                      <w:highlight w:val="none"/>
                    </w:rPr>
                    <w:t>声源控制措施</w:t>
                  </w:r>
                </w:p>
              </w:tc>
              <w:tc>
                <w:tcPr>
                  <w:tcW w:w="1572" w:type="dxa"/>
                  <w:vMerge w:val="restart"/>
                  <w:vAlign w:val="center"/>
                </w:tcPr>
                <w:p w14:paraId="5ED75492">
                  <w:pPr>
                    <w:pStyle w:val="95"/>
                    <w:tabs>
                      <w:tab w:val="left" w:pos="0"/>
                    </w:tabs>
                    <w:bidi w:val="0"/>
                    <w:rPr>
                      <w:b/>
                      <w:bCs/>
                      <w:color w:val="auto"/>
                      <w:highlight w:val="none"/>
                    </w:rPr>
                  </w:pPr>
                  <w:r>
                    <w:rPr>
                      <w:rFonts w:hint="eastAsia"/>
                      <w:b/>
                      <w:bCs/>
                      <w:color w:val="auto"/>
                      <w:highlight w:val="none"/>
                    </w:rPr>
                    <w:t>运行时段</w:t>
                  </w:r>
                </w:p>
              </w:tc>
            </w:tr>
            <w:tr w14:paraId="5B373937">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1054" w:type="dxa"/>
                  <w:vMerge w:val="continue"/>
                  <w:vAlign w:val="center"/>
                </w:tcPr>
                <w:p w14:paraId="41568FD5">
                  <w:pPr>
                    <w:pStyle w:val="95"/>
                    <w:tabs>
                      <w:tab w:val="left" w:pos="0"/>
                    </w:tabs>
                    <w:bidi w:val="0"/>
                    <w:rPr>
                      <w:b/>
                      <w:bCs/>
                      <w:color w:val="auto"/>
                      <w:highlight w:val="none"/>
                    </w:rPr>
                  </w:pPr>
                </w:p>
              </w:tc>
              <w:tc>
                <w:tcPr>
                  <w:tcW w:w="1399" w:type="dxa"/>
                  <w:vMerge w:val="continue"/>
                  <w:vAlign w:val="center"/>
                </w:tcPr>
                <w:p w14:paraId="36453F9C">
                  <w:pPr>
                    <w:pStyle w:val="95"/>
                    <w:tabs>
                      <w:tab w:val="left" w:pos="0"/>
                    </w:tabs>
                    <w:bidi w:val="0"/>
                    <w:rPr>
                      <w:b/>
                      <w:bCs/>
                      <w:color w:val="auto"/>
                      <w:highlight w:val="none"/>
                    </w:rPr>
                  </w:pPr>
                </w:p>
              </w:tc>
              <w:tc>
                <w:tcPr>
                  <w:tcW w:w="1147" w:type="dxa"/>
                  <w:vMerge w:val="continue"/>
                  <w:vAlign w:val="center"/>
                </w:tcPr>
                <w:p w14:paraId="04D3CBB0">
                  <w:pPr>
                    <w:pStyle w:val="95"/>
                    <w:tabs>
                      <w:tab w:val="left" w:pos="0"/>
                    </w:tabs>
                    <w:bidi w:val="0"/>
                    <w:rPr>
                      <w:b/>
                      <w:bCs/>
                      <w:color w:val="auto"/>
                      <w:highlight w:val="none"/>
                    </w:rPr>
                  </w:pPr>
                </w:p>
              </w:tc>
              <w:tc>
                <w:tcPr>
                  <w:tcW w:w="1160" w:type="dxa"/>
                  <w:vAlign w:val="center"/>
                </w:tcPr>
                <w:p w14:paraId="218FC0A7">
                  <w:pPr>
                    <w:pStyle w:val="95"/>
                    <w:tabs>
                      <w:tab w:val="left" w:pos="0"/>
                    </w:tabs>
                    <w:bidi w:val="0"/>
                    <w:rPr>
                      <w:b/>
                      <w:bCs/>
                      <w:color w:val="auto"/>
                      <w:highlight w:val="none"/>
                    </w:rPr>
                  </w:pPr>
                  <w:r>
                    <w:rPr>
                      <w:rFonts w:hint="eastAsia"/>
                      <w:b/>
                      <w:bCs/>
                      <w:color w:val="auto"/>
                      <w:highlight w:val="none"/>
                    </w:rPr>
                    <w:t>X</w:t>
                  </w:r>
                </w:p>
              </w:tc>
              <w:tc>
                <w:tcPr>
                  <w:tcW w:w="1146" w:type="dxa"/>
                  <w:vAlign w:val="center"/>
                </w:tcPr>
                <w:p w14:paraId="53940256">
                  <w:pPr>
                    <w:pStyle w:val="95"/>
                    <w:tabs>
                      <w:tab w:val="left" w:pos="0"/>
                    </w:tabs>
                    <w:bidi w:val="0"/>
                    <w:rPr>
                      <w:b/>
                      <w:bCs/>
                      <w:color w:val="auto"/>
                      <w:highlight w:val="none"/>
                    </w:rPr>
                  </w:pPr>
                  <w:r>
                    <w:rPr>
                      <w:rFonts w:hint="eastAsia"/>
                      <w:b/>
                      <w:bCs/>
                      <w:color w:val="auto"/>
                      <w:highlight w:val="none"/>
                    </w:rPr>
                    <w:t>Y</w:t>
                  </w:r>
                </w:p>
              </w:tc>
              <w:tc>
                <w:tcPr>
                  <w:tcW w:w="980" w:type="dxa"/>
                  <w:vAlign w:val="center"/>
                </w:tcPr>
                <w:p w14:paraId="6F35F6C2">
                  <w:pPr>
                    <w:pStyle w:val="95"/>
                    <w:tabs>
                      <w:tab w:val="left" w:pos="0"/>
                    </w:tabs>
                    <w:bidi w:val="0"/>
                    <w:rPr>
                      <w:b/>
                      <w:bCs/>
                      <w:color w:val="auto"/>
                      <w:highlight w:val="none"/>
                    </w:rPr>
                  </w:pPr>
                  <w:r>
                    <w:rPr>
                      <w:rFonts w:hint="eastAsia"/>
                      <w:b/>
                      <w:bCs/>
                      <w:color w:val="auto"/>
                      <w:highlight w:val="none"/>
                    </w:rPr>
                    <w:t>Z</w:t>
                  </w:r>
                </w:p>
              </w:tc>
              <w:tc>
                <w:tcPr>
                  <w:tcW w:w="1659" w:type="dxa"/>
                  <w:vAlign w:val="center"/>
                </w:tcPr>
                <w:p w14:paraId="0D000211">
                  <w:pPr>
                    <w:pStyle w:val="95"/>
                    <w:tabs>
                      <w:tab w:val="left" w:pos="0"/>
                    </w:tabs>
                    <w:bidi w:val="0"/>
                    <w:rPr>
                      <w:b/>
                      <w:bCs/>
                      <w:color w:val="auto"/>
                      <w:highlight w:val="none"/>
                    </w:rPr>
                  </w:pPr>
                  <w:r>
                    <w:rPr>
                      <w:rFonts w:hint="eastAsia"/>
                      <w:b/>
                      <w:bCs/>
                      <w:color w:val="auto"/>
                      <w:highlight w:val="none"/>
                    </w:rPr>
                    <w:t>声功率</w:t>
                  </w:r>
                  <w:r>
                    <w:rPr>
                      <w:b/>
                      <w:bCs/>
                      <w:color w:val="auto"/>
                      <w:highlight w:val="none"/>
                    </w:rPr>
                    <w:t>/dB(A)</w:t>
                  </w:r>
                </w:p>
              </w:tc>
              <w:tc>
                <w:tcPr>
                  <w:tcW w:w="3389" w:type="dxa"/>
                  <w:vMerge w:val="continue"/>
                  <w:vAlign w:val="center"/>
                </w:tcPr>
                <w:p w14:paraId="2D46ED5D">
                  <w:pPr>
                    <w:pStyle w:val="95"/>
                    <w:tabs>
                      <w:tab w:val="left" w:pos="0"/>
                    </w:tabs>
                    <w:bidi w:val="0"/>
                    <w:rPr>
                      <w:color w:val="auto"/>
                      <w:highlight w:val="none"/>
                    </w:rPr>
                  </w:pPr>
                </w:p>
              </w:tc>
              <w:tc>
                <w:tcPr>
                  <w:tcW w:w="1572" w:type="dxa"/>
                  <w:vMerge w:val="continue"/>
                  <w:vAlign w:val="center"/>
                </w:tcPr>
                <w:p w14:paraId="0739B888">
                  <w:pPr>
                    <w:pStyle w:val="95"/>
                    <w:tabs>
                      <w:tab w:val="left" w:pos="0"/>
                    </w:tabs>
                    <w:bidi w:val="0"/>
                    <w:rPr>
                      <w:color w:val="auto"/>
                      <w:highlight w:val="none"/>
                    </w:rPr>
                  </w:pPr>
                </w:p>
              </w:tc>
            </w:tr>
            <w:tr w14:paraId="1B7072A5">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1054" w:type="dxa"/>
                  <w:vAlign w:val="center"/>
                </w:tcPr>
                <w:p w14:paraId="138C43C0">
                  <w:pPr>
                    <w:pStyle w:val="95"/>
                    <w:tabs>
                      <w:tab w:val="left" w:pos="0"/>
                    </w:tabs>
                    <w:bidi w:val="0"/>
                    <w:rPr>
                      <w:color w:val="auto"/>
                      <w:highlight w:val="none"/>
                    </w:rPr>
                  </w:pPr>
                  <w:r>
                    <w:rPr>
                      <w:color w:val="auto"/>
                      <w:highlight w:val="none"/>
                    </w:rPr>
                    <w:t>1</w:t>
                  </w:r>
                </w:p>
              </w:tc>
              <w:tc>
                <w:tcPr>
                  <w:tcW w:w="1399" w:type="dxa"/>
                  <w:vAlign w:val="center"/>
                </w:tcPr>
                <w:p w14:paraId="60EE841D">
                  <w:pPr>
                    <w:pStyle w:val="95"/>
                    <w:tabs>
                      <w:tab w:val="left" w:pos="0"/>
                    </w:tabs>
                    <w:bidi w:val="0"/>
                    <w:rPr>
                      <w:rFonts w:hint="eastAsia" w:eastAsia="宋体"/>
                      <w:color w:val="auto"/>
                      <w:highlight w:val="none"/>
                      <w:lang w:eastAsia="zh-CN"/>
                    </w:rPr>
                  </w:pPr>
                  <w:r>
                    <w:rPr>
                      <w:rFonts w:hint="eastAsia"/>
                      <w:color w:val="auto"/>
                      <w:highlight w:val="none"/>
                      <w:lang w:val="en-US" w:eastAsia="zh-CN"/>
                    </w:rPr>
                    <w:t>/</w:t>
                  </w:r>
                </w:p>
              </w:tc>
              <w:tc>
                <w:tcPr>
                  <w:tcW w:w="1147" w:type="dxa"/>
                  <w:vAlign w:val="center"/>
                </w:tcPr>
                <w:p w14:paraId="34801BBB">
                  <w:pPr>
                    <w:pStyle w:val="95"/>
                    <w:tabs>
                      <w:tab w:val="left" w:pos="0"/>
                    </w:tabs>
                    <w:bidi w:val="0"/>
                    <w:rPr>
                      <w:color w:val="auto"/>
                      <w:highlight w:val="none"/>
                    </w:rPr>
                  </w:pPr>
                  <w:r>
                    <w:rPr>
                      <w:rFonts w:hint="eastAsia"/>
                      <w:color w:val="auto"/>
                      <w:highlight w:val="none"/>
                    </w:rPr>
                    <w:t>/</w:t>
                  </w:r>
                </w:p>
              </w:tc>
              <w:tc>
                <w:tcPr>
                  <w:tcW w:w="1160" w:type="dxa"/>
                  <w:vAlign w:val="center"/>
                </w:tcPr>
                <w:p w14:paraId="191F2B71">
                  <w:pPr>
                    <w:pStyle w:val="95"/>
                    <w:tabs>
                      <w:tab w:val="left" w:pos="0"/>
                    </w:tabs>
                    <w:bidi w:val="0"/>
                    <w:rPr>
                      <w:rFonts w:hint="default" w:eastAsia="宋体"/>
                      <w:color w:val="auto"/>
                      <w:highlight w:val="none"/>
                      <w:lang w:val="en-US" w:eastAsia="zh-CN"/>
                    </w:rPr>
                  </w:pPr>
                  <w:r>
                    <w:rPr>
                      <w:rFonts w:hint="eastAsia"/>
                      <w:color w:val="auto"/>
                      <w:highlight w:val="none"/>
                      <w:lang w:val="en-US" w:eastAsia="zh-CN"/>
                    </w:rPr>
                    <w:t>/</w:t>
                  </w:r>
                </w:p>
              </w:tc>
              <w:tc>
                <w:tcPr>
                  <w:tcW w:w="1146" w:type="dxa"/>
                  <w:vAlign w:val="center"/>
                </w:tcPr>
                <w:p w14:paraId="1BED7ACD">
                  <w:pPr>
                    <w:pStyle w:val="95"/>
                    <w:tabs>
                      <w:tab w:val="left" w:pos="0"/>
                    </w:tabs>
                    <w:bidi w:val="0"/>
                    <w:ind w:firstLine="0" w:firstLineChars="0"/>
                    <w:rPr>
                      <w:rFonts w:hint="default" w:eastAsia="宋体"/>
                      <w:color w:val="auto"/>
                      <w:highlight w:val="none"/>
                      <w:lang w:val="en-US" w:eastAsia="zh-CN"/>
                    </w:rPr>
                  </w:pPr>
                  <w:r>
                    <w:rPr>
                      <w:rFonts w:hint="eastAsia"/>
                      <w:color w:val="auto"/>
                      <w:highlight w:val="none"/>
                    </w:rPr>
                    <w:t>/</w:t>
                  </w:r>
                </w:p>
              </w:tc>
              <w:tc>
                <w:tcPr>
                  <w:tcW w:w="980" w:type="dxa"/>
                  <w:vAlign w:val="center"/>
                </w:tcPr>
                <w:p w14:paraId="48CA6ED0">
                  <w:pPr>
                    <w:pStyle w:val="95"/>
                    <w:tabs>
                      <w:tab w:val="left" w:pos="0"/>
                    </w:tabs>
                    <w:bidi w:val="0"/>
                    <w:ind w:firstLine="0" w:firstLineChars="0"/>
                    <w:rPr>
                      <w:color w:val="auto"/>
                      <w:highlight w:val="none"/>
                    </w:rPr>
                  </w:pPr>
                  <w:r>
                    <w:rPr>
                      <w:rFonts w:hint="eastAsia"/>
                      <w:color w:val="auto"/>
                      <w:highlight w:val="none"/>
                      <w:lang w:val="en-US" w:eastAsia="zh-CN"/>
                    </w:rPr>
                    <w:t>/</w:t>
                  </w:r>
                </w:p>
              </w:tc>
              <w:tc>
                <w:tcPr>
                  <w:tcW w:w="1659" w:type="dxa"/>
                  <w:vAlign w:val="center"/>
                </w:tcPr>
                <w:p w14:paraId="58A146E6">
                  <w:pPr>
                    <w:pStyle w:val="95"/>
                    <w:tabs>
                      <w:tab w:val="left" w:pos="0"/>
                    </w:tabs>
                    <w:bidi w:val="0"/>
                    <w:ind w:firstLine="0" w:firstLineChars="0"/>
                    <w:rPr>
                      <w:rFonts w:hint="eastAsia" w:eastAsia="宋体"/>
                      <w:color w:val="auto"/>
                      <w:highlight w:val="none"/>
                      <w:lang w:val="en-US" w:eastAsia="zh-CN"/>
                    </w:rPr>
                  </w:pPr>
                  <w:r>
                    <w:rPr>
                      <w:rFonts w:hint="eastAsia"/>
                      <w:color w:val="auto"/>
                      <w:highlight w:val="none"/>
                    </w:rPr>
                    <w:t>/</w:t>
                  </w:r>
                </w:p>
              </w:tc>
              <w:tc>
                <w:tcPr>
                  <w:tcW w:w="3389" w:type="dxa"/>
                  <w:vAlign w:val="center"/>
                </w:tcPr>
                <w:p w14:paraId="32F6235C">
                  <w:pPr>
                    <w:pStyle w:val="95"/>
                    <w:tabs>
                      <w:tab w:val="left" w:pos="0"/>
                    </w:tabs>
                    <w:bidi w:val="0"/>
                    <w:ind w:firstLine="0" w:firstLineChars="0"/>
                    <w:rPr>
                      <w:color w:val="auto"/>
                      <w:highlight w:val="none"/>
                    </w:rPr>
                  </w:pPr>
                  <w:r>
                    <w:rPr>
                      <w:rFonts w:hint="eastAsia"/>
                      <w:color w:val="auto"/>
                      <w:highlight w:val="none"/>
                      <w:lang w:val="en-US" w:eastAsia="zh-CN"/>
                    </w:rPr>
                    <w:t>/</w:t>
                  </w:r>
                </w:p>
              </w:tc>
              <w:tc>
                <w:tcPr>
                  <w:tcW w:w="1572" w:type="dxa"/>
                  <w:vAlign w:val="center"/>
                </w:tcPr>
                <w:p w14:paraId="7DE87A37">
                  <w:pPr>
                    <w:pStyle w:val="95"/>
                    <w:tabs>
                      <w:tab w:val="left" w:pos="0"/>
                    </w:tabs>
                    <w:bidi w:val="0"/>
                    <w:ind w:firstLine="0" w:firstLineChars="0"/>
                    <w:rPr>
                      <w:color w:val="auto"/>
                      <w:highlight w:val="none"/>
                    </w:rPr>
                  </w:pPr>
                  <w:r>
                    <w:rPr>
                      <w:rFonts w:hint="eastAsia"/>
                      <w:color w:val="auto"/>
                      <w:highlight w:val="none"/>
                    </w:rPr>
                    <w:t>/</w:t>
                  </w:r>
                </w:p>
              </w:tc>
            </w:tr>
          </w:tbl>
          <w:p w14:paraId="38C5A6C4">
            <w:pPr>
              <w:keepNext w:val="0"/>
              <w:keepLines w:val="0"/>
              <w:pageBreakBefore w:val="0"/>
              <w:widowControl/>
              <w:kinsoku/>
              <w:wordWrap/>
              <w:overflowPunct/>
              <w:topLinePunct w:val="0"/>
              <w:autoSpaceDE/>
              <w:autoSpaceDN/>
              <w:bidi w:val="0"/>
              <w:adjustRightInd w:val="0"/>
              <w:snapToGrid w:val="0"/>
              <w:spacing w:line="360" w:lineRule="auto"/>
              <w:ind w:firstLine="422" w:firstLineChars="200"/>
              <w:jc w:val="both"/>
              <w:textAlignment w:val="auto"/>
              <w:rPr>
                <w:rFonts w:hint="eastAsia"/>
                <w:color w:val="FF0000"/>
                <w:vertAlign w:val="baseline"/>
                <w:lang w:val="en-US" w:eastAsia="zh-CN"/>
              </w:rPr>
            </w:pPr>
            <w:r>
              <w:rPr>
                <w:rFonts w:hint="eastAsia" w:cs="Times New Roman"/>
                <w:b/>
                <w:bCs/>
                <w:color w:val="auto"/>
                <w:kern w:val="0"/>
                <w:sz w:val="21"/>
                <w:szCs w:val="21"/>
                <w:highlight w:val="none"/>
                <w:lang w:val="en-US" w:eastAsia="zh-CN"/>
              </w:rPr>
              <w:t>注：本项目不涉及室外噪声污染源</w:t>
            </w:r>
            <w:r>
              <w:rPr>
                <w:rFonts w:hint="eastAsia" w:cs="Times New Roman"/>
                <w:b/>
                <w:bCs/>
                <w:color w:val="000000" w:themeColor="text1"/>
                <w:kern w:val="0"/>
                <w:sz w:val="21"/>
                <w:szCs w:val="21"/>
                <w:highlight w:val="none"/>
                <w:lang w:val="en-US" w:eastAsia="zh-CN"/>
                <w14:textFill>
                  <w14:solidFill>
                    <w14:schemeClr w14:val="tx1"/>
                  </w14:solidFill>
                </w14:textFill>
              </w:rPr>
              <w:t>。</w:t>
            </w:r>
          </w:p>
          <w:p w14:paraId="10B45594">
            <w:pPr>
              <w:rPr>
                <w:rFonts w:hint="eastAsia"/>
                <w:color w:val="FF0000"/>
                <w:vertAlign w:val="baseline"/>
                <w:lang w:val="en-US" w:eastAsia="zh-CN"/>
              </w:rPr>
            </w:pPr>
          </w:p>
          <w:p w14:paraId="6AF49470">
            <w:pPr>
              <w:rPr>
                <w:rFonts w:hint="eastAsia"/>
                <w:color w:val="FF0000"/>
                <w:vertAlign w:val="baseline"/>
                <w:lang w:val="en-US" w:eastAsia="zh-CN"/>
              </w:rPr>
            </w:pPr>
          </w:p>
          <w:p w14:paraId="65EA783F">
            <w:pPr>
              <w:rPr>
                <w:rFonts w:hint="eastAsia"/>
                <w:color w:val="FF0000"/>
                <w:vertAlign w:val="baseline"/>
                <w:lang w:val="en-US" w:eastAsia="zh-CN"/>
              </w:rPr>
            </w:pPr>
          </w:p>
          <w:p w14:paraId="35C765BA">
            <w:pPr>
              <w:rPr>
                <w:rFonts w:hint="eastAsia"/>
                <w:color w:val="FF0000"/>
                <w:vertAlign w:val="baseline"/>
                <w:lang w:val="en-US" w:eastAsia="zh-CN"/>
              </w:rPr>
            </w:pPr>
          </w:p>
          <w:p w14:paraId="54BFB082">
            <w:pPr>
              <w:rPr>
                <w:rFonts w:hint="eastAsia"/>
                <w:color w:val="FF0000"/>
                <w:vertAlign w:val="baseline"/>
                <w:lang w:val="en-US" w:eastAsia="zh-CN"/>
              </w:rPr>
            </w:pPr>
          </w:p>
          <w:p w14:paraId="69D2954C">
            <w:pPr>
              <w:rPr>
                <w:rFonts w:hint="eastAsia"/>
                <w:color w:val="FF0000"/>
                <w:vertAlign w:val="baseline"/>
                <w:lang w:val="en-US" w:eastAsia="zh-CN"/>
              </w:rPr>
            </w:pPr>
          </w:p>
          <w:p w14:paraId="3A68B166">
            <w:pPr>
              <w:rPr>
                <w:rFonts w:hint="eastAsia"/>
                <w:color w:val="FF0000"/>
                <w:vertAlign w:val="baseline"/>
                <w:lang w:val="en-US" w:eastAsia="zh-CN"/>
              </w:rPr>
            </w:pPr>
          </w:p>
          <w:p w14:paraId="1D71B327">
            <w:pPr>
              <w:rPr>
                <w:rFonts w:hint="eastAsia"/>
                <w:color w:val="FF0000"/>
                <w:vertAlign w:val="baseline"/>
                <w:lang w:val="en-US" w:eastAsia="zh-CN"/>
              </w:rPr>
            </w:pPr>
          </w:p>
          <w:p w14:paraId="375483C5">
            <w:pPr>
              <w:rPr>
                <w:rFonts w:hint="eastAsia"/>
                <w:color w:val="FF0000"/>
                <w:vertAlign w:val="baseline"/>
                <w:lang w:val="en-US" w:eastAsia="zh-CN"/>
              </w:rPr>
            </w:pPr>
          </w:p>
          <w:p w14:paraId="24F3C109">
            <w:pPr>
              <w:rPr>
                <w:rFonts w:hint="eastAsia"/>
                <w:color w:val="FF0000"/>
                <w:vertAlign w:val="baseline"/>
                <w:lang w:val="en-US" w:eastAsia="zh-CN"/>
              </w:rPr>
            </w:pPr>
          </w:p>
          <w:p w14:paraId="31FE83E5">
            <w:pPr>
              <w:rPr>
                <w:rFonts w:hint="eastAsia"/>
                <w:color w:val="FF0000"/>
                <w:vertAlign w:val="baseline"/>
                <w:lang w:val="en-US" w:eastAsia="zh-CN"/>
              </w:rPr>
            </w:pPr>
          </w:p>
          <w:p w14:paraId="2214D741">
            <w:pPr>
              <w:rPr>
                <w:rFonts w:hint="eastAsia"/>
                <w:color w:val="FF0000"/>
                <w:vertAlign w:val="baseline"/>
                <w:lang w:val="en-US" w:eastAsia="zh-CN"/>
              </w:rPr>
            </w:pPr>
          </w:p>
          <w:p w14:paraId="3361E5AA">
            <w:pPr>
              <w:rPr>
                <w:rFonts w:hint="eastAsia"/>
                <w:color w:val="FF0000"/>
                <w:vertAlign w:val="baseline"/>
                <w:lang w:val="en-US" w:eastAsia="zh-CN"/>
              </w:rPr>
            </w:pPr>
          </w:p>
          <w:p w14:paraId="53DB6492">
            <w:pPr>
              <w:rPr>
                <w:rFonts w:hint="eastAsia"/>
                <w:color w:val="FF0000"/>
                <w:vertAlign w:val="baseline"/>
                <w:lang w:val="en-US" w:eastAsia="zh-CN"/>
              </w:rPr>
            </w:pPr>
          </w:p>
          <w:p w14:paraId="0A8E4FDE">
            <w:pPr>
              <w:rPr>
                <w:rFonts w:hint="eastAsia"/>
                <w:color w:val="FF0000"/>
                <w:vertAlign w:val="baseline"/>
                <w:lang w:val="en-US" w:eastAsia="zh-CN"/>
              </w:rPr>
            </w:pPr>
          </w:p>
          <w:p w14:paraId="5BF6220E">
            <w:pPr>
              <w:rPr>
                <w:rFonts w:hint="eastAsia"/>
                <w:color w:val="FF0000"/>
                <w:vertAlign w:val="baseline"/>
                <w:lang w:val="en-US" w:eastAsia="zh-CN"/>
              </w:rPr>
            </w:pPr>
          </w:p>
          <w:p w14:paraId="4F4A60A3">
            <w:pPr>
              <w:rPr>
                <w:rFonts w:hint="eastAsia"/>
                <w:color w:val="FF0000"/>
                <w:vertAlign w:val="baseline"/>
                <w:lang w:val="en-US" w:eastAsia="zh-CN"/>
              </w:rPr>
            </w:pPr>
          </w:p>
          <w:p w14:paraId="69D9DC99">
            <w:pPr>
              <w:rPr>
                <w:rFonts w:hint="eastAsia"/>
                <w:color w:val="FF0000"/>
                <w:vertAlign w:val="baseline"/>
                <w:lang w:val="en-US" w:eastAsia="zh-CN"/>
              </w:rPr>
            </w:pPr>
          </w:p>
          <w:p w14:paraId="1C4B8893">
            <w:pPr>
              <w:rPr>
                <w:rFonts w:hint="eastAsia"/>
                <w:color w:val="FF0000"/>
                <w:vertAlign w:val="baseline"/>
                <w:lang w:val="en-US" w:eastAsia="zh-CN"/>
              </w:rPr>
            </w:pPr>
          </w:p>
          <w:p w14:paraId="4D114323">
            <w:pPr>
              <w:rPr>
                <w:rFonts w:hint="eastAsia"/>
                <w:color w:val="FF0000"/>
                <w:vertAlign w:val="baseline"/>
                <w:lang w:val="en-US" w:eastAsia="zh-CN"/>
              </w:rPr>
            </w:pPr>
          </w:p>
          <w:p w14:paraId="762920AB">
            <w:pPr>
              <w:rPr>
                <w:rFonts w:hint="eastAsia"/>
                <w:color w:val="FF0000"/>
                <w:vertAlign w:val="baseline"/>
                <w:lang w:val="en-US" w:eastAsia="zh-CN"/>
              </w:rPr>
            </w:pPr>
          </w:p>
          <w:p w14:paraId="66070E66">
            <w:pPr>
              <w:rPr>
                <w:rFonts w:hint="eastAsia"/>
                <w:color w:val="FF0000"/>
                <w:vertAlign w:val="baseline"/>
                <w:lang w:val="en-US" w:eastAsia="zh-CN"/>
              </w:rPr>
            </w:pPr>
          </w:p>
          <w:p w14:paraId="5BE29773">
            <w:pPr>
              <w:rPr>
                <w:rFonts w:hint="default" w:eastAsia="宋体"/>
                <w:color w:val="FF0000"/>
                <w:vertAlign w:val="baseline"/>
                <w:lang w:val="en-US" w:eastAsia="zh-CN"/>
              </w:rPr>
            </w:pPr>
          </w:p>
        </w:tc>
      </w:tr>
    </w:tbl>
    <w:p w14:paraId="03B7208B">
      <w:pPr>
        <w:rPr>
          <w:rFonts w:hint="default"/>
          <w:color w:val="FF0000"/>
        </w:rPr>
        <w:sectPr>
          <w:pgSz w:w="16838" w:h="11905" w:orient="landscape"/>
          <w:pgMar w:top="1417" w:right="1417" w:bottom="1417" w:left="1417" w:header="851" w:footer="850" w:gutter="0"/>
          <w:pgNumType w:fmt="decimal"/>
          <w:cols w:space="0" w:num="1"/>
          <w:rtlGutter w:val="0"/>
          <w:docGrid w:linePitch="312" w:charSpace="0"/>
        </w:sectPr>
      </w:pP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
        <w:gridCol w:w="8847"/>
      </w:tblGrid>
      <w:tr w14:paraId="1B49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8" w:hRule="atLeast"/>
          <w:jc w:val="center"/>
        </w:trPr>
        <w:tc>
          <w:tcPr>
            <w:tcW w:w="440" w:type="dxa"/>
            <w:vAlign w:val="center"/>
          </w:tcPr>
          <w:p w14:paraId="654EA353">
            <w:pPr>
              <w:pStyle w:val="26"/>
              <w:keepNext w:val="0"/>
              <w:keepLines w:val="0"/>
              <w:pageBreakBefore w:val="0"/>
              <w:widowControl w:val="0"/>
              <w:kinsoku/>
              <w:wordWrap/>
              <w:overflowPunct/>
              <w:topLinePunct w:val="0"/>
              <w:autoSpaceDE/>
              <w:autoSpaceDN/>
              <w:bidi w:val="0"/>
              <w:adjustRightInd/>
              <w:snapToGrid/>
              <w:spacing w:after="0" w:line="360" w:lineRule="auto"/>
              <w:ind w:left="0" w:leftChars="0" w:right="0" w:firstLine="0" w:firstLineChars="0"/>
              <w:jc w:val="center"/>
              <w:textAlignment w:val="auto"/>
              <w:rPr>
                <w:rFonts w:hint="default"/>
                <w:color w:val="FF0000"/>
                <w:vertAlign w:val="baseline"/>
              </w:rPr>
            </w:pPr>
            <w:r>
              <w:rPr>
                <w:rFonts w:hint="default" w:ascii="Times New Roman" w:hAnsi="Times New Roman" w:cs="Times New Roman"/>
                <w:b/>
                <w:bCs/>
                <w:color w:val="auto"/>
                <w:sz w:val="24"/>
                <w:szCs w:val="32"/>
              </w:rPr>
              <w:t>运营期环境影响和保护措施</w:t>
            </w:r>
          </w:p>
        </w:tc>
        <w:tc>
          <w:tcPr>
            <w:tcW w:w="8847" w:type="dxa"/>
          </w:tcPr>
          <w:p w14:paraId="38CD839E">
            <w:pPr>
              <w:keepNext w:val="0"/>
              <w:keepLines w:val="0"/>
              <w:pageBreakBefore w:val="0"/>
              <w:widowControl/>
              <w:kinsoku/>
              <w:wordWrap/>
              <w:overflowPunct/>
              <w:bidi w:val="0"/>
              <w:adjustRightInd w:val="0"/>
              <w:snapToGrid w:val="0"/>
              <w:spacing w:line="360" w:lineRule="auto"/>
              <w:ind w:left="0" w:leftChars="0" w:right="0" w:firstLine="482" w:firstLineChars="200"/>
              <w:jc w:val="left"/>
              <w:rPr>
                <w:rFonts w:hint="default" w:ascii="Times New Roman" w:hAnsi="Times New Roman" w:cs="Times New Roman"/>
                <w:b/>
                <w:color w:val="auto"/>
                <w:kern w:val="0"/>
                <w:sz w:val="24"/>
              </w:rPr>
            </w:pPr>
            <w:r>
              <w:rPr>
                <w:rFonts w:hint="default" w:ascii="Times New Roman" w:hAnsi="Times New Roman" w:cs="Times New Roman"/>
                <w:b/>
                <w:bCs/>
                <w:color w:val="auto"/>
                <w:kern w:val="0"/>
                <w:sz w:val="24"/>
                <w:lang w:val="en-US" w:eastAsia="zh-CN"/>
              </w:rPr>
              <w:t>2、</w:t>
            </w:r>
            <w:r>
              <w:rPr>
                <w:rFonts w:hint="default" w:ascii="Times New Roman" w:hAnsi="Times New Roman" w:cs="Times New Roman"/>
                <w:b/>
                <w:color w:val="auto"/>
                <w:kern w:val="0"/>
                <w:sz w:val="24"/>
              </w:rPr>
              <w:t>预测模式和结果</w:t>
            </w:r>
          </w:p>
          <w:p w14:paraId="523E9699">
            <w:pPr>
              <w:keepNext w:val="0"/>
              <w:keepLines w:val="0"/>
              <w:pageBreakBefore w:val="0"/>
              <w:suppressLineNumbers w:val="0"/>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选择《环境影响评价技术导则－声环境》(HJ2.4－2</w:t>
            </w:r>
            <w:r>
              <w:rPr>
                <w:rFonts w:hint="eastAsia" w:cs="Times New Roman"/>
                <w:i w:val="0"/>
                <w:iCs w:val="0"/>
                <w:color w:val="auto"/>
                <w:sz w:val="24"/>
                <w:lang w:val="en-US" w:eastAsia="zh-CN"/>
              </w:rPr>
              <w:t>021</w:t>
            </w:r>
            <w:r>
              <w:rPr>
                <w:rFonts w:hint="default" w:ascii="Times New Roman" w:hAnsi="Times New Roman" w:cs="Times New Roman"/>
                <w:i w:val="0"/>
                <w:iCs w:val="0"/>
                <w:color w:val="auto"/>
                <w:sz w:val="24"/>
              </w:rPr>
              <w:t>)中推荐的工业噪声预测模式，具体模式如下：</w:t>
            </w:r>
          </w:p>
          <w:p w14:paraId="5A55EA36">
            <w:pPr>
              <w:pStyle w:val="11"/>
              <w:keepNext w:val="0"/>
              <w:keepLines w:val="0"/>
              <w:pageBreakBefore w:val="0"/>
              <w:suppressLineNumbers w:val="0"/>
              <w:tabs>
                <w:tab w:val="left" w:pos="1495"/>
              </w:tabs>
              <w:kinsoku/>
              <w:wordWrap/>
              <w:overflowPunct/>
              <w:bidi w:val="0"/>
              <w:spacing w:before="0" w:beforeAutospacing="0" w:after="0" w:afterAutospacing="0" w:line="360" w:lineRule="auto"/>
              <w:ind w:left="0" w:leftChars="0" w:right="0" w:firstLine="480" w:firstLineChars="200"/>
              <w:rPr>
                <w:rFonts w:hint="default" w:ascii="Times New Roman" w:hAnsi="Times New Roman" w:cs="Times New Roman"/>
                <w:i w:val="0"/>
                <w:iCs w:val="0"/>
                <w:color w:val="auto"/>
                <w:sz w:val="24"/>
                <w:szCs w:val="36"/>
              </w:rPr>
            </w:pPr>
            <w:r>
              <w:rPr>
                <w:rFonts w:hint="default" w:ascii="Times New Roman" w:hAnsi="Times New Roman" w:cs="Times New Roman"/>
                <w:i w:val="0"/>
                <w:iCs w:val="0"/>
                <w:color w:val="auto"/>
                <w:sz w:val="24"/>
                <w:szCs w:val="36"/>
                <w:lang w:eastAsia="zh-CN"/>
              </w:rPr>
              <w:t>①</w:t>
            </w:r>
            <w:r>
              <w:rPr>
                <w:rFonts w:hint="default" w:ascii="Times New Roman" w:hAnsi="Times New Roman" w:cs="Times New Roman"/>
                <w:i w:val="0"/>
                <w:iCs w:val="0"/>
                <w:color w:val="auto"/>
                <w:sz w:val="24"/>
                <w:szCs w:val="36"/>
              </w:rPr>
              <w:t>室内声源，在只取得A声级时，采用下式计算：</w:t>
            </w:r>
          </w:p>
          <w:p w14:paraId="13D07320">
            <w:pPr>
              <w:keepNext w:val="0"/>
              <w:keepLines w:val="0"/>
              <w:pageBreakBefore w:val="0"/>
              <w:suppressLineNumbers w:val="0"/>
              <w:kinsoku/>
              <w:wordWrap/>
              <w:overflowPunct/>
              <w:bidi w:val="0"/>
              <w:spacing w:before="0" w:beforeAutospacing="0" w:afterAutospacing="0" w:line="360" w:lineRule="auto"/>
              <w:ind w:left="0" w:leftChars="0" w:right="0"/>
              <w:jc w:val="center"/>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LA(r) = LA(r0)-A</w:t>
            </w:r>
          </w:p>
          <w:p w14:paraId="45914938">
            <w:pPr>
              <w:keepNext w:val="0"/>
              <w:keepLines w:val="0"/>
              <w:pageBreakBefore w:val="0"/>
              <w:suppressLineNumbers w:val="0"/>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A可选择对A声级影响最大的倍频带计算，一般可选中心频率为500Hz的倍频带</w:t>
            </w:r>
            <w:r>
              <w:rPr>
                <w:rFonts w:hint="eastAsia" w:cs="Times New Roman"/>
                <w:i w:val="0"/>
                <w:iCs w:val="0"/>
                <w:color w:val="auto"/>
                <w:sz w:val="24"/>
                <w:lang w:eastAsia="zh-CN"/>
              </w:rPr>
              <w:t>做</w:t>
            </w:r>
            <w:r>
              <w:rPr>
                <w:rFonts w:hint="default" w:ascii="Times New Roman" w:hAnsi="Times New Roman" w:cs="Times New Roman"/>
                <w:i w:val="0"/>
                <w:iCs w:val="0"/>
                <w:color w:val="auto"/>
                <w:sz w:val="24"/>
              </w:rPr>
              <w:t>估算。</w:t>
            </w:r>
          </w:p>
          <w:p w14:paraId="03F03A91">
            <w:pPr>
              <w:keepNext w:val="0"/>
              <w:keepLines w:val="0"/>
              <w:pageBreakBefore w:val="0"/>
              <w:suppressLineNumbers w:val="0"/>
              <w:kinsoku/>
              <w:wordWrap/>
              <w:overflowPunct/>
              <w:bidi w:val="0"/>
              <w:spacing w:before="0" w:beforeAutospacing="0" w:afterAutospacing="0" w:line="360" w:lineRule="auto"/>
              <w:ind w:left="0" w:leftChars="0" w:right="0"/>
              <w:jc w:val="center"/>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A = Adiv+Aatm+Agr+Abar+Amisc</w:t>
            </w:r>
          </w:p>
          <w:p w14:paraId="758A4EE1">
            <w:pPr>
              <w:keepNext w:val="0"/>
              <w:keepLines w:val="0"/>
              <w:pageBreakBefore w:val="0"/>
              <w:suppressLineNumbers w:val="0"/>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几何发散衰减：</w:t>
            </w:r>
          </w:p>
          <w:p w14:paraId="19EF5C0F">
            <w:pPr>
              <w:keepNext w:val="0"/>
              <w:keepLines w:val="0"/>
              <w:pageBreakBefore w:val="0"/>
              <w:suppressLineNumbers w:val="0"/>
              <w:kinsoku/>
              <w:wordWrap/>
              <w:overflowPunct/>
              <w:bidi w:val="0"/>
              <w:spacing w:before="0" w:beforeAutospacing="0" w:afterAutospacing="0" w:line="360" w:lineRule="auto"/>
              <w:ind w:left="0" w:leftChars="0" w:right="0"/>
              <w:jc w:val="center"/>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(Adiv)</w:t>
            </w:r>
            <w:r>
              <w:rPr>
                <w:rFonts w:hint="default" w:ascii="Times New Roman" w:hAnsi="Times New Roman" w:cs="Times New Roman"/>
                <w:i w:val="0"/>
                <w:iCs w:val="0"/>
                <w:color w:val="auto"/>
                <w:sz w:val="24"/>
              </w:rPr>
              <w:tab/>
            </w:r>
            <w:r>
              <w:rPr>
                <w:rFonts w:hint="default" w:ascii="Times New Roman" w:hAnsi="Times New Roman" w:cs="Times New Roman"/>
                <w:i w:val="0"/>
                <w:iCs w:val="0"/>
                <w:color w:val="auto"/>
                <w:sz w:val="24"/>
              </w:rPr>
              <w:t>Adiv = 20Lg(r/r0)</w:t>
            </w:r>
          </w:p>
          <w:p w14:paraId="757EE941">
            <w:pPr>
              <w:keepNext w:val="0"/>
              <w:keepLines w:val="0"/>
              <w:pageBreakBefore w:val="0"/>
              <w:suppressLineNumbers w:val="0"/>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空气吸收引起的衰减(Aatm)</w:t>
            </w:r>
            <w:r>
              <w:rPr>
                <w:rFonts w:hint="default" w:ascii="Times New Roman" w:hAnsi="Times New Roman" w:cs="Times New Roman"/>
                <w:i w:val="0"/>
                <w:iCs w:val="0"/>
                <w:color w:val="auto"/>
                <w:sz w:val="24"/>
              </w:rPr>
              <w:tab/>
            </w:r>
            <w:r>
              <w:rPr>
                <w:rFonts w:hint="default" w:ascii="Times New Roman" w:hAnsi="Times New Roman" w:cs="Times New Roman"/>
                <w:i w:val="0"/>
                <w:iCs w:val="0"/>
                <w:color w:val="auto"/>
                <w:sz w:val="24"/>
              </w:rPr>
              <w:t>：</w:t>
            </w:r>
          </w:p>
          <w:p w14:paraId="7191E3E7">
            <w:pPr>
              <w:keepNext w:val="0"/>
              <w:keepLines w:val="0"/>
              <w:pageBreakBefore w:val="0"/>
              <w:widowControl/>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drawing>
                <wp:inline distT="0" distB="0" distL="114300" distR="114300">
                  <wp:extent cx="1162050" cy="438150"/>
                  <wp:effectExtent l="0" t="0" r="0" b="0"/>
                  <wp:docPr id="3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1"/>
                          <pic:cNvPicPr>
                            <a:picLocks noChangeAspect="1"/>
                          </pic:cNvPicPr>
                        </pic:nvPicPr>
                        <pic:blipFill>
                          <a:blip r:embed="rId13"/>
                          <a:stretch>
                            <a:fillRect/>
                          </a:stretch>
                        </pic:blipFill>
                        <pic:spPr>
                          <a:xfrm>
                            <a:off x="0" y="0"/>
                            <a:ext cx="1162050" cy="438150"/>
                          </a:xfrm>
                          <a:prstGeom prst="rect">
                            <a:avLst/>
                          </a:prstGeom>
                          <a:noFill/>
                          <a:ln>
                            <a:noFill/>
                          </a:ln>
                        </pic:spPr>
                      </pic:pic>
                    </a:graphicData>
                  </a:graphic>
                </wp:inline>
              </w:drawing>
            </w:r>
          </w:p>
          <w:p w14:paraId="2A3B7408">
            <w:pPr>
              <w:keepNext w:val="0"/>
              <w:keepLines w:val="0"/>
              <w:pageBreakBefore w:val="0"/>
              <w:widowControl w:val="0"/>
              <w:suppressLineNumbers w:val="0"/>
              <w:tabs>
                <w:tab w:val="left" w:pos="3467"/>
              </w:tabs>
              <w:kinsoku/>
              <w:wordWrap/>
              <w:overflowPunct/>
              <w:topLinePunct w:val="0"/>
              <w:autoSpaceDE/>
              <w:autoSpaceDN/>
              <w:bidi w:val="0"/>
              <w:adjustRightInd/>
              <w:snapToGrid/>
              <w:spacing w:before="0" w:beforeAutospacing="0" w:afterAutospacing="0" w:line="240" w:lineRule="auto"/>
              <w:ind w:left="0" w:leftChars="0" w:right="0" w:firstLine="0" w:firstLineChars="0"/>
              <w:jc w:val="both"/>
              <w:textAlignment w:val="auto"/>
              <w:rPr>
                <w:rFonts w:hint="default" w:ascii="Times New Roman" w:hAnsi="Times New Roman" w:cs="Times New Roman"/>
                <w:b/>
                <w:bCs/>
                <w:i w:val="0"/>
                <w:iCs w:val="0"/>
                <w:color w:val="auto"/>
                <w:sz w:val="24"/>
                <w:szCs w:val="32"/>
              </w:rPr>
            </w:pPr>
          </w:p>
          <w:p w14:paraId="2668FD89">
            <w:pPr>
              <w:keepNext w:val="0"/>
              <w:keepLines w:val="0"/>
              <w:pageBreakBefore w:val="0"/>
              <w:widowControl w:val="0"/>
              <w:suppressLineNumbers w:val="0"/>
              <w:tabs>
                <w:tab w:val="left" w:pos="3467"/>
              </w:tabs>
              <w:kinsoku/>
              <w:wordWrap/>
              <w:overflowPunct/>
              <w:topLinePunct w:val="0"/>
              <w:autoSpaceDE/>
              <w:autoSpaceDN/>
              <w:bidi w:val="0"/>
              <w:adjustRightInd/>
              <w:snapToGrid/>
              <w:spacing w:before="0" w:beforeAutospacing="0" w:afterAutospacing="0" w:line="240" w:lineRule="auto"/>
              <w:ind w:left="0" w:leftChars="0" w:right="0" w:firstLine="0" w:firstLineChars="0"/>
              <w:jc w:val="center"/>
              <w:textAlignment w:val="auto"/>
              <w:rPr>
                <w:rFonts w:hint="default" w:ascii="Times New Roman" w:hAnsi="Times New Roman" w:cs="Times New Roman"/>
                <w:b/>
                <w:bCs/>
                <w:i w:val="0"/>
                <w:iCs w:val="0"/>
                <w:color w:val="auto"/>
                <w:sz w:val="24"/>
                <w:szCs w:val="32"/>
              </w:rPr>
            </w:pPr>
            <w:r>
              <w:rPr>
                <w:rFonts w:hint="default" w:ascii="Times New Roman" w:hAnsi="Times New Roman" w:cs="Times New Roman"/>
                <w:b/>
                <w:bCs/>
                <w:i w:val="0"/>
                <w:iCs w:val="0"/>
                <w:color w:val="auto"/>
                <w:sz w:val="24"/>
                <w:szCs w:val="32"/>
              </w:rPr>
              <w:t>表</w:t>
            </w:r>
            <w:r>
              <w:rPr>
                <w:rFonts w:hint="default" w:ascii="Times New Roman" w:hAnsi="Times New Roman" w:cs="Times New Roman"/>
                <w:b/>
                <w:bCs/>
                <w:i w:val="0"/>
                <w:iCs w:val="0"/>
                <w:color w:val="auto"/>
                <w:sz w:val="24"/>
                <w:szCs w:val="32"/>
                <w:lang w:val="en-US" w:eastAsia="zh-CN"/>
              </w:rPr>
              <w:t>4-</w:t>
            </w:r>
            <w:r>
              <w:rPr>
                <w:rFonts w:hint="eastAsia" w:cs="Times New Roman"/>
                <w:b/>
                <w:bCs/>
                <w:i w:val="0"/>
                <w:iCs w:val="0"/>
                <w:color w:val="auto"/>
                <w:sz w:val="24"/>
                <w:szCs w:val="32"/>
                <w:lang w:val="en-US" w:eastAsia="zh-CN"/>
              </w:rPr>
              <w:t>14</w:t>
            </w:r>
            <w:r>
              <w:rPr>
                <w:rFonts w:hint="default" w:ascii="Times New Roman" w:hAnsi="Times New Roman" w:cs="Times New Roman"/>
                <w:b/>
                <w:bCs/>
                <w:i w:val="0"/>
                <w:iCs w:val="0"/>
                <w:color w:val="auto"/>
                <w:sz w:val="24"/>
                <w:szCs w:val="32"/>
              </w:rPr>
              <w:t xml:space="preserve">  倍频带噪声的大气吸收衰减系数</w:t>
            </w:r>
          </w:p>
          <w:tbl>
            <w:tblPr>
              <w:tblStyle w:val="27"/>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7"/>
              <w:gridCol w:w="997"/>
              <w:gridCol w:w="852"/>
              <w:gridCol w:w="855"/>
              <w:gridCol w:w="855"/>
              <w:gridCol w:w="855"/>
              <w:gridCol w:w="860"/>
              <w:gridCol w:w="860"/>
              <w:gridCol w:w="863"/>
              <w:gridCol w:w="754"/>
            </w:tblGrid>
            <w:tr w14:paraId="72266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 w:hRule="atLeast"/>
                <w:jc w:val="center"/>
              </w:trPr>
              <w:tc>
                <w:tcPr>
                  <w:tcW w:w="503" w:type="pct"/>
                  <w:vMerge w:val="restart"/>
                  <w:noWrap w:val="0"/>
                  <w:vAlign w:val="center"/>
                </w:tcPr>
                <w:p w14:paraId="5481411E">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温度℃</w:t>
                  </w:r>
                </w:p>
              </w:tc>
              <w:tc>
                <w:tcPr>
                  <w:tcW w:w="578" w:type="pct"/>
                  <w:vMerge w:val="restart"/>
                  <w:noWrap w:val="0"/>
                  <w:vAlign w:val="center"/>
                </w:tcPr>
                <w:p w14:paraId="5430A3B3">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相对湿度%</w:t>
                  </w:r>
                </w:p>
              </w:tc>
              <w:tc>
                <w:tcPr>
                  <w:tcW w:w="3917" w:type="pct"/>
                  <w:gridSpan w:val="8"/>
                  <w:noWrap w:val="0"/>
                  <w:vAlign w:val="center"/>
                </w:tcPr>
                <w:p w14:paraId="73C7C758">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大气吸收衰减系数，dB/km</w:t>
                  </w:r>
                </w:p>
              </w:tc>
            </w:tr>
            <w:tr w14:paraId="7D5A1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503" w:type="pct"/>
                  <w:vMerge w:val="continue"/>
                  <w:noWrap w:val="0"/>
                  <w:vAlign w:val="center"/>
                </w:tcPr>
                <w:p w14:paraId="361C1ECD">
                  <w:pPr>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p>
              </w:tc>
              <w:tc>
                <w:tcPr>
                  <w:tcW w:w="578" w:type="pct"/>
                  <w:vMerge w:val="continue"/>
                  <w:noWrap w:val="0"/>
                  <w:vAlign w:val="center"/>
                </w:tcPr>
                <w:p w14:paraId="677D0CF5">
                  <w:pPr>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p>
              </w:tc>
              <w:tc>
                <w:tcPr>
                  <w:tcW w:w="3917" w:type="pct"/>
                  <w:gridSpan w:val="8"/>
                  <w:noWrap w:val="0"/>
                  <w:vAlign w:val="center"/>
                </w:tcPr>
                <w:p w14:paraId="4675B4B0">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倍频带中心频率 Hz</w:t>
                  </w:r>
                </w:p>
              </w:tc>
            </w:tr>
            <w:tr w14:paraId="121D0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jc w:val="center"/>
              </w:trPr>
              <w:tc>
                <w:tcPr>
                  <w:tcW w:w="503" w:type="pct"/>
                  <w:vMerge w:val="continue"/>
                  <w:noWrap w:val="0"/>
                  <w:vAlign w:val="center"/>
                </w:tcPr>
                <w:p w14:paraId="5A1AA0A7">
                  <w:pPr>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p>
              </w:tc>
              <w:tc>
                <w:tcPr>
                  <w:tcW w:w="578" w:type="pct"/>
                  <w:vMerge w:val="continue"/>
                  <w:noWrap w:val="0"/>
                  <w:vAlign w:val="center"/>
                </w:tcPr>
                <w:p w14:paraId="423076C0">
                  <w:pPr>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p>
              </w:tc>
              <w:tc>
                <w:tcPr>
                  <w:tcW w:w="494" w:type="pct"/>
                  <w:noWrap w:val="0"/>
                  <w:vAlign w:val="center"/>
                </w:tcPr>
                <w:p w14:paraId="2D898B90">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63</w:t>
                  </w:r>
                </w:p>
              </w:tc>
              <w:tc>
                <w:tcPr>
                  <w:tcW w:w="496" w:type="pct"/>
                  <w:noWrap w:val="0"/>
                  <w:vAlign w:val="center"/>
                </w:tcPr>
                <w:p w14:paraId="0E11641E">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125</w:t>
                  </w:r>
                </w:p>
              </w:tc>
              <w:tc>
                <w:tcPr>
                  <w:tcW w:w="496" w:type="pct"/>
                  <w:noWrap w:val="0"/>
                  <w:vAlign w:val="center"/>
                </w:tcPr>
                <w:p w14:paraId="60CD605A">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250</w:t>
                  </w:r>
                </w:p>
              </w:tc>
              <w:tc>
                <w:tcPr>
                  <w:tcW w:w="496" w:type="pct"/>
                  <w:noWrap w:val="0"/>
                  <w:vAlign w:val="center"/>
                </w:tcPr>
                <w:p w14:paraId="1716C4A2">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500</w:t>
                  </w:r>
                </w:p>
              </w:tc>
              <w:tc>
                <w:tcPr>
                  <w:tcW w:w="499" w:type="pct"/>
                  <w:noWrap w:val="0"/>
                  <w:vAlign w:val="center"/>
                </w:tcPr>
                <w:p w14:paraId="60497028">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1000</w:t>
                  </w:r>
                </w:p>
              </w:tc>
              <w:tc>
                <w:tcPr>
                  <w:tcW w:w="499" w:type="pct"/>
                  <w:noWrap w:val="0"/>
                  <w:vAlign w:val="center"/>
                </w:tcPr>
                <w:p w14:paraId="50889AD0">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2000</w:t>
                  </w:r>
                </w:p>
              </w:tc>
              <w:tc>
                <w:tcPr>
                  <w:tcW w:w="500" w:type="pct"/>
                  <w:noWrap w:val="0"/>
                  <w:vAlign w:val="center"/>
                </w:tcPr>
                <w:p w14:paraId="5B933394">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4000</w:t>
                  </w:r>
                </w:p>
              </w:tc>
              <w:tc>
                <w:tcPr>
                  <w:tcW w:w="432" w:type="pct"/>
                  <w:noWrap w:val="0"/>
                  <w:vAlign w:val="center"/>
                </w:tcPr>
                <w:p w14:paraId="4B27C212">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8000</w:t>
                  </w:r>
                </w:p>
              </w:tc>
            </w:tr>
            <w:tr w14:paraId="5B24F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jc w:val="center"/>
              </w:trPr>
              <w:tc>
                <w:tcPr>
                  <w:tcW w:w="503" w:type="pct"/>
                  <w:noWrap w:val="0"/>
                  <w:vAlign w:val="center"/>
                </w:tcPr>
                <w:p w14:paraId="64595BB3">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10</w:t>
                  </w:r>
                </w:p>
              </w:tc>
              <w:tc>
                <w:tcPr>
                  <w:tcW w:w="578" w:type="pct"/>
                  <w:noWrap w:val="0"/>
                  <w:vAlign w:val="center"/>
                </w:tcPr>
                <w:p w14:paraId="5838D79F">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70</w:t>
                  </w:r>
                </w:p>
              </w:tc>
              <w:tc>
                <w:tcPr>
                  <w:tcW w:w="494" w:type="pct"/>
                  <w:noWrap w:val="0"/>
                  <w:vAlign w:val="center"/>
                </w:tcPr>
                <w:p w14:paraId="76F89894">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0.1</w:t>
                  </w:r>
                </w:p>
              </w:tc>
              <w:tc>
                <w:tcPr>
                  <w:tcW w:w="496" w:type="pct"/>
                  <w:noWrap w:val="0"/>
                  <w:vAlign w:val="center"/>
                </w:tcPr>
                <w:p w14:paraId="5A6735AC">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0.4</w:t>
                  </w:r>
                </w:p>
              </w:tc>
              <w:tc>
                <w:tcPr>
                  <w:tcW w:w="496" w:type="pct"/>
                  <w:noWrap w:val="0"/>
                  <w:vAlign w:val="center"/>
                </w:tcPr>
                <w:p w14:paraId="0413E2F4">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1.0</w:t>
                  </w:r>
                </w:p>
              </w:tc>
              <w:tc>
                <w:tcPr>
                  <w:tcW w:w="496" w:type="pct"/>
                  <w:noWrap w:val="0"/>
                  <w:vAlign w:val="center"/>
                </w:tcPr>
                <w:p w14:paraId="62D0E5A7">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1.9</w:t>
                  </w:r>
                </w:p>
              </w:tc>
              <w:tc>
                <w:tcPr>
                  <w:tcW w:w="499" w:type="pct"/>
                  <w:noWrap w:val="0"/>
                  <w:vAlign w:val="center"/>
                </w:tcPr>
                <w:p w14:paraId="22BAC221">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3.7</w:t>
                  </w:r>
                </w:p>
              </w:tc>
              <w:tc>
                <w:tcPr>
                  <w:tcW w:w="499" w:type="pct"/>
                  <w:noWrap w:val="0"/>
                  <w:vAlign w:val="center"/>
                </w:tcPr>
                <w:p w14:paraId="36DE15CC">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9.7</w:t>
                  </w:r>
                </w:p>
              </w:tc>
              <w:tc>
                <w:tcPr>
                  <w:tcW w:w="500" w:type="pct"/>
                  <w:noWrap w:val="0"/>
                  <w:vAlign w:val="center"/>
                </w:tcPr>
                <w:p w14:paraId="24C82CF5">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32.8</w:t>
                  </w:r>
                </w:p>
              </w:tc>
              <w:tc>
                <w:tcPr>
                  <w:tcW w:w="432" w:type="pct"/>
                  <w:noWrap w:val="0"/>
                  <w:vAlign w:val="center"/>
                </w:tcPr>
                <w:p w14:paraId="3342B8A3">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117.0</w:t>
                  </w:r>
                </w:p>
              </w:tc>
            </w:tr>
            <w:tr w14:paraId="3CB19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 w:hRule="atLeast"/>
                <w:jc w:val="center"/>
              </w:trPr>
              <w:tc>
                <w:tcPr>
                  <w:tcW w:w="503" w:type="pct"/>
                  <w:noWrap w:val="0"/>
                  <w:vAlign w:val="center"/>
                </w:tcPr>
                <w:p w14:paraId="62C87F19">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20</w:t>
                  </w:r>
                </w:p>
              </w:tc>
              <w:tc>
                <w:tcPr>
                  <w:tcW w:w="578" w:type="pct"/>
                  <w:noWrap w:val="0"/>
                  <w:vAlign w:val="center"/>
                </w:tcPr>
                <w:p w14:paraId="43A1404C">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70</w:t>
                  </w:r>
                </w:p>
              </w:tc>
              <w:tc>
                <w:tcPr>
                  <w:tcW w:w="494" w:type="pct"/>
                  <w:noWrap w:val="0"/>
                  <w:vAlign w:val="center"/>
                </w:tcPr>
                <w:p w14:paraId="2C96A0E2">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0.1</w:t>
                  </w:r>
                </w:p>
              </w:tc>
              <w:tc>
                <w:tcPr>
                  <w:tcW w:w="496" w:type="pct"/>
                  <w:noWrap w:val="0"/>
                  <w:vAlign w:val="center"/>
                </w:tcPr>
                <w:p w14:paraId="2348E4B9">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0.3</w:t>
                  </w:r>
                </w:p>
              </w:tc>
              <w:tc>
                <w:tcPr>
                  <w:tcW w:w="496" w:type="pct"/>
                  <w:noWrap w:val="0"/>
                  <w:vAlign w:val="center"/>
                </w:tcPr>
                <w:p w14:paraId="7C84814D">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1.1</w:t>
                  </w:r>
                </w:p>
              </w:tc>
              <w:tc>
                <w:tcPr>
                  <w:tcW w:w="496" w:type="pct"/>
                  <w:noWrap w:val="0"/>
                  <w:vAlign w:val="center"/>
                </w:tcPr>
                <w:p w14:paraId="3975607F">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2.8</w:t>
                  </w:r>
                </w:p>
              </w:tc>
              <w:tc>
                <w:tcPr>
                  <w:tcW w:w="499" w:type="pct"/>
                  <w:noWrap w:val="0"/>
                  <w:vAlign w:val="center"/>
                </w:tcPr>
                <w:p w14:paraId="06ECC768">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5.0</w:t>
                  </w:r>
                </w:p>
              </w:tc>
              <w:tc>
                <w:tcPr>
                  <w:tcW w:w="499" w:type="pct"/>
                  <w:noWrap w:val="0"/>
                  <w:vAlign w:val="center"/>
                </w:tcPr>
                <w:p w14:paraId="2882DDCA">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9.0</w:t>
                  </w:r>
                </w:p>
              </w:tc>
              <w:tc>
                <w:tcPr>
                  <w:tcW w:w="500" w:type="pct"/>
                  <w:noWrap w:val="0"/>
                  <w:vAlign w:val="center"/>
                </w:tcPr>
                <w:p w14:paraId="44F70536">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22.9</w:t>
                  </w:r>
                </w:p>
              </w:tc>
              <w:tc>
                <w:tcPr>
                  <w:tcW w:w="432" w:type="pct"/>
                  <w:noWrap w:val="0"/>
                  <w:vAlign w:val="center"/>
                </w:tcPr>
                <w:p w14:paraId="5DCE897E">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76.6</w:t>
                  </w:r>
                </w:p>
              </w:tc>
            </w:tr>
            <w:tr w14:paraId="1BF00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 w:hRule="atLeast"/>
                <w:jc w:val="center"/>
              </w:trPr>
              <w:tc>
                <w:tcPr>
                  <w:tcW w:w="503" w:type="pct"/>
                  <w:noWrap w:val="0"/>
                  <w:vAlign w:val="center"/>
                </w:tcPr>
                <w:p w14:paraId="696DA12D">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30</w:t>
                  </w:r>
                </w:p>
              </w:tc>
              <w:tc>
                <w:tcPr>
                  <w:tcW w:w="578" w:type="pct"/>
                  <w:noWrap w:val="0"/>
                  <w:vAlign w:val="center"/>
                </w:tcPr>
                <w:p w14:paraId="2B8EFC8E">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70</w:t>
                  </w:r>
                </w:p>
              </w:tc>
              <w:tc>
                <w:tcPr>
                  <w:tcW w:w="494" w:type="pct"/>
                  <w:noWrap w:val="0"/>
                  <w:vAlign w:val="center"/>
                </w:tcPr>
                <w:p w14:paraId="69F791FB">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0.1</w:t>
                  </w:r>
                </w:p>
              </w:tc>
              <w:tc>
                <w:tcPr>
                  <w:tcW w:w="496" w:type="pct"/>
                  <w:noWrap w:val="0"/>
                  <w:vAlign w:val="center"/>
                </w:tcPr>
                <w:p w14:paraId="1DA053F4">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0.3</w:t>
                  </w:r>
                </w:p>
              </w:tc>
              <w:tc>
                <w:tcPr>
                  <w:tcW w:w="496" w:type="pct"/>
                  <w:noWrap w:val="0"/>
                  <w:vAlign w:val="center"/>
                </w:tcPr>
                <w:p w14:paraId="24FE9FC5">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1.0</w:t>
                  </w:r>
                </w:p>
              </w:tc>
              <w:tc>
                <w:tcPr>
                  <w:tcW w:w="496" w:type="pct"/>
                  <w:noWrap w:val="0"/>
                  <w:vAlign w:val="center"/>
                </w:tcPr>
                <w:p w14:paraId="69F20B76">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3.1</w:t>
                  </w:r>
                </w:p>
              </w:tc>
              <w:tc>
                <w:tcPr>
                  <w:tcW w:w="499" w:type="pct"/>
                  <w:noWrap w:val="0"/>
                  <w:vAlign w:val="center"/>
                </w:tcPr>
                <w:p w14:paraId="70F6180B">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7.4</w:t>
                  </w:r>
                </w:p>
              </w:tc>
              <w:tc>
                <w:tcPr>
                  <w:tcW w:w="499" w:type="pct"/>
                  <w:noWrap w:val="0"/>
                  <w:vAlign w:val="center"/>
                </w:tcPr>
                <w:p w14:paraId="541F5237">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12.7</w:t>
                  </w:r>
                </w:p>
              </w:tc>
              <w:tc>
                <w:tcPr>
                  <w:tcW w:w="500" w:type="pct"/>
                  <w:noWrap w:val="0"/>
                  <w:vAlign w:val="center"/>
                </w:tcPr>
                <w:p w14:paraId="7E0E1A88">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23.1</w:t>
                  </w:r>
                </w:p>
              </w:tc>
              <w:tc>
                <w:tcPr>
                  <w:tcW w:w="432" w:type="pct"/>
                  <w:noWrap w:val="0"/>
                  <w:vAlign w:val="center"/>
                </w:tcPr>
                <w:p w14:paraId="1A664291">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59.3</w:t>
                  </w:r>
                </w:p>
              </w:tc>
            </w:tr>
            <w:tr w14:paraId="663B7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 w:hRule="atLeast"/>
                <w:jc w:val="center"/>
              </w:trPr>
              <w:tc>
                <w:tcPr>
                  <w:tcW w:w="503" w:type="pct"/>
                  <w:noWrap w:val="0"/>
                  <w:vAlign w:val="center"/>
                </w:tcPr>
                <w:p w14:paraId="6E11D85E">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15</w:t>
                  </w:r>
                </w:p>
              </w:tc>
              <w:tc>
                <w:tcPr>
                  <w:tcW w:w="578" w:type="pct"/>
                  <w:noWrap w:val="0"/>
                  <w:vAlign w:val="center"/>
                </w:tcPr>
                <w:p w14:paraId="1B5E9ED6">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20</w:t>
                  </w:r>
                </w:p>
              </w:tc>
              <w:tc>
                <w:tcPr>
                  <w:tcW w:w="494" w:type="pct"/>
                  <w:noWrap w:val="0"/>
                  <w:vAlign w:val="center"/>
                </w:tcPr>
                <w:p w14:paraId="3A2140DF">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0.3</w:t>
                  </w:r>
                </w:p>
              </w:tc>
              <w:tc>
                <w:tcPr>
                  <w:tcW w:w="496" w:type="pct"/>
                  <w:noWrap w:val="0"/>
                  <w:vAlign w:val="center"/>
                </w:tcPr>
                <w:p w14:paraId="6759F8A8">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0.6</w:t>
                  </w:r>
                </w:p>
              </w:tc>
              <w:tc>
                <w:tcPr>
                  <w:tcW w:w="496" w:type="pct"/>
                  <w:noWrap w:val="0"/>
                  <w:vAlign w:val="center"/>
                </w:tcPr>
                <w:p w14:paraId="00120ADC">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1.2</w:t>
                  </w:r>
                </w:p>
              </w:tc>
              <w:tc>
                <w:tcPr>
                  <w:tcW w:w="496" w:type="pct"/>
                  <w:noWrap w:val="0"/>
                  <w:vAlign w:val="center"/>
                </w:tcPr>
                <w:p w14:paraId="619734D4">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2.7</w:t>
                  </w:r>
                </w:p>
              </w:tc>
              <w:tc>
                <w:tcPr>
                  <w:tcW w:w="499" w:type="pct"/>
                  <w:noWrap w:val="0"/>
                  <w:vAlign w:val="center"/>
                </w:tcPr>
                <w:p w14:paraId="3C5A2649">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8.2</w:t>
                  </w:r>
                </w:p>
              </w:tc>
              <w:tc>
                <w:tcPr>
                  <w:tcW w:w="499" w:type="pct"/>
                  <w:noWrap w:val="0"/>
                  <w:vAlign w:val="center"/>
                </w:tcPr>
                <w:p w14:paraId="76C6D93A">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28.2</w:t>
                  </w:r>
                </w:p>
              </w:tc>
              <w:tc>
                <w:tcPr>
                  <w:tcW w:w="500" w:type="pct"/>
                  <w:noWrap w:val="0"/>
                  <w:vAlign w:val="center"/>
                </w:tcPr>
                <w:p w14:paraId="206E6A9C">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28.8</w:t>
                  </w:r>
                </w:p>
              </w:tc>
              <w:tc>
                <w:tcPr>
                  <w:tcW w:w="432" w:type="pct"/>
                  <w:noWrap w:val="0"/>
                  <w:vAlign w:val="center"/>
                </w:tcPr>
                <w:p w14:paraId="2C19BEAC">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202.0</w:t>
                  </w:r>
                </w:p>
              </w:tc>
            </w:tr>
            <w:tr w14:paraId="077BC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503" w:type="pct"/>
                  <w:noWrap w:val="0"/>
                  <w:vAlign w:val="center"/>
                </w:tcPr>
                <w:p w14:paraId="57882592">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15</w:t>
                  </w:r>
                </w:p>
              </w:tc>
              <w:tc>
                <w:tcPr>
                  <w:tcW w:w="578" w:type="pct"/>
                  <w:noWrap w:val="0"/>
                  <w:vAlign w:val="center"/>
                </w:tcPr>
                <w:p w14:paraId="4A6BA89C">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50</w:t>
                  </w:r>
                </w:p>
              </w:tc>
              <w:tc>
                <w:tcPr>
                  <w:tcW w:w="494" w:type="pct"/>
                  <w:noWrap w:val="0"/>
                  <w:vAlign w:val="center"/>
                </w:tcPr>
                <w:p w14:paraId="3B45DB59">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0.1</w:t>
                  </w:r>
                </w:p>
              </w:tc>
              <w:tc>
                <w:tcPr>
                  <w:tcW w:w="496" w:type="pct"/>
                  <w:noWrap w:val="0"/>
                  <w:vAlign w:val="center"/>
                </w:tcPr>
                <w:p w14:paraId="4054343C">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0.5</w:t>
                  </w:r>
                </w:p>
              </w:tc>
              <w:tc>
                <w:tcPr>
                  <w:tcW w:w="496" w:type="pct"/>
                  <w:noWrap w:val="0"/>
                  <w:vAlign w:val="center"/>
                </w:tcPr>
                <w:p w14:paraId="2A784CF9">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1.2</w:t>
                  </w:r>
                </w:p>
              </w:tc>
              <w:tc>
                <w:tcPr>
                  <w:tcW w:w="496" w:type="pct"/>
                  <w:noWrap w:val="0"/>
                  <w:vAlign w:val="center"/>
                </w:tcPr>
                <w:p w14:paraId="70C49D41">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2.2</w:t>
                  </w:r>
                </w:p>
              </w:tc>
              <w:tc>
                <w:tcPr>
                  <w:tcW w:w="499" w:type="pct"/>
                  <w:noWrap w:val="0"/>
                  <w:vAlign w:val="center"/>
                </w:tcPr>
                <w:p w14:paraId="5FFE41D9">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4.2</w:t>
                  </w:r>
                </w:p>
              </w:tc>
              <w:tc>
                <w:tcPr>
                  <w:tcW w:w="499" w:type="pct"/>
                  <w:noWrap w:val="0"/>
                  <w:vAlign w:val="center"/>
                </w:tcPr>
                <w:p w14:paraId="3B550AB9">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10.8</w:t>
                  </w:r>
                </w:p>
              </w:tc>
              <w:tc>
                <w:tcPr>
                  <w:tcW w:w="500" w:type="pct"/>
                  <w:noWrap w:val="0"/>
                  <w:vAlign w:val="center"/>
                </w:tcPr>
                <w:p w14:paraId="4EF9F43B">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36.2</w:t>
                  </w:r>
                </w:p>
              </w:tc>
              <w:tc>
                <w:tcPr>
                  <w:tcW w:w="432" w:type="pct"/>
                  <w:noWrap w:val="0"/>
                  <w:vAlign w:val="center"/>
                </w:tcPr>
                <w:p w14:paraId="415E2AA8">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129.0</w:t>
                  </w:r>
                </w:p>
              </w:tc>
            </w:tr>
            <w:tr w14:paraId="69FFB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503" w:type="pct"/>
                  <w:noWrap w:val="0"/>
                  <w:vAlign w:val="center"/>
                </w:tcPr>
                <w:p w14:paraId="5D4D43A4">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15</w:t>
                  </w:r>
                </w:p>
              </w:tc>
              <w:tc>
                <w:tcPr>
                  <w:tcW w:w="578" w:type="pct"/>
                  <w:noWrap w:val="0"/>
                  <w:vAlign w:val="center"/>
                </w:tcPr>
                <w:p w14:paraId="2B28F8A3">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80</w:t>
                  </w:r>
                </w:p>
              </w:tc>
              <w:tc>
                <w:tcPr>
                  <w:tcW w:w="494" w:type="pct"/>
                  <w:noWrap w:val="0"/>
                  <w:vAlign w:val="center"/>
                </w:tcPr>
                <w:p w14:paraId="67ED0B1F">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0.1</w:t>
                  </w:r>
                </w:p>
              </w:tc>
              <w:tc>
                <w:tcPr>
                  <w:tcW w:w="496" w:type="pct"/>
                  <w:noWrap w:val="0"/>
                  <w:vAlign w:val="center"/>
                </w:tcPr>
                <w:p w14:paraId="12EC68FC">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0.3</w:t>
                  </w:r>
                </w:p>
              </w:tc>
              <w:tc>
                <w:tcPr>
                  <w:tcW w:w="496" w:type="pct"/>
                  <w:noWrap w:val="0"/>
                  <w:vAlign w:val="center"/>
                </w:tcPr>
                <w:p w14:paraId="3D2B10C8">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1.1</w:t>
                  </w:r>
                </w:p>
              </w:tc>
              <w:tc>
                <w:tcPr>
                  <w:tcW w:w="496" w:type="pct"/>
                  <w:noWrap w:val="0"/>
                  <w:vAlign w:val="center"/>
                </w:tcPr>
                <w:p w14:paraId="2136EF40">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2.4</w:t>
                  </w:r>
                </w:p>
              </w:tc>
              <w:tc>
                <w:tcPr>
                  <w:tcW w:w="499" w:type="pct"/>
                  <w:noWrap w:val="0"/>
                  <w:vAlign w:val="center"/>
                </w:tcPr>
                <w:p w14:paraId="41E5B713">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4.1</w:t>
                  </w:r>
                </w:p>
              </w:tc>
              <w:tc>
                <w:tcPr>
                  <w:tcW w:w="499" w:type="pct"/>
                  <w:noWrap w:val="0"/>
                  <w:vAlign w:val="center"/>
                </w:tcPr>
                <w:p w14:paraId="000E7D35">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8.3</w:t>
                  </w:r>
                </w:p>
              </w:tc>
              <w:tc>
                <w:tcPr>
                  <w:tcW w:w="500" w:type="pct"/>
                  <w:noWrap w:val="0"/>
                  <w:vAlign w:val="center"/>
                </w:tcPr>
                <w:p w14:paraId="6015D2D8">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23.7</w:t>
                  </w:r>
                </w:p>
              </w:tc>
              <w:tc>
                <w:tcPr>
                  <w:tcW w:w="432" w:type="pct"/>
                  <w:noWrap w:val="0"/>
                  <w:vAlign w:val="center"/>
                </w:tcPr>
                <w:p w14:paraId="240E9203">
                  <w:pPr>
                    <w:pStyle w:val="69"/>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82.8</w:t>
                  </w:r>
                </w:p>
              </w:tc>
            </w:tr>
          </w:tbl>
          <w:p w14:paraId="5FD63138">
            <w:pPr>
              <w:pStyle w:val="11"/>
              <w:keepNext w:val="0"/>
              <w:keepLines w:val="0"/>
              <w:pageBreakBefore w:val="0"/>
              <w:suppressLineNumbers w:val="0"/>
              <w:kinsoku/>
              <w:wordWrap/>
              <w:overflowPunct/>
              <w:bidi w:val="0"/>
              <w:spacing w:before="0" w:beforeAutospacing="0" w:after="0" w:afterAutospacing="0" w:line="360" w:lineRule="auto"/>
              <w:ind w:left="0" w:leftChars="0" w:right="0" w:firstLine="480" w:firstLineChars="200"/>
              <w:rPr>
                <w:rFonts w:hint="default" w:ascii="Times New Roman" w:hAnsi="Times New Roman" w:cs="Times New Roman"/>
                <w:i w:val="0"/>
                <w:iCs w:val="0"/>
                <w:color w:val="auto"/>
                <w:sz w:val="24"/>
                <w:szCs w:val="36"/>
              </w:rPr>
            </w:pPr>
            <w:r>
              <w:rPr>
                <w:rFonts w:hint="default" w:ascii="Times New Roman" w:hAnsi="Times New Roman" w:cs="Times New Roman"/>
                <w:i w:val="0"/>
                <w:iCs w:val="0"/>
                <w:color w:val="auto"/>
                <w:sz w:val="24"/>
                <w:szCs w:val="36"/>
              </w:rPr>
              <w:t>取倍频带500Hz的值。</w:t>
            </w:r>
          </w:p>
          <w:p w14:paraId="448B8E00">
            <w:pPr>
              <w:keepNext w:val="0"/>
              <w:keepLines w:val="0"/>
              <w:pageBreakBefore w:val="0"/>
              <w:widowControl/>
              <w:suppressLineNumbers w:val="0"/>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 xml:space="preserve">地面效应衰减(Agr)：     </w:t>
            </w:r>
            <w:r>
              <w:rPr>
                <w:rFonts w:hint="default" w:ascii="Times New Roman" w:hAnsi="Times New Roman" w:cs="Times New Roman"/>
                <w:i w:val="0"/>
                <w:iCs w:val="0"/>
                <w:color w:val="auto"/>
                <w:sz w:val="24"/>
              </w:rPr>
              <w:drawing>
                <wp:inline distT="0" distB="0" distL="114300" distR="114300">
                  <wp:extent cx="1847850" cy="533400"/>
                  <wp:effectExtent l="0" t="0" r="0" b="0"/>
                  <wp:docPr id="3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2"/>
                          <pic:cNvPicPr>
                            <a:picLocks noChangeAspect="1"/>
                          </pic:cNvPicPr>
                        </pic:nvPicPr>
                        <pic:blipFill>
                          <a:blip r:embed="rId14"/>
                          <a:stretch>
                            <a:fillRect/>
                          </a:stretch>
                        </pic:blipFill>
                        <pic:spPr>
                          <a:xfrm>
                            <a:off x="0" y="0"/>
                            <a:ext cx="1847850" cy="533400"/>
                          </a:xfrm>
                          <a:prstGeom prst="rect">
                            <a:avLst/>
                          </a:prstGeom>
                          <a:noFill/>
                          <a:ln>
                            <a:noFill/>
                          </a:ln>
                        </pic:spPr>
                      </pic:pic>
                    </a:graphicData>
                  </a:graphic>
                </wp:inline>
              </w:drawing>
            </w:r>
          </w:p>
          <w:p w14:paraId="1FB75FC1">
            <w:pPr>
              <w:keepNext w:val="0"/>
              <w:keepLines w:val="0"/>
              <w:pageBreakBefore w:val="0"/>
              <w:suppressLineNumbers w:val="0"/>
              <w:kinsoku/>
              <w:wordWrap/>
              <w:overflowPunct/>
              <w:bidi w:val="0"/>
              <w:spacing w:before="0" w:beforeAutospacing="0" w:afterAutospacing="0" w:line="360" w:lineRule="auto"/>
              <w:ind w:left="0" w:leftChars="0" w:right="0" w:firstLine="480" w:firstLineChars="200"/>
              <w:jc w:val="both"/>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式中：r—声源到预测点的距离，m；hm—传播路径的平均离地高度，m；hm =F/r；F：面积，m</w:t>
            </w:r>
            <w:r>
              <w:rPr>
                <w:rFonts w:hint="default" w:ascii="Times New Roman" w:hAnsi="Times New Roman" w:cs="Times New Roman"/>
                <w:i w:val="0"/>
                <w:iCs w:val="0"/>
                <w:color w:val="auto"/>
                <w:sz w:val="24"/>
                <w:vertAlign w:val="superscript"/>
              </w:rPr>
              <w:t>2</w:t>
            </w:r>
            <w:r>
              <w:rPr>
                <w:rFonts w:hint="default" w:ascii="Times New Roman" w:hAnsi="Times New Roman" w:cs="Times New Roman"/>
                <w:i w:val="0"/>
                <w:iCs w:val="0"/>
                <w:color w:val="auto"/>
                <w:sz w:val="24"/>
              </w:rPr>
              <w:t>r，m；</w:t>
            </w:r>
          </w:p>
          <w:p w14:paraId="34439863">
            <w:pPr>
              <w:keepNext w:val="0"/>
              <w:keepLines w:val="0"/>
              <w:pageBreakBefore w:val="0"/>
              <w:suppressLineNumbers w:val="0"/>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若Agr计算出负值，则 Agr 可用“0”代替。</w:t>
            </w:r>
          </w:p>
          <w:p w14:paraId="307F7177">
            <w:pPr>
              <w:keepNext w:val="0"/>
              <w:keepLines w:val="0"/>
              <w:pageBreakBefore w:val="0"/>
              <w:suppressLineNumbers w:val="0"/>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其他情况可参照 GB/T17247.2 进行计算。</w:t>
            </w:r>
          </w:p>
          <w:p w14:paraId="39DC6D96">
            <w:pPr>
              <w:keepNext w:val="0"/>
              <w:keepLines w:val="0"/>
              <w:pageBreakBefore w:val="0"/>
              <w:suppressLineNumbers w:val="0"/>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屏障引起的衰减(Abar)：本项目没有声屏障，取值为0；</w:t>
            </w:r>
          </w:p>
          <w:p w14:paraId="135AF8FD">
            <w:pPr>
              <w:keepNext w:val="0"/>
              <w:keepLines w:val="0"/>
              <w:pageBreakBefore w:val="0"/>
              <w:suppressLineNumbers w:val="0"/>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其他多方面原因引起的衰减(Amisc)：本项目取值为0。</w:t>
            </w:r>
          </w:p>
          <w:p w14:paraId="3A00B6E4">
            <w:pPr>
              <w:keepNext w:val="0"/>
              <w:keepLines w:val="0"/>
              <w:pageBreakBefore w:val="0"/>
              <w:suppressLineNumbers w:val="0"/>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lang w:eastAsia="zh-CN"/>
              </w:rPr>
              <w:t>②</w:t>
            </w:r>
            <w:r>
              <w:rPr>
                <w:rFonts w:hint="default" w:ascii="Times New Roman" w:hAnsi="Times New Roman" w:cs="Times New Roman"/>
                <w:i w:val="0"/>
                <w:iCs w:val="0"/>
                <w:color w:val="auto"/>
                <w:sz w:val="24"/>
              </w:rPr>
              <w:t>室内声源等效室外声源声功率级计算方法</w:t>
            </w:r>
          </w:p>
          <w:p w14:paraId="1C378B61">
            <w:pPr>
              <w:keepNext w:val="0"/>
              <w:keepLines w:val="0"/>
              <w:pageBreakBefore w:val="0"/>
              <w:suppressLineNumbers w:val="0"/>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设靠近开口处（或窗户）室内、室外某倍频带的声压级分别为Lp1和Lp2。若声源所在室内声场为近似扩散声场，则室外的倍频带声压级可按下式近似求出：</w:t>
            </w:r>
          </w:p>
          <w:p w14:paraId="00ED6AC8">
            <w:pPr>
              <w:keepNext w:val="0"/>
              <w:keepLines w:val="0"/>
              <w:pageBreakBefore w:val="0"/>
              <w:suppressLineNumbers w:val="0"/>
              <w:tabs>
                <w:tab w:val="left" w:pos="0"/>
              </w:tabs>
              <w:kinsoku/>
              <w:wordWrap/>
              <w:overflowPunct/>
              <w:bidi w:val="0"/>
              <w:spacing w:before="0" w:beforeAutospacing="0" w:afterAutospacing="0"/>
              <w:ind w:left="0" w:leftChars="0" w:right="0"/>
              <w:jc w:val="center"/>
              <w:rPr>
                <w:rFonts w:hint="default" w:ascii="Times New Roman" w:hAnsi="Times New Roman" w:cs="Times New Roman"/>
                <w:i w:val="0"/>
                <w:iCs w:val="0"/>
                <w:color w:val="auto"/>
                <w:sz w:val="24"/>
              </w:rPr>
            </w:pPr>
            <w:r>
              <w:rPr>
                <w:rFonts w:hint="default" w:ascii="Times New Roman" w:hAnsi="Times New Roman" w:cs="Times New Roman"/>
                <w:i w:val="0"/>
                <w:iCs w:val="0"/>
                <w:color w:val="auto"/>
                <w:position w:val="-14"/>
                <w:sz w:val="24"/>
              </w:rPr>
              <w:drawing>
                <wp:inline distT="0" distB="0" distL="114300" distR="114300">
                  <wp:extent cx="1181100" cy="257175"/>
                  <wp:effectExtent l="0" t="0" r="0" b="8255"/>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
                          <pic:cNvPicPr>
                            <a:picLocks noChangeAspect="1"/>
                          </pic:cNvPicPr>
                        </pic:nvPicPr>
                        <pic:blipFill>
                          <a:blip r:embed="rId15"/>
                          <a:stretch>
                            <a:fillRect/>
                          </a:stretch>
                        </pic:blipFill>
                        <pic:spPr>
                          <a:xfrm>
                            <a:off x="0" y="0"/>
                            <a:ext cx="1181100" cy="257175"/>
                          </a:xfrm>
                          <a:prstGeom prst="rect">
                            <a:avLst/>
                          </a:prstGeom>
                          <a:noFill/>
                          <a:ln>
                            <a:noFill/>
                          </a:ln>
                        </pic:spPr>
                      </pic:pic>
                    </a:graphicData>
                  </a:graphic>
                </wp:inline>
              </w:drawing>
            </w:r>
          </w:p>
          <w:p w14:paraId="4F1F7089">
            <w:pPr>
              <w:keepNext w:val="0"/>
              <w:keepLines w:val="0"/>
              <w:pageBreakBefore w:val="0"/>
              <w:suppressLineNumbers w:val="0"/>
              <w:tabs>
                <w:tab w:val="left" w:pos="0"/>
              </w:tabs>
              <w:kinsoku/>
              <w:wordWrap/>
              <w:overflowPunct/>
              <w:bidi w:val="0"/>
              <w:spacing w:before="0" w:beforeAutospacing="0" w:afterAutospacing="0" w:line="360" w:lineRule="auto"/>
              <w:ind w:left="0" w:leftChars="0" w:right="0" w:firstLine="482" w:firstLineChars="200"/>
              <w:rPr>
                <w:rFonts w:hint="default" w:ascii="Times New Roman" w:hAnsi="Times New Roman" w:cs="Times New Roman"/>
                <w:i w:val="0"/>
                <w:iCs w:val="0"/>
                <w:color w:val="auto"/>
              </w:rPr>
            </w:pPr>
            <w:r>
              <w:rPr>
                <w:rFonts w:hint="eastAsia" w:ascii="Times New Roman" w:hAnsi="Times New Roman" w:eastAsia="宋体" w:cs="Times New Roman"/>
                <w:b/>
                <w:i w:val="0"/>
                <w:iCs w:val="0"/>
                <w:color w:val="auto"/>
                <w:sz w:val="24"/>
                <w:szCs w:val="32"/>
                <w:lang w:eastAsia="zh-CN"/>
              </w:rPr>
              <w:drawing>
                <wp:anchor distT="0" distB="0" distL="114935" distR="114935" simplePos="0" relativeHeight="251661312" behindDoc="0" locked="0" layoutInCell="1" allowOverlap="1">
                  <wp:simplePos x="0" y="0"/>
                  <wp:positionH relativeFrom="column">
                    <wp:posOffset>533400</wp:posOffset>
                  </wp:positionH>
                  <wp:positionV relativeFrom="paragraph">
                    <wp:posOffset>485775</wp:posOffset>
                  </wp:positionV>
                  <wp:extent cx="4467225" cy="1183640"/>
                  <wp:effectExtent l="0" t="0" r="9525" b="16510"/>
                  <wp:wrapTopAndBottom/>
                  <wp:docPr id="33" name="图片 33" descr="16233810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1623381096(1)"/>
                          <pic:cNvPicPr>
                            <a:picLocks noChangeAspect="1"/>
                          </pic:cNvPicPr>
                        </pic:nvPicPr>
                        <pic:blipFill>
                          <a:blip r:embed="rId16"/>
                          <a:stretch>
                            <a:fillRect/>
                          </a:stretch>
                        </pic:blipFill>
                        <pic:spPr>
                          <a:xfrm>
                            <a:off x="0" y="0"/>
                            <a:ext cx="4467225" cy="1183640"/>
                          </a:xfrm>
                          <a:prstGeom prst="rect">
                            <a:avLst/>
                          </a:prstGeom>
                          <a:noFill/>
                          <a:ln>
                            <a:noFill/>
                          </a:ln>
                        </pic:spPr>
                      </pic:pic>
                    </a:graphicData>
                  </a:graphic>
                </wp:anchor>
              </w:drawing>
            </w:r>
            <w:r>
              <w:rPr>
                <w:rFonts w:hint="default" w:ascii="Times New Roman" w:hAnsi="Times New Roman" w:cs="Times New Roman"/>
                <w:i w:val="0"/>
                <w:iCs w:val="0"/>
                <w:color w:val="auto"/>
                <w:sz w:val="24"/>
              </w:rPr>
              <w:t>式中：TL——隔墙（或窗户）倍频带的隔声量，dB(A)。</w:t>
            </w:r>
            <w:r>
              <w:rPr>
                <w:rFonts w:hint="default" w:ascii="Times New Roman" w:hAnsi="Times New Roman" w:cs="Times New Roman"/>
                <w:i w:val="0"/>
                <w:iCs w:val="0"/>
                <w:color w:val="auto"/>
              </w:rPr>
              <w:t xml:space="preserve">              </w:t>
            </w:r>
            <w:r>
              <w:rPr>
                <w:rFonts w:hint="default" w:ascii="Times New Roman" w:hAnsi="Times New Roman" w:cs="Times New Roman"/>
                <w:i w:val="0"/>
                <w:iCs w:val="0"/>
                <w:color w:val="auto"/>
                <w:lang w:val="en-US" w:eastAsia="zh-CN"/>
              </w:rPr>
              <w:t xml:space="preserve">                    </w:t>
            </w:r>
          </w:p>
          <w:p w14:paraId="7DCE0AC5">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60" w:lineRule="auto"/>
              <w:ind w:left="0" w:leftChars="0" w:right="0"/>
              <w:jc w:val="center"/>
              <w:textAlignment w:val="auto"/>
              <w:rPr>
                <w:rFonts w:hint="default" w:ascii="Times New Roman" w:hAnsi="Times New Roman" w:cs="Times New Roman"/>
                <w:b/>
                <w:i w:val="0"/>
                <w:iCs w:val="0"/>
                <w:color w:val="auto"/>
                <w:sz w:val="24"/>
                <w:szCs w:val="32"/>
              </w:rPr>
            </w:pPr>
            <w:r>
              <w:rPr>
                <w:rFonts w:hint="default" w:ascii="Times New Roman" w:hAnsi="Times New Roman" w:cs="Times New Roman"/>
                <w:b/>
                <w:i w:val="0"/>
                <w:iCs w:val="0"/>
                <w:color w:val="auto"/>
                <w:sz w:val="24"/>
                <w:szCs w:val="32"/>
              </w:rPr>
              <w:t>图</w:t>
            </w:r>
            <w:r>
              <w:rPr>
                <w:rFonts w:hint="default" w:ascii="Times New Roman" w:hAnsi="Times New Roman" w:cs="Times New Roman"/>
                <w:b/>
                <w:i w:val="0"/>
                <w:iCs w:val="0"/>
                <w:color w:val="auto"/>
                <w:sz w:val="24"/>
                <w:szCs w:val="32"/>
                <w:lang w:val="en-US" w:eastAsia="zh-CN"/>
              </w:rPr>
              <w:t>4-</w:t>
            </w:r>
            <w:r>
              <w:rPr>
                <w:rFonts w:hint="eastAsia" w:cs="Times New Roman"/>
                <w:b/>
                <w:i w:val="0"/>
                <w:iCs w:val="0"/>
                <w:color w:val="auto"/>
                <w:sz w:val="24"/>
                <w:szCs w:val="32"/>
                <w:lang w:val="en-US" w:eastAsia="zh-CN"/>
              </w:rPr>
              <w:t>3</w:t>
            </w:r>
            <w:r>
              <w:rPr>
                <w:rFonts w:hint="default" w:ascii="Times New Roman" w:hAnsi="Times New Roman" w:cs="Times New Roman"/>
                <w:b/>
                <w:i w:val="0"/>
                <w:iCs w:val="0"/>
                <w:color w:val="auto"/>
                <w:sz w:val="24"/>
                <w:szCs w:val="32"/>
              </w:rPr>
              <w:t xml:space="preserve">  室内声源等效为室外声源图例</w:t>
            </w:r>
          </w:p>
          <w:p w14:paraId="11B7CC5E">
            <w:pPr>
              <w:keepNext w:val="0"/>
              <w:keepLines w:val="0"/>
              <w:pageBreakBefore w:val="0"/>
              <w:suppressLineNumbers w:val="0"/>
              <w:tabs>
                <w:tab w:val="left" w:pos="0"/>
              </w:tabs>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也可按下式计算某一室内声源靠近围护结构处产生的倍频带声压级：</w:t>
            </w:r>
          </w:p>
          <w:p w14:paraId="4D17857E">
            <w:pPr>
              <w:keepNext w:val="0"/>
              <w:keepLines w:val="0"/>
              <w:pageBreakBefore w:val="0"/>
              <w:suppressLineNumbers w:val="0"/>
              <w:kinsoku/>
              <w:wordWrap/>
              <w:overflowPunct/>
              <w:bidi w:val="0"/>
              <w:spacing w:before="0" w:beforeAutospacing="0" w:afterAutospacing="0"/>
              <w:ind w:left="0" w:leftChars="0" w:right="0"/>
              <w:jc w:val="center"/>
              <w:rPr>
                <w:rFonts w:hint="default" w:ascii="Times New Roman" w:hAnsi="Times New Roman" w:cs="Times New Roman"/>
                <w:i w:val="0"/>
                <w:iCs w:val="0"/>
                <w:color w:val="auto"/>
                <w:sz w:val="24"/>
              </w:rPr>
            </w:pPr>
            <w:r>
              <w:rPr>
                <w:rFonts w:hint="default" w:ascii="Times New Roman" w:hAnsi="Times New Roman" w:cs="Times New Roman"/>
                <w:i w:val="0"/>
                <w:iCs w:val="0"/>
                <w:color w:val="auto"/>
                <w:position w:val="-28"/>
                <w:sz w:val="24"/>
              </w:rPr>
              <w:drawing>
                <wp:inline distT="0" distB="0" distL="114300" distR="114300">
                  <wp:extent cx="1734185" cy="438150"/>
                  <wp:effectExtent l="0" t="0" r="18415" b="0"/>
                  <wp:docPr id="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3"/>
                          <pic:cNvPicPr>
                            <a:picLocks noChangeAspect="1"/>
                          </pic:cNvPicPr>
                        </pic:nvPicPr>
                        <pic:blipFill>
                          <a:blip r:embed="rId17"/>
                          <a:stretch>
                            <a:fillRect/>
                          </a:stretch>
                        </pic:blipFill>
                        <pic:spPr>
                          <a:xfrm>
                            <a:off x="0" y="0"/>
                            <a:ext cx="1734185" cy="438150"/>
                          </a:xfrm>
                          <a:prstGeom prst="rect">
                            <a:avLst/>
                          </a:prstGeom>
                          <a:noFill/>
                          <a:ln>
                            <a:noFill/>
                          </a:ln>
                        </pic:spPr>
                      </pic:pic>
                    </a:graphicData>
                  </a:graphic>
                </wp:inline>
              </w:drawing>
            </w:r>
          </w:p>
          <w:p w14:paraId="436E0265">
            <w:pPr>
              <w:keepNext w:val="0"/>
              <w:keepLines w:val="0"/>
              <w:pageBreakBefore w:val="0"/>
              <w:suppressLineNumbers w:val="0"/>
              <w:tabs>
                <w:tab w:val="left" w:pos="0"/>
              </w:tabs>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式中：Q——指向性因数，通常对无指向性声源，当声源放在房间中心时，Q=1；当放在一面墙的中心时，Q=2；当放在两面墙夹角处时，Q=4；当放在三面墙夹角处时，Q=8；</w:t>
            </w:r>
          </w:p>
          <w:p w14:paraId="6514D1B2">
            <w:pPr>
              <w:keepNext w:val="0"/>
              <w:keepLines w:val="0"/>
              <w:pageBreakBefore w:val="0"/>
              <w:suppressLineNumbers w:val="0"/>
              <w:tabs>
                <w:tab w:val="left" w:pos="0"/>
              </w:tabs>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R——房间常数，R=Sα/（1-α），S为房间内表面面积，m</w:t>
            </w:r>
            <w:r>
              <w:rPr>
                <w:rFonts w:hint="default" w:ascii="Times New Roman" w:hAnsi="Times New Roman" w:cs="Times New Roman"/>
                <w:i w:val="0"/>
                <w:iCs w:val="0"/>
                <w:color w:val="auto"/>
                <w:sz w:val="24"/>
                <w:vertAlign w:val="superscript"/>
              </w:rPr>
              <w:t>2</w:t>
            </w:r>
            <w:r>
              <w:rPr>
                <w:rFonts w:hint="default" w:ascii="Times New Roman" w:hAnsi="Times New Roman" w:cs="Times New Roman"/>
                <w:i w:val="0"/>
                <w:iCs w:val="0"/>
                <w:color w:val="auto"/>
                <w:sz w:val="24"/>
              </w:rPr>
              <w:t>，α为平均吸声系数；</w:t>
            </w:r>
          </w:p>
          <w:p w14:paraId="47745849">
            <w:pPr>
              <w:keepNext w:val="0"/>
              <w:keepLines w:val="0"/>
              <w:pageBreakBefore w:val="0"/>
              <w:suppressLineNumbers w:val="0"/>
              <w:tabs>
                <w:tab w:val="left" w:pos="0"/>
              </w:tabs>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r——声源到靠近围护结构某点处的距离，m。</w:t>
            </w:r>
          </w:p>
          <w:p w14:paraId="11201952">
            <w:pPr>
              <w:keepNext w:val="0"/>
              <w:keepLines w:val="0"/>
              <w:pageBreakBefore w:val="0"/>
              <w:suppressLineNumbers w:val="0"/>
              <w:tabs>
                <w:tab w:val="left" w:pos="0"/>
              </w:tabs>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然后按下式计算出所有室内声源在围护结构处产生的i倍频带叠加声压级：</w:t>
            </w:r>
          </w:p>
          <w:p w14:paraId="39F6A5A5">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60" w:lineRule="auto"/>
              <w:ind w:left="0" w:leftChars="0" w:right="0"/>
              <w:jc w:val="center"/>
              <w:textAlignment w:val="auto"/>
              <w:rPr>
                <w:rFonts w:hint="default" w:ascii="Times New Roman" w:hAnsi="Times New Roman" w:cs="Times New Roman"/>
                <w:i w:val="0"/>
                <w:iCs w:val="0"/>
                <w:color w:val="auto"/>
                <w:sz w:val="24"/>
              </w:rPr>
            </w:pPr>
            <w:r>
              <w:rPr>
                <w:rFonts w:hint="default" w:ascii="Times New Roman" w:hAnsi="Times New Roman" w:cs="Times New Roman"/>
                <w:i w:val="0"/>
                <w:iCs w:val="0"/>
                <w:color w:val="auto"/>
                <w:position w:val="-32"/>
                <w:sz w:val="24"/>
              </w:rPr>
              <w:drawing>
                <wp:inline distT="0" distB="0" distL="114300" distR="114300">
                  <wp:extent cx="1694815" cy="485775"/>
                  <wp:effectExtent l="0" t="0" r="635" b="8890"/>
                  <wp:docPr id="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
                          <pic:cNvPicPr>
                            <a:picLocks noChangeAspect="1"/>
                          </pic:cNvPicPr>
                        </pic:nvPicPr>
                        <pic:blipFill>
                          <a:blip r:embed="rId18"/>
                          <a:stretch>
                            <a:fillRect/>
                          </a:stretch>
                        </pic:blipFill>
                        <pic:spPr>
                          <a:xfrm>
                            <a:off x="0" y="0"/>
                            <a:ext cx="1694815" cy="485775"/>
                          </a:xfrm>
                          <a:prstGeom prst="rect">
                            <a:avLst/>
                          </a:prstGeom>
                          <a:noFill/>
                          <a:ln>
                            <a:noFill/>
                          </a:ln>
                        </pic:spPr>
                      </pic:pic>
                    </a:graphicData>
                  </a:graphic>
                </wp:inline>
              </w:drawing>
            </w:r>
          </w:p>
          <w:p w14:paraId="3177F68F">
            <w:pPr>
              <w:keepNext w:val="0"/>
              <w:keepLines w:val="0"/>
              <w:pageBreakBefore w:val="0"/>
              <w:suppressLineNumbers w:val="0"/>
              <w:tabs>
                <w:tab w:val="left" w:pos="0"/>
              </w:tabs>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式中：</w:t>
            </w:r>
          </w:p>
          <w:p w14:paraId="0753BDF7">
            <w:pPr>
              <w:keepNext w:val="0"/>
              <w:keepLines w:val="0"/>
              <w:pageBreakBefore w:val="0"/>
              <w:suppressLineNumbers w:val="0"/>
              <w:tabs>
                <w:tab w:val="left" w:pos="0"/>
              </w:tabs>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Lp1i(T)——靠近围护结构处室内N个声源i倍频带的叠加声压级，dB；</w:t>
            </w:r>
          </w:p>
          <w:p w14:paraId="64A62A82">
            <w:pPr>
              <w:keepNext w:val="0"/>
              <w:keepLines w:val="0"/>
              <w:pageBreakBefore w:val="0"/>
              <w:suppressLineNumbers w:val="0"/>
              <w:tabs>
                <w:tab w:val="left" w:pos="0"/>
              </w:tabs>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Lp1ij——室内j声源i倍频带的声压级，dB；</w:t>
            </w:r>
          </w:p>
          <w:p w14:paraId="013EC386">
            <w:pPr>
              <w:keepNext w:val="0"/>
              <w:keepLines w:val="0"/>
              <w:pageBreakBefore w:val="0"/>
              <w:suppressLineNumbers w:val="0"/>
              <w:tabs>
                <w:tab w:val="left" w:pos="0"/>
              </w:tabs>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N——室内声源总数。</w:t>
            </w:r>
          </w:p>
          <w:p w14:paraId="2F1B778A">
            <w:pPr>
              <w:keepNext w:val="0"/>
              <w:keepLines w:val="0"/>
              <w:pageBreakBefore w:val="0"/>
              <w:suppressLineNumbers w:val="0"/>
              <w:tabs>
                <w:tab w:val="left" w:pos="0"/>
              </w:tabs>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在室内近似为扩散声场时，按下式计算出靠近室外围护结构处的声压级：</w:t>
            </w:r>
          </w:p>
          <w:p w14:paraId="65F9110C">
            <w:pPr>
              <w:keepNext w:val="0"/>
              <w:keepLines w:val="0"/>
              <w:pageBreakBefore w:val="0"/>
              <w:suppressLineNumbers w:val="0"/>
              <w:tabs>
                <w:tab w:val="left" w:pos="0"/>
              </w:tabs>
              <w:kinsoku/>
              <w:wordWrap/>
              <w:overflowPunct/>
              <w:bidi w:val="0"/>
              <w:spacing w:before="0" w:beforeAutospacing="0" w:afterAutospacing="0" w:line="520" w:lineRule="exact"/>
              <w:ind w:left="0" w:leftChars="0" w:right="0"/>
              <w:jc w:val="center"/>
              <w:rPr>
                <w:rFonts w:hint="default" w:ascii="Times New Roman" w:hAnsi="Times New Roman" w:cs="Times New Roman"/>
                <w:i w:val="0"/>
                <w:iCs w:val="0"/>
                <w:color w:val="auto"/>
                <w:sz w:val="24"/>
              </w:rPr>
            </w:pPr>
            <w:r>
              <w:rPr>
                <w:rFonts w:hint="default" w:ascii="Times New Roman" w:hAnsi="Times New Roman" w:cs="Times New Roman"/>
                <w:i w:val="0"/>
                <w:iCs w:val="0"/>
                <w:color w:val="auto"/>
                <w:position w:val="-14"/>
                <w:sz w:val="24"/>
              </w:rPr>
              <w:drawing>
                <wp:inline distT="0" distB="0" distL="114300" distR="114300">
                  <wp:extent cx="1733550" cy="257175"/>
                  <wp:effectExtent l="0" t="0" r="0" b="8255"/>
                  <wp:docPr id="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
                          <pic:cNvPicPr>
                            <a:picLocks noChangeAspect="1"/>
                          </pic:cNvPicPr>
                        </pic:nvPicPr>
                        <pic:blipFill>
                          <a:blip r:embed="rId19"/>
                          <a:stretch>
                            <a:fillRect/>
                          </a:stretch>
                        </pic:blipFill>
                        <pic:spPr>
                          <a:xfrm>
                            <a:off x="0" y="0"/>
                            <a:ext cx="1733550" cy="257175"/>
                          </a:xfrm>
                          <a:prstGeom prst="rect">
                            <a:avLst/>
                          </a:prstGeom>
                          <a:noFill/>
                          <a:ln>
                            <a:noFill/>
                          </a:ln>
                        </pic:spPr>
                      </pic:pic>
                    </a:graphicData>
                  </a:graphic>
                </wp:inline>
              </w:drawing>
            </w:r>
          </w:p>
          <w:p w14:paraId="6EB73A0E">
            <w:pPr>
              <w:keepNext w:val="0"/>
              <w:keepLines w:val="0"/>
              <w:pageBreakBefore w:val="0"/>
              <w:suppressLineNumbers w:val="0"/>
              <w:tabs>
                <w:tab w:val="left" w:pos="0"/>
              </w:tabs>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式中：</w:t>
            </w:r>
          </w:p>
          <w:p w14:paraId="7FC2B9E3">
            <w:pPr>
              <w:keepNext w:val="0"/>
              <w:keepLines w:val="0"/>
              <w:pageBreakBefore w:val="0"/>
              <w:suppressLineNumbers w:val="0"/>
              <w:tabs>
                <w:tab w:val="left" w:pos="0"/>
              </w:tabs>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Lp2i(T)——靠近围护结构处室外N个声源i倍频带的叠加声压级，dB；</w:t>
            </w:r>
          </w:p>
          <w:p w14:paraId="48EFF18B">
            <w:pPr>
              <w:keepNext w:val="0"/>
              <w:keepLines w:val="0"/>
              <w:pageBreakBefore w:val="0"/>
              <w:suppressLineNumbers w:val="0"/>
              <w:tabs>
                <w:tab w:val="left" w:pos="0"/>
              </w:tabs>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TLi——围护结构i倍频带的隔声量，dB。</w:t>
            </w:r>
          </w:p>
          <w:p w14:paraId="3EDEAC9F">
            <w:pPr>
              <w:keepNext w:val="0"/>
              <w:keepLines w:val="0"/>
              <w:pageBreakBefore w:val="0"/>
              <w:suppressLineNumbers w:val="0"/>
              <w:tabs>
                <w:tab w:val="left" w:pos="0"/>
              </w:tabs>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然后按下式将室外声源的声压级和透过面积换算成等效的室外声源，计算出中心位置位于透声面积（S）处的等效声源的倍频带声功率级。</w:t>
            </w:r>
          </w:p>
          <w:p w14:paraId="74ABC83E">
            <w:pPr>
              <w:keepNext w:val="0"/>
              <w:keepLines w:val="0"/>
              <w:pageBreakBefore w:val="0"/>
              <w:suppressLineNumbers w:val="0"/>
              <w:tabs>
                <w:tab w:val="left" w:pos="0"/>
              </w:tabs>
              <w:kinsoku/>
              <w:wordWrap/>
              <w:overflowPunct/>
              <w:bidi w:val="0"/>
              <w:spacing w:before="0" w:beforeAutospacing="0" w:afterAutospacing="0" w:line="520" w:lineRule="exact"/>
              <w:ind w:left="0" w:leftChars="0" w:right="0"/>
              <w:jc w:val="center"/>
              <w:rPr>
                <w:rFonts w:hint="default" w:ascii="Times New Roman" w:hAnsi="Times New Roman" w:cs="Times New Roman"/>
                <w:i w:val="0"/>
                <w:iCs w:val="0"/>
                <w:color w:val="auto"/>
                <w:sz w:val="24"/>
              </w:rPr>
            </w:pPr>
            <w:r>
              <w:rPr>
                <w:rFonts w:hint="default" w:ascii="Times New Roman" w:hAnsi="Times New Roman" w:cs="Times New Roman"/>
                <w:i w:val="0"/>
                <w:iCs w:val="0"/>
                <w:color w:val="auto"/>
                <w:position w:val="-14"/>
                <w:sz w:val="24"/>
              </w:rPr>
              <w:drawing>
                <wp:inline distT="0" distB="0" distL="114300" distR="114300">
                  <wp:extent cx="1352550" cy="257175"/>
                  <wp:effectExtent l="0" t="0" r="0" b="8255"/>
                  <wp:docPr id="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6"/>
                          <pic:cNvPicPr>
                            <a:picLocks noChangeAspect="1"/>
                          </pic:cNvPicPr>
                        </pic:nvPicPr>
                        <pic:blipFill>
                          <a:blip r:embed="rId20"/>
                          <a:stretch>
                            <a:fillRect/>
                          </a:stretch>
                        </pic:blipFill>
                        <pic:spPr>
                          <a:xfrm>
                            <a:off x="0" y="0"/>
                            <a:ext cx="1352550" cy="257175"/>
                          </a:xfrm>
                          <a:prstGeom prst="rect">
                            <a:avLst/>
                          </a:prstGeom>
                          <a:noFill/>
                          <a:ln>
                            <a:noFill/>
                          </a:ln>
                        </pic:spPr>
                      </pic:pic>
                    </a:graphicData>
                  </a:graphic>
                </wp:inline>
              </w:drawing>
            </w:r>
          </w:p>
          <w:p w14:paraId="603F4D9D">
            <w:pPr>
              <w:keepNext w:val="0"/>
              <w:keepLines w:val="0"/>
              <w:pageBreakBefore w:val="0"/>
              <w:suppressLineNumbers w:val="0"/>
              <w:tabs>
                <w:tab w:val="left" w:pos="0"/>
              </w:tabs>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然后按室外声源预测方法计算预测点处的A声级。</w:t>
            </w:r>
          </w:p>
          <w:p w14:paraId="6E89F468">
            <w:pPr>
              <w:keepNext w:val="0"/>
              <w:keepLines w:val="0"/>
              <w:pageBreakBefore w:val="0"/>
              <w:suppressLineNumbers w:val="0"/>
              <w:tabs>
                <w:tab w:val="left" w:pos="0"/>
              </w:tabs>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lang w:eastAsia="zh-CN"/>
              </w:rPr>
              <w:t>③</w:t>
            </w:r>
            <w:r>
              <w:rPr>
                <w:rFonts w:hint="default" w:ascii="Times New Roman" w:hAnsi="Times New Roman" w:cs="Times New Roman"/>
                <w:i w:val="0"/>
                <w:iCs w:val="0"/>
                <w:color w:val="auto"/>
                <w:sz w:val="24"/>
              </w:rPr>
              <w:t>设第i个室外声源在预测点产生的A声级为LAi，在T时间内该声源工作时间为ti；第j个等效室外声源在预测点产生的A声级为LAj，在T时间内该声源工作时间为tj，则拟建工程声源对预测点产生的贡献值（Leqg）为：</w:t>
            </w:r>
          </w:p>
          <w:p w14:paraId="29E2E9F8">
            <w:pPr>
              <w:keepNext w:val="0"/>
              <w:keepLines w:val="0"/>
              <w:pageBreakBefore w:val="0"/>
              <w:suppressLineNumbers w:val="0"/>
              <w:kinsoku/>
              <w:wordWrap/>
              <w:overflowPunct/>
              <w:bidi w:val="0"/>
              <w:spacing w:before="0" w:beforeAutospacing="0" w:afterAutospacing="0" w:line="360" w:lineRule="auto"/>
              <w:ind w:left="0" w:leftChars="0" w:right="0" w:firstLine="480" w:firstLineChars="200"/>
              <w:jc w:val="center"/>
              <w:rPr>
                <w:rFonts w:hint="default" w:ascii="Times New Roman" w:hAnsi="Times New Roman" w:cs="Times New Roman"/>
                <w:i w:val="0"/>
                <w:iCs w:val="0"/>
                <w:color w:val="auto"/>
                <w:sz w:val="24"/>
              </w:rPr>
            </w:pPr>
            <w:r>
              <w:rPr>
                <w:rFonts w:hint="default" w:ascii="Times New Roman" w:hAnsi="Times New Roman" w:cs="Times New Roman"/>
                <w:i w:val="0"/>
                <w:iCs w:val="0"/>
                <w:color w:val="auto"/>
                <w:position w:val="-32"/>
                <w:sz w:val="24"/>
              </w:rPr>
              <w:drawing>
                <wp:inline distT="0" distB="0" distL="114300" distR="114300">
                  <wp:extent cx="2475865" cy="485775"/>
                  <wp:effectExtent l="0" t="0" r="635" b="8890"/>
                  <wp:docPr id="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7"/>
                          <pic:cNvPicPr>
                            <a:picLocks noChangeAspect="1"/>
                          </pic:cNvPicPr>
                        </pic:nvPicPr>
                        <pic:blipFill>
                          <a:blip r:embed="rId21"/>
                          <a:stretch>
                            <a:fillRect/>
                          </a:stretch>
                        </pic:blipFill>
                        <pic:spPr>
                          <a:xfrm>
                            <a:off x="0" y="0"/>
                            <a:ext cx="2475865" cy="485775"/>
                          </a:xfrm>
                          <a:prstGeom prst="rect">
                            <a:avLst/>
                          </a:prstGeom>
                          <a:noFill/>
                          <a:ln>
                            <a:noFill/>
                          </a:ln>
                        </pic:spPr>
                      </pic:pic>
                    </a:graphicData>
                  </a:graphic>
                </wp:inline>
              </w:drawing>
            </w:r>
          </w:p>
          <w:p w14:paraId="490C4214">
            <w:pPr>
              <w:keepNext w:val="0"/>
              <w:keepLines w:val="0"/>
              <w:pageBreakBefore w:val="0"/>
              <w:suppressLineNumbers w:val="0"/>
              <w:kinsoku/>
              <w:wordWrap/>
              <w:overflowPunct/>
              <w:bidi w:val="0"/>
              <w:spacing w:before="0" w:beforeAutospacing="0" w:afterAutospacing="0" w:line="360" w:lineRule="auto"/>
              <w:ind w:left="0" w:leftChars="0" w:right="0" w:firstLine="480" w:firstLineChars="200"/>
              <w:jc w:val="center"/>
              <w:rPr>
                <w:rFonts w:hint="default" w:ascii="Times New Roman" w:hAnsi="Times New Roman" w:cs="Times New Roman"/>
                <w:i w:val="0"/>
                <w:iCs w:val="0"/>
                <w:color w:val="auto"/>
                <w:sz w:val="24"/>
              </w:rPr>
            </w:pPr>
            <w:r>
              <w:rPr>
                <w:rFonts w:hint="default" w:ascii="Times New Roman" w:hAnsi="Times New Roman" w:cs="Times New Roman"/>
                <w:i w:val="0"/>
                <w:iCs w:val="0"/>
                <w:color w:val="auto"/>
                <w:position w:val="-12"/>
                <w:sz w:val="24"/>
              </w:rPr>
              <w:drawing>
                <wp:inline distT="0" distB="0" distL="114300" distR="114300">
                  <wp:extent cx="1732915" cy="257175"/>
                  <wp:effectExtent l="0" t="0" r="635" b="7620"/>
                  <wp:docPr id="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8"/>
                          <pic:cNvPicPr>
                            <a:picLocks noChangeAspect="1"/>
                          </pic:cNvPicPr>
                        </pic:nvPicPr>
                        <pic:blipFill>
                          <a:blip r:embed="rId22"/>
                          <a:stretch>
                            <a:fillRect/>
                          </a:stretch>
                        </pic:blipFill>
                        <pic:spPr>
                          <a:xfrm>
                            <a:off x="0" y="0"/>
                            <a:ext cx="1732915" cy="257175"/>
                          </a:xfrm>
                          <a:prstGeom prst="rect">
                            <a:avLst/>
                          </a:prstGeom>
                          <a:noFill/>
                          <a:ln>
                            <a:noFill/>
                          </a:ln>
                        </pic:spPr>
                      </pic:pic>
                    </a:graphicData>
                  </a:graphic>
                </wp:inline>
              </w:drawing>
            </w:r>
          </w:p>
          <w:p w14:paraId="6FC17B93">
            <w:pPr>
              <w:keepNext w:val="0"/>
              <w:keepLines w:val="0"/>
              <w:pageBreakBefore w:val="0"/>
              <w:suppressLineNumbers w:val="0"/>
              <w:tabs>
                <w:tab w:val="left" w:pos="0"/>
              </w:tabs>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式中：Leqg——建设项目声源在预测点的等效声级贡献值，dB(A)；</w:t>
            </w:r>
          </w:p>
          <w:p w14:paraId="1C829E57">
            <w:pPr>
              <w:keepNext w:val="0"/>
              <w:keepLines w:val="0"/>
              <w:pageBreakBefore w:val="0"/>
              <w:suppressLineNumbers w:val="0"/>
              <w:tabs>
                <w:tab w:val="left" w:pos="0"/>
              </w:tabs>
              <w:kinsoku/>
              <w:wordWrap/>
              <w:overflowPunct/>
              <w:bidi w:val="0"/>
              <w:spacing w:before="0" w:beforeAutospacing="0" w:afterAutospacing="0" w:line="360" w:lineRule="auto"/>
              <w:ind w:left="0" w:leftChars="0" w:right="0" w:firstLine="1200" w:firstLineChars="5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Leqb——预测点的背景值，dB(A)。</w:t>
            </w:r>
          </w:p>
          <w:p w14:paraId="157A09ED">
            <w:pPr>
              <w:keepNext w:val="0"/>
              <w:keepLines w:val="0"/>
              <w:pageBreakBefore w:val="0"/>
              <w:suppressLineNumbers w:val="0"/>
              <w:tabs>
                <w:tab w:val="left" w:pos="0"/>
              </w:tabs>
              <w:kinsoku/>
              <w:wordWrap/>
              <w:overflowPunct/>
              <w:bidi w:val="0"/>
              <w:spacing w:before="0" w:beforeAutospacing="0" w:afterAutospacing="0" w:line="360" w:lineRule="auto"/>
              <w:ind w:left="0" w:leftChars="0" w:right="0" w:firstLine="480" w:firstLineChars="200"/>
              <w:rPr>
                <w:rFonts w:hint="default" w:ascii="Times New Roman" w:hAnsi="Times New Roman" w:cs="Times New Roman"/>
                <w:i w:val="0"/>
                <w:iCs w:val="0"/>
                <w:color w:val="auto"/>
                <w:sz w:val="24"/>
              </w:rPr>
            </w:pPr>
            <w:r>
              <w:rPr>
                <w:rFonts w:hint="default" w:ascii="Times New Roman" w:hAnsi="Times New Roman" w:cs="Times New Roman"/>
                <w:i w:val="0"/>
                <w:iCs w:val="0"/>
                <w:color w:val="auto"/>
                <w:sz w:val="24"/>
              </w:rPr>
              <w:t>将设备噪声源在厂区平面图上进行定位，利用上述的预测数字模型，将有关参数代入公式计算，预测拟建工程噪声源对各向厂界的影响。</w:t>
            </w:r>
          </w:p>
          <w:p w14:paraId="5A949331">
            <w:pPr>
              <w:keepNext w:val="0"/>
              <w:keepLines w:val="0"/>
              <w:pageBreakBefore w:val="0"/>
              <w:suppressLineNumbers w:val="0"/>
              <w:tabs>
                <w:tab w:val="left" w:pos="0"/>
              </w:tabs>
              <w:kinsoku/>
              <w:wordWrap/>
              <w:overflowPunct/>
              <w:bidi w:val="0"/>
              <w:spacing w:before="0" w:beforeAutospacing="0" w:afterAutospacing="0" w:line="360" w:lineRule="auto"/>
              <w:ind w:left="0" w:leftChars="0" w:right="0" w:firstLine="480" w:firstLineChars="200"/>
              <w:rPr>
                <w:rFonts w:hint="eastAsia" w:ascii="Times New Roman" w:hAnsi="Times New Roman" w:eastAsia="宋体" w:cs="Times New Roman"/>
                <w:i w:val="0"/>
                <w:iCs w:val="0"/>
                <w:color w:val="FF0000"/>
                <w:sz w:val="24"/>
                <w:lang w:eastAsia="zh-CN"/>
              </w:rPr>
            </w:pPr>
            <w:r>
              <w:rPr>
                <w:rFonts w:hint="default" w:ascii="Times New Roman" w:hAnsi="Times New Roman" w:cs="Times New Roman"/>
                <w:i w:val="0"/>
                <w:iCs w:val="0"/>
                <w:color w:val="auto"/>
                <w:sz w:val="24"/>
              </w:rPr>
              <w:t>将设备噪声源在厂区平面图上进行定位，利用上述预测模型，将有关参数代入公式计算，预测拟建项目噪声源对厂界外的影响，经计算，项目噪声影响预测结果见下表</w:t>
            </w:r>
            <w:r>
              <w:rPr>
                <w:rFonts w:hint="eastAsia" w:cs="Times New Roman"/>
                <w:i w:val="0"/>
                <w:iCs w:val="0"/>
                <w:color w:val="auto"/>
                <w:sz w:val="24"/>
                <w:lang w:eastAsia="zh-CN"/>
              </w:rPr>
              <w:t>。</w:t>
            </w:r>
          </w:p>
          <w:p w14:paraId="6E537D4A">
            <w:pPr>
              <w:keepNext w:val="0"/>
              <w:keepLines w:val="0"/>
              <w:pageBreakBefore w:val="0"/>
              <w:widowControl/>
              <w:kinsoku/>
              <w:wordWrap/>
              <w:overflowPunct/>
              <w:topLinePunct w:val="0"/>
              <w:autoSpaceDE/>
              <w:autoSpaceDN/>
              <w:bidi w:val="0"/>
              <w:adjustRightInd w:val="0"/>
              <w:snapToGrid w:val="0"/>
              <w:spacing w:line="240" w:lineRule="auto"/>
              <w:ind w:left="0" w:leftChars="0" w:right="0"/>
              <w:contextualSpacing/>
              <w:jc w:val="center"/>
              <w:textAlignment w:val="auto"/>
              <w:rPr>
                <w:rFonts w:hint="default" w:ascii="Times New Roman" w:hAnsi="Times New Roman" w:cs="Times New Roman"/>
                <w:b/>
                <w:color w:val="auto"/>
                <w:kern w:val="0"/>
                <w:szCs w:val="21"/>
              </w:rPr>
            </w:pPr>
            <w:r>
              <w:rPr>
                <w:rFonts w:hint="default" w:ascii="Times New Roman" w:hAnsi="Times New Roman" w:cs="Times New Roman"/>
                <w:b/>
                <w:color w:val="auto"/>
                <w:kern w:val="0"/>
                <w:sz w:val="24"/>
                <w:szCs w:val="24"/>
              </w:rPr>
              <w:t>表4-</w:t>
            </w:r>
            <w:r>
              <w:rPr>
                <w:rFonts w:hint="eastAsia" w:cs="Times New Roman"/>
                <w:b/>
                <w:color w:val="auto"/>
                <w:kern w:val="0"/>
                <w:sz w:val="24"/>
                <w:szCs w:val="24"/>
                <w:lang w:val="en-US" w:eastAsia="zh-CN"/>
              </w:rPr>
              <w:t>15</w:t>
            </w:r>
            <w:r>
              <w:rPr>
                <w:rFonts w:hint="default" w:ascii="Times New Roman" w:hAnsi="Times New Roman" w:cs="Times New Roman"/>
                <w:b/>
                <w:color w:val="auto"/>
                <w:kern w:val="0"/>
                <w:sz w:val="24"/>
                <w:szCs w:val="24"/>
                <w:lang w:val="en-US" w:eastAsia="zh-CN"/>
              </w:rPr>
              <w:t xml:space="preserve"> </w:t>
            </w:r>
            <w:r>
              <w:rPr>
                <w:rFonts w:hint="default" w:ascii="Times New Roman" w:hAnsi="Times New Roman" w:cs="Times New Roman"/>
                <w:b/>
                <w:color w:val="auto"/>
                <w:kern w:val="0"/>
                <w:sz w:val="24"/>
                <w:szCs w:val="24"/>
              </w:rPr>
              <w:t xml:space="preserve"> </w:t>
            </w:r>
            <w:r>
              <w:rPr>
                <w:rFonts w:hint="eastAsia" w:cs="Times New Roman"/>
                <w:b/>
                <w:color w:val="auto"/>
                <w:kern w:val="0"/>
                <w:sz w:val="24"/>
                <w:szCs w:val="24"/>
                <w:lang w:val="en-US" w:eastAsia="zh-CN"/>
              </w:rPr>
              <w:t>医院</w:t>
            </w:r>
            <w:r>
              <w:rPr>
                <w:rFonts w:hint="default" w:ascii="Times New Roman" w:hAnsi="Times New Roman" w:cs="Times New Roman"/>
                <w:b/>
                <w:color w:val="auto"/>
                <w:kern w:val="0"/>
                <w:sz w:val="24"/>
                <w:szCs w:val="24"/>
              </w:rPr>
              <w:t>边界噪声值预测一览表</w:t>
            </w:r>
          </w:p>
          <w:tbl>
            <w:tblPr>
              <w:tblStyle w:val="2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924"/>
              <w:gridCol w:w="909"/>
              <w:gridCol w:w="914"/>
              <w:gridCol w:w="902"/>
              <w:gridCol w:w="951"/>
              <w:gridCol w:w="994"/>
              <w:gridCol w:w="1717"/>
            </w:tblGrid>
            <w:tr w14:paraId="6BB0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58" w:type="pct"/>
                  <w:vMerge w:val="restart"/>
                  <w:noWrap w:val="0"/>
                  <w:vAlign w:val="center"/>
                </w:tcPr>
                <w:p w14:paraId="2DE2BD12">
                  <w:pPr>
                    <w:keepNext w:val="0"/>
                    <w:keepLines w:val="0"/>
                    <w:pageBreakBefore w:val="0"/>
                    <w:widowControl w:val="0"/>
                    <w:suppressLineNumbers w:val="0"/>
                    <w:autoSpaceDE w:val="0"/>
                    <w:autoSpaceDN w:val="0"/>
                    <w:bidi w:val="0"/>
                    <w:spacing w:beforeAutospacing="0" w:afterAutospacing="0" w:line="240" w:lineRule="auto"/>
                    <w:ind w:left="0" w:leftChars="0" w:right="0" w:rightChars="0" w:firstLine="0" w:firstLineChars="0"/>
                    <w:contextualSpacing/>
                    <w:jc w:val="center"/>
                    <w:rPr>
                      <w:rFonts w:hint="default" w:ascii="Times New Roman" w:hAnsi="Times New Roman" w:cs="Times New Roman"/>
                      <w:b/>
                      <w:bCs/>
                      <w:i w:val="0"/>
                      <w:iCs w:val="0"/>
                      <w:color w:val="auto"/>
                    </w:rPr>
                  </w:pPr>
                  <w:r>
                    <w:rPr>
                      <w:rFonts w:hint="default" w:ascii="Times New Roman" w:hAnsi="Times New Roman" w:cs="Times New Roman"/>
                      <w:b/>
                      <w:bCs/>
                      <w:i w:val="0"/>
                      <w:iCs w:val="0"/>
                      <w:color w:val="auto"/>
                    </w:rPr>
                    <w:t>预测点</w:t>
                  </w:r>
                </w:p>
              </w:tc>
              <w:tc>
                <w:tcPr>
                  <w:tcW w:w="1063" w:type="pct"/>
                  <w:gridSpan w:val="2"/>
                  <w:noWrap w:val="0"/>
                  <w:vAlign w:val="center"/>
                </w:tcPr>
                <w:p w14:paraId="29E59CE1">
                  <w:pPr>
                    <w:keepNext w:val="0"/>
                    <w:keepLines w:val="0"/>
                    <w:pageBreakBefore w:val="0"/>
                    <w:widowControl w:val="0"/>
                    <w:suppressLineNumbers w:val="0"/>
                    <w:autoSpaceDE w:val="0"/>
                    <w:autoSpaceDN w:val="0"/>
                    <w:bidi w:val="0"/>
                    <w:spacing w:beforeAutospacing="0" w:afterAutospacing="0" w:line="240" w:lineRule="auto"/>
                    <w:ind w:left="0" w:leftChars="0" w:right="0" w:rightChars="0" w:firstLine="0" w:firstLineChars="0"/>
                    <w:contextualSpacing/>
                    <w:jc w:val="center"/>
                    <w:rPr>
                      <w:rFonts w:hint="eastAsia" w:ascii="Times New Roman" w:hAnsi="Times New Roman" w:eastAsia="宋体" w:cs="Times New Roman"/>
                      <w:b/>
                      <w:bCs/>
                      <w:i w:val="0"/>
                      <w:iCs w:val="0"/>
                      <w:color w:val="auto"/>
                      <w:lang w:eastAsia="zh-CN"/>
                    </w:rPr>
                  </w:pPr>
                  <w:r>
                    <w:rPr>
                      <w:rFonts w:hint="eastAsia" w:cs="Times New Roman"/>
                      <w:b/>
                      <w:bCs/>
                      <w:i w:val="0"/>
                      <w:iCs w:val="0"/>
                      <w:color w:val="auto"/>
                      <w:lang w:eastAsia="zh-CN"/>
                    </w:rPr>
                    <w:t>背景值</w:t>
                  </w:r>
                </w:p>
              </w:tc>
              <w:tc>
                <w:tcPr>
                  <w:tcW w:w="1053" w:type="pct"/>
                  <w:gridSpan w:val="2"/>
                  <w:noWrap w:val="0"/>
                  <w:vAlign w:val="center"/>
                </w:tcPr>
                <w:p w14:paraId="1949E82E">
                  <w:pPr>
                    <w:keepNext w:val="0"/>
                    <w:keepLines w:val="0"/>
                    <w:pageBreakBefore w:val="0"/>
                    <w:widowControl w:val="0"/>
                    <w:suppressLineNumbers w:val="0"/>
                    <w:autoSpaceDE w:val="0"/>
                    <w:autoSpaceDN w:val="0"/>
                    <w:bidi w:val="0"/>
                    <w:spacing w:beforeAutospacing="0" w:afterAutospacing="0" w:line="240" w:lineRule="auto"/>
                    <w:ind w:left="0" w:leftChars="0" w:right="0" w:rightChars="0" w:firstLine="0" w:firstLineChars="0"/>
                    <w:contextualSpacing/>
                    <w:jc w:val="center"/>
                    <w:rPr>
                      <w:rFonts w:hint="default" w:ascii="Times New Roman" w:hAnsi="Times New Roman" w:cs="Times New Roman"/>
                      <w:b/>
                      <w:bCs/>
                      <w:i w:val="0"/>
                      <w:iCs w:val="0"/>
                      <w:color w:val="auto"/>
                    </w:rPr>
                  </w:pPr>
                  <w:r>
                    <w:rPr>
                      <w:rFonts w:hint="eastAsia" w:cs="Times New Roman"/>
                      <w:b/>
                      <w:bCs/>
                      <w:i w:val="0"/>
                      <w:iCs w:val="0"/>
                      <w:color w:val="auto"/>
                      <w:lang w:eastAsia="zh-CN"/>
                    </w:rPr>
                    <w:t>本项目</w:t>
                  </w:r>
                  <w:r>
                    <w:rPr>
                      <w:rFonts w:hint="default" w:ascii="Times New Roman" w:hAnsi="Times New Roman" w:cs="Times New Roman"/>
                      <w:b/>
                      <w:bCs/>
                      <w:i w:val="0"/>
                      <w:iCs w:val="0"/>
                      <w:color w:val="auto"/>
                    </w:rPr>
                    <w:t>贡献值</w:t>
                  </w:r>
                </w:p>
              </w:tc>
              <w:tc>
                <w:tcPr>
                  <w:tcW w:w="1129" w:type="pct"/>
                  <w:gridSpan w:val="2"/>
                  <w:noWrap w:val="0"/>
                  <w:vAlign w:val="center"/>
                </w:tcPr>
                <w:p w14:paraId="546078DE">
                  <w:pPr>
                    <w:keepNext w:val="0"/>
                    <w:keepLines w:val="0"/>
                    <w:pageBreakBefore w:val="0"/>
                    <w:widowControl w:val="0"/>
                    <w:suppressLineNumbers w:val="0"/>
                    <w:autoSpaceDE w:val="0"/>
                    <w:autoSpaceDN w:val="0"/>
                    <w:bidi w:val="0"/>
                    <w:spacing w:beforeAutospacing="0" w:afterAutospacing="0" w:line="240" w:lineRule="auto"/>
                    <w:ind w:left="0" w:leftChars="0" w:right="0" w:rightChars="0" w:firstLine="0" w:firstLineChars="0"/>
                    <w:contextualSpacing/>
                    <w:jc w:val="center"/>
                    <w:rPr>
                      <w:rFonts w:hint="eastAsia" w:ascii="Times New Roman" w:hAnsi="Times New Roman" w:eastAsia="宋体" w:cs="Times New Roman"/>
                      <w:b/>
                      <w:bCs/>
                      <w:i w:val="0"/>
                      <w:iCs w:val="0"/>
                      <w:color w:val="auto"/>
                      <w:lang w:eastAsia="zh-CN"/>
                    </w:rPr>
                  </w:pPr>
                  <w:r>
                    <w:rPr>
                      <w:rFonts w:hint="eastAsia" w:cs="Times New Roman"/>
                      <w:b/>
                      <w:bCs/>
                      <w:i w:val="0"/>
                      <w:iCs w:val="0"/>
                      <w:color w:val="auto"/>
                      <w:lang w:eastAsia="zh-CN"/>
                    </w:rPr>
                    <w:t>预测值</w:t>
                  </w:r>
                </w:p>
              </w:tc>
              <w:tc>
                <w:tcPr>
                  <w:tcW w:w="996" w:type="pct"/>
                  <w:vMerge w:val="restart"/>
                  <w:noWrap w:val="0"/>
                  <w:vAlign w:val="center"/>
                </w:tcPr>
                <w:p w14:paraId="31684D9E">
                  <w:pPr>
                    <w:keepNext w:val="0"/>
                    <w:keepLines w:val="0"/>
                    <w:pageBreakBefore w:val="0"/>
                    <w:widowControl w:val="0"/>
                    <w:suppressLineNumbers w:val="0"/>
                    <w:autoSpaceDE w:val="0"/>
                    <w:autoSpaceDN w:val="0"/>
                    <w:bidi w:val="0"/>
                    <w:spacing w:beforeAutospacing="0" w:afterAutospacing="0" w:line="240" w:lineRule="auto"/>
                    <w:ind w:left="0" w:leftChars="0" w:right="0" w:rightChars="0" w:firstLine="0" w:firstLineChars="0"/>
                    <w:contextualSpacing/>
                    <w:jc w:val="center"/>
                    <w:rPr>
                      <w:rFonts w:hint="default" w:ascii="Times New Roman" w:hAnsi="Times New Roman" w:cs="Times New Roman"/>
                      <w:i w:val="0"/>
                      <w:iCs w:val="0"/>
                      <w:color w:val="auto"/>
                    </w:rPr>
                  </w:pPr>
                  <w:r>
                    <w:rPr>
                      <w:rFonts w:hint="default" w:ascii="Times New Roman" w:hAnsi="Times New Roman" w:cs="Times New Roman"/>
                      <w:b/>
                      <w:bCs/>
                      <w:i w:val="0"/>
                      <w:iCs w:val="0"/>
                      <w:color w:val="auto"/>
                    </w:rPr>
                    <w:t>达标情况</w:t>
                  </w:r>
                </w:p>
              </w:tc>
            </w:tr>
            <w:tr w14:paraId="27E2A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58" w:type="pct"/>
                  <w:vMerge w:val="continue"/>
                  <w:noWrap w:val="0"/>
                  <w:vAlign w:val="center"/>
                </w:tcPr>
                <w:p w14:paraId="5018FA36">
                  <w:pPr>
                    <w:keepNext w:val="0"/>
                    <w:keepLines w:val="0"/>
                    <w:pageBreakBefore w:val="0"/>
                    <w:widowControl w:val="0"/>
                    <w:suppressLineNumbers w:val="0"/>
                    <w:autoSpaceDE w:val="0"/>
                    <w:autoSpaceDN w:val="0"/>
                    <w:bidi w:val="0"/>
                    <w:spacing w:beforeAutospacing="0" w:afterAutospacing="0" w:line="240" w:lineRule="auto"/>
                    <w:ind w:left="0" w:leftChars="0" w:right="0" w:rightChars="0" w:firstLine="0" w:firstLineChars="0"/>
                    <w:contextualSpacing/>
                    <w:jc w:val="center"/>
                    <w:rPr>
                      <w:rFonts w:hint="default" w:ascii="Times New Roman" w:hAnsi="Times New Roman" w:cs="Times New Roman"/>
                      <w:b/>
                      <w:bCs/>
                      <w:i w:val="0"/>
                      <w:iCs w:val="0"/>
                      <w:color w:val="auto"/>
                    </w:rPr>
                  </w:pPr>
                </w:p>
              </w:tc>
              <w:tc>
                <w:tcPr>
                  <w:tcW w:w="536" w:type="pct"/>
                  <w:noWrap w:val="0"/>
                  <w:vAlign w:val="center"/>
                </w:tcPr>
                <w:p w14:paraId="5D1B8D2C">
                  <w:pPr>
                    <w:keepNext w:val="0"/>
                    <w:keepLines w:val="0"/>
                    <w:pageBreakBefore w:val="0"/>
                    <w:widowControl w:val="0"/>
                    <w:suppressLineNumbers w:val="0"/>
                    <w:autoSpaceDE w:val="0"/>
                    <w:autoSpaceDN w:val="0"/>
                    <w:bidi w:val="0"/>
                    <w:spacing w:beforeAutospacing="0" w:afterAutospacing="0" w:line="240" w:lineRule="auto"/>
                    <w:ind w:left="0" w:leftChars="0" w:right="0" w:rightChars="0" w:firstLine="0" w:firstLineChars="0"/>
                    <w:contextualSpacing/>
                    <w:jc w:val="center"/>
                    <w:rPr>
                      <w:rFonts w:hint="default" w:ascii="Times New Roman" w:hAnsi="Times New Roman" w:cs="Times New Roman"/>
                      <w:b/>
                      <w:bCs/>
                      <w:i w:val="0"/>
                      <w:iCs w:val="0"/>
                      <w:color w:val="auto"/>
                    </w:rPr>
                  </w:pPr>
                  <w:r>
                    <w:rPr>
                      <w:rFonts w:hint="default" w:ascii="Times New Roman" w:hAnsi="Times New Roman" w:cs="Times New Roman"/>
                      <w:b/>
                      <w:bCs/>
                      <w:i w:val="0"/>
                      <w:iCs w:val="0"/>
                      <w:color w:val="auto"/>
                    </w:rPr>
                    <w:t>昼间dB(A)</w:t>
                  </w:r>
                </w:p>
              </w:tc>
              <w:tc>
                <w:tcPr>
                  <w:tcW w:w="527" w:type="pct"/>
                  <w:noWrap w:val="0"/>
                  <w:vAlign w:val="center"/>
                </w:tcPr>
                <w:p w14:paraId="635BE6D1">
                  <w:pPr>
                    <w:keepNext w:val="0"/>
                    <w:keepLines w:val="0"/>
                    <w:pageBreakBefore w:val="0"/>
                    <w:widowControl w:val="0"/>
                    <w:suppressLineNumbers w:val="0"/>
                    <w:autoSpaceDE w:val="0"/>
                    <w:autoSpaceDN w:val="0"/>
                    <w:bidi w:val="0"/>
                    <w:spacing w:beforeAutospacing="0" w:afterAutospacing="0" w:line="240" w:lineRule="auto"/>
                    <w:ind w:left="0" w:leftChars="0" w:right="0" w:rightChars="0" w:firstLine="0" w:firstLineChars="0"/>
                    <w:contextualSpacing/>
                    <w:jc w:val="center"/>
                    <w:rPr>
                      <w:rFonts w:hint="default" w:ascii="Times New Roman" w:hAnsi="Times New Roman" w:cs="Times New Roman"/>
                      <w:b/>
                      <w:bCs/>
                      <w:i w:val="0"/>
                      <w:iCs w:val="0"/>
                      <w:color w:val="auto"/>
                    </w:rPr>
                  </w:pPr>
                  <w:r>
                    <w:rPr>
                      <w:rFonts w:hint="default" w:ascii="Times New Roman" w:hAnsi="Times New Roman" w:cs="Times New Roman"/>
                      <w:b/>
                      <w:bCs/>
                      <w:i w:val="0"/>
                      <w:iCs w:val="0"/>
                      <w:color w:val="auto"/>
                      <w:lang w:val="en-US" w:eastAsia="zh-CN"/>
                    </w:rPr>
                    <w:t>夜间</w:t>
                  </w:r>
                  <w:r>
                    <w:rPr>
                      <w:rFonts w:hint="default" w:ascii="Times New Roman" w:hAnsi="Times New Roman" w:cs="Times New Roman"/>
                      <w:b/>
                      <w:bCs/>
                      <w:i w:val="0"/>
                      <w:iCs w:val="0"/>
                      <w:color w:val="auto"/>
                    </w:rPr>
                    <w:t>dB(A)</w:t>
                  </w:r>
                </w:p>
              </w:tc>
              <w:tc>
                <w:tcPr>
                  <w:tcW w:w="530" w:type="pct"/>
                  <w:noWrap w:val="0"/>
                  <w:vAlign w:val="center"/>
                </w:tcPr>
                <w:p w14:paraId="71E4D052">
                  <w:pPr>
                    <w:keepNext w:val="0"/>
                    <w:keepLines w:val="0"/>
                    <w:pageBreakBefore w:val="0"/>
                    <w:widowControl w:val="0"/>
                    <w:suppressLineNumbers w:val="0"/>
                    <w:autoSpaceDE w:val="0"/>
                    <w:autoSpaceDN w:val="0"/>
                    <w:bidi w:val="0"/>
                    <w:spacing w:beforeAutospacing="0" w:afterAutospacing="0" w:line="240" w:lineRule="auto"/>
                    <w:ind w:left="0" w:leftChars="0" w:right="0" w:rightChars="0" w:firstLine="0" w:firstLineChars="0"/>
                    <w:contextualSpacing/>
                    <w:jc w:val="center"/>
                    <w:rPr>
                      <w:rFonts w:hint="default" w:ascii="Times New Roman" w:hAnsi="Times New Roman" w:cs="Times New Roman"/>
                      <w:b/>
                      <w:bCs/>
                      <w:i w:val="0"/>
                      <w:iCs w:val="0"/>
                      <w:color w:val="auto"/>
                      <w:lang w:val="en-US" w:eastAsia="zh-CN"/>
                    </w:rPr>
                  </w:pPr>
                  <w:r>
                    <w:rPr>
                      <w:rFonts w:hint="default" w:ascii="Times New Roman" w:hAnsi="Times New Roman" w:cs="Times New Roman"/>
                      <w:b/>
                      <w:bCs/>
                      <w:i w:val="0"/>
                      <w:iCs w:val="0"/>
                      <w:color w:val="auto"/>
                    </w:rPr>
                    <w:t>昼间dB(A)</w:t>
                  </w:r>
                </w:p>
              </w:tc>
              <w:tc>
                <w:tcPr>
                  <w:tcW w:w="523" w:type="pct"/>
                  <w:noWrap w:val="0"/>
                  <w:vAlign w:val="center"/>
                </w:tcPr>
                <w:p w14:paraId="4FA40BAD">
                  <w:pPr>
                    <w:keepNext w:val="0"/>
                    <w:keepLines w:val="0"/>
                    <w:pageBreakBefore w:val="0"/>
                    <w:widowControl w:val="0"/>
                    <w:suppressLineNumbers w:val="0"/>
                    <w:autoSpaceDE w:val="0"/>
                    <w:autoSpaceDN w:val="0"/>
                    <w:bidi w:val="0"/>
                    <w:spacing w:beforeAutospacing="0" w:afterAutospacing="0" w:line="240" w:lineRule="auto"/>
                    <w:ind w:left="0" w:leftChars="0" w:right="0" w:rightChars="0" w:firstLine="0" w:firstLineChars="0"/>
                    <w:contextualSpacing/>
                    <w:jc w:val="center"/>
                    <w:rPr>
                      <w:rFonts w:hint="default" w:ascii="Times New Roman" w:hAnsi="Times New Roman" w:cs="Times New Roman"/>
                      <w:b/>
                      <w:bCs/>
                      <w:i w:val="0"/>
                      <w:iCs w:val="0"/>
                      <w:color w:val="auto"/>
                      <w:lang w:val="en-US" w:eastAsia="zh-CN"/>
                    </w:rPr>
                  </w:pPr>
                  <w:r>
                    <w:rPr>
                      <w:rFonts w:hint="default" w:ascii="Times New Roman" w:hAnsi="Times New Roman" w:cs="Times New Roman"/>
                      <w:b/>
                      <w:bCs/>
                      <w:i w:val="0"/>
                      <w:iCs w:val="0"/>
                      <w:color w:val="auto"/>
                      <w:lang w:val="en-US" w:eastAsia="zh-CN"/>
                    </w:rPr>
                    <w:t>夜间</w:t>
                  </w:r>
                  <w:r>
                    <w:rPr>
                      <w:rFonts w:hint="default" w:ascii="Times New Roman" w:hAnsi="Times New Roman" w:cs="Times New Roman"/>
                      <w:b/>
                      <w:bCs/>
                      <w:i w:val="0"/>
                      <w:iCs w:val="0"/>
                      <w:color w:val="auto"/>
                    </w:rPr>
                    <w:t>dB(A)</w:t>
                  </w:r>
                </w:p>
              </w:tc>
              <w:tc>
                <w:tcPr>
                  <w:tcW w:w="552" w:type="pct"/>
                  <w:noWrap w:val="0"/>
                  <w:vAlign w:val="center"/>
                </w:tcPr>
                <w:p w14:paraId="0452306B">
                  <w:pPr>
                    <w:keepNext w:val="0"/>
                    <w:keepLines w:val="0"/>
                    <w:pageBreakBefore w:val="0"/>
                    <w:widowControl w:val="0"/>
                    <w:suppressLineNumbers w:val="0"/>
                    <w:autoSpaceDE w:val="0"/>
                    <w:autoSpaceDN w:val="0"/>
                    <w:bidi w:val="0"/>
                    <w:spacing w:beforeAutospacing="0" w:afterAutospacing="0" w:line="240" w:lineRule="auto"/>
                    <w:ind w:left="0" w:leftChars="0" w:right="0" w:rightChars="0" w:firstLine="0" w:firstLineChars="0"/>
                    <w:contextualSpacing/>
                    <w:jc w:val="center"/>
                    <w:rPr>
                      <w:rFonts w:hint="default" w:ascii="Times New Roman" w:hAnsi="Times New Roman" w:cs="Times New Roman"/>
                      <w:b/>
                      <w:bCs/>
                      <w:i w:val="0"/>
                      <w:iCs w:val="0"/>
                      <w:color w:val="auto"/>
                      <w:lang w:val="en-US" w:eastAsia="zh-CN"/>
                    </w:rPr>
                  </w:pPr>
                  <w:r>
                    <w:rPr>
                      <w:rFonts w:hint="default" w:ascii="Times New Roman" w:hAnsi="Times New Roman" w:cs="Times New Roman"/>
                      <w:b/>
                      <w:bCs/>
                      <w:i w:val="0"/>
                      <w:iCs w:val="0"/>
                      <w:color w:val="auto"/>
                    </w:rPr>
                    <w:t>昼间dB(A)</w:t>
                  </w:r>
                </w:p>
              </w:tc>
              <w:tc>
                <w:tcPr>
                  <w:tcW w:w="577" w:type="pct"/>
                  <w:noWrap w:val="0"/>
                  <w:vAlign w:val="center"/>
                </w:tcPr>
                <w:p w14:paraId="5D72B5D3">
                  <w:pPr>
                    <w:keepNext w:val="0"/>
                    <w:keepLines w:val="0"/>
                    <w:pageBreakBefore w:val="0"/>
                    <w:widowControl w:val="0"/>
                    <w:suppressLineNumbers w:val="0"/>
                    <w:autoSpaceDE w:val="0"/>
                    <w:autoSpaceDN w:val="0"/>
                    <w:bidi w:val="0"/>
                    <w:spacing w:beforeAutospacing="0" w:afterAutospacing="0" w:line="240" w:lineRule="auto"/>
                    <w:ind w:left="0" w:leftChars="0" w:right="0" w:rightChars="0" w:firstLine="0" w:firstLineChars="0"/>
                    <w:contextualSpacing/>
                    <w:jc w:val="center"/>
                    <w:rPr>
                      <w:rFonts w:hint="default" w:ascii="Times New Roman" w:hAnsi="Times New Roman" w:cs="Times New Roman"/>
                      <w:b/>
                      <w:bCs/>
                      <w:i w:val="0"/>
                      <w:iCs w:val="0"/>
                      <w:color w:val="auto"/>
                      <w:lang w:val="en-US" w:eastAsia="zh-CN"/>
                    </w:rPr>
                  </w:pPr>
                  <w:r>
                    <w:rPr>
                      <w:rFonts w:hint="default" w:ascii="Times New Roman" w:hAnsi="Times New Roman" w:cs="Times New Roman"/>
                      <w:b/>
                      <w:bCs/>
                      <w:i w:val="0"/>
                      <w:iCs w:val="0"/>
                      <w:color w:val="auto"/>
                      <w:lang w:val="en-US" w:eastAsia="zh-CN"/>
                    </w:rPr>
                    <w:t>夜间</w:t>
                  </w:r>
                  <w:r>
                    <w:rPr>
                      <w:rFonts w:hint="default" w:ascii="Times New Roman" w:hAnsi="Times New Roman" w:cs="Times New Roman"/>
                      <w:b/>
                      <w:bCs/>
                      <w:i w:val="0"/>
                      <w:iCs w:val="0"/>
                      <w:color w:val="auto"/>
                    </w:rPr>
                    <w:t>dB(A)</w:t>
                  </w:r>
                </w:p>
              </w:tc>
              <w:tc>
                <w:tcPr>
                  <w:tcW w:w="996" w:type="pct"/>
                  <w:vMerge w:val="continue"/>
                  <w:noWrap w:val="0"/>
                  <w:vAlign w:val="center"/>
                </w:tcPr>
                <w:p w14:paraId="64D38889">
                  <w:pPr>
                    <w:keepNext w:val="0"/>
                    <w:keepLines w:val="0"/>
                    <w:pageBreakBefore w:val="0"/>
                    <w:widowControl w:val="0"/>
                    <w:suppressLineNumbers w:val="0"/>
                    <w:autoSpaceDE w:val="0"/>
                    <w:autoSpaceDN w:val="0"/>
                    <w:bidi w:val="0"/>
                    <w:spacing w:beforeAutospacing="0" w:afterAutospacing="0" w:line="240" w:lineRule="auto"/>
                    <w:ind w:left="0" w:leftChars="0" w:right="0" w:rightChars="0" w:firstLine="0" w:firstLineChars="0"/>
                    <w:contextualSpacing/>
                    <w:jc w:val="center"/>
                    <w:rPr>
                      <w:rFonts w:hint="default" w:ascii="Times New Roman" w:hAnsi="Times New Roman" w:cs="Times New Roman"/>
                      <w:i w:val="0"/>
                      <w:iCs w:val="0"/>
                      <w:color w:val="auto"/>
                    </w:rPr>
                  </w:pPr>
                </w:p>
              </w:tc>
            </w:tr>
            <w:tr w14:paraId="30F7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58" w:type="pct"/>
                  <w:noWrap w:val="0"/>
                  <w:vAlign w:val="center"/>
                </w:tcPr>
                <w:p w14:paraId="28C163CB">
                  <w:pPr>
                    <w:keepNext w:val="0"/>
                    <w:keepLines w:val="0"/>
                    <w:pageBreakBefore w:val="0"/>
                    <w:widowControl w:val="0"/>
                    <w:suppressLineNumbers w:val="0"/>
                    <w:bidi w:val="0"/>
                    <w:spacing w:beforeAutospacing="0" w:afterAutospacing="0" w:line="240" w:lineRule="auto"/>
                    <w:ind w:left="0" w:leftChars="0" w:right="0" w:rightChars="0" w:firstLine="0" w:firstLineChars="0"/>
                    <w:contextualSpacing/>
                    <w:jc w:val="center"/>
                    <w:rPr>
                      <w:rFonts w:hint="default" w:ascii="Times New Roman" w:hAnsi="Times New Roman" w:cs="Times New Roman"/>
                      <w:i w:val="0"/>
                      <w:iCs w:val="0"/>
                      <w:color w:val="auto"/>
                    </w:rPr>
                  </w:pPr>
                  <w:r>
                    <w:rPr>
                      <w:rFonts w:hint="eastAsia" w:cs="Times New Roman"/>
                      <w:i w:val="0"/>
                      <w:iCs w:val="0"/>
                      <w:color w:val="auto"/>
                      <w:lang w:eastAsia="zh-CN"/>
                    </w:rPr>
                    <w:t>东</w:t>
                  </w:r>
                  <w:r>
                    <w:rPr>
                      <w:rFonts w:hint="default" w:ascii="Times New Roman" w:hAnsi="Times New Roman" w:cs="Times New Roman"/>
                      <w:i w:val="0"/>
                      <w:iCs w:val="0"/>
                      <w:color w:val="auto"/>
                    </w:rPr>
                    <w:t>厂界</w:t>
                  </w:r>
                </w:p>
              </w:tc>
              <w:tc>
                <w:tcPr>
                  <w:tcW w:w="947" w:type="dxa"/>
                  <w:noWrap w:val="0"/>
                  <w:vAlign w:val="center"/>
                </w:tcPr>
                <w:p w14:paraId="3D9447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color w:val="auto"/>
                      <w:kern w:val="2"/>
                      <w:sz w:val="21"/>
                      <w:szCs w:val="24"/>
                      <w:highlight w:val="none"/>
                      <w:lang w:val="en-US" w:eastAsia="zh-CN" w:bidi="ar-SA"/>
                    </w:rPr>
                  </w:pPr>
                  <w:r>
                    <w:rPr>
                      <w:rFonts w:hint="eastAsia" w:ascii="Times New Roman" w:hAnsi="Times New Roman" w:cs="Times New Roman"/>
                      <w:color w:val="000000"/>
                      <w:sz w:val="21"/>
                      <w:szCs w:val="21"/>
                      <w:lang w:val="en-US" w:eastAsia="zh-CN"/>
                    </w:rPr>
                    <w:t>59</w:t>
                  </w:r>
                </w:p>
              </w:tc>
              <w:tc>
                <w:tcPr>
                  <w:tcW w:w="931" w:type="dxa"/>
                  <w:noWrap w:val="0"/>
                  <w:vAlign w:val="center"/>
                </w:tcPr>
                <w:p w14:paraId="61A7AF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color w:val="auto"/>
                      <w:kern w:val="2"/>
                      <w:sz w:val="21"/>
                      <w:szCs w:val="24"/>
                      <w:highlight w:val="none"/>
                      <w:lang w:val="en-US" w:eastAsia="zh-CN" w:bidi="ar-SA"/>
                    </w:rPr>
                  </w:pPr>
                  <w:r>
                    <w:rPr>
                      <w:rFonts w:hint="eastAsia" w:ascii="Times New Roman" w:hAnsi="Times New Roman" w:cs="Times New Roman"/>
                      <w:color w:val="000000"/>
                      <w:sz w:val="21"/>
                      <w:szCs w:val="21"/>
                      <w:lang w:val="en-US" w:eastAsia="zh-CN"/>
                    </w:rPr>
                    <w:t>45</w:t>
                  </w:r>
                </w:p>
              </w:tc>
              <w:tc>
                <w:tcPr>
                  <w:tcW w:w="914" w:type="dxa"/>
                  <w:noWrap w:val="0"/>
                  <w:vAlign w:val="center"/>
                </w:tcPr>
                <w:p w14:paraId="5BB4CB3C">
                  <w:pPr>
                    <w:keepNext w:val="0"/>
                    <w:keepLines w:val="0"/>
                    <w:pageBreakBefore w:val="0"/>
                    <w:widowControl w:val="0"/>
                    <w:bidi w:val="0"/>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42.1</w:t>
                  </w:r>
                </w:p>
              </w:tc>
              <w:tc>
                <w:tcPr>
                  <w:tcW w:w="924" w:type="dxa"/>
                  <w:noWrap w:val="0"/>
                  <w:vAlign w:val="center"/>
                </w:tcPr>
                <w:p w14:paraId="01A8EAA6">
                  <w:pPr>
                    <w:keepNext w:val="0"/>
                    <w:keepLines w:val="0"/>
                    <w:pageBreakBefore w:val="0"/>
                    <w:widowControl w:val="0"/>
                    <w:bidi w:val="0"/>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42.1</w:t>
                  </w:r>
                </w:p>
              </w:tc>
              <w:tc>
                <w:tcPr>
                  <w:tcW w:w="951" w:type="dxa"/>
                  <w:noWrap w:val="0"/>
                  <w:vAlign w:val="center"/>
                </w:tcPr>
                <w:p w14:paraId="010267F3">
                  <w:pPr>
                    <w:keepNext w:val="0"/>
                    <w:keepLines w:val="0"/>
                    <w:pageBreakBefore w:val="0"/>
                    <w:suppressLineNumbers w:val="0"/>
                    <w:kinsoku/>
                    <w:wordWrap/>
                    <w:overflowPunct/>
                    <w:bidi w:val="0"/>
                    <w:spacing w:before="0" w:beforeAutospacing="0" w:afterAutospacing="0"/>
                    <w:ind w:left="0" w:leftChars="0" w:right="0" w:rightChars="0"/>
                    <w:jc w:val="center"/>
                    <w:rPr>
                      <w:rFonts w:hint="default"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59.1</w:t>
                  </w:r>
                </w:p>
              </w:tc>
              <w:tc>
                <w:tcPr>
                  <w:tcW w:w="1019" w:type="dxa"/>
                  <w:noWrap w:val="0"/>
                  <w:vAlign w:val="center"/>
                </w:tcPr>
                <w:p w14:paraId="7FD6423B">
                  <w:pPr>
                    <w:keepNext w:val="0"/>
                    <w:keepLines w:val="0"/>
                    <w:pageBreakBefore w:val="0"/>
                    <w:suppressLineNumbers w:val="0"/>
                    <w:kinsoku/>
                    <w:wordWrap/>
                    <w:overflowPunct/>
                    <w:bidi w:val="0"/>
                    <w:spacing w:before="0" w:beforeAutospacing="0" w:afterAutospacing="0"/>
                    <w:ind w:left="0" w:leftChars="0" w:right="0" w:rightChars="0"/>
                    <w:jc w:val="center"/>
                    <w:rPr>
                      <w:rFonts w:hint="default"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46.8</w:t>
                  </w:r>
                </w:p>
              </w:tc>
              <w:tc>
                <w:tcPr>
                  <w:tcW w:w="996" w:type="pct"/>
                  <w:noWrap w:val="0"/>
                  <w:vAlign w:val="center"/>
                </w:tcPr>
                <w:p w14:paraId="50C11FB7">
                  <w:pPr>
                    <w:keepNext w:val="0"/>
                    <w:keepLines w:val="0"/>
                    <w:pageBreakBefore w:val="0"/>
                    <w:widowControl w:val="0"/>
                    <w:suppressLineNumbers w:val="0"/>
                    <w:bidi w:val="0"/>
                    <w:spacing w:beforeAutospacing="0" w:afterAutospacing="0" w:line="240" w:lineRule="auto"/>
                    <w:ind w:left="0" w:leftChars="0" w:right="0" w:rightChars="0" w:firstLine="0" w:firstLineChars="0"/>
                    <w:jc w:val="center"/>
                    <w:rPr>
                      <w:rFonts w:hint="default" w:ascii="Times New Roman" w:hAnsi="Times New Roman" w:eastAsia="宋体" w:cs="Times New Roman"/>
                      <w:i w:val="0"/>
                      <w:iCs w:val="0"/>
                      <w:color w:val="auto"/>
                      <w:kern w:val="2"/>
                      <w:sz w:val="21"/>
                      <w:szCs w:val="21"/>
                      <w:lang w:val="en-US" w:eastAsia="zh-CN" w:bidi="ar-SA"/>
                    </w:rPr>
                  </w:pPr>
                  <w:r>
                    <w:rPr>
                      <w:rFonts w:hint="default" w:ascii="Times New Roman" w:hAnsi="Times New Roman" w:cs="Times New Roman"/>
                      <w:i w:val="0"/>
                      <w:iCs w:val="0"/>
                      <w:color w:val="auto"/>
                    </w:rPr>
                    <w:t>达标</w:t>
                  </w:r>
                </w:p>
              </w:tc>
            </w:tr>
            <w:tr w14:paraId="4328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58" w:type="pct"/>
                  <w:noWrap w:val="0"/>
                  <w:vAlign w:val="center"/>
                </w:tcPr>
                <w:p w14:paraId="49642DF2">
                  <w:pPr>
                    <w:keepNext w:val="0"/>
                    <w:keepLines w:val="0"/>
                    <w:pageBreakBefore w:val="0"/>
                    <w:widowControl w:val="0"/>
                    <w:suppressLineNumbers w:val="0"/>
                    <w:bidi w:val="0"/>
                    <w:spacing w:beforeAutospacing="0" w:afterAutospacing="0" w:line="240" w:lineRule="auto"/>
                    <w:ind w:left="0" w:leftChars="0" w:right="0" w:rightChars="0" w:firstLine="0" w:firstLineChars="0"/>
                    <w:contextualSpacing/>
                    <w:jc w:val="center"/>
                    <w:rPr>
                      <w:rFonts w:hint="default" w:ascii="Times New Roman" w:hAnsi="Times New Roman" w:cs="Times New Roman"/>
                      <w:i w:val="0"/>
                      <w:iCs w:val="0"/>
                      <w:color w:val="auto"/>
                    </w:rPr>
                  </w:pPr>
                  <w:r>
                    <w:rPr>
                      <w:rFonts w:hint="eastAsia" w:cs="Times New Roman"/>
                      <w:i w:val="0"/>
                      <w:iCs w:val="0"/>
                      <w:color w:val="auto"/>
                      <w:lang w:eastAsia="zh-CN"/>
                    </w:rPr>
                    <w:t>南</w:t>
                  </w:r>
                  <w:r>
                    <w:rPr>
                      <w:rFonts w:hint="default" w:ascii="Times New Roman" w:hAnsi="Times New Roman" w:cs="Times New Roman"/>
                      <w:i w:val="0"/>
                      <w:iCs w:val="0"/>
                      <w:color w:val="auto"/>
                    </w:rPr>
                    <w:t>厂界</w:t>
                  </w:r>
                </w:p>
              </w:tc>
              <w:tc>
                <w:tcPr>
                  <w:tcW w:w="947" w:type="dxa"/>
                  <w:noWrap w:val="0"/>
                  <w:vAlign w:val="center"/>
                </w:tcPr>
                <w:p w14:paraId="71A780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color w:val="auto"/>
                      <w:kern w:val="2"/>
                      <w:sz w:val="21"/>
                      <w:szCs w:val="24"/>
                      <w:highlight w:val="none"/>
                      <w:lang w:val="en-US" w:eastAsia="zh-CN" w:bidi="ar-SA"/>
                    </w:rPr>
                  </w:pPr>
                  <w:r>
                    <w:rPr>
                      <w:rFonts w:hint="eastAsia" w:ascii="Times New Roman" w:hAnsi="Times New Roman" w:cs="Times New Roman"/>
                      <w:color w:val="000000"/>
                      <w:sz w:val="21"/>
                      <w:szCs w:val="21"/>
                      <w:lang w:val="en-US" w:eastAsia="zh-CN"/>
                    </w:rPr>
                    <w:t>59</w:t>
                  </w:r>
                </w:p>
              </w:tc>
              <w:tc>
                <w:tcPr>
                  <w:tcW w:w="931" w:type="dxa"/>
                  <w:noWrap w:val="0"/>
                  <w:vAlign w:val="center"/>
                </w:tcPr>
                <w:p w14:paraId="3C591D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color w:val="auto"/>
                      <w:kern w:val="2"/>
                      <w:sz w:val="21"/>
                      <w:szCs w:val="24"/>
                      <w:highlight w:val="none"/>
                      <w:lang w:val="en-US" w:eastAsia="zh-CN" w:bidi="ar-SA"/>
                    </w:rPr>
                  </w:pPr>
                  <w:r>
                    <w:rPr>
                      <w:rFonts w:hint="eastAsia" w:ascii="Times New Roman" w:hAnsi="Times New Roman" w:cs="Times New Roman"/>
                      <w:color w:val="000000"/>
                      <w:sz w:val="21"/>
                      <w:szCs w:val="21"/>
                      <w:lang w:val="en-US" w:eastAsia="zh-CN"/>
                    </w:rPr>
                    <w:t>41</w:t>
                  </w:r>
                </w:p>
              </w:tc>
              <w:tc>
                <w:tcPr>
                  <w:tcW w:w="914" w:type="dxa"/>
                  <w:noWrap w:val="0"/>
                  <w:vAlign w:val="center"/>
                </w:tcPr>
                <w:p w14:paraId="305A889F">
                  <w:pPr>
                    <w:keepNext w:val="0"/>
                    <w:keepLines w:val="0"/>
                    <w:pageBreakBefore w:val="0"/>
                    <w:widowControl w:val="0"/>
                    <w:bidi w:val="0"/>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28</w:t>
                  </w:r>
                  <w:r>
                    <w:rPr>
                      <w:rFonts w:hint="eastAsia" w:ascii="Times New Roman" w:hAnsi="Times New Roman" w:eastAsia="宋体" w:cs="Times New Roman"/>
                      <w:color w:val="auto"/>
                      <w:kern w:val="2"/>
                      <w:sz w:val="21"/>
                      <w:szCs w:val="24"/>
                      <w:highlight w:val="none"/>
                      <w:lang w:val="en-US" w:eastAsia="zh-CN" w:bidi="ar-SA"/>
                    </w:rPr>
                    <w:t>.8</w:t>
                  </w:r>
                </w:p>
              </w:tc>
              <w:tc>
                <w:tcPr>
                  <w:tcW w:w="924" w:type="dxa"/>
                  <w:noWrap w:val="0"/>
                  <w:vAlign w:val="center"/>
                </w:tcPr>
                <w:p w14:paraId="112434EC">
                  <w:pPr>
                    <w:keepNext w:val="0"/>
                    <w:keepLines w:val="0"/>
                    <w:pageBreakBefore w:val="0"/>
                    <w:widowControl w:val="0"/>
                    <w:bidi w:val="0"/>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28</w:t>
                  </w:r>
                  <w:r>
                    <w:rPr>
                      <w:rFonts w:hint="eastAsia" w:ascii="Times New Roman" w:hAnsi="Times New Roman" w:eastAsia="宋体" w:cs="Times New Roman"/>
                      <w:color w:val="auto"/>
                      <w:kern w:val="2"/>
                      <w:sz w:val="21"/>
                      <w:szCs w:val="24"/>
                      <w:highlight w:val="none"/>
                      <w:lang w:val="en-US" w:eastAsia="zh-CN" w:bidi="ar-SA"/>
                    </w:rPr>
                    <w:t>.8</w:t>
                  </w:r>
                </w:p>
              </w:tc>
              <w:tc>
                <w:tcPr>
                  <w:tcW w:w="951" w:type="dxa"/>
                  <w:noWrap w:val="0"/>
                  <w:vAlign w:val="center"/>
                </w:tcPr>
                <w:p w14:paraId="0436B8FC">
                  <w:pPr>
                    <w:keepNext w:val="0"/>
                    <w:keepLines w:val="0"/>
                    <w:pageBreakBefore w:val="0"/>
                    <w:suppressLineNumbers w:val="0"/>
                    <w:kinsoku/>
                    <w:wordWrap/>
                    <w:overflowPunct/>
                    <w:bidi w:val="0"/>
                    <w:spacing w:before="0" w:beforeAutospacing="0" w:afterAutospacing="0"/>
                    <w:ind w:left="0" w:leftChars="0" w:right="0" w:rightChars="0"/>
                    <w:jc w:val="center"/>
                    <w:rPr>
                      <w:rFonts w:hint="default"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59.0</w:t>
                  </w:r>
                </w:p>
              </w:tc>
              <w:tc>
                <w:tcPr>
                  <w:tcW w:w="1019" w:type="dxa"/>
                  <w:noWrap w:val="0"/>
                  <w:vAlign w:val="center"/>
                </w:tcPr>
                <w:p w14:paraId="3CDDF301">
                  <w:pPr>
                    <w:keepNext w:val="0"/>
                    <w:keepLines w:val="0"/>
                    <w:pageBreakBefore w:val="0"/>
                    <w:suppressLineNumbers w:val="0"/>
                    <w:kinsoku/>
                    <w:wordWrap/>
                    <w:overflowPunct/>
                    <w:bidi w:val="0"/>
                    <w:spacing w:before="0" w:beforeAutospacing="0" w:afterAutospacing="0"/>
                    <w:ind w:left="0" w:leftChars="0" w:right="0" w:rightChars="0"/>
                    <w:jc w:val="center"/>
                    <w:rPr>
                      <w:rFonts w:hint="default"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41.3</w:t>
                  </w:r>
                </w:p>
              </w:tc>
              <w:tc>
                <w:tcPr>
                  <w:tcW w:w="996" w:type="pct"/>
                  <w:noWrap w:val="0"/>
                  <w:vAlign w:val="center"/>
                </w:tcPr>
                <w:p w14:paraId="020E0924">
                  <w:pPr>
                    <w:keepNext w:val="0"/>
                    <w:keepLines w:val="0"/>
                    <w:pageBreakBefore w:val="0"/>
                    <w:widowControl w:val="0"/>
                    <w:suppressLineNumbers w:val="0"/>
                    <w:bidi w:val="0"/>
                    <w:spacing w:beforeAutospacing="0" w:afterAutospacing="0" w:line="240" w:lineRule="auto"/>
                    <w:ind w:left="0" w:leftChars="0" w:right="0" w:rightChars="0" w:firstLine="0" w:firstLineChars="0"/>
                    <w:jc w:val="center"/>
                    <w:rPr>
                      <w:rFonts w:hint="default" w:ascii="Times New Roman" w:hAnsi="Times New Roman" w:eastAsia="宋体" w:cs="Times New Roman"/>
                      <w:i w:val="0"/>
                      <w:iCs w:val="0"/>
                      <w:color w:val="auto"/>
                      <w:kern w:val="2"/>
                      <w:sz w:val="21"/>
                      <w:szCs w:val="21"/>
                      <w:lang w:val="en-US" w:eastAsia="zh-CN" w:bidi="ar-SA"/>
                    </w:rPr>
                  </w:pPr>
                  <w:r>
                    <w:rPr>
                      <w:rFonts w:hint="default" w:ascii="Times New Roman" w:hAnsi="Times New Roman" w:cs="Times New Roman"/>
                      <w:i w:val="0"/>
                      <w:iCs w:val="0"/>
                      <w:color w:val="auto"/>
                    </w:rPr>
                    <w:t>达标</w:t>
                  </w:r>
                </w:p>
              </w:tc>
            </w:tr>
            <w:tr w14:paraId="2B7D7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pct"/>
                  <w:noWrap w:val="0"/>
                  <w:vAlign w:val="center"/>
                </w:tcPr>
                <w:p w14:paraId="1F47403D">
                  <w:pPr>
                    <w:keepNext w:val="0"/>
                    <w:keepLines w:val="0"/>
                    <w:pageBreakBefore w:val="0"/>
                    <w:widowControl w:val="0"/>
                    <w:suppressLineNumbers w:val="0"/>
                    <w:bidi w:val="0"/>
                    <w:spacing w:beforeAutospacing="0" w:afterAutospacing="0" w:line="240" w:lineRule="auto"/>
                    <w:ind w:left="0" w:leftChars="0" w:right="0" w:rightChars="0" w:firstLine="0" w:firstLineChars="0"/>
                    <w:contextualSpacing/>
                    <w:jc w:val="center"/>
                    <w:rPr>
                      <w:rFonts w:hint="default" w:ascii="Times New Roman" w:hAnsi="Times New Roman" w:cs="Times New Roman"/>
                      <w:i w:val="0"/>
                      <w:iCs w:val="0"/>
                      <w:color w:val="auto"/>
                    </w:rPr>
                  </w:pPr>
                  <w:r>
                    <w:rPr>
                      <w:rFonts w:hint="eastAsia" w:cs="Times New Roman"/>
                      <w:i w:val="0"/>
                      <w:iCs w:val="0"/>
                      <w:color w:val="auto"/>
                      <w:lang w:eastAsia="zh-CN"/>
                    </w:rPr>
                    <w:t>西</w:t>
                  </w:r>
                  <w:r>
                    <w:rPr>
                      <w:rFonts w:hint="default" w:ascii="Times New Roman" w:hAnsi="Times New Roman" w:cs="Times New Roman"/>
                      <w:i w:val="0"/>
                      <w:iCs w:val="0"/>
                      <w:color w:val="auto"/>
                    </w:rPr>
                    <w:t>厂界</w:t>
                  </w:r>
                </w:p>
              </w:tc>
              <w:tc>
                <w:tcPr>
                  <w:tcW w:w="947" w:type="dxa"/>
                  <w:noWrap w:val="0"/>
                  <w:vAlign w:val="center"/>
                </w:tcPr>
                <w:p w14:paraId="5B714F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color w:val="auto"/>
                      <w:kern w:val="2"/>
                      <w:sz w:val="21"/>
                      <w:szCs w:val="24"/>
                      <w:highlight w:val="none"/>
                      <w:lang w:val="en-US" w:eastAsia="zh-CN" w:bidi="ar-SA"/>
                    </w:rPr>
                  </w:pPr>
                  <w:r>
                    <w:rPr>
                      <w:rFonts w:hint="eastAsia" w:ascii="Times New Roman" w:hAnsi="Times New Roman" w:cs="Times New Roman"/>
                      <w:color w:val="000000"/>
                      <w:sz w:val="21"/>
                      <w:szCs w:val="21"/>
                      <w:lang w:val="en-US" w:eastAsia="zh-CN"/>
                    </w:rPr>
                    <w:t>46</w:t>
                  </w:r>
                </w:p>
              </w:tc>
              <w:tc>
                <w:tcPr>
                  <w:tcW w:w="931" w:type="dxa"/>
                  <w:noWrap w:val="0"/>
                  <w:vAlign w:val="center"/>
                </w:tcPr>
                <w:p w14:paraId="174176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color w:val="auto"/>
                      <w:kern w:val="2"/>
                      <w:sz w:val="21"/>
                      <w:szCs w:val="24"/>
                      <w:highlight w:val="none"/>
                      <w:lang w:val="en-US" w:eastAsia="zh-CN" w:bidi="ar-SA"/>
                    </w:rPr>
                  </w:pPr>
                  <w:r>
                    <w:rPr>
                      <w:rFonts w:hint="eastAsia" w:ascii="Times New Roman" w:hAnsi="Times New Roman" w:cs="Times New Roman"/>
                      <w:color w:val="000000"/>
                      <w:sz w:val="21"/>
                      <w:szCs w:val="21"/>
                      <w:lang w:val="en-US" w:eastAsia="zh-CN"/>
                    </w:rPr>
                    <w:t>45</w:t>
                  </w:r>
                </w:p>
              </w:tc>
              <w:tc>
                <w:tcPr>
                  <w:tcW w:w="914" w:type="dxa"/>
                  <w:noWrap w:val="0"/>
                  <w:vAlign w:val="center"/>
                </w:tcPr>
                <w:p w14:paraId="2A473367">
                  <w:pPr>
                    <w:keepNext w:val="0"/>
                    <w:keepLines w:val="0"/>
                    <w:pageBreakBefore w:val="0"/>
                    <w:widowControl w:val="0"/>
                    <w:bidi w:val="0"/>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36.5</w:t>
                  </w:r>
                </w:p>
              </w:tc>
              <w:tc>
                <w:tcPr>
                  <w:tcW w:w="924" w:type="dxa"/>
                  <w:noWrap w:val="0"/>
                  <w:vAlign w:val="center"/>
                </w:tcPr>
                <w:p w14:paraId="502BEAD9">
                  <w:pPr>
                    <w:keepNext w:val="0"/>
                    <w:keepLines w:val="0"/>
                    <w:pageBreakBefore w:val="0"/>
                    <w:widowControl w:val="0"/>
                    <w:bidi w:val="0"/>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36.5</w:t>
                  </w:r>
                </w:p>
              </w:tc>
              <w:tc>
                <w:tcPr>
                  <w:tcW w:w="951" w:type="dxa"/>
                  <w:noWrap w:val="0"/>
                  <w:vAlign w:val="center"/>
                </w:tcPr>
                <w:p w14:paraId="0701CA39">
                  <w:pPr>
                    <w:keepNext w:val="0"/>
                    <w:keepLines w:val="0"/>
                    <w:pageBreakBefore w:val="0"/>
                    <w:suppressLineNumbers w:val="0"/>
                    <w:kinsoku/>
                    <w:wordWrap/>
                    <w:overflowPunct/>
                    <w:bidi w:val="0"/>
                    <w:spacing w:before="0" w:beforeAutospacing="0" w:afterAutospacing="0"/>
                    <w:ind w:left="0" w:leftChars="0" w:right="0" w:rightChars="0"/>
                    <w:jc w:val="center"/>
                    <w:rPr>
                      <w:rFonts w:hint="default"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46.5</w:t>
                  </w:r>
                </w:p>
              </w:tc>
              <w:tc>
                <w:tcPr>
                  <w:tcW w:w="1019" w:type="dxa"/>
                  <w:noWrap w:val="0"/>
                  <w:vAlign w:val="center"/>
                </w:tcPr>
                <w:p w14:paraId="04B7B0EB">
                  <w:pPr>
                    <w:keepNext w:val="0"/>
                    <w:keepLines w:val="0"/>
                    <w:pageBreakBefore w:val="0"/>
                    <w:suppressLineNumbers w:val="0"/>
                    <w:kinsoku/>
                    <w:wordWrap/>
                    <w:overflowPunct/>
                    <w:bidi w:val="0"/>
                    <w:spacing w:before="0" w:beforeAutospacing="0" w:afterAutospacing="0"/>
                    <w:ind w:left="0" w:leftChars="0" w:right="0" w:rightChars="0"/>
                    <w:jc w:val="center"/>
                    <w:rPr>
                      <w:rFonts w:hint="default"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45.6</w:t>
                  </w:r>
                </w:p>
              </w:tc>
              <w:tc>
                <w:tcPr>
                  <w:tcW w:w="996" w:type="pct"/>
                  <w:noWrap w:val="0"/>
                  <w:vAlign w:val="center"/>
                </w:tcPr>
                <w:p w14:paraId="1736DDE2">
                  <w:pPr>
                    <w:keepNext w:val="0"/>
                    <w:keepLines w:val="0"/>
                    <w:pageBreakBefore w:val="0"/>
                    <w:widowControl w:val="0"/>
                    <w:suppressLineNumbers w:val="0"/>
                    <w:bidi w:val="0"/>
                    <w:spacing w:beforeAutospacing="0" w:afterAutospacing="0" w:line="240" w:lineRule="auto"/>
                    <w:ind w:left="0" w:leftChars="0" w:right="0" w:rightChars="0" w:firstLine="0" w:firstLineChars="0"/>
                    <w:jc w:val="center"/>
                    <w:rPr>
                      <w:rFonts w:hint="default" w:ascii="Times New Roman" w:hAnsi="Times New Roman" w:eastAsia="宋体" w:cs="Times New Roman"/>
                      <w:i w:val="0"/>
                      <w:iCs w:val="0"/>
                      <w:color w:val="auto"/>
                      <w:kern w:val="2"/>
                      <w:sz w:val="21"/>
                      <w:szCs w:val="21"/>
                      <w:lang w:val="en-US" w:eastAsia="zh-CN" w:bidi="ar-SA"/>
                    </w:rPr>
                  </w:pPr>
                  <w:r>
                    <w:rPr>
                      <w:rFonts w:hint="default" w:ascii="Times New Roman" w:hAnsi="Times New Roman" w:cs="Times New Roman"/>
                      <w:i w:val="0"/>
                      <w:iCs w:val="0"/>
                      <w:color w:val="auto"/>
                    </w:rPr>
                    <w:t>达标</w:t>
                  </w:r>
                </w:p>
              </w:tc>
            </w:tr>
            <w:tr w14:paraId="2A04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pct"/>
                  <w:noWrap w:val="0"/>
                  <w:vAlign w:val="center"/>
                </w:tcPr>
                <w:p w14:paraId="791519C8">
                  <w:pPr>
                    <w:keepNext w:val="0"/>
                    <w:keepLines w:val="0"/>
                    <w:pageBreakBefore w:val="0"/>
                    <w:widowControl w:val="0"/>
                    <w:suppressLineNumbers w:val="0"/>
                    <w:bidi w:val="0"/>
                    <w:spacing w:beforeAutospacing="0" w:afterAutospacing="0" w:line="240" w:lineRule="auto"/>
                    <w:ind w:left="0" w:leftChars="0" w:right="0" w:rightChars="0" w:firstLine="0" w:firstLineChars="0"/>
                    <w:contextualSpacing/>
                    <w:jc w:val="center"/>
                    <w:rPr>
                      <w:rFonts w:hint="default" w:ascii="Times New Roman" w:hAnsi="Times New Roman" w:cs="Times New Roman"/>
                      <w:i w:val="0"/>
                      <w:iCs w:val="0"/>
                      <w:color w:val="auto"/>
                    </w:rPr>
                  </w:pPr>
                  <w:r>
                    <w:rPr>
                      <w:rFonts w:hint="eastAsia" w:cs="Times New Roman"/>
                      <w:i w:val="0"/>
                      <w:iCs w:val="0"/>
                      <w:color w:val="auto"/>
                      <w:lang w:eastAsia="zh-CN"/>
                    </w:rPr>
                    <w:t>北</w:t>
                  </w:r>
                  <w:r>
                    <w:rPr>
                      <w:rFonts w:hint="default" w:ascii="Times New Roman" w:hAnsi="Times New Roman" w:cs="Times New Roman"/>
                      <w:i w:val="0"/>
                      <w:iCs w:val="0"/>
                      <w:color w:val="auto"/>
                    </w:rPr>
                    <w:t>厂界</w:t>
                  </w:r>
                </w:p>
              </w:tc>
              <w:tc>
                <w:tcPr>
                  <w:tcW w:w="947" w:type="dxa"/>
                  <w:noWrap w:val="0"/>
                  <w:vAlign w:val="center"/>
                </w:tcPr>
                <w:p w14:paraId="3F3C91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color w:val="auto"/>
                      <w:kern w:val="2"/>
                      <w:sz w:val="21"/>
                      <w:szCs w:val="24"/>
                      <w:highlight w:val="none"/>
                      <w:lang w:val="en-US" w:eastAsia="zh-CN" w:bidi="ar-SA"/>
                    </w:rPr>
                  </w:pPr>
                  <w:r>
                    <w:rPr>
                      <w:rFonts w:hint="eastAsia" w:ascii="Times New Roman" w:hAnsi="Times New Roman" w:cs="Times New Roman"/>
                      <w:color w:val="000000"/>
                      <w:sz w:val="21"/>
                      <w:szCs w:val="21"/>
                      <w:lang w:val="en-US" w:eastAsia="zh-CN"/>
                    </w:rPr>
                    <w:t>52</w:t>
                  </w:r>
                </w:p>
              </w:tc>
              <w:tc>
                <w:tcPr>
                  <w:tcW w:w="931" w:type="dxa"/>
                  <w:noWrap w:val="0"/>
                  <w:vAlign w:val="center"/>
                </w:tcPr>
                <w:p w14:paraId="09496D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color w:val="auto"/>
                      <w:kern w:val="2"/>
                      <w:sz w:val="21"/>
                      <w:szCs w:val="24"/>
                      <w:highlight w:val="none"/>
                      <w:lang w:val="en-US" w:eastAsia="zh-CN" w:bidi="ar-SA"/>
                    </w:rPr>
                  </w:pPr>
                  <w:r>
                    <w:rPr>
                      <w:rFonts w:hint="eastAsia" w:ascii="Times New Roman" w:hAnsi="Times New Roman" w:cs="Times New Roman"/>
                      <w:color w:val="000000"/>
                      <w:sz w:val="21"/>
                      <w:szCs w:val="21"/>
                      <w:lang w:val="en-US" w:eastAsia="zh-CN"/>
                    </w:rPr>
                    <w:t>44</w:t>
                  </w:r>
                </w:p>
              </w:tc>
              <w:tc>
                <w:tcPr>
                  <w:tcW w:w="914" w:type="dxa"/>
                  <w:noWrap w:val="0"/>
                  <w:vAlign w:val="center"/>
                </w:tcPr>
                <w:p w14:paraId="4CFFDAD4">
                  <w:pPr>
                    <w:keepNext w:val="0"/>
                    <w:keepLines w:val="0"/>
                    <w:pageBreakBefore w:val="0"/>
                    <w:widowControl w:val="0"/>
                    <w:bidi w:val="0"/>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45.6</w:t>
                  </w:r>
                </w:p>
              </w:tc>
              <w:tc>
                <w:tcPr>
                  <w:tcW w:w="924" w:type="dxa"/>
                  <w:noWrap w:val="0"/>
                  <w:vAlign w:val="center"/>
                </w:tcPr>
                <w:p w14:paraId="65F0406A">
                  <w:pPr>
                    <w:keepNext w:val="0"/>
                    <w:keepLines w:val="0"/>
                    <w:pageBreakBefore w:val="0"/>
                    <w:widowControl w:val="0"/>
                    <w:bidi w:val="0"/>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45.6</w:t>
                  </w:r>
                </w:p>
              </w:tc>
              <w:tc>
                <w:tcPr>
                  <w:tcW w:w="951" w:type="dxa"/>
                  <w:noWrap w:val="0"/>
                  <w:vAlign w:val="center"/>
                </w:tcPr>
                <w:p w14:paraId="0C386D17">
                  <w:pPr>
                    <w:keepNext w:val="0"/>
                    <w:keepLines w:val="0"/>
                    <w:pageBreakBefore w:val="0"/>
                    <w:suppressLineNumbers w:val="0"/>
                    <w:kinsoku/>
                    <w:wordWrap/>
                    <w:overflowPunct/>
                    <w:bidi w:val="0"/>
                    <w:spacing w:before="0" w:beforeAutospacing="0" w:afterAutospacing="0"/>
                    <w:ind w:left="0" w:leftChars="0" w:right="0" w:rightChars="0"/>
                    <w:jc w:val="center"/>
                    <w:rPr>
                      <w:rFonts w:hint="default"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52.9</w:t>
                  </w:r>
                </w:p>
              </w:tc>
              <w:tc>
                <w:tcPr>
                  <w:tcW w:w="1019" w:type="dxa"/>
                  <w:noWrap w:val="0"/>
                  <w:vAlign w:val="center"/>
                </w:tcPr>
                <w:p w14:paraId="1716F584">
                  <w:pPr>
                    <w:keepNext w:val="0"/>
                    <w:keepLines w:val="0"/>
                    <w:pageBreakBefore w:val="0"/>
                    <w:suppressLineNumbers w:val="0"/>
                    <w:kinsoku/>
                    <w:wordWrap/>
                    <w:overflowPunct/>
                    <w:bidi w:val="0"/>
                    <w:spacing w:before="0" w:beforeAutospacing="0" w:afterAutospacing="0"/>
                    <w:ind w:left="0" w:leftChars="0" w:right="0" w:rightChars="0"/>
                    <w:jc w:val="center"/>
                    <w:rPr>
                      <w:rFonts w:hint="default"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47.9</w:t>
                  </w:r>
                </w:p>
              </w:tc>
              <w:tc>
                <w:tcPr>
                  <w:tcW w:w="996" w:type="pct"/>
                  <w:noWrap w:val="0"/>
                  <w:vAlign w:val="center"/>
                </w:tcPr>
                <w:p w14:paraId="4CB947F1">
                  <w:pPr>
                    <w:keepNext w:val="0"/>
                    <w:keepLines w:val="0"/>
                    <w:pageBreakBefore w:val="0"/>
                    <w:widowControl w:val="0"/>
                    <w:suppressLineNumbers w:val="0"/>
                    <w:bidi w:val="0"/>
                    <w:spacing w:beforeAutospacing="0" w:afterAutospacing="0" w:line="240" w:lineRule="auto"/>
                    <w:ind w:left="0" w:leftChars="0" w:right="0" w:rightChars="0" w:firstLine="0" w:firstLineChars="0"/>
                    <w:jc w:val="center"/>
                    <w:rPr>
                      <w:rFonts w:hint="default" w:ascii="Times New Roman" w:hAnsi="Times New Roman" w:eastAsia="宋体" w:cs="Times New Roman"/>
                      <w:i w:val="0"/>
                      <w:iCs w:val="0"/>
                      <w:color w:val="auto"/>
                      <w:kern w:val="2"/>
                      <w:sz w:val="21"/>
                      <w:szCs w:val="21"/>
                      <w:lang w:val="en-US" w:eastAsia="zh-CN" w:bidi="ar-SA"/>
                    </w:rPr>
                  </w:pPr>
                  <w:r>
                    <w:rPr>
                      <w:rFonts w:hint="default" w:ascii="Times New Roman" w:hAnsi="Times New Roman" w:cs="Times New Roman"/>
                      <w:i w:val="0"/>
                      <w:iCs w:val="0"/>
                      <w:color w:val="auto"/>
                    </w:rPr>
                    <w:t>达标</w:t>
                  </w:r>
                </w:p>
              </w:tc>
            </w:tr>
          </w:tbl>
          <w:p w14:paraId="3C89D61C">
            <w:pPr>
              <w:keepNext w:val="0"/>
              <w:keepLines w:val="0"/>
              <w:pageBreakBefore w:val="0"/>
              <w:widowControl/>
              <w:kinsoku/>
              <w:wordWrap/>
              <w:overflowPunct/>
              <w:topLinePunct w:val="0"/>
              <w:autoSpaceDE/>
              <w:autoSpaceDN/>
              <w:bidi w:val="0"/>
              <w:adjustRightInd w:val="0"/>
              <w:snapToGrid w:val="0"/>
              <w:spacing w:line="240" w:lineRule="auto"/>
              <w:ind w:left="0" w:leftChars="0" w:right="0"/>
              <w:contextualSpacing/>
              <w:jc w:val="center"/>
              <w:textAlignment w:val="auto"/>
              <w:rPr>
                <w:rFonts w:hint="default" w:ascii="Times New Roman" w:hAnsi="Times New Roman" w:cs="Times New Roman"/>
                <w:b/>
                <w:color w:val="auto"/>
                <w:kern w:val="0"/>
                <w:szCs w:val="21"/>
              </w:rPr>
            </w:pPr>
            <w:r>
              <w:rPr>
                <w:rFonts w:hint="default" w:ascii="Times New Roman" w:hAnsi="Times New Roman" w:cs="Times New Roman"/>
                <w:b/>
                <w:color w:val="auto"/>
                <w:kern w:val="0"/>
                <w:sz w:val="24"/>
                <w:szCs w:val="24"/>
              </w:rPr>
              <w:t>表4-</w:t>
            </w:r>
            <w:r>
              <w:rPr>
                <w:rFonts w:hint="eastAsia" w:ascii="Times New Roman" w:hAnsi="Times New Roman" w:cs="Times New Roman"/>
                <w:b/>
                <w:color w:val="auto"/>
                <w:kern w:val="0"/>
                <w:sz w:val="24"/>
                <w:szCs w:val="24"/>
                <w:lang w:val="en-US" w:eastAsia="zh-CN"/>
              </w:rPr>
              <w:t>16</w:t>
            </w:r>
            <w:r>
              <w:rPr>
                <w:rFonts w:hint="default" w:ascii="Times New Roman" w:hAnsi="Times New Roman" w:cs="Times New Roman"/>
                <w:b/>
                <w:color w:val="auto"/>
                <w:kern w:val="0"/>
                <w:sz w:val="24"/>
                <w:szCs w:val="24"/>
                <w:lang w:val="en-US" w:eastAsia="zh-CN"/>
              </w:rPr>
              <w:t xml:space="preserve"> </w:t>
            </w:r>
            <w:r>
              <w:rPr>
                <w:rFonts w:hint="default" w:ascii="Times New Roman" w:hAnsi="Times New Roman" w:cs="Times New Roman"/>
                <w:b/>
                <w:color w:val="auto"/>
                <w:kern w:val="0"/>
                <w:sz w:val="24"/>
                <w:szCs w:val="24"/>
              </w:rPr>
              <w:t xml:space="preserve"> </w:t>
            </w:r>
            <w:r>
              <w:rPr>
                <w:rFonts w:hint="eastAsia" w:cs="Times New Roman"/>
                <w:b/>
                <w:color w:val="auto"/>
                <w:kern w:val="0"/>
                <w:sz w:val="24"/>
                <w:szCs w:val="24"/>
                <w:lang w:eastAsia="zh-CN"/>
              </w:rPr>
              <w:t>项目声环境保护目标</w:t>
            </w:r>
            <w:r>
              <w:rPr>
                <w:rFonts w:hint="default" w:ascii="Times New Roman" w:hAnsi="Times New Roman" w:cs="Times New Roman"/>
                <w:b/>
                <w:color w:val="auto"/>
                <w:kern w:val="0"/>
                <w:sz w:val="24"/>
                <w:szCs w:val="24"/>
              </w:rPr>
              <w:t>噪声值预测一览表</w:t>
            </w:r>
          </w:p>
          <w:tbl>
            <w:tblPr>
              <w:tblStyle w:val="2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1125"/>
              <w:gridCol w:w="1080"/>
              <w:gridCol w:w="1215"/>
              <w:gridCol w:w="1230"/>
              <w:gridCol w:w="1185"/>
              <w:gridCol w:w="1215"/>
              <w:gridCol w:w="677"/>
            </w:tblGrid>
            <w:tr w14:paraId="5DE2D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515" w:type="pct"/>
                  <w:vMerge w:val="restart"/>
                  <w:noWrap w:val="0"/>
                  <w:vAlign w:val="center"/>
                </w:tcPr>
                <w:p w14:paraId="3EECEF80">
                  <w:pPr>
                    <w:keepNext w:val="0"/>
                    <w:keepLines w:val="0"/>
                    <w:pageBreakBefore w:val="0"/>
                    <w:suppressLineNumbers w:val="0"/>
                    <w:kinsoku/>
                    <w:wordWrap/>
                    <w:overflowPunct/>
                    <w:autoSpaceDE w:val="0"/>
                    <w:autoSpaceDN w:val="0"/>
                    <w:bidi w:val="0"/>
                    <w:spacing w:before="0" w:beforeAutospacing="0" w:afterAutospacing="0" w:line="240" w:lineRule="exact"/>
                    <w:ind w:left="0" w:leftChars="0" w:right="0"/>
                    <w:contextualSpacing/>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预测点</w:t>
                  </w:r>
                </w:p>
              </w:tc>
              <w:tc>
                <w:tcPr>
                  <w:tcW w:w="1279" w:type="pct"/>
                  <w:gridSpan w:val="2"/>
                  <w:noWrap w:val="0"/>
                  <w:vAlign w:val="center"/>
                </w:tcPr>
                <w:p w14:paraId="7D9A764B">
                  <w:pPr>
                    <w:keepNext w:val="0"/>
                    <w:keepLines w:val="0"/>
                    <w:pageBreakBefore w:val="0"/>
                    <w:suppressLineNumbers w:val="0"/>
                    <w:kinsoku/>
                    <w:wordWrap/>
                    <w:overflowPunct/>
                    <w:autoSpaceDE w:val="0"/>
                    <w:autoSpaceDN w:val="0"/>
                    <w:bidi w:val="0"/>
                    <w:spacing w:before="0" w:beforeAutospacing="0" w:afterAutospacing="0" w:line="240" w:lineRule="exact"/>
                    <w:ind w:left="0" w:leftChars="0" w:right="0"/>
                    <w:contextualSpacing/>
                    <w:jc w:val="center"/>
                    <w:rPr>
                      <w:rFonts w:hint="eastAsia" w:ascii="Times New Roman" w:hAnsi="Times New Roman" w:eastAsia="宋体" w:cs="Times New Roman"/>
                      <w:i w:val="0"/>
                      <w:iCs w:val="0"/>
                      <w:color w:val="auto"/>
                      <w:lang w:eastAsia="zh-CN"/>
                    </w:rPr>
                  </w:pPr>
                  <w:r>
                    <w:rPr>
                      <w:rFonts w:hint="eastAsia" w:cs="Times New Roman"/>
                      <w:i w:val="0"/>
                      <w:iCs w:val="0"/>
                      <w:color w:val="auto"/>
                      <w:lang w:eastAsia="zh-CN"/>
                    </w:rPr>
                    <w:t>背景值</w:t>
                  </w:r>
                </w:p>
              </w:tc>
              <w:tc>
                <w:tcPr>
                  <w:tcW w:w="1418" w:type="pct"/>
                  <w:gridSpan w:val="2"/>
                  <w:noWrap w:val="0"/>
                  <w:vAlign w:val="center"/>
                </w:tcPr>
                <w:p w14:paraId="698174EE">
                  <w:pPr>
                    <w:keepNext w:val="0"/>
                    <w:keepLines w:val="0"/>
                    <w:pageBreakBefore w:val="0"/>
                    <w:suppressLineNumbers w:val="0"/>
                    <w:kinsoku/>
                    <w:wordWrap/>
                    <w:overflowPunct/>
                    <w:autoSpaceDE w:val="0"/>
                    <w:autoSpaceDN w:val="0"/>
                    <w:bidi w:val="0"/>
                    <w:spacing w:before="0" w:beforeAutospacing="0" w:afterAutospacing="0" w:line="240" w:lineRule="exact"/>
                    <w:ind w:right="0"/>
                    <w:contextualSpacing/>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贡献值</w:t>
                  </w:r>
                </w:p>
              </w:tc>
              <w:tc>
                <w:tcPr>
                  <w:tcW w:w="1392" w:type="pct"/>
                  <w:gridSpan w:val="2"/>
                  <w:noWrap w:val="0"/>
                  <w:vAlign w:val="center"/>
                </w:tcPr>
                <w:p w14:paraId="5B52A3CD">
                  <w:pPr>
                    <w:keepNext w:val="0"/>
                    <w:keepLines w:val="0"/>
                    <w:pageBreakBefore w:val="0"/>
                    <w:suppressLineNumbers w:val="0"/>
                    <w:kinsoku/>
                    <w:wordWrap/>
                    <w:overflowPunct/>
                    <w:autoSpaceDE w:val="0"/>
                    <w:autoSpaceDN w:val="0"/>
                    <w:bidi w:val="0"/>
                    <w:spacing w:before="0" w:beforeAutospacing="0" w:afterAutospacing="0" w:line="240" w:lineRule="exact"/>
                    <w:ind w:left="0" w:leftChars="0" w:right="0" w:rightChars="0"/>
                    <w:contextualSpacing/>
                    <w:jc w:val="center"/>
                    <w:rPr>
                      <w:rFonts w:hint="eastAsia" w:cs="Times New Roman"/>
                      <w:i w:val="0"/>
                      <w:iCs w:val="0"/>
                      <w:color w:val="auto"/>
                      <w:lang w:val="en-US" w:eastAsia="zh-CN"/>
                    </w:rPr>
                  </w:pPr>
                  <w:r>
                    <w:rPr>
                      <w:rFonts w:hint="eastAsia" w:cs="Times New Roman"/>
                      <w:i w:val="0"/>
                      <w:iCs w:val="0"/>
                      <w:color w:val="auto"/>
                      <w:lang w:val="en-US" w:eastAsia="zh-CN"/>
                    </w:rPr>
                    <w:t>预测值</w:t>
                  </w:r>
                </w:p>
              </w:tc>
              <w:tc>
                <w:tcPr>
                  <w:tcW w:w="392" w:type="pct"/>
                  <w:vMerge w:val="restart"/>
                  <w:noWrap w:val="0"/>
                  <w:vAlign w:val="center"/>
                </w:tcPr>
                <w:p w14:paraId="6150669D">
                  <w:pPr>
                    <w:keepNext w:val="0"/>
                    <w:keepLines w:val="0"/>
                    <w:pageBreakBefore w:val="0"/>
                    <w:suppressLineNumbers w:val="0"/>
                    <w:kinsoku/>
                    <w:wordWrap/>
                    <w:overflowPunct/>
                    <w:autoSpaceDE w:val="0"/>
                    <w:autoSpaceDN w:val="0"/>
                    <w:bidi w:val="0"/>
                    <w:spacing w:before="0" w:beforeAutospacing="0" w:afterAutospacing="0" w:line="240" w:lineRule="exact"/>
                    <w:ind w:left="0" w:leftChars="0" w:right="0" w:rightChars="0"/>
                    <w:contextualSpacing/>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达标情况</w:t>
                  </w:r>
                </w:p>
              </w:tc>
            </w:tr>
            <w:tr w14:paraId="3FA4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15" w:type="pct"/>
                  <w:vMerge w:val="continue"/>
                  <w:noWrap w:val="0"/>
                  <w:vAlign w:val="center"/>
                </w:tcPr>
                <w:p w14:paraId="1DA72C81">
                  <w:pPr>
                    <w:keepNext w:val="0"/>
                    <w:keepLines w:val="0"/>
                    <w:pageBreakBefore w:val="0"/>
                    <w:suppressLineNumbers w:val="0"/>
                    <w:kinsoku/>
                    <w:wordWrap/>
                    <w:overflowPunct/>
                    <w:autoSpaceDE w:val="0"/>
                    <w:autoSpaceDN w:val="0"/>
                    <w:bidi w:val="0"/>
                    <w:spacing w:before="0" w:beforeAutospacing="0" w:afterAutospacing="0" w:line="240" w:lineRule="exact"/>
                    <w:ind w:left="0" w:leftChars="0" w:right="0" w:firstLine="420" w:firstLineChars="200"/>
                    <w:contextualSpacing/>
                    <w:jc w:val="center"/>
                    <w:rPr>
                      <w:rFonts w:hint="default" w:ascii="Times New Roman" w:hAnsi="Times New Roman" w:cs="Times New Roman"/>
                      <w:i w:val="0"/>
                      <w:iCs w:val="0"/>
                      <w:color w:val="auto"/>
                    </w:rPr>
                  </w:pPr>
                </w:p>
              </w:tc>
              <w:tc>
                <w:tcPr>
                  <w:tcW w:w="652" w:type="pct"/>
                  <w:noWrap w:val="0"/>
                  <w:vAlign w:val="center"/>
                </w:tcPr>
                <w:p w14:paraId="54E6722B">
                  <w:pPr>
                    <w:keepNext w:val="0"/>
                    <w:keepLines w:val="0"/>
                    <w:pageBreakBefore w:val="0"/>
                    <w:suppressLineNumbers w:val="0"/>
                    <w:kinsoku/>
                    <w:wordWrap/>
                    <w:overflowPunct/>
                    <w:autoSpaceDE w:val="0"/>
                    <w:autoSpaceDN w:val="0"/>
                    <w:bidi w:val="0"/>
                    <w:spacing w:before="0" w:beforeAutospacing="0" w:afterAutospacing="0" w:line="240" w:lineRule="exact"/>
                    <w:ind w:left="0" w:leftChars="0" w:right="0" w:rightChars="0"/>
                    <w:contextualSpacing/>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昼间dB(A)</w:t>
                  </w:r>
                </w:p>
              </w:tc>
              <w:tc>
                <w:tcPr>
                  <w:tcW w:w="626" w:type="pct"/>
                  <w:noWrap w:val="0"/>
                  <w:vAlign w:val="center"/>
                </w:tcPr>
                <w:p w14:paraId="75303282">
                  <w:pPr>
                    <w:keepNext w:val="0"/>
                    <w:keepLines w:val="0"/>
                    <w:pageBreakBefore w:val="0"/>
                    <w:suppressLineNumbers w:val="0"/>
                    <w:kinsoku/>
                    <w:wordWrap/>
                    <w:overflowPunct/>
                    <w:autoSpaceDE w:val="0"/>
                    <w:autoSpaceDN w:val="0"/>
                    <w:bidi w:val="0"/>
                    <w:spacing w:before="0" w:beforeAutospacing="0" w:afterAutospacing="0" w:line="240" w:lineRule="exact"/>
                    <w:ind w:left="0" w:leftChars="0" w:right="0" w:rightChars="0"/>
                    <w:contextualSpacing/>
                    <w:jc w:val="center"/>
                    <w:rPr>
                      <w:rFonts w:hint="default" w:ascii="Times New Roman" w:hAnsi="Times New Roman" w:cs="Times New Roman"/>
                      <w:i w:val="0"/>
                      <w:iCs w:val="0"/>
                      <w:color w:val="auto"/>
                    </w:rPr>
                  </w:pPr>
                  <w:r>
                    <w:rPr>
                      <w:rFonts w:hint="eastAsia" w:ascii="Times New Roman" w:hAnsi="Times New Roman" w:cs="Times New Roman"/>
                      <w:i w:val="0"/>
                      <w:iCs w:val="0"/>
                      <w:color w:val="auto"/>
                      <w:lang w:eastAsia="zh-CN"/>
                    </w:rPr>
                    <w:t>夜</w:t>
                  </w:r>
                  <w:r>
                    <w:rPr>
                      <w:rFonts w:hint="default" w:ascii="Times New Roman" w:hAnsi="Times New Roman" w:cs="Times New Roman"/>
                      <w:i w:val="0"/>
                      <w:iCs w:val="0"/>
                      <w:color w:val="auto"/>
                    </w:rPr>
                    <w:t>间dB(A)</w:t>
                  </w:r>
                </w:p>
              </w:tc>
              <w:tc>
                <w:tcPr>
                  <w:tcW w:w="705" w:type="pct"/>
                  <w:noWrap w:val="0"/>
                  <w:vAlign w:val="center"/>
                </w:tcPr>
                <w:p w14:paraId="5C30265F">
                  <w:pPr>
                    <w:keepNext w:val="0"/>
                    <w:keepLines w:val="0"/>
                    <w:pageBreakBefore w:val="0"/>
                    <w:suppressLineNumbers w:val="0"/>
                    <w:kinsoku/>
                    <w:wordWrap/>
                    <w:overflowPunct/>
                    <w:autoSpaceDE w:val="0"/>
                    <w:autoSpaceDN w:val="0"/>
                    <w:bidi w:val="0"/>
                    <w:spacing w:before="0" w:beforeAutospacing="0" w:afterAutospacing="0" w:line="240" w:lineRule="exact"/>
                    <w:ind w:left="0" w:leftChars="0" w:right="0"/>
                    <w:contextualSpacing/>
                    <w:jc w:val="center"/>
                    <w:rPr>
                      <w:rFonts w:hint="default" w:ascii="Times New Roman" w:hAnsi="Times New Roman" w:eastAsia="宋体" w:cs="Times New Roman"/>
                      <w:i w:val="0"/>
                      <w:iCs w:val="0"/>
                      <w:color w:val="auto"/>
                      <w:highlight w:val="yellow"/>
                      <w:lang w:val="en-US" w:eastAsia="zh-CN"/>
                    </w:rPr>
                  </w:pPr>
                  <w:r>
                    <w:rPr>
                      <w:rFonts w:hint="default" w:ascii="Times New Roman" w:hAnsi="Times New Roman" w:cs="Times New Roman"/>
                      <w:i w:val="0"/>
                      <w:iCs w:val="0"/>
                      <w:color w:val="auto"/>
                    </w:rPr>
                    <w:t>昼间dB(A)</w:t>
                  </w:r>
                </w:p>
              </w:tc>
              <w:tc>
                <w:tcPr>
                  <w:tcW w:w="713" w:type="pct"/>
                  <w:noWrap w:val="0"/>
                  <w:vAlign w:val="center"/>
                </w:tcPr>
                <w:p w14:paraId="3934B26D">
                  <w:pPr>
                    <w:keepNext w:val="0"/>
                    <w:keepLines w:val="0"/>
                    <w:pageBreakBefore w:val="0"/>
                    <w:suppressLineNumbers w:val="0"/>
                    <w:kinsoku/>
                    <w:wordWrap/>
                    <w:overflowPunct/>
                    <w:autoSpaceDE w:val="0"/>
                    <w:autoSpaceDN w:val="0"/>
                    <w:bidi w:val="0"/>
                    <w:spacing w:before="0" w:beforeAutospacing="0" w:afterAutospacing="0" w:line="240" w:lineRule="exact"/>
                    <w:ind w:left="0" w:leftChars="0" w:right="0"/>
                    <w:contextualSpacing/>
                    <w:jc w:val="center"/>
                    <w:rPr>
                      <w:rFonts w:hint="default" w:ascii="Times New Roman" w:hAnsi="Times New Roman" w:cs="Times New Roman"/>
                      <w:i w:val="0"/>
                      <w:iCs w:val="0"/>
                      <w:color w:val="auto"/>
                    </w:rPr>
                  </w:pPr>
                  <w:r>
                    <w:rPr>
                      <w:rFonts w:hint="eastAsia" w:ascii="Times New Roman" w:hAnsi="Times New Roman" w:cs="Times New Roman"/>
                      <w:i w:val="0"/>
                      <w:iCs w:val="0"/>
                      <w:color w:val="auto"/>
                      <w:lang w:eastAsia="zh-CN"/>
                    </w:rPr>
                    <w:t>夜</w:t>
                  </w:r>
                  <w:r>
                    <w:rPr>
                      <w:rFonts w:hint="default" w:ascii="Times New Roman" w:hAnsi="Times New Roman" w:cs="Times New Roman"/>
                      <w:i w:val="0"/>
                      <w:iCs w:val="0"/>
                      <w:color w:val="auto"/>
                    </w:rPr>
                    <w:t>间dB(A)</w:t>
                  </w:r>
                </w:p>
              </w:tc>
              <w:tc>
                <w:tcPr>
                  <w:tcW w:w="687" w:type="pct"/>
                  <w:noWrap w:val="0"/>
                  <w:vAlign w:val="center"/>
                </w:tcPr>
                <w:p w14:paraId="5D7002AA">
                  <w:pPr>
                    <w:keepNext w:val="0"/>
                    <w:keepLines w:val="0"/>
                    <w:pageBreakBefore w:val="0"/>
                    <w:suppressLineNumbers w:val="0"/>
                    <w:kinsoku/>
                    <w:wordWrap/>
                    <w:overflowPunct/>
                    <w:autoSpaceDE w:val="0"/>
                    <w:autoSpaceDN w:val="0"/>
                    <w:bidi w:val="0"/>
                    <w:spacing w:before="0" w:beforeAutospacing="0" w:afterAutospacing="0" w:line="240" w:lineRule="exact"/>
                    <w:ind w:left="0" w:leftChars="0" w:right="0" w:rightChars="0"/>
                    <w:contextualSpacing/>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昼间dB(A)</w:t>
                  </w:r>
                </w:p>
              </w:tc>
              <w:tc>
                <w:tcPr>
                  <w:tcW w:w="705" w:type="pct"/>
                  <w:noWrap w:val="0"/>
                  <w:vAlign w:val="center"/>
                </w:tcPr>
                <w:p w14:paraId="52C64727">
                  <w:pPr>
                    <w:keepNext w:val="0"/>
                    <w:keepLines w:val="0"/>
                    <w:pageBreakBefore w:val="0"/>
                    <w:suppressLineNumbers w:val="0"/>
                    <w:kinsoku/>
                    <w:wordWrap/>
                    <w:overflowPunct/>
                    <w:autoSpaceDE w:val="0"/>
                    <w:autoSpaceDN w:val="0"/>
                    <w:bidi w:val="0"/>
                    <w:spacing w:before="0" w:beforeAutospacing="0" w:afterAutospacing="0" w:line="240" w:lineRule="exact"/>
                    <w:ind w:left="0" w:leftChars="0" w:right="0" w:rightChars="0"/>
                    <w:contextualSpacing/>
                    <w:jc w:val="center"/>
                    <w:rPr>
                      <w:rFonts w:hint="default" w:ascii="Times New Roman" w:hAnsi="Times New Roman" w:cs="Times New Roman"/>
                      <w:i w:val="0"/>
                      <w:iCs w:val="0"/>
                      <w:color w:val="auto"/>
                    </w:rPr>
                  </w:pPr>
                  <w:r>
                    <w:rPr>
                      <w:rFonts w:hint="eastAsia" w:ascii="Times New Roman" w:hAnsi="Times New Roman" w:cs="Times New Roman"/>
                      <w:i w:val="0"/>
                      <w:iCs w:val="0"/>
                      <w:color w:val="auto"/>
                      <w:lang w:eastAsia="zh-CN"/>
                    </w:rPr>
                    <w:t>夜</w:t>
                  </w:r>
                  <w:r>
                    <w:rPr>
                      <w:rFonts w:hint="default" w:ascii="Times New Roman" w:hAnsi="Times New Roman" w:cs="Times New Roman"/>
                      <w:i w:val="0"/>
                      <w:iCs w:val="0"/>
                      <w:color w:val="auto"/>
                    </w:rPr>
                    <w:t>间dB(A)</w:t>
                  </w:r>
                </w:p>
              </w:tc>
              <w:tc>
                <w:tcPr>
                  <w:tcW w:w="392" w:type="pct"/>
                  <w:vMerge w:val="continue"/>
                  <w:noWrap w:val="0"/>
                  <w:vAlign w:val="center"/>
                </w:tcPr>
                <w:p w14:paraId="0AD33CED">
                  <w:pPr>
                    <w:keepNext w:val="0"/>
                    <w:keepLines w:val="0"/>
                    <w:pageBreakBefore w:val="0"/>
                    <w:suppressLineNumbers w:val="0"/>
                    <w:kinsoku/>
                    <w:wordWrap/>
                    <w:overflowPunct/>
                    <w:autoSpaceDE w:val="0"/>
                    <w:autoSpaceDN w:val="0"/>
                    <w:bidi w:val="0"/>
                    <w:spacing w:before="0" w:beforeAutospacing="0" w:afterAutospacing="0" w:line="240" w:lineRule="exact"/>
                    <w:ind w:left="0" w:leftChars="0" w:right="0"/>
                    <w:contextualSpacing/>
                    <w:jc w:val="center"/>
                    <w:rPr>
                      <w:rFonts w:hint="default" w:ascii="Times New Roman" w:hAnsi="Times New Roman" w:cs="Times New Roman"/>
                      <w:i w:val="0"/>
                      <w:iCs w:val="0"/>
                      <w:color w:val="auto"/>
                    </w:rPr>
                  </w:pPr>
                </w:p>
              </w:tc>
            </w:tr>
            <w:tr w14:paraId="7EEB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89" w:type="dxa"/>
                  <w:noWrap w:val="0"/>
                  <w:vAlign w:val="center"/>
                </w:tcPr>
                <w:p w14:paraId="5A7788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i w:val="0"/>
                      <w:iCs w:val="0"/>
                      <w:color w:val="auto"/>
                    </w:rPr>
                  </w:pPr>
                  <w:r>
                    <w:rPr>
                      <w:rFonts w:hint="eastAsia" w:ascii="Times New Roman" w:hAnsi="Times New Roman" w:eastAsia="宋体" w:cs="Times New Roman"/>
                      <w:b w:val="0"/>
                      <w:bCs/>
                      <w:color w:val="auto"/>
                      <w:sz w:val="21"/>
                      <w:szCs w:val="21"/>
                      <w:lang w:val="en-US" w:eastAsia="zh-CN"/>
                    </w:rPr>
                    <w:t>潘集区妇幼保健所</w:t>
                  </w:r>
                </w:p>
              </w:tc>
              <w:tc>
                <w:tcPr>
                  <w:tcW w:w="1125" w:type="dxa"/>
                  <w:noWrap w:val="0"/>
                  <w:vAlign w:val="center"/>
                </w:tcPr>
                <w:p w14:paraId="74B669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i w:val="0"/>
                      <w:iCs w:val="0"/>
                      <w:color w:val="auto"/>
                      <w:lang w:eastAsia="zh-CN"/>
                    </w:rPr>
                  </w:pPr>
                  <w:r>
                    <w:rPr>
                      <w:rFonts w:hint="eastAsia" w:ascii="Times New Roman" w:hAnsi="Times New Roman" w:cs="Times New Roman"/>
                      <w:color w:val="000000"/>
                      <w:sz w:val="21"/>
                      <w:szCs w:val="21"/>
                      <w:lang w:val="en-US" w:eastAsia="zh-CN"/>
                    </w:rPr>
                    <w:t>56</w:t>
                  </w:r>
                </w:p>
              </w:tc>
              <w:tc>
                <w:tcPr>
                  <w:tcW w:w="1080" w:type="dxa"/>
                  <w:noWrap w:val="0"/>
                  <w:vAlign w:val="center"/>
                </w:tcPr>
                <w:p w14:paraId="770C0C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i w:val="0"/>
                      <w:iCs w:val="0"/>
                      <w:color w:val="auto"/>
                      <w:lang w:eastAsia="zh-CN"/>
                    </w:rPr>
                  </w:pPr>
                  <w:r>
                    <w:rPr>
                      <w:rFonts w:hint="eastAsia" w:ascii="Times New Roman" w:hAnsi="Times New Roman" w:cs="Times New Roman"/>
                      <w:color w:val="000000"/>
                      <w:sz w:val="21"/>
                      <w:szCs w:val="21"/>
                      <w:lang w:val="en-US" w:eastAsia="zh-CN"/>
                    </w:rPr>
                    <w:t>50</w:t>
                  </w:r>
                </w:p>
              </w:tc>
              <w:tc>
                <w:tcPr>
                  <w:tcW w:w="705" w:type="pct"/>
                  <w:noWrap w:val="0"/>
                  <w:vAlign w:val="center"/>
                </w:tcPr>
                <w:p w14:paraId="50E923E2">
                  <w:pPr>
                    <w:keepNext w:val="0"/>
                    <w:keepLines w:val="0"/>
                    <w:pageBreakBefore w:val="0"/>
                    <w:suppressLineNumbers w:val="0"/>
                    <w:kinsoku/>
                    <w:wordWrap/>
                    <w:overflowPunct/>
                    <w:autoSpaceDE w:val="0"/>
                    <w:autoSpaceDN w:val="0"/>
                    <w:bidi w:val="0"/>
                    <w:spacing w:before="0" w:beforeAutospacing="0" w:afterAutospacing="0" w:line="360" w:lineRule="exact"/>
                    <w:ind w:left="0" w:leftChars="0" w:right="0" w:rightChars="0"/>
                    <w:jc w:val="center"/>
                    <w:rPr>
                      <w:rFonts w:hint="default" w:ascii="Times New Roman" w:hAnsi="Times New Roman" w:cs="Times New Roman"/>
                      <w:i w:val="0"/>
                      <w:iCs w:val="0"/>
                      <w:color w:val="auto"/>
                      <w:highlight w:val="yellow"/>
                      <w:lang w:val="en-US" w:eastAsia="zh-CN"/>
                    </w:rPr>
                  </w:pPr>
                  <w:r>
                    <w:rPr>
                      <w:rFonts w:hint="eastAsia" w:cs="Times New Roman"/>
                      <w:i w:val="0"/>
                      <w:iCs w:val="0"/>
                      <w:color w:val="auto"/>
                      <w:highlight w:val="none"/>
                      <w:lang w:val="en-US" w:eastAsia="zh-CN"/>
                    </w:rPr>
                    <w:t>39.7</w:t>
                  </w:r>
                </w:p>
              </w:tc>
              <w:tc>
                <w:tcPr>
                  <w:tcW w:w="1230" w:type="dxa"/>
                  <w:noWrap w:val="0"/>
                  <w:vAlign w:val="center"/>
                </w:tcPr>
                <w:p w14:paraId="45C6223C">
                  <w:pPr>
                    <w:keepNext w:val="0"/>
                    <w:keepLines w:val="0"/>
                    <w:pageBreakBefore w:val="0"/>
                    <w:suppressLineNumbers w:val="0"/>
                    <w:kinsoku/>
                    <w:wordWrap/>
                    <w:overflowPunct/>
                    <w:autoSpaceDE w:val="0"/>
                    <w:autoSpaceDN w:val="0"/>
                    <w:bidi w:val="0"/>
                    <w:spacing w:before="0" w:beforeAutospacing="0" w:afterAutospacing="0" w:line="360" w:lineRule="exact"/>
                    <w:ind w:left="0" w:leftChars="0" w:right="0" w:rightChars="0"/>
                    <w:jc w:val="center"/>
                    <w:rPr>
                      <w:rFonts w:hint="default" w:cs="Times New Roman"/>
                      <w:i w:val="0"/>
                      <w:iCs w:val="0"/>
                      <w:color w:val="auto"/>
                      <w:lang w:val="en-US" w:eastAsia="zh-CN"/>
                    </w:rPr>
                  </w:pPr>
                  <w:r>
                    <w:rPr>
                      <w:rFonts w:hint="eastAsia" w:cs="Times New Roman"/>
                      <w:i w:val="0"/>
                      <w:iCs w:val="0"/>
                      <w:color w:val="auto"/>
                      <w:highlight w:val="none"/>
                      <w:lang w:val="en-US" w:eastAsia="zh-CN"/>
                    </w:rPr>
                    <w:t>39.7</w:t>
                  </w:r>
                </w:p>
              </w:tc>
              <w:tc>
                <w:tcPr>
                  <w:tcW w:w="1185" w:type="dxa"/>
                  <w:noWrap w:val="0"/>
                  <w:vAlign w:val="center"/>
                </w:tcPr>
                <w:p w14:paraId="1076E6AB">
                  <w:pPr>
                    <w:keepNext w:val="0"/>
                    <w:keepLines w:val="0"/>
                    <w:pageBreakBefore w:val="0"/>
                    <w:suppressLineNumbers w:val="0"/>
                    <w:kinsoku/>
                    <w:wordWrap/>
                    <w:overflowPunct/>
                    <w:bidi w:val="0"/>
                    <w:spacing w:before="0" w:beforeAutospacing="0" w:afterAutospacing="0"/>
                    <w:ind w:left="0" w:leftChars="0" w:right="0" w:rightChars="0"/>
                    <w:jc w:val="center"/>
                    <w:rPr>
                      <w:rFonts w:hint="default" w:ascii="Times New Roman" w:hAnsi="Times New Roman" w:eastAsia="宋体" w:cs="Times New Roman"/>
                      <w:i w:val="0"/>
                      <w:iCs w:val="0"/>
                      <w:color w:val="auto"/>
                      <w:kern w:val="2"/>
                      <w:sz w:val="21"/>
                      <w:szCs w:val="21"/>
                      <w:lang w:val="en-US" w:eastAsia="zh-CN" w:bidi="ar-SA"/>
                    </w:rPr>
                  </w:pPr>
                  <w:r>
                    <w:rPr>
                      <w:rFonts w:hint="eastAsia" w:ascii="Times New Roman" w:hAnsi="Times New Roman" w:eastAsia="宋体" w:cs="Times New Roman"/>
                      <w:i w:val="0"/>
                      <w:iCs w:val="0"/>
                      <w:color w:val="auto"/>
                      <w:kern w:val="2"/>
                      <w:sz w:val="21"/>
                      <w:szCs w:val="21"/>
                      <w:lang w:val="en-US" w:eastAsia="zh-CN" w:bidi="ar-SA"/>
                    </w:rPr>
                    <w:t>56.1</w:t>
                  </w:r>
                </w:p>
              </w:tc>
              <w:tc>
                <w:tcPr>
                  <w:tcW w:w="1215" w:type="dxa"/>
                  <w:noWrap w:val="0"/>
                  <w:vAlign w:val="center"/>
                </w:tcPr>
                <w:p w14:paraId="7F4BA562">
                  <w:pPr>
                    <w:keepNext w:val="0"/>
                    <w:keepLines w:val="0"/>
                    <w:pageBreakBefore w:val="0"/>
                    <w:suppressLineNumbers w:val="0"/>
                    <w:kinsoku/>
                    <w:wordWrap/>
                    <w:overflowPunct/>
                    <w:bidi w:val="0"/>
                    <w:spacing w:before="0" w:beforeAutospacing="0" w:afterAutospacing="0"/>
                    <w:ind w:left="0" w:leftChars="0" w:right="0" w:rightChars="0"/>
                    <w:jc w:val="center"/>
                    <w:rPr>
                      <w:rFonts w:hint="default" w:ascii="Times New Roman" w:hAnsi="Times New Roman" w:eastAsia="宋体" w:cs="Times New Roman"/>
                      <w:i w:val="0"/>
                      <w:iCs w:val="0"/>
                      <w:color w:val="auto"/>
                      <w:lang w:val="en-US" w:eastAsia="zh-CN"/>
                    </w:rPr>
                  </w:pPr>
                  <w:r>
                    <w:rPr>
                      <w:rFonts w:hint="eastAsia" w:ascii="Times New Roman" w:hAnsi="Times New Roman" w:eastAsia="宋体" w:cs="Times New Roman"/>
                      <w:i w:val="0"/>
                      <w:iCs w:val="0"/>
                      <w:color w:val="auto"/>
                      <w:lang w:val="en-US" w:eastAsia="zh-CN"/>
                    </w:rPr>
                    <w:t>50.4</w:t>
                  </w:r>
                </w:p>
              </w:tc>
              <w:tc>
                <w:tcPr>
                  <w:tcW w:w="392" w:type="pct"/>
                  <w:vMerge w:val="restart"/>
                  <w:noWrap w:val="0"/>
                  <w:vAlign w:val="center"/>
                </w:tcPr>
                <w:p w14:paraId="5308EABA">
                  <w:pPr>
                    <w:keepNext w:val="0"/>
                    <w:keepLines w:val="0"/>
                    <w:pageBreakBefore w:val="0"/>
                    <w:suppressLineNumbers w:val="0"/>
                    <w:kinsoku/>
                    <w:wordWrap/>
                    <w:overflowPunct/>
                    <w:bidi w:val="0"/>
                    <w:spacing w:before="0" w:beforeAutospacing="0" w:afterAutospacing="0"/>
                    <w:ind w:left="0" w:leftChars="0" w:right="0" w:rightChars="0"/>
                    <w:jc w:val="center"/>
                    <w:rPr>
                      <w:rFonts w:hint="default" w:ascii="Times New Roman" w:hAnsi="Times New Roman" w:cs="Times New Roman"/>
                      <w:i w:val="0"/>
                      <w:iCs w:val="0"/>
                      <w:color w:val="auto"/>
                    </w:rPr>
                  </w:pPr>
                  <w:r>
                    <w:rPr>
                      <w:rFonts w:hint="default" w:ascii="Times New Roman" w:hAnsi="Times New Roman" w:cs="Times New Roman"/>
                      <w:i w:val="0"/>
                      <w:iCs w:val="0"/>
                      <w:color w:val="auto"/>
                    </w:rPr>
                    <w:t>达标</w:t>
                  </w:r>
                </w:p>
              </w:tc>
            </w:tr>
            <w:tr w14:paraId="5C25B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89" w:type="dxa"/>
                  <w:noWrap w:val="0"/>
                  <w:vAlign w:val="center"/>
                </w:tcPr>
                <w:p w14:paraId="214FB8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i w:val="0"/>
                      <w:iCs w:val="0"/>
                      <w:color w:val="auto"/>
                      <w:lang w:eastAsia="zh-CN"/>
                    </w:rPr>
                  </w:pPr>
                  <w:r>
                    <w:rPr>
                      <w:rFonts w:hint="eastAsia" w:ascii="Times New Roman" w:hAnsi="Times New Roman" w:eastAsia="宋体" w:cs="Times New Roman"/>
                      <w:b w:val="0"/>
                      <w:bCs/>
                      <w:color w:val="auto"/>
                      <w:sz w:val="21"/>
                      <w:szCs w:val="21"/>
                      <w:lang w:val="en-US" w:eastAsia="zh-CN"/>
                    </w:rPr>
                    <w:t>泰府名邸</w:t>
                  </w:r>
                </w:p>
              </w:tc>
              <w:tc>
                <w:tcPr>
                  <w:tcW w:w="1125" w:type="dxa"/>
                  <w:noWrap w:val="0"/>
                  <w:vAlign w:val="center"/>
                </w:tcPr>
                <w:p w14:paraId="1A553A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eastAsia="宋体" w:cs="Times New Roman"/>
                      <w:color w:val="auto"/>
                      <w:sz w:val="21"/>
                      <w:szCs w:val="21"/>
                      <w:lang w:val="en-US" w:eastAsia="zh-CN"/>
                    </w:rPr>
                    <w:t>57</w:t>
                  </w:r>
                </w:p>
              </w:tc>
              <w:tc>
                <w:tcPr>
                  <w:tcW w:w="1080" w:type="dxa"/>
                  <w:noWrap w:val="0"/>
                  <w:vAlign w:val="center"/>
                </w:tcPr>
                <w:p w14:paraId="4E2AF0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eastAsia="宋体" w:cs="Times New Roman"/>
                      <w:color w:val="auto"/>
                      <w:sz w:val="21"/>
                      <w:szCs w:val="21"/>
                      <w:lang w:val="en-US" w:eastAsia="zh-CN"/>
                    </w:rPr>
                    <w:t>43</w:t>
                  </w:r>
                </w:p>
              </w:tc>
              <w:tc>
                <w:tcPr>
                  <w:tcW w:w="705" w:type="pct"/>
                  <w:noWrap w:val="0"/>
                  <w:vAlign w:val="center"/>
                </w:tcPr>
                <w:p w14:paraId="7785D876">
                  <w:pPr>
                    <w:keepNext w:val="0"/>
                    <w:keepLines w:val="0"/>
                    <w:pageBreakBefore w:val="0"/>
                    <w:suppressLineNumbers w:val="0"/>
                    <w:kinsoku/>
                    <w:wordWrap/>
                    <w:overflowPunct/>
                    <w:autoSpaceDE w:val="0"/>
                    <w:autoSpaceDN w:val="0"/>
                    <w:bidi w:val="0"/>
                    <w:spacing w:before="0" w:beforeAutospacing="0" w:afterAutospacing="0" w:line="360" w:lineRule="exact"/>
                    <w:ind w:left="0" w:leftChars="0" w:right="0" w:rightChars="0"/>
                    <w:jc w:val="center"/>
                    <w:rPr>
                      <w:rFonts w:hint="default" w:cs="Times New Roman"/>
                      <w:i w:val="0"/>
                      <w:iCs w:val="0"/>
                      <w:color w:val="auto"/>
                      <w:highlight w:val="none"/>
                      <w:lang w:val="en-US" w:eastAsia="zh-CN"/>
                    </w:rPr>
                  </w:pPr>
                  <w:r>
                    <w:rPr>
                      <w:rFonts w:hint="eastAsia" w:cs="Times New Roman"/>
                      <w:i w:val="0"/>
                      <w:iCs w:val="0"/>
                      <w:color w:val="auto"/>
                      <w:highlight w:val="none"/>
                      <w:lang w:val="en-US" w:eastAsia="zh-CN"/>
                    </w:rPr>
                    <w:t>31.4</w:t>
                  </w:r>
                </w:p>
              </w:tc>
              <w:tc>
                <w:tcPr>
                  <w:tcW w:w="1230" w:type="dxa"/>
                  <w:noWrap w:val="0"/>
                  <w:vAlign w:val="center"/>
                </w:tcPr>
                <w:p w14:paraId="4A78059B">
                  <w:pPr>
                    <w:keepNext w:val="0"/>
                    <w:keepLines w:val="0"/>
                    <w:pageBreakBefore w:val="0"/>
                    <w:suppressLineNumbers w:val="0"/>
                    <w:kinsoku/>
                    <w:wordWrap/>
                    <w:overflowPunct/>
                    <w:autoSpaceDE w:val="0"/>
                    <w:autoSpaceDN w:val="0"/>
                    <w:bidi w:val="0"/>
                    <w:spacing w:before="0" w:beforeAutospacing="0" w:afterAutospacing="0" w:line="360" w:lineRule="exact"/>
                    <w:ind w:left="0" w:leftChars="0" w:right="0" w:rightChars="0"/>
                    <w:jc w:val="center"/>
                    <w:rPr>
                      <w:rFonts w:hint="eastAsia" w:cs="Times New Roman"/>
                      <w:i w:val="0"/>
                      <w:iCs w:val="0"/>
                      <w:color w:val="auto"/>
                      <w:highlight w:val="none"/>
                      <w:lang w:val="en-US" w:eastAsia="zh-CN"/>
                    </w:rPr>
                  </w:pPr>
                  <w:r>
                    <w:rPr>
                      <w:rFonts w:hint="eastAsia" w:cs="Times New Roman"/>
                      <w:i w:val="0"/>
                      <w:iCs w:val="0"/>
                      <w:color w:val="auto"/>
                      <w:highlight w:val="none"/>
                      <w:lang w:val="en-US" w:eastAsia="zh-CN"/>
                    </w:rPr>
                    <w:t>31.4</w:t>
                  </w:r>
                </w:p>
              </w:tc>
              <w:tc>
                <w:tcPr>
                  <w:tcW w:w="687" w:type="pct"/>
                  <w:noWrap w:val="0"/>
                  <w:vAlign w:val="center"/>
                </w:tcPr>
                <w:p w14:paraId="2B4E9A72">
                  <w:pPr>
                    <w:keepNext w:val="0"/>
                    <w:keepLines w:val="0"/>
                    <w:pageBreakBefore w:val="0"/>
                    <w:suppressLineNumbers w:val="0"/>
                    <w:kinsoku/>
                    <w:wordWrap/>
                    <w:overflowPunct/>
                    <w:bidi w:val="0"/>
                    <w:spacing w:before="0" w:beforeAutospacing="0" w:afterAutospacing="0"/>
                    <w:ind w:left="0" w:leftChars="0" w:right="0"/>
                    <w:jc w:val="center"/>
                    <w:rPr>
                      <w:rFonts w:hint="default" w:cs="Times New Roman"/>
                      <w:i w:val="0"/>
                      <w:iCs w:val="0"/>
                      <w:color w:val="auto"/>
                      <w:kern w:val="2"/>
                      <w:sz w:val="21"/>
                      <w:szCs w:val="21"/>
                      <w:lang w:val="en-US" w:eastAsia="zh-CN" w:bidi="ar-SA"/>
                    </w:rPr>
                  </w:pPr>
                  <w:r>
                    <w:rPr>
                      <w:rFonts w:hint="eastAsia" w:cs="Times New Roman"/>
                      <w:i w:val="0"/>
                      <w:iCs w:val="0"/>
                      <w:color w:val="auto"/>
                      <w:kern w:val="2"/>
                      <w:sz w:val="21"/>
                      <w:szCs w:val="21"/>
                      <w:lang w:val="en-US" w:eastAsia="zh-CN" w:bidi="ar-SA"/>
                    </w:rPr>
                    <w:t>57.0</w:t>
                  </w:r>
                </w:p>
              </w:tc>
              <w:tc>
                <w:tcPr>
                  <w:tcW w:w="705" w:type="pct"/>
                  <w:noWrap w:val="0"/>
                  <w:vAlign w:val="center"/>
                </w:tcPr>
                <w:p w14:paraId="3D1C6C70">
                  <w:pPr>
                    <w:keepNext w:val="0"/>
                    <w:keepLines w:val="0"/>
                    <w:pageBreakBefore w:val="0"/>
                    <w:suppressLineNumbers w:val="0"/>
                    <w:kinsoku/>
                    <w:wordWrap/>
                    <w:overflowPunct/>
                    <w:bidi w:val="0"/>
                    <w:spacing w:before="0" w:beforeAutospacing="0" w:afterAutospacing="0"/>
                    <w:ind w:left="0" w:leftChars="0" w:right="0" w:rightChars="0"/>
                    <w:jc w:val="center"/>
                    <w:rPr>
                      <w:rFonts w:hint="default" w:cs="Times New Roman"/>
                      <w:i w:val="0"/>
                      <w:iCs w:val="0"/>
                      <w:color w:val="auto"/>
                      <w:lang w:val="en-US" w:eastAsia="zh-CN"/>
                    </w:rPr>
                  </w:pPr>
                  <w:r>
                    <w:rPr>
                      <w:rFonts w:hint="eastAsia" w:cs="Times New Roman"/>
                      <w:i w:val="0"/>
                      <w:iCs w:val="0"/>
                      <w:color w:val="auto"/>
                      <w:lang w:val="en-US" w:eastAsia="zh-CN"/>
                    </w:rPr>
                    <w:t>43.3</w:t>
                  </w:r>
                </w:p>
              </w:tc>
              <w:tc>
                <w:tcPr>
                  <w:tcW w:w="392" w:type="pct"/>
                  <w:vMerge w:val="continue"/>
                  <w:tcBorders/>
                  <w:noWrap w:val="0"/>
                  <w:vAlign w:val="center"/>
                </w:tcPr>
                <w:p w14:paraId="7C04137D">
                  <w:pPr>
                    <w:keepNext w:val="0"/>
                    <w:keepLines w:val="0"/>
                    <w:pageBreakBefore w:val="0"/>
                    <w:suppressLineNumbers w:val="0"/>
                    <w:kinsoku/>
                    <w:wordWrap/>
                    <w:overflowPunct/>
                    <w:bidi w:val="0"/>
                    <w:spacing w:before="0" w:beforeAutospacing="0" w:afterAutospacing="0"/>
                    <w:ind w:left="0" w:leftChars="0" w:right="0" w:rightChars="0"/>
                    <w:jc w:val="center"/>
                    <w:rPr>
                      <w:rFonts w:hint="default" w:ascii="Times New Roman" w:hAnsi="Times New Roman" w:cs="Times New Roman"/>
                      <w:i w:val="0"/>
                      <w:iCs w:val="0"/>
                      <w:color w:val="auto"/>
                    </w:rPr>
                  </w:pPr>
                </w:p>
              </w:tc>
            </w:tr>
          </w:tbl>
          <w:p w14:paraId="182E4C90">
            <w:pPr>
              <w:keepNext w:val="0"/>
              <w:keepLines w:val="0"/>
              <w:pageBreakBefore w:val="0"/>
              <w:widowControl/>
              <w:kinsoku/>
              <w:wordWrap/>
              <w:overflowPunct/>
              <w:bidi w:val="0"/>
              <w:adjustRightInd w:val="0"/>
              <w:snapToGrid w:val="0"/>
              <w:spacing w:line="360" w:lineRule="auto"/>
              <w:ind w:left="0" w:leftChars="0" w:right="0" w:firstLine="480" w:firstLineChars="200"/>
              <w:jc w:val="both"/>
              <w:rPr>
                <w:rFonts w:hint="default" w:ascii="Times New Roman" w:hAnsi="Times New Roman" w:cs="Times New Roman"/>
                <w:color w:val="auto"/>
                <w:kern w:val="0"/>
                <w:sz w:val="24"/>
              </w:rPr>
            </w:pPr>
            <w:r>
              <w:rPr>
                <w:rFonts w:hint="default" w:ascii="Times New Roman" w:hAnsi="Times New Roman" w:cs="Times New Roman"/>
                <w:color w:val="auto"/>
                <w:kern w:val="0"/>
                <w:sz w:val="24"/>
              </w:rPr>
              <w:t>根据上述预测结果，本项目</w:t>
            </w:r>
            <w:r>
              <w:rPr>
                <w:color w:val="000000"/>
                <w:sz w:val="24"/>
              </w:rPr>
              <w:t>厂界四周</w:t>
            </w:r>
            <w:r>
              <w:rPr>
                <w:rFonts w:hint="eastAsia"/>
                <w:color w:val="000000"/>
                <w:sz w:val="24"/>
              </w:rPr>
              <w:t>昼</w:t>
            </w:r>
            <w:r>
              <w:rPr>
                <w:rFonts w:hint="eastAsia"/>
                <w:color w:val="000000"/>
                <w:sz w:val="24"/>
                <w:lang w:eastAsia="zh-CN"/>
              </w:rPr>
              <w:t>、夜间</w:t>
            </w:r>
            <w:r>
              <w:rPr>
                <w:rFonts w:hint="default" w:ascii="Times New Roman" w:hAnsi="Times New Roman" w:cs="Times New Roman"/>
                <w:color w:val="auto"/>
                <w:kern w:val="0"/>
                <w:sz w:val="24"/>
              </w:rPr>
              <w:t>噪声贡献值在厂界处可达到《工业企业厂界环境噪声排放标准》（GB12348-2008）中</w:t>
            </w:r>
            <w:r>
              <w:rPr>
                <w:rFonts w:hint="eastAsia" w:cs="Times New Roman"/>
                <w:color w:val="auto"/>
                <w:kern w:val="0"/>
                <w:sz w:val="24"/>
                <w:lang w:val="en-US" w:eastAsia="zh-CN"/>
              </w:rPr>
              <w:t>2</w:t>
            </w:r>
            <w:r>
              <w:rPr>
                <w:rFonts w:hint="default" w:ascii="Times New Roman" w:hAnsi="Times New Roman" w:cs="Times New Roman"/>
                <w:color w:val="auto"/>
                <w:kern w:val="0"/>
                <w:sz w:val="24"/>
              </w:rPr>
              <w:t>类标准要求</w:t>
            </w:r>
            <w:r>
              <w:rPr>
                <w:rFonts w:hint="eastAsia" w:cs="Times New Roman"/>
                <w:color w:val="auto"/>
                <w:kern w:val="0"/>
                <w:sz w:val="24"/>
                <w:lang w:eastAsia="zh-CN"/>
              </w:rPr>
              <w:t>，声环境保护目标噪声预测值可满足</w:t>
            </w:r>
            <w:r>
              <w:rPr>
                <w:rFonts w:hint="default" w:ascii="Times New Roman" w:hAnsi="Times New Roman" w:cs="Times New Roman"/>
                <w:color w:val="auto"/>
                <w:kern w:val="0"/>
                <w:sz w:val="24"/>
              </w:rPr>
              <w:t>《工业企业厂界环境噪声排放标准》（GB12348-2008）中</w:t>
            </w:r>
            <w:r>
              <w:rPr>
                <w:rFonts w:hint="eastAsia" w:cs="Times New Roman"/>
                <w:color w:val="auto"/>
                <w:kern w:val="0"/>
                <w:sz w:val="24"/>
                <w:lang w:val="en-US" w:eastAsia="zh-CN"/>
              </w:rPr>
              <w:t>2</w:t>
            </w:r>
            <w:r>
              <w:rPr>
                <w:rFonts w:hint="default" w:ascii="Times New Roman" w:hAnsi="Times New Roman" w:cs="Times New Roman"/>
                <w:color w:val="auto"/>
                <w:kern w:val="0"/>
                <w:sz w:val="24"/>
              </w:rPr>
              <w:t>类标准要求</w:t>
            </w:r>
            <w:r>
              <w:rPr>
                <w:rFonts w:hint="default" w:ascii="Times New Roman" w:hAnsi="Times New Roman" w:cs="Times New Roman"/>
                <w:color w:val="auto"/>
                <w:kern w:val="0"/>
                <w:sz w:val="24"/>
              </w:rPr>
              <w:t>。</w:t>
            </w:r>
          </w:p>
          <w:p w14:paraId="5C624972">
            <w:pPr>
              <w:keepNext w:val="0"/>
              <w:keepLines w:val="0"/>
              <w:pageBreakBefore w:val="0"/>
              <w:widowControl/>
              <w:kinsoku/>
              <w:wordWrap/>
              <w:overflowPunct/>
              <w:bidi w:val="0"/>
              <w:adjustRightInd w:val="0"/>
              <w:snapToGrid w:val="0"/>
              <w:spacing w:line="360" w:lineRule="auto"/>
              <w:ind w:left="0" w:leftChars="0" w:right="0" w:firstLine="480" w:firstLineChars="200"/>
              <w:jc w:val="left"/>
              <w:rPr>
                <w:rFonts w:hint="default" w:ascii="Times New Roman" w:hAnsi="Times New Roman" w:cs="Times New Roman"/>
                <w:color w:val="auto"/>
                <w:kern w:val="0"/>
                <w:sz w:val="24"/>
              </w:rPr>
            </w:pPr>
            <w:r>
              <w:rPr>
                <w:rFonts w:hint="default" w:ascii="Times New Roman" w:hAnsi="Times New Roman" w:cs="Times New Roman"/>
                <w:color w:val="auto"/>
                <w:kern w:val="0"/>
                <w:sz w:val="24"/>
              </w:rPr>
              <w:t>建议建设单位拟通过以下方式控制项目噪声：</w:t>
            </w:r>
          </w:p>
          <w:p w14:paraId="0EA9513B">
            <w:pPr>
              <w:keepNext w:val="0"/>
              <w:keepLines w:val="0"/>
              <w:pageBreakBefore w:val="0"/>
              <w:widowControl/>
              <w:kinsoku/>
              <w:wordWrap/>
              <w:overflowPunct/>
              <w:bidi w:val="0"/>
              <w:adjustRightInd w:val="0"/>
              <w:snapToGrid w:val="0"/>
              <w:spacing w:line="360" w:lineRule="auto"/>
              <w:ind w:left="0" w:leftChars="0" w:right="0" w:firstLine="480" w:firstLineChars="200"/>
              <w:jc w:val="left"/>
              <w:rPr>
                <w:rFonts w:hint="default" w:ascii="Times New Roman" w:hAnsi="Times New Roman" w:cs="Times New Roman"/>
                <w:color w:val="auto"/>
                <w:kern w:val="0"/>
                <w:sz w:val="24"/>
              </w:rPr>
            </w:pPr>
            <w:r>
              <w:rPr>
                <w:rFonts w:hint="default" w:ascii="Times New Roman" w:hAnsi="Times New Roman" w:cs="Times New Roman"/>
                <w:bCs/>
                <w:color w:val="auto"/>
                <w:kern w:val="0"/>
                <w:sz w:val="24"/>
              </w:rPr>
              <w:fldChar w:fldCharType="begin"/>
            </w:r>
            <w:r>
              <w:rPr>
                <w:rFonts w:hint="default" w:ascii="Times New Roman" w:hAnsi="Times New Roman" w:cs="Times New Roman"/>
                <w:bCs/>
                <w:color w:val="auto"/>
                <w:kern w:val="0"/>
                <w:sz w:val="24"/>
              </w:rPr>
              <w:instrText xml:space="preserve"> = 1 \* GB3 </w:instrText>
            </w:r>
            <w:r>
              <w:rPr>
                <w:rFonts w:hint="default" w:ascii="Times New Roman" w:hAnsi="Times New Roman" w:cs="Times New Roman"/>
                <w:bCs/>
                <w:color w:val="auto"/>
                <w:kern w:val="0"/>
                <w:sz w:val="24"/>
              </w:rPr>
              <w:fldChar w:fldCharType="separate"/>
            </w:r>
            <w:r>
              <w:rPr>
                <w:rFonts w:hint="default" w:ascii="Times New Roman" w:hAnsi="Times New Roman" w:cs="Times New Roman"/>
                <w:bCs/>
                <w:color w:val="auto"/>
                <w:kern w:val="0"/>
                <w:sz w:val="24"/>
              </w:rPr>
              <w:t>①</w:t>
            </w:r>
            <w:r>
              <w:rPr>
                <w:rFonts w:hint="default" w:ascii="Times New Roman" w:hAnsi="Times New Roman" w:cs="Times New Roman"/>
                <w:bCs/>
                <w:color w:val="auto"/>
                <w:kern w:val="0"/>
                <w:sz w:val="24"/>
              </w:rPr>
              <w:fldChar w:fldCharType="end"/>
            </w:r>
            <w:r>
              <w:rPr>
                <w:rFonts w:hint="default" w:ascii="Times New Roman" w:hAnsi="Times New Roman" w:cs="Times New Roman"/>
                <w:bCs/>
                <w:color w:val="auto"/>
                <w:kern w:val="0"/>
                <w:sz w:val="24"/>
              </w:rPr>
              <w:t>选用低噪声设备，并注意加强日常生产设备的维护和保养；</w:t>
            </w:r>
          </w:p>
          <w:p w14:paraId="26737737">
            <w:pPr>
              <w:keepNext w:val="0"/>
              <w:keepLines w:val="0"/>
              <w:pageBreakBefore w:val="0"/>
              <w:widowControl/>
              <w:kinsoku/>
              <w:wordWrap/>
              <w:overflowPunct/>
              <w:bidi w:val="0"/>
              <w:adjustRightInd w:val="0"/>
              <w:snapToGrid w:val="0"/>
              <w:spacing w:line="360" w:lineRule="auto"/>
              <w:ind w:left="0" w:leftChars="0" w:right="0" w:firstLine="480" w:firstLineChars="200"/>
              <w:jc w:val="left"/>
              <w:rPr>
                <w:rFonts w:hint="default" w:ascii="Times New Roman" w:hAnsi="Times New Roman" w:cs="Times New Roman"/>
                <w:color w:val="auto"/>
                <w:kern w:val="0"/>
                <w:sz w:val="24"/>
              </w:rPr>
            </w:pPr>
            <w:r>
              <w:rPr>
                <w:rFonts w:hint="default" w:ascii="Times New Roman" w:hAnsi="Times New Roman" w:cs="Times New Roman"/>
                <w:bCs/>
                <w:color w:val="auto"/>
                <w:kern w:val="0"/>
                <w:sz w:val="24"/>
              </w:rPr>
              <w:fldChar w:fldCharType="begin"/>
            </w:r>
            <w:r>
              <w:rPr>
                <w:rFonts w:hint="default" w:ascii="Times New Roman" w:hAnsi="Times New Roman" w:cs="Times New Roman"/>
                <w:bCs/>
                <w:color w:val="auto"/>
                <w:kern w:val="0"/>
                <w:sz w:val="24"/>
              </w:rPr>
              <w:instrText xml:space="preserve"> = 2 \* GB3 </w:instrText>
            </w:r>
            <w:r>
              <w:rPr>
                <w:rFonts w:hint="default" w:ascii="Times New Roman" w:hAnsi="Times New Roman" w:cs="Times New Roman"/>
                <w:bCs/>
                <w:color w:val="auto"/>
                <w:kern w:val="0"/>
                <w:sz w:val="24"/>
              </w:rPr>
              <w:fldChar w:fldCharType="separate"/>
            </w:r>
            <w:r>
              <w:rPr>
                <w:rFonts w:hint="default" w:ascii="Times New Roman" w:hAnsi="Times New Roman" w:cs="Times New Roman"/>
                <w:bCs/>
                <w:color w:val="auto"/>
                <w:kern w:val="0"/>
                <w:sz w:val="24"/>
              </w:rPr>
              <w:t>②</w:t>
            </w:r>
            <w:r>
              <w:rPr>
                <w:rFonts w:hint="default" w:ascii="Times New Roman" w:hAnsi="Times New Roman" w:cs="Times New Roman"/>
                <w:bCs/>
                <w:color w:val="auto"/>
                <w:kern w:val="0"/>
                <w:sz w:val="24"/>
              </w:rPr>
              <w:fldChar w:fldCharType="end"/>
            </w:r>
            <w:r>
              <w:rPr>
                <w:rFonts w:hint="default" w:ascii="Times New Roman" w:hAnsi="Times New Roman" w:cs="Times New Roman"/>
                <w:bCs/>
                <w:color w:val="auto"/>
                <w:kern w:val="0"/>
                <w:sz w:val="24"/>
              </w:rPr>
              <w:t>合理布局、将高噪声设备尽可能远离厂界；</w:t>
            </w:r>
          </w:p>
          <w:p w14:paraId="25FCCA4B">
            <w:pPr>
              <w:keepNext w:val="0"/>
              <w:keepLines w:val="0"/>
              <w:pageBreakBefore w:val="0"/>
              <w:widowControl/>
              <w:kinsoku/>
              <w:wordWrap/>
              <w:overflowPunct/>
              <w:bidi w:val="0"/>
              <w:adjustRightInd w:val="0"/>
              <w:snapToGrid w:val="0"/>
              <w:spacing w:line="360" w:lineRule="auto"/>
              <w:ind w:left="0" w:leftChars="0" w:right="0" w:firstLine="480" w:firstLineChars="200"/>
              <w:jc w:val="left"/>
              <w:rPr>
                <w:rFonts w:hint="eastAsia" w:cs="Times New Roman"/>
                <w:color w:val="auto"/>
                <w:kern w:val="0"/>
                <w:sz w:val="24"/>
                <w:lang w:val="en-US" w:eastAsia="zh-CN"/>
              </w:rPr>
            </w:pPr>
            <w:r>
              <w:rPr>
                <w:rFonts w:hint="default" w:ascii="Times New Roman" w:hAnsi="Times New Roman" w:cs="Times New Roman"/>
                <w:color w:val="auto"/>
                <w:kern w:val="0"/>
                <w:sz w:val="24"/>
              </w:rPr>
              <w:fldChar w:fldCharType="begin"/>
            </w:r>
            <w:r>
              <w:rPr>
                <w:rFonts w:hint="default" w:ascii="Times New Roman" w:hAnsi="Times New Roman" w:cs="Times New Roman"/>
                <w:color w:val="auto"/>
                <w:kern w:val="0"/>
                <w:sz w:val="24"/>
              </w:rPr>
              <w:instrText xml:space="preserve"> = 3 \* GB3 </w:instrText>
            </w:r>
            <w:r>
              <w:rPr>
                <w:rFonts w:hint="default" w:ascii="Times New Roman" w:hAnsi="Times New Roman" w:cs="Times New Roman"/>
                <w:color w:val="auto"/>
                <w:kern w:val="0"/>
                <w:sz w:val="24"/>
              </w:rPr>
              <w:fldChar w:fldCharType="separate"/>
            </w:r>
            <w:r>
              <w:rPr>
                <w:rFonts w:hint="default" w:ascii="Times New Roman" w:hAnsi="Times New Roman" w:cs="Times New Roman"/>
                <w:color w:val="auto"/>
                <w:kern w:val="0"/>
                <w:sz w:val="24"/>
              </w:rPr>
              <w:t>③</w:t>
            </w:r>
            <w:r>
              <w:rPr>
                <w:rFonts w:hint="default" w:ascii="Times New Roman" w:hAnsi="Times New Roman" w:cs="Times New Roman"/>
                <w:color w:val="auto"/>
                <w:kern w:val="0"/>
                <w:sz w:val="24"/>
              </w:rPr>
              <w:fldChar w:fldCharType="end"/>
            </w:r>
            <w:r>
              <w:rPr>
                <w:rFonts w:hint="eastAsia" w:cs="Times New Roman"/>
                <w:color w:val="auto"/>
                <w:kern w:val="0"/>
                <w:sz w:val="24"/>
                <w:lang w:val="en-US" w:eastAsia="zh-CN"/>
              </w:rPr>
              <w:t>高噪声设备</w:t>
            </w:r>
            <w:r>
              <w:rPr>
                <w:rFonts w:hint="default" w:ascii="Times New Roman" w:hAnsi="Times New Roman" w:eastAsia="宋体" w:cs="Times New Roman"/>
                <w:color w:val="auto"/>
                <w:kern w:val="0"/>
                <w:sz w:val="24"/>
              </w:rPr>
              <w:t>采取减振、</w:t>
            </w:r>
            <w:r>
              <w:rPr>
                <w:rFonts w:hint="eastAsia" w:ascii="Times New Roman" w:hAnsi="Times New Roman" w:eastAsia="宋体" w:cs="Times New Roman"/>
                <w:color w:val="auto"/>
                <w:kern w:val="0"/>
                <w:sz w:val="24"/>
                <w:lang w:eastAsia="zh-CN"/>
              </w:rPr>
              <w:t>加隔音棉</w:t>
            </w:r>
            <w:r>
              <w:rPr>
                <w:rFonts w:hint="default" w:ascii="Times New Roman" w:hAnsi="Times New Roman" w:eastAsia="宋体" w:cs="Times New Roman"/>
                <w:color w:val="auto"/>
                <w:kern w:val="0"/>
                <w:sz w:val="24"/>
              </w:rPr>
              <w:t>等降噪措施</w:t>
            </w:r>
            <w:r>
              <w:rPr>
                <w:rFonts w:hint="eastAsia" w:cs="Times New Roman"/>
                <w:color w:val="auto"/>
                <w:kern w:val="0"/>
                <w:sz w:val="24"/>
                <w:lang w:val="en-US" w:eastAsia="zh-CN"/>
              </w:rPr>
              <w:t>，确保噪声达标排放；</w:t>
            </w:r>
          </w:p>
          <w:p w14:paraId="21DA2F35">
            <w:pPr>
              <w:keepNext w:val="0"/>
              <w:keepLines w:val="0"/>
              <w:pageBreakBefore w:val="0"/>
              <w:widowControl/>
              <w:kinsoku/>
              <w:wordWrap/>
              <w:overflowPunct/>
              <w:bidi w:val="0"/>
              <w:adjustRightInd w:val="0"/>
              <w:snapToGrid w:val="0"/>
              <w:spacing w:line="360" w:lineRule="auto"/>
              <w:ind w:left="0" w:leftChars="0" w:right="0" w:firstLine="480" w:firstLineChars="200"/>
              <w:jc w:val="left"/>
              <w:rPr>
                <w:rFonts w:hint="eastAsia" w:ascii="Times New Roman" w:hAnsi="Times New Roman" w:eastAsia="宋体" w:cs="Times New Roman"/>
                <w:color w:val="auto"/>
                <w:kern w:val="0"/>
                <w:sz w:val="24"/>
                <w:lang w:eastAsia="zh-CN"/>
              </w:rPr>
            </w:pPr>
            <w:r>
              <w:rPr>
                <w:rFonts w:hint="default" w:ascii="Times New Roman" w:hAnsi="Times New Roman" w:eastAsia="宋体" w:cs="Times New Roman"/>
                <w:color w:val="auto"/>
                <w:kern w:val="0"/>
                <w:sz w:val="24"/>
              </w:rPr>
              <w:fldChar w:fldCharType="begin"/>
            </w:r>
            <w:r>
              <w:rPr>
                <w:rFonts w:hint="default" w:ascii="Times New Roman" w:hAnsi="Times New Roman" w:eastAsia="宋体" w:cs="Times New Roman"/>
                <w:color w:val="auto"/>
                <w:kern w:val="0"/>
                <w:sz w:val="24"/>
              </w:rPr>
              <w:instrText xml:space="preserve"> = 4 \* GB3 </w:instrText>
            </w:r>
            <w:r>
              <w:rPr>
                <w:rFonts w:hint="default" w:ascii="Times New Roman" w:hAnsi="Times New Roman" w:eastAsia="宋体" w:cs="Times New Roman"/>
                <w:color w:val="auto"/>
                <w:kern w:val="0"/>
                <w:sz w:val="24"/>
              </w:rPr>
              <w:fldChar w:fldCharType="separate"/>
            </w:r>
            <w:r>
              <w:rPr>
                <w:rFonts w:hint="default" w:ascii="Times New Roman" w:hAnsi="Times New Roman" w:eastAsia="宋体" w:cs="Times New Roman"/>
                <w:color w:val="auto"/>
                <w:kern w:val="0"/>
                <w:sz w:val="24"/>
              </w:rPr>
              <w:t>④</w:t>
            </w:r>
            <w:r>
              <w:rPr>
                <w:rFonts w:hint="default" w:ascii="Times New Roman" w:hAnsi="Times New Roman" w:eastAsia="宋体" w:cs="Times New Roman"/>
                <w:color w:val="auto"/>
                <w:kern w:val="0"/>
                <w:sz w:val="24"/>
              </w:rPr>
              <w:fldChar w:fldCharType="end"/>
            </w:r>
            <w:r>
              <w:rPr>
                <w:rFonts w:hint="eastAsia" w:ascii="Times New Roman" w:hAnsi="Times New Roman" w:eastAsia="宋体" w:cs="Times New Roman"/>
                <w:color w:val="auto"/>
                <w:kern w:val="0"/>
                <w:sz w:val="24"/>
              </w:rPr>
              <w:t>噪声源</w:t>
            </w:r>
            <w:r>
              <w:rPr>
                <w:rFonts w:hint="eastAsia" w:ascii="Times New Roman" w:hAnsi="Times New Roman" w:eastAsia="宋体" w:cs="Times New Roman"/>
                <w:color w:val="auto"/>
                <w:kern w:val="0"/>
                <w:sz w:val="24"/>
                <w:lang w:eastAsia="zh-CN"/>
              </w:rPr>
              <w:t>均</w:t>
            </w:r>
            <w:r>
              <w:rPr>
                <w:rFonts w:hint="eastAsia" w:ascii="Times New Roman" w:hAnsi="Times New Roman" w:eastAsia="宋体" w:cs="Times New Roman"/>
                <w:color w:val="auto"/>
                <w:kern w:val="0"/>
                <w:sz w:val="24"/>
              </w:rPr>
              <w:t>设置在封闭结构厂房内，利用围护结构隔声</w:t>
            </w:r>
            <w:r>
              <w:rPr>
                <w:rFonts w:hint="eastAsia" w:ascii="Times New Roman" w:hAnsi="Times New Roman" w:eastAsia="宋体" w:cs="Times New Roman"/>
                <w:color w:val="auto"/>
                <w:kern w:val="0"/>
                <w:sz w:val="24"/>
                <w:lang w:eastAsia="zh-CN"/>
              </w:rPr>
              <w:t>。</w:t>
            </w:r>
          </w:p>
          <w:p w14:paraId="7D275E88">
            <w:pPr>
              <w:keepNext w:val="0"/>
              <w:keepLines w:val="0"/>
              <w:pageBreakBefore w:val="0"/>
              <w:widowControl/>
              <w:kinsoku/>
              <w:wordWrap/>
              <w:overflowPunct/>
              <w:bidi w:val="0"/>
              <w:adjustRightInd w:val="0"/>
              <w:snapToGrid w:val="0"/>
              <w:spacing w:line="360" w:lineRule="auto"/>
              <w:ind w:left="0" w:leftChars="0" w:right="0" w:firstLine="464" w:firstLineChars="200"/>
              <w:jc w:val="left"/>
              <w:rPr>
                <w:rFonts w:hint="default" w:ascii="Times New Roman" w:hAnsi="Times New Roman" w:cs="Times New Roman"/>
                <w:color w:val="auto"/>
                <w:spacing w:val="-4"/>
                <w:kern w:val="0"/>
                <w:sz w:val="24"/>
              </w:rPr>
            </w:pPr>
            <w:r>
              <w:rPr>
                <w:rFonts w:hint="default" w:ascii="Times New Roman" w:hAnsi="Times New Roman" w:cs="Times New Roman"/>
                <w:color w:val="auto"/>
                <w:spacing w:val="-4"/>
                <w:kern w:val="0"/>
                <w:sz w:val="24"/>
              </w:rPr>
              <w:t>建设单位采取上述降噪措施</w:t>
            </w:r>
            <w:r>
              <w:rPr>
                <w:rFonts w:hint="eastAsia" w:cs="Times New Roman"/>
                <w:color w:val="auto"/>
                <w:spacing w:val="-4"/>
                <w:kern w:val="0"/>
                <w:sz w:val="24"/>
                <w:lang w:eastAsia="zh-CN"/>
              </w:rPr>
              <w:t>，</w:t>
            </w:r>
            <w:r>
              <w:rPr>
                <w:rFonts w:hint="default" w:ascii="Times New Roman" w:hAnsi="Times New Roman" w:cs="Times New Roman"/>
                <w:color w:val="auto"/>
                <w:spacing w:val="-4"/>
                <w:kern w:val="0"/>
                <w:sz w:val="24"/>
              </w:rPr>
              <w:t>厂界噪声能达到《工业企业厂界环境噪声排放标准》（GB12348-2008）</w:t>
            </w:r>
            <w:r>
              <w:rPr>
                <w:rFonts w:hint="eastAsia" w:cs="Times New Roman"/>
                <w:color w:val="auto"/>
                <w:spacing w:val="-4"/>
                <w:kern w:val="0"/>
                <w:sz w:val="24"/>
                <w:lang w:val="en-US" w:eastAsia="zh-CN"/>
              </w:rPr>
              <w:t>2</w:t>
            </w:r>
            <w:r>
              <w:rPr>
                <w:rFonts w:hint="default" w:ascii="Times New Roman" w:hAnsi="Times New Roman" w:cs="Times New Roman"/>
                <w:color w:val="auto"/>
                <w:spacing w:val="-4"/>
                <w:kern w:val="0"/>
                <w:sz w:val="24"/>
              </w:rPr>
              <w:t>类标准（昼间≤6</w:t>
            </w:r>
            <w:r>
              <w:rPr>
                <w:rFonts w:hint="eastAsia" w:cs="Times New Roman"/>
                <w:color w:val="auto"/>
                <w:spacing w:val="-4"/>
                <w:kern w:val="0"/>
                <w:sz w:val="24"/>
                <w:lang w:val="en-US" w:eastAsia="zh-CN"/>
              </w:rPr>
              <w:t>0</w:t>
            </w:r>
            <w:r>
              <w:rPr>
                <w:rFonts w:hint="default" w:ascii="Times New Roman" w:hAnsi="Times New Roman" w:cs="Times New Roman"/>
                <w:color w:val="auto"/>
                <w:spacing w:val="-4"/>
                <w:kern w:val="0"/>
                <w:sz w:val="24"/>
              </w:rPr>
              <w:t>dB（A）</w:t>
            </w:r>
            <w:r>
              <w:rPr>
                <w:rFonts w:hint="eastAsia" w:cs="Times New Roman"/>
                <w:color w:val="auto"/>
                <w:spacing w:val="-4"/>
                <w:kern w:val="0"/>
                <w:sz w:val="24"/>
                <w:lang w:eastAsia="zh-CN"/>
              </w:rPr>
              <w:t>、</w:t>
            </w:r>
            <w:r>
              <w:rPr>
                <w:rFonts w:hint="eastAsia" w:cs="Times New Roman"/>
                <w:color w:val="auto"/>
                <w:spacing w:val="-4"/>
                <w:kern w:val="0"/>
                <w:sz w:val="24"/>
                <w:lang w:val="en-US" w:eastAsia="zh-CN"/>
              </w:rPr>
              <w:t>夜</w:t>
            </w:r>
            <w:r>
              <w:rPr>
                <w:rFonts w:hint="default" w:ascii="Times New Roman" w:hAnsi="Times New Roman" w:cs="Times New Roman"/>
                <w:color w:val="auto"/>
                <w:spacing w:val="-4"/>
                <w:kern w:val="0"/>
                <w:sz w:val="24"/>
              </w:rPr>
              <w:t>间≤</w:t>
            </w:r>
            <w:r>
              <w:rPr>
                <w:rFonts w:hint="eastAsia" w:ascii="Times New Roman" w:hAnsi="Times New Roman" w:cs="Times New Roman"/>
                <w:color w:val="auto"/>
                <w:spacing w:val="-4"/>
                <w:kern w:val="0"/>
                <w:sz w:val="24"/>
                <w:lang w:val="en-US" w:eastAsia="zh-CN"/>
              </w:rPr>
              <w:t>5</w:t>
            </w:r>
            <w:r>
              <w:rPr>
                <w:rFonts w:hint="eastAsia" w:cs="Times New Roman"/>
                <w:color w:val="auto"/>
                <w:spacing w:val="-4"/>
                <w:kern w:val="0"/>
                <w:sz w:val="24"/>
                <w:lang w:val="en-US" w:eastAsia="zh-CN"/>
              </w:rPr>
              <w:t>0</w:t>
            </w:r>
            <w:r>
              <w:rPr>
                <w:rFonts w:hint="default" w:ascii="Times New Roman" w:hAnsi="Times New Roman" w:cs="Times New Roman"/>
                <w:color w:val="auto"/>
                <w:spacing w:val="-4"/>
                <w:kern w:val="0"/>
                <w:sz w:val="24"/>
              </w:rPr>
              <w:t>dB（A））标准限值要求。</w:t>
            </w:r>
          </w:p>
          <w:p w14:paraId="1EBC64D0">
            <w:pPr>
              <w:keepNext w:val="0"/>
              <w:keepLines w:val="0"/>
              <w:pageBreakBefore w:val="0"/>
              <w:kinsoku/>
              <w:wordWrap/>
              <w:overflowPunct/>
              <w:bidi w:val="0"/>
              <w:adjustRightInd w:val="0"/>
              <w:snapToGrid w:val="0"/>
              <w:spacing w:line="360" w:lineRule="auto"/>
              <w:ind w:left="0" w:leftChars="0" w:right="0" w:firstLine="442" w:firstLineChars="200"/>
              <w:rPr>
                <w:rFonts w:hint="default" w:ascii="Times New Roman" w:hAnsi="Times New Roman" w:cs="Times New Roman"/>
                <w:b/>
                <w:bCs/>
                <w:color w:val="auto"/>
                <w:spacing w:val="-10"/>
                <w:sz w:val="24"/>
              </w:rPr>
            </w:pPr>
            <w:r>
              <w:rPr>
                <w:rFonts w:hint="default" w:ascii="Times New Roman" w:hAnsi="Times New Roman" w:cs="Times New Roman"/>
                <w:b/>
                <w:bCs/>
                <w:color w:val="auto"/>
                <w:spacing w:val="-10"/>
                <w:sz w:val="24"/>
                <w:lang w:val="en-US" w:eastAsia="zh-CN"/>
              </w:rPr>
              <w:t>4、</w:t>
            </w:r>
            <w:r>
              <w:rPr>
                <w:rFonts w:hint="default" w:ascii="Times New Roman" w:hAnsi="Times New Roman" w:cs="Times New Roman"/>
                <w:b/>
                <w:bCs/>
                <w:color w:val="auto"/>
                <w:spacing w:val="-10"/>
                <w:sz w:val="24"/>
              </w:rPr>
              <w:t>监测计划</w:t>
            </w:r>
          </w:p>
          <w:p w14:paraId="37472638">
            <w:pPr>
              <w:keepNext w:val="0"/>
              <w:keepLines w:val="0"/>
              <w:pageBreakBefore w:val="0"/>
              <w:kinsoku/>
              <w:wordWrap/>
              <w:overflowPunct/>
              <w:bidi w:val="0"/>
              <w:adjustRightInd w:val="0"/>
              <w:snapToGrid w:val="0"/>
              <w:spacing w:line="360" w:lineRule="auto"/>
              <w:ind w:left="0" w:leftChars="0" w:right="0" w:firstLine="480" w:firstLineChars="200"/>
              <w:rPr>
                <w:rFonts w:hint="default" w:ascii="Times New Roman" w:hAnsi="Times New Roman" w:cs="Times New Roman"/>
                <w:bCs/>
                <w:color w:val="auto"/>
                <w:spacing w:val="-10"/>
                <w:sz w:val="24"/>
              </w:rPr>
            </w:pPr>
            <w:r>
              <w:rPr>
                <w:rFonts w:hint="default" w:ascii="Times New Roman" w:hAnsi="Times New Roman" w:cs="Times New Roman"/>
                <w:bCs/>
                <w:color w:val="auto"/>
                <w:sz w:val="24"/>
              </w:rPr>
              <w:t>根据《排污单位自行监测技术指南 总则》（HJ819-2017），制定本项目噪声监测计划如下：</w:t>
            </w:r>
          </w:p>
          <w:p w14:paraId="4306608A">
            <w:pPr>
              <w:keepNext w:val="0"/>
              <w:keepLines w:val="0"/>
              <w:pageBreakBefore w:val="0"/>
              <w:widowControl/>
              <w:kinsoku/>
              <w:wordWrap/>
              <w:overflowPunct/>
              <w:topLinePunct w:val="0"/>
              <w:autoSpaceDE/>
              <w:autoSpaceDN/>
              <w:bidi w:val="0"/>
              <w:adjustRightInd w:val="0"/>
              <w:snapToGrid w:val="0"/>
              <w:spacing w:line="240" w:lineRule="auto"/>
              <w:ind w:left="0" w:leftChars="0" w:right="0"/>
              <w:contextualSpacing/>
              <w:jc w:val="center"/>
              <w:textAlignment w:val="auto"/>
              <w:rPr>
                <w:rFonts w:hint="default" w:ascii="Times New Roman" w:hAnsi="Times New Roman" w:cs="Times New Roman"/>
                <w:b/>
                <w:color w:val="auto"/>
                <w:kern w:val="0"/>
                <w:sz w:val="24"/>
                <w:szCs w:val="24"/>
              </w:rPr>
            </w:pPr>
            <w:r>
              <w:rPr>
                <w:rFonts w:hint="default" w:ascii="Times New Roman" w:hAnsi="Times New Roman" w:cs="Times New Roman"/>
                <w:b/>
                <w:color w:val="auto"/>
                <w:kern w:val="0"/>
                <w:sz w:val="24"/>
                <w:szCs w:val="24"/>
              </w:rPr>
              <w:t>表4-</w:t>
            </w:r>
            <w:r>
              <w:rPr>
                <w:rFonts w:hint="eastAsia" w:cs="Times New Roman"/>
                <w:b/>
                <w:color w:val="auto"/>
                <w:kern w:val="0"/>
                <w:sz w:val="24"/>
                <w:szCs w:val="24"/>
                <w:lang w:val="en-US" w:eastAsia="zh-CN"/>
              </w:rPr>
              <w:t>17</w:t>
            </w:r>
            <w:r>
              <w:rPr>
                <w:rFonts w:hint="default" w:ascii="Times New Roman" w:hAnsi="Times New Roman" w:cs="Times New Roman"/>
                <w:b/>
                <w:color w:val="auto"/>
                <w:kern w:val="0"/>
                <w:sz w:val="24"/>
                <w:szCs w:val="24"/>
                <w:lang w:val="en-US" w:eastAsia="zh-CN"/>
              </w:rPr>
              <w:t xml:space="preserve"> </w:t>
            </w:r>
            <w:r>
              <w:rPr>
                <w:rFonts w:hint="default" w:ascii="Times New Roman" w:hAnsi="Times New Roman" w:cs="Times New Roman"/>
                <w:b/>
                <w:color w:val="auto"/>
                <w:kern w:val="0"/>
                <w:sz w:val="24"/>
                <w:szCs w:val="24"/>
              </w:rPr>
              <w:t xml:space="preserve"> 项目噪声监测计划表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5"/>
              <w:gridCol w:w="1743"/>
              <w:gridCol w:w="2433"/>
              <w:gridCol w:w="2810"/>
            </w:tblGrid>
            <w:tr w14:paraId="7DBC9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8" w:type="pct"/>
                  <w:noWrap w:val="0"/>
                  <w:vAlign w:val="center"/>
                </w:tcPr>
                <w:p w14:paraId="304FDDD6">
                  <w:pPr>
                    <w:keepNext w:val="0"/>
                    <w:keepLines w:val="0"/>
                    <w:pageBreakBefore w:val="0"/>
                    <w:tabs>
                      <w:tab w:val="left" w:pos="2457"/>
                    </w:tabs>
                    <w:kinsoku/>
                    <w:wordWrap/>
                    <w:overflowPunct/>
                    <w:bidi w:val="0"/>
                    <w:ind w:left="0" w:leftChars="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类别</w:t>
                  </w:r>
                </w:p>
              </w:tc>
              <w:tc>
                <w:tcPr>
                  <w:tcW w:w="1011" w:type="pct"/>
                  <w:noWrap w:val="0"/>
                  <w:vAlign w:val="center"/>
                </w:tcPr>
                <w:p w14:paraId="44EFD3B1">
                  <w:pPr>
                    <w:keepNext w:val="0"/>
                    <w:keepLines w:val="0"/>
                    <w:pageBreakBefore w:val="0"/>
                    <w:tabs>
                      <w:tab w:val="left" w:pos="2457"/>
                    </w:tabs>
                    <w:kinsoku/>
                    <w:wordWrap/>
                    <w:overflowPunct/>
                    <w:bidi w:val="0"/>
                    <w:ind w:left="0" w:leftChars="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监测点位</w:t>
                  </w:r>
                </w:p>
              </w:tc>
              <w:tc>
                <w:tcPr>
                  <w:tcW w:w="1411" w:type="pct"/>
                  <w:noWrap w:val="0"/>
                  <w:vAlign w:val="center"/>
                </w:tcPr>
                <w:p w14:paraId="0207FA9A">
                  <w:pPr>
                    <w:keepNext w:val="0"/>
                    <w:keepLines w:val="0"/>
                    <w:pageBreakBefore w:val="0"/>
                    <w:tabs>
                      <w:tab w:val="left" w:pos="2457"/>
                    </w:tabs>
                    <w:kinsoku/>
                    <w:wordWrap/>
                    <w:overflowPunct/>
                    <w:bidi w:val="0"/>
                    <w:ind w:left="0" w:leftChars="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监测项目</w:t>
                  </w:r>
                </w:p>
              </w:tc>
              <w:tc>
                <w:tcPr>
                  <w:tcW w:w="1630" w:type="pct"/>
                  <w:noWrap w:val="0"/>
                  <w:vAlign w:val="center"/>
                </w:tcPr>
                <w:p w14:paraId="2FEE4843">
                  <w:pPr>
                    <w:keepNext w:val="0"/>
                    <w:keepLines w:val="0"/>
                    <w:pageBreakBefore w:val="0"/>
                    <w:tabs>
                      <w:tab w:val="left" w:pos="2457"/>
                    </w:tabs>
                    <w:kinsoku/>
                    <w:wordWrap/>
                    <w:overflowPunct/>
                    <w:bidi w:val="0"/>
                    <w:ind w:left="0" w:leftChars="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监测频率</w:t>
                  </w:r>
                </w:p>
              </w:tc>
            </w:tr>
            <w:tr w14:paraId="4031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8" w:type="pct"/>
                  <w:noWrap w:val="0"/>
                  <w:vAlign w:val="center"/>
                </w:tcPr>
                <w:p w14:paraId="056CE3F4">
                  <w:pPr>
                    <w:keepNext w:val="0"/>
                    <w:keepLines w:val="0"/>
                    <w:pageBreakBefore w:val="0"/>
                    <w:tabs>
                      <w:tab w:val="left" w:pos="2457"/>
                    </w:tabs>
                    <w:kinsoku/>
                    <w:wordWrap/>
                    <w:overflowPunct/>
                    <w:bidi w:val="0"/>
                    <w:ind w:left="0" w:leftChars="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厂界噪声</w:t>
                  </w:r>
                </w:p>
              </w:tc>
              <w:tc>
                <w:tcPr>
                  <w:tcW w:w="1011" w:type="pct"/>
                  <w:noWrap w:val="0"/>
                  <w:vAlign w:val="center"/>
                </w:tcPr>
                <w:p w14:paraId="01F1A078">
                  <w:pPr>
                    <w:keepNext w:val="0"/>
                    <w:keepLines w:val="0"/>
                    <w:pageBreakBefore w:val="0"/>
                    <w:tabs>
                      <w:tab w:val="left" w:pos="2457"/>
                    </w:tabs>
                    <w:kinsoku/>
                    <w:wordWrap/>
                    <w:overflowPunct/>
                    <w:bidi w:val="0"/>
                    <w:ind w:left="0" w:leftChars="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厂界</w:t>
                  </w:r>
                </w:p>
              </w:tc>
              <w:tc>
                <w:tcPr>
                  <w:tcW w:w="1411" w:type="pct"/>
                  <w:noWrap w:val="0"/>
                  <w:vAlign w:val="center"/>
                </w:tcPr>
                <w:p w14:paraId="6140064B">
                  <w:pPr>
                    <w:keepNext w:val="0"/>
                    <w:keepLines w:val="0"/>
                    <w:pageBreakBefore w:val="0"/>
                    <w:tabs>
                      <w:tab w:val="left" w:pos="2457"/>
                    </w:tabs>
                    <w:kinsoku/>
                    <w:wordWrap/>
                    <w:overflowPunct/>
                    <w:bidi w:val="0"/>
                    <w:ind w:left="0" w:leftChars="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等效连续A声级</w:t>
                  </w:r>
                </w:p>
              </w:tc>
              <w:tc>
                <w:tcPr>
                  <w:tcW w:w="1630" w:type="pct"/>
                  <w:noWrap w:val="0"/>
                  <w:vAlign w:val="center"/>
                </w:tcPr>
                <w:p w14:paraId="61BEDEEC">
                  <w:pPr>
                    <w:keepNext w:val="0"/>
                    <w:keepLines w:val="0"/>
                    <w:pageBreakBefore w:val="0"/>
                    <w:tabs>
                      <w:tab w:val="left" w:pos="2457"/>
                    </w:tabs>
                    <w:kinsoku/>
                    <w:wordWrap/>
                    <w:overflowPunct/>
                    <w:bidi w:val="0"/>
                    <w:ind w:left="0" w:leftChars="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1次/</w:t>
                  </w:r>
                  <w:r>
                    <w:rPr>
                      <w:rFonts w:hint="eastAsia" w:ascii="Times New Roman" w:hAnsi="Times New Roman" w:cs="Times New Roman"/>
                      <w:color w:val="auto"/>
                      <w:szCs w:val="21"/>
                      <w:lang w:val="en-US" w:eastAsia="zh-CN"/>
                    </w:rPr>
                    <w:t>季度</w:t>
                  </w:r>
                  <w:r>
                    <w:rPr>
                      <w:rFonts w:hint="default" w:ascii="Times New Roman" w:hAnsi="Times New Roman" w:cs="Times New Roman"/>
                      <w:color w:val="auto"/>
                      <w:szCs w:val="21"/>
                    </w:rPr>
                    <w:t>，昼</w:t>
                  </w:r>
                  <w:r>
                    <w:rPr>
                      <w:rFonts w:hint="eastAsia" w:cs="Times New Roman"/>
                      <w:color w:val="auto"/>
                      <w:szCs w:val="21"/>
                      <w:lang w:eastAsia="zh-CN"/>
                    </w:rPr>
                    <w:t>、</w:t>
                  </w:r>
                  <w:r>
                    <w:rPr>
                      <w:rFonts w:hint="eastAsia" w:cs="Times New Roman"/>
                      <w:color w:val="auto"/>
                      <w:szCs w:val="21"/>
                      <w:lang w:val="en-US" w:eastAsia="zh-CN"/>
                    </w:rPr>
                    <w:t>夜</w:t>
                  </w:r>
                  <w:r>
                    <w:rPr>
                      <w:rFonts w:hint="default" w:ascii="Times New Roman" w:hAnsi="Times New Roman" w:cs="Times New Roman"/>
                      <w:color w:val="auto"/>
                      <w:szCs w:val="21"/>
                    </w:rPr>
                    <w:t>间</w:t>
                  </w:r>
                </w:p>
              </w:tc>
            </w:tr>
          </w:tbl>
          <w:p w14:paraId="611CD3C1">
            <w:pPr>
              <w:keepNext w:val="0"/>
              <w:keepLines w:val="0"/>
              <w:pageBreakBefore w:val="0"/>
              <w:kinsoku/>
              <w:wordWrap/>
              <w:overflowPunct/>
              <w:topLinePunct w:val="0"/>
              <w:autoSpaceDE/>
              <w:autoSpaceDN/>
              <w:bidi w:val="0"/>
              <w:adjustRightInd w:val="0"/>
              <w:snapToGrid w:val="0"/>
              <w:spacing w:line="360" w:lineRule="auto"/>
              <w:ind w:left="0" w:leftChars="0" w:right="0" w:firstLine="442" w:firstLineChars="200"/>
              <w:jc w:val="both"/>
              <w:textAlignment w:val="auto"/>
              <w:rPr>
                <w:rFonts w:hint="default" w:ascii="Times New Roman" w:hAnsi="Times New Roman" w:cs="Times New Roman"/>
                <w:b/>
                <w:bCs/>
                <w:color w:val="auto"/>
                <w:spacing w:val="-10"/>
                <w:sz w:val="24"/>
              </w:rPr>
            </w:pPr>
            <w:r>
              <w:rPr>
                <w:rFonts w:hint="default" w:ascii="Times New Roman" w:hAnsi="Times New Roman" w:cs="Times New Roman"/>
                <w:b/>
                <w:bCs/>
                <w:color w:val="auto"/>
                <w:spacing w:val="-10"/>
                <w:sz w:val="24"/>
              </w:rPr>
              <w:t>四</w:t>
            </w:r>
            <w:r>
              <w:rPr>
                <w:rFonts w:hint="default" w:ascii="Times New Roman" w:hAnsi="Times New Roman" w:cs="Times New Roman"/>
                <w:b/>
                <w:bCs/>
                <w:color w:val="auto"/>
                <w:spacing w:val="-10"/>
                <w:sz w:val="24"/>
                <w:lang w:eastAsia="zh-CN"/>
              </w:rPr>
              <w:t>、</w:t>
            </w:r>
            <w:r>
              <w:rPr>
                <w:rFonts w:hint="default" w:ascii="Times New Roman" w:hAnsi="Times New Roman" w:cs="Times New Roman"/>
                <w:b/>
                <w:bCs/>
                <w:color w:val="auto"/>
                <w:spacing w:val="-10"/>
                <w:sz w:val="24"/>
              </w:rPr>
              <w:t>固体废物</w:t>
            </w:r>
          </w:p>
          <w:p w14:paraId="0C709680">
            <w:pPr>
              <w:keepNext w:val="0"/>
              <w:keepLines w:val="0"/>
              <w:pageBreakBefore w:val="0"/>
              <w:kinsoku/>
              <w:wordWrap/>
              <w:overflowPunct/>
              <w:topLinePunct w:val="0"/>
              <w:autoSpaceDE/>
              <w:autoSpaceDN/>
              <w:bidi w:val="0"/>
              <w:adjustRightInd w:val="0"/>
              <w:snapToGrid w:val="0"/>
              <w:spacing w:line="360" w:lineRule="auto"/>
              <w:ind w:left="0" w:leftChars="0" w:right="0" w:firstLine="442" w:firstLineChars="200"/>
              <w:jc w:val="both"/>
              <w:textAlignment w:val="auto"/>
              <w:rPr>
                <w:rFonts w:hint="default" w:ascii="Times New Roman" w:hAnsi="Times New Roman" w:cs="Times New Roman"/>
                <w:b/>
                <w:bCs/>
                <w:color w:val="auto"/>
                <w:spacing w:val="-10"/>
                <w:sz w:val="24"/>
              </w:rPr>
            </w:pPr>
            <w:r>
              <w:rPr>
                <w:rFonts w:hint="default" w:ascii="Times New Roman" w:hAnsi="Times New Roman" w:cs="Times New Roman"/>
                <w:b/>
                <w:bCs/>
                <w:color w:val="auto"/>
                <w:spacing w:val="-10"/>
                <w:sz w:val="24"/>
              </w:rPr>
              <w:t>1、固体废物产排情况</w:t>
            </w:r>
          </w:p>
          <w:p w14:paraId="5B8F151E">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default" w:ascii="Times New Roman" w:hAnsi="Times New Roman" w:cs="Times New Roman"/>
                <w:color w:val="auto"/>
                <w:kern w:val="0"/>
                <w:sz w:val="24"/>
              </w:rPr>
            </w:pPr>
            <w:r>
              <w:rPr>
                <w:rFonts w:hint="default" w:ascii="Times New Roman" w:hAnsi="Times New Roman" w:cs="Times New Roman"/>
                <w:color w:val="auto"/>
                <w:kern w:val="0"/>
                <w:sz w:val="24"/>
              </w:rPr>
              <w:t>项目固体废物有</w:t>
            </w:r>
            <w:r>
              <w:rPr>
                <w:rFonts w:hint="eastAsia" w:cs="Times New Roman"/>
                <w:color w:val="auto"/>
                <w:kern w:val="0"/>
                <w:sz w:val="24"/>
                <w:lang w:val="en-US" w:eastAsia="zh-CN"/>
              </w:rPr>
              <w:t>普通废包装材料、医疗废物、危险废包装物、废UV灯管、废紫外灯、污水处理站污泥以及生活垃圾</w:t>
            </w:r>
            <w:r>
              <w:rPr>
                <w:rFonts w:hint="default" w:ascii="Times New Roman" w:hAnsi="Times New Roman" w:cs="Times New Roman"/>
                <w:color w:val="auto"/>
                <w:kern w:val="0"/>
                <w:sz w:val="24"/>
              </w:rPr>
              <w:t>。</w:t>
            </w:r>
          </w:p>
          <w:p w14:paraId="1E2C3036">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default" w:ascii="Times New Roman" w:hAnsi="Times New Roman" w:cs="Times New Roman"/>
                <w:color w:val="auto"/>
                <w:sz w:val="24"/>
              </w:rPr>
            </w:pPr>
            <w:r>
              <w:rPr>
                <w:rFonts w:hint="default" w:ascii="Times New Roman" w:hAnsi="Times New Roman" w:cs="Times New Roman"/>
                <w:color w:val="auto"/>
                <w:sz w:val="24"/>
              </w:rPr>
              <w:t>（1）危险废物</w:t>
            </w:r>
          </w:p>
          <w:p w14:paraId="1E37E405">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rPr>
              <w:t>①</w:t>
            </w:r>
            <w:r>
              <w:rPr>
                <w:rFonts w:hint="eastAsia" w:cs="Times New Roman"/>
                <w:color w:val="auto"/>
                <w:sz w:val="24"/>
                <w:lang w:val="en-US" w:eastAsia="zh-CN"/>
              </w:rPr>
              <w:t>医疗废物</w:t>
            </w:r>
          </w:p>
          <w:p w14:paraId="2FFE8A82">
            <w:pPr>
              <w:pStyle w:val="121"/>
              <w:bidi w:val="0"/>
              <w:rPr>
                <w:rFonts w:hint="eastAsia"/>
                <w:color w:val="auto"/>
                <w:highlight w:val="none"/>
                <w:lang w:val="en-US" w:eastAsia="zh-CN"/>
              </w:rPr>
            </w:pPr>
            <w:r>
              <w:rPr>
                <w:rFonts w:hint="eastAsia"/>
                <w:color w:val="auto"/>
                <w:highlight w:val="none"/>
                <w:lang w:val="en-US" w:eastAsia="zh-CN"/>
              </w:rPr>
              <w:t>根据卫生部和国家环境保护总局制定的《医疗废物分类目录》的规定，医院医疗废物可以分为感染性废物、病理性废物、损伤性废物、药物性废物及化学性废物。详见下表。</w:t>
            </w:r>
          </w:p>
          <w:p w14:paraId="06F3D85E">
            <w:pPr>
              <w:pStyle w:val="7"/>
              <w:keepNext/>
              <w:keepLines/>
              <w:pageBreakBefore w:val="0"/>
              <w:widowControl w:val="0"/>
              <w:kinsoku/>
              <w:wordWrap/>
              <w:overflowPunct/>
              <w:topLinePunct w:val="0"/>
              <w:autoSpaceDE/>
              <w:autoSpaceDN/>
              <w:bidi w:val="0"/>
              <w:adjustRightInd w:val="0"/>
              <w:snapToGrid w:val="0"/>
              <w:spacing w:before="0" w:after="0" w:line="240" w:lineRule="auto"/>
              <w:jc w:val="center"/>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表4-18  医疗废物</w:t>
            </w:r>
            <w:r>
              <w:rPr>
                <w:rFonts w:hint="default" w:ascii="Times New Roman" w:hAnsi="Times New Roman" w:eastAsia="宋体" w:cs="Times New Roman"/>
                <w:color w:val="auto"/>
                <w:sz w:val="24"/>
                <w:szCs w:val="24"/>
              </w:rPr>
              <w:t>分类</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2122"/>
              <w:gridCol w:w="5577"/>
            </w:tblGrid>
            <w:tr w14:paraId="17C8A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534" w:type="pct"/>
                  <w:tcBorders>
                    <w:tl2br w:val="nil"/>
                    <w:tr2bl w:val="nil"/>
                  </w:tcBorders>
                  <w:noWrap w:val="0"/>
                  <w:vAlign w:val="center"/>
                </w:tcPr>
                <w:p w14:paraId="0614973E">
                  <w:pPr>
                    <w:pStyle w:val="120"/>
                    <w:keepNext w:val="0"/>
                    <w:keepLines w:val="0"/>
                    <w:pageBreakBefore w:val="0"/>
                    <w:widowControl w:val="0"/>
                    <w:kinsoku/>
                    <w:wordWrap/>
                    <w:overflowPunct/>
                    <w:topLinePunct w:val="0"/>
                    <w:autoSpaceDE/>
                    <w:autoSpaceDN/>
                    <w:bidi w:val="0"/>
                    <w:adjustRightInd/>
                    <w:snapToGrid/>
                    <w:jc w:val="center"/>
                    <w:textAlignment w:val="auto"/>
                    <w:rPr>
                      <w:b/>
                      <w:bCs/>
                      <w:color w:val="auto"/>
                      <w:highlight w:val="none"/>
                    </w:rPr>
                  </w:pPr>
                  <w:r>
                    <w:rPr>
                      <w:b/>
                      <w:bCs/>
                      <w:color w:val="auto"/>
                      <w:highlight w:val="none"/>
                    </w:rPr>
                    <w:t>类别</w:t>
                  </w:r>
                </w:p>
              </w:tc>
              <w:tc>
                <w:tcPr>
                  <w:tcW w:w="1230" w:type="pct"/>
                  <w:tcBorders>
                    <w:tl2br w:val="nil"/>
                    <w:tr2bl w:val="nil"/>
                  </w:tcBorders>
                  <w:noWrap w:val="0"/>
                  <w:vAlign w:val="center"/>
                </w:tcPr>
                <w:p w14:paraId="2049C799">
                  <w:pPr>
                    <w:pStyle w:val="120"/>
                    <w:keepNext w:val="0"/>
                    <w:keepLines w:val="0"/>
                    <w:pageBreakBefore w:val="0"/>
                    <w:widowControl w:val="0"/>
                    <w:kinsoku/>
                    <w:wordWrap/>
                    <w:overflowPunct/>
                    <w:topLinePunct w:val="0"/>
                    <w:autoSpaceDE/>
                    <w:autoSpaceDN/>
                    <w:bidi w:val="0"/>
                    <w:adjustRightInd/>
                    <w:snapToGrid/>
                    <w:jc w:val="center"/>
                    <w:textAlignment w:val="auto"/>
                    <w:rPr>
                      <w:b/>
                      <w:bCs/>
                      <w:color w:val="auto"/>
                      <w:highlight w:val="none"/>
                    </w:rPr>
                  </w:pPr>
                  <w:r>
                    <w:rPr>
                      <w:b/>
                      <w:bCs/>
                      <w:color w:val="auto"/>
                      <w:highlight w:val="none"/>
                    </w:rPr>
                    <w:t>特征</w:t>
                  </w:r>
                </w:p>
              </w:tc>
              <w:tc>
                <w:tcPr>
                  <w:tcW w:w="3234" w:type="pct"/>
                  <w:tcBorders>
                    <w:tl2br w:val="nil"/>
                    <w:tr2bl w:val="nil"/>
                  </w:tcBorders>
                  <w:noWrap w:val="0"/>
                  <w:vAlign w:val="center"/>
                </w:tcPr>
                <w:p w14:paraId="51090EB0">
                  <w:pPr>
                    <w:pStyle w:val="120"/>
                    <w:keepNext w:val="0"/>
                    <w:keepLines w:val="0"/>
                    <w:pageBreakBefore w:val="0"/>
                    <w:widowControl w:val="0"/>
                    <w:kinsoku/>
                    <w:wordWrap/>
                    <w:overflowPunct/>
                    <w:topLinePunct w:val="0"/>
                    <w:autoSpaceDE/>
                    <w:autoSpaceDN/>
                    <w:bidi w:val="0"/>
                    <w:adjustRightInd/>
                    <w:snapToGrid/>
                    <w:jc w:val="center"/>
                    <w:textAlignment w:val="auto"/>
                    <w:rPr>
                      <w:b/>
                      <w:bCs/>
                      <w:color w:val="auto"/>
                      <w:highlight w:val="none"/>
                    </w:rPr>
                  </w:pPr>
                  <w:r>
                    <w:rPr>
                      <w:b/>
                      <w:bCs/>
                      <w:color w:val="auto"/>
                      <w:highlight w:val="none"/>
                    </w:rPr>
                    <w:t>常见组分或者废物名称</w:t>
                  </w:r>
                </w:p>
              </w:tc>
            </w:tr>
            <w:tr w14:paraId="1795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4" w:type="pct"/>
                  <w:vMerge w:val="restart"/>
                  <w:tcBorders>
                    <w:tl2br w:val="nil"/>
                    <w:tr2bl w:val="nil"/>
                  </w:tcBorders>
                  <w:noWrap w:val="0"/>
                  <w:vAlign w:val="center"/>
                </w:tcPr>
                <w:p w14:paraId="2B1CCAB0">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r>
                    <w:rPr>
                      <w:color w:val="auto"/>
                      <w:highlight w:val="none"/>
                    </w:rPr>
                    <w:t>病理性废物</w:t>
                  </w:r>
                </w:p>
              </w:tc>
              <w:tc>
                <w:tcPr>
                  <w:tcW w:w="1230" w:type="pct"/>
                  <w:vMerge w:val="restart"/>
                  <w:tcBorders>
                    <w:tl2br w:val="nil"/>
                    <w:tr2bl w:val="nil"/>
                  </w:tcBorders>
                  <w:noWrap w:val="0"/>
                  <w:vAlign w:val="center"/>
                </w:tcPr>
                <w:p w14:paraId="43A06FD1">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r>
                    <w:rPr>
                      <w:color w:val="auto"/>
                      <w:highlight w:val="none"/>
                    </w:rPr>
                    <w:t>诊疗过程中产生的人体废弃物和医学实验动物尸体等。</w:t>
                  </w:r>
                </w:p>
              </w:tc>
              <w:tc>
                <w:tcPr>
                  <w:tcW w:w="3234" w:type="pct"/>
                  <w:tcBorders>
                    <w:tl2br w:val="nil"/>
                    <w:tr2bl w:val="nil"/>
                  </w:tcBorders>
                  <w:noWrap w:val="0"/>
                  <w:vAlign w:val="center"/>
                </w:tcPr>
                <w:p w14:paraId="4EE2F801">
                  <w:pPr>
                    <w:pStyle w:val="120"/>
                    <w:keepNext w:val="0"/>
                    <w:keepLines w:val="0"/>
                    <w:pageBreakBefore w:val="0"/>
                    <w:widowControl w:val="0"/>
                    <w:kinsoku/>
                    <w:wordWrap/>
                    <w:overflowPunct/>
                    <w:topLinePunct w:val="0"/>
                    <w:autoSpaceDE/>
                    <w:autoSpaceDN/>
                    <w:bidi w:val="0"/>
                    <w:adjustRightInd/>
                    <w:snapToGrid/>
                    <w:jc w:val="left"/>
                    <w:textAlignment w:val="auto"/>
                    <w:rPr>
                      <w:color w:val="auto"/>
                      <w:highlight w:val="none"/>
                    </w:rPr>
                  </w:pPr>
                  <w:r>
                    <w:rPr>
                      <w:color w:val="auto"/>
                      <w:highlight w:val="none"/>
                    </w:rPr>
                    <w:t>1、手术及其他诊疗过程中产生的废弃的人体组织、器官等。</w:t>
                  </w:r>
                </w:p>
              </w:tc>
            </w:tr>
            <w:tr w14:paraId="399E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4" w:type="pct"/>
                  <w:vMerge w:val="continue"/>
                  <w:tcBorders>
                    <w:tl2br w:val="nil"/>
                    <w:tr2bl w:val="nil"/>
                  </w:tcBorders>
                  <w:noWrap w:val="0"/>
                  <w:vAlign w:val="center"/>
                </w:tcPr>
                <w:p w14:paraId="10CD049E">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1230" w:type="pct"/>
                  <w:vMerge w:val="continue"/>
                  <w:tcBorders>
                    <w:tl2br w:val="nil"/>
                    <w:tr2bl w:val="nil"/>
                  </w:tcBorders>
                  <w:noWrap w:val="0"/>
                  <w:vAlign w:val="center"/>
                </w:tcPr>
                <w:p w14:paraId="2EA692AA">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3234" w:type="pct"/>
                  <w:tcBorders>
                    <w:tl2br w:val="nil"/>
                    <w:tr2bl w:val="nil"/>
                  </w:tcBorders>
                  <w:noWrap w:val="0"/>
                  <w:vAlign w:val="center"/>
                </w:tcPr>
                <w:p w14:paraId="596F2F77">
                  <w:pPr>
                    <w:pStyle w:val="120"/>
                    <w:keepNext w:val="0"/>
                    <w:keepLines w:val="0"/>
                    <w:pageBreakBefore w:val="0"/>
                    <w:widowControl w:val="0"/>
                    <w:kinsoku/>
                    <w:wordWrap/>
                    <w:overflowPunct/>
                    <w:topLinePunct w:val="0"/>
                    <w:autoSpaceDE/>
                    <w:autoSpaceDN/>
                    <w:bidi w:val="0"/>
                    <w:adjustRightInd/>
                    <w:snapToGrid/>
                    <w:jc w:val="left"/>
                    <w:textAlignment w:val="auto"/>
                    <w:rPr>
                      <w:color w:val="auto"/>
                      <w:highlight w:val="none"/>
                    </w:rPr>
                  </w:pPr>
                  <w:r>
                    <w:rPr>
                      <w:color w:val="auto"/>
                      <w:highlight w:val="none"/>
                    </w:rPr>
                    <w:t>2、病理切片后废弃的人体组织、病理腊块等。</w:t>
                  </w:r>
                </w:p>
              </w:tc>
            </w:tr>
            <w:tr w14:paraId="603D5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4" w:type="pct"/>
                  <w:vMerge w:val="restart"/>
                  <w:tcBorders>
                    <w:tl2br w:val="nil"/>
                    <w:tr2bl w:val="nil"/>
                  </w:tcBorders>
                  <w:noWrap w:val="0"/>
                  <w:vAlign w:val="center"/>
                </w:tcPr>
                <w:p w14:paraId="38547B94">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r>
                    <w:rPr>
                      <w:color w:val="auto"/>
                      <w:highlight w:val="none"/>
                    </w:rPr>
                    <w:t>损伤性废物</w:t>
                  </w:r>
                </w:p>
              </w:tc>
              <w:tc>
                <w:tcPr>
                  <w:tcW w:w="1230" w:type="pct"/>
                  <w:vMerge w:val="restart"/>
                  <w:tcBorders>
                    <w:tl2br w:val="nil"/>
                    <w:tr2bl w:val="nil"/>
                  </w:tcBorders>
                  <w:noWrap w:val="0"/>
                  <w:vAlign w:val="center"/>
                </w:tcPr>
                <w:p w14:paraId="5B7894D5">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r>
                    <w:rPr>
                      <w:color w:val="auto"/>
                      <w:highlight w:val="none"/>
                    </w:rPr>
                    <w:t>能够刺伤或者割伤人体的废弃的医用锐器。</w:t>
                  </w:r>
                </w:p>
              </w:tc>
              <w:tc>
                <w:tcPr>
                  <w:tcW w:w="3234" w:type="pct"/>
                  <w:tcBorders>
                    <w:tl2br w:val="nil"/>
                    <w:tr2bl w:val="nil"/>
                  </w:tcBorders>
                  <w:noWrap w:val="0"/>
                  <w:vAlign w:val="center"/>
                </w:tcPr>
                <w:p w14:paraId="506A6631">
                  <w:pPr>
                    <w:pStyle w:val="120"/>
                    <w:keepNext w:val="0"/>
                    <w:keepLines w:val="0"/>
                    <w:pageBreakBefore w:val="0"/>
                    <w:widowControl w:val="0"/>
                    <w:kinsoku/>
                    <w:wordWrap/>
                    <w:overflowPunct/>
                    <w:topLinePunct w:val="0"/>
                    <w:autoSpaceDE/>
                    <w:autoSpaceDN/>
                    <w:bidi w:val="0"/>
                    <w:adjustRightInd/>
                    <w:snapToGrid/>
                    <w:jc w:val="left"/>
                    <w:textAlignment w:val="auto"/>
                    <w:rPr>
                      <w:color w:val="auto"/>
                      <w:highlight w:val="none"/>
                    </w:rPr>
                  </w:pPr>
                  <w:r>
                    <w:rPr>
                      <w:color w:val="auto"/>
                      <w:highlight w:val="none"/>
                    </w:rPr>
                    <w:t>1、医用针头、缝合针。</w:t>
                  </w:r>
                </w:p>
              </w:tc>
            </w:tr>
            <w:tr w14:paraId="4CD4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4" w:type="pct"/>
                  <w:vMerge w:val="continue"/>
                  <w:tcBorders>
                    <w:tl2br w:val="nil"/>
                    <w:tr2bl w:val="nil"/>
                  </w:tcBorders>
                  <w:noWrap w:val="0"/>
                  <w:vAlign w:val="center"/>
                </w:tcPr>
                <w:p w14:paraId="10D90508">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1230" w:type="pct"/>
                  <w:vMerge w:val="continue"/>
                  <w:tcBorders>
                    <w:tl2br w:val="nil"/>
                    <w:tr2bl w:val="nil"/>
                  </w:tcBorders>
                  <w:noWrap w:val="0"/>
                  <w:vAlign w:val="center"/>
                </w:tcPr>
                <w:p w14:paraId="75722D20">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3234" w:type="pct"/>
                  <w:tcBorders>
                    <w:tl2br w:val="nil"/>
                    <w:tr2bl w:val="nil"/>
                  </w:tcBorders>
                  <w:noWrap w:val="0"/>
                  <w:vAlign w:val="center"/>
                </w:tcPr>
                <w:p w14:paraId="204F4B71">
                  <w:pPr>
                    <w:pStyle w:val="120"/>
                    <w:keepNext w:val="0"/>
                    <w:keepLines w:val="0"/>
                    <w:pageBreakBefore w:val="0"/>
                    <w:widowControl w:val="0"/>
                    <w:kinsoku/>
                    <w:wordWrap/>
                    <w:overflowPunct/>
                    <w:topLinePunct w:val="0"/>
                    <w:autoSpaceDE/>
                    <w:autoSpaceDN/>
                    <w:bidi w:val="0"/>
                    <w:adjustRightInd/>
                    <w:snapToGrid/>
                    <w:jc w:val="left"/>
                    <w:textAlignment w:val="auto"/>
                    <w:rPr>
                      <w:color w:val="auto"/>
                      <w:highlight w:val="none"/>
                    </w:rPr>
                  </w:pPr>
                  <w:r>
                    <w:rPr>
                      <w:color w:val="auto"/>
                      <w:highlight w:val="none"/>
                    </w:rPr>
                    <w:t>2、各类医用锐器，包括：解剖刀、手术刀、备皮刀、手术锯</w:t>
                  </w:r>
                </w:p>
              </w:tc>
            </w:tr>
            <w:tr w14:paraId="397BB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4" w:type="pct"/>
                  <w:vMerge w:val="continue"/>
                  <w:tcBorders>
                    <w:tl2br w:val="nil"/>
                    <w:tr2bl w:val="nil"/>
                  </w:tcBorders>
                  <w:noWrap w:val="0"/>
                  <w:vAlign w:val="center"/>
                </w:tcPr>
                <w:p w14:paraId="2665DAE2">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1230" w:type="pct"/>
                  <w:vMerge w:val="continue"/>
                  <w:tcBorders>
                    <w:tl2br w:val="nil"/>
                    <w:tr2bl w:val="nil"/>
                  </w:tcBorders>
                  <w:noWrap w:val="0"/>
                  <w:vAlign w:val="center"/>
                </w:tcPr>
                <w:p w14:paraId="6F9C98C2">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3234" w:type="pct"/>
                  <w:tcBorders>
                    <w:tl2br w:val="nil"/>
                    <w:tr2bl w:val="nil"/>
                  </w:tcBorders>
                  <w:noWrap w:val="0"/>
                  <w:vAlign w:val="center"/>
                </w:tcPr>
                <w:p w14:paraId="1421CB3E">
                  <w:pPr>
                    <w:pStyle w:val="120"/>
                    <w:keepNext w:val="0"/>
                    <w:keepLines w:val="0"/>
                    <w:pageBreakBefore w:val="0"/>
                    <w:widowControl w:val="0"/>
                    <w:kinsoku/>
                    <w:wordWrap/>
                    <w:overflowPunct/>
                    <w:topLinePunct w:val="0"/>
                    <w:autoSpaceDE/>
                    <w:autoSpaceDN/>
                    <w:bidi w:val="0"/>
                    <w:adjustRightInd/>
                    <w:snapToGrid/>
                    <w:jc w:val="left"/>
                    <w:textAlignment w:val="auto"/>
                    <w:rPr>
                      <w:color w:val="auto"/>
                      <w:highlight w:val="none"/>
                    </w:rPr>
                  </w:pPr>
                  <w:r>
                    <w:rPr>
                      <w:color w:val="auto"/>
                      <w:highlight w:val="none"/>
                    </w:rPr>
                    <w:t>3、载玻片、玻璃试管、玻璃安瓿等。</w:t>
                  </w:r>
                </w:p>
              </w:tc>
            </w:tr>
            <w:tr w14:paraId="031C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4" w:type="pct"/>
                  <w:vMerge w:val="restart"/>
                  <w:tcBorders>
                    <w:tl2br w:val="nil"/>
                    <w:tr2bl w:val="nil"/>
                  </w:tcBorders>
                  <w:noWrap w:val="0"/>
                  <w:vAlign w:val="center"/>
                </w:tcPr>
                <w:p w14:paraId="4C5751E4">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r>
                    <w:rPr>
                      <w:color w:val="auto"/>
                      <w:highlight w:val="none"/>
                    </w:rPr>
                    <w:t>药物性废物</w:t>
                  </w:r>
                </w:p>
              </w:tc>
              <w:tc>
                <w:tcPr>
                  <w:tcW w:w="1230" w:type="pct"/>
                  <w:vMerge w:val="restart"/>
                  <w:tcBorders>
                    <w:tl2br w:val="nil"/>
                    <w:tr2bl w:val="nil"/>
                  </w:tcBorders>
                  <w:noWrap w:val="0"/>
                  <w:vAlign w:val="center"/>
                </w:tcPr>
                <w:p w14:paraId="1DE38A52">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r>
                    <w:rPr>
                      <w:color w:val="auto"/>
                      <w:highlight w:val="none"/>
                    </w:rPr>
                    <w:t>过期、淘汰、变质或者被污染的废弃的药品。</w:t>
                  </w:r>
                </w:p>
              </w:tc>
              <w:tc>
                <w:tcPr>
                  <w:tcW w:w="3234" w:type="pct"/>
                  <w:tcBorders>
                    <w:tl2br w:val="nil"/>
                    <w:tr2bl w:val="nil"/>
                  </w:tcBorders>
                  <w:noWrap w:val="0"/>
                  <w:vAlign w:val="center"/>
                </w:tcPr>
                <w:p w14:paraId="17D6B3AA">
                  <w:pPr>
                    <w:pStyle w:val="120"/>
                    <w:keepNext w:val="0"/>
                    <w:keepLines w:val="0"/>
                    <w:pageBreakBefore w:val="0"/>
                    <w:widowControl w:val="0"/>
                    <w:kinsoku/>
                    <w:wordWrap/>
                    <w:overflowPunct/>
                    <w:topLinePunct w:val="0"/>
                    <w:autoSpaceDE/>
                    <w:autoSpaceDN/>
                    <w:bidi w:val="0"/>
                    <w:adjustRightInd/>
                    <w:snapToGrid/>
                    <w:jc w:val="left"/>
                    <w:textAlignment w:val="auto"/>
                    <w:rPr>
                      <w:color w:val="auto"/>
                      <w:highlight w:val="none"/>
                    </w:rPr>
                  </w:pPr>
                  <w:r>
                    <w:rPr>
                      <w:color w:val="auto"/>
                      <w:highlight w:val="none"/>
                    </w:rPr>
                    <w:t>1、废弃的一般性药品，如：抗生素、非处方类药品等。</w:t>
                  </w:r>
                </w:p>
              </w:tc>
            </w:tr>
            <w:tr w14:paraId="62DC1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4" w:type="pct"/>
                  <w:vMerge w:val="continue"/>
                  <w:tcBorders>
                    <w:tl2br w:val="nil"/>
                    <w:tr2bl w:val="nil"/>
                  </w:tcBorders>
                  <w:noWrap w:val="0"/>
                  <w:vAlign w:val="center"/>
                </w:tcPr>
                <w:p w14:paraId="03F4D7E3">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1230" w:type="pct"/>
                  <w:vMerge w:val="continue"/>
                  <w:tcBorders>
                    <w:tl2br w:val="nil"/>
                    <w:tr2bl w:val="nil"/>
                  </w:tcBorders>
                  <w:noWrap w:val="0"/>
                  <w:vAlign w:val="center"/>
                </w:tcPr>
                <w:p w14:paraId="61A08EF1">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3234" w:type="pct"/>
                  <w:tcBorders>
                    <w:tl2br w:val="nil"/>
                    <w:tr2bl w:val="nil"/>
                  </w:tcBorders>
                  <w:noWrap w:val="0"/>
                  <w:vAlign w:val="center"/>
                </w:tcPr>
                <w:p w14:paraId="34524591">
                  <w:pPr>
                    <w:pStyle w:val="120"/>
                    <w:keepNext w:val="0"/>
                    <w:keepLines w:val="0"/>
                    <w:pageBreakBefore w:val="0"/>
                    <w:widowControl w:val="0"/>
                    <w:kinsoku/>
                    <w:wordWrap/>
                    <w:overflowPunct/>
                    <w:topLinePunct w:val="0"/>
                    <w:autoSpaceDE/>
                    <w:autoSpaceDN/>
                    <w:bidi w:val="0"/>
                    <w:adjustRightInd/>
                    <w:snapToGrid/>
                    <w:jc w:val="left"/>
                    <w:textAlignment w:val="auto"/>
                    <w:rPr>
                      <w:color w:val="auto"/>
                      <w:highlight w:val="none"/>
                    </w:rPr>
                  </w:pPr>
                  <w:r>
                    <w:rPr>
                      <w:color w:val="auto"/>
                      <w:highlight w:val="none"/>
                    </w:rPr>
                    <w:t>2、废弃的细胞毒性药物和遗传毒性药物，包括：</w:t>
                  </w:r>
                </w:p>
                <w:p w14:paraId="114C0C5B">
                  <w:pPr>
                    <w:pStyle w:val="120"/>
                    <w:keepNext w:val="0"/>
                    <w:keepLines w:val="0"/>
                    <w:pageBreakBefore w:val="0"/>
                    <w:widowControl w:val="0"/>
                    <w:kinsoku/>
                    <w:wordWrap/>
                    <w:overflowPunct/>
                    <w:topLinePunct w:val="0"/>
                    <w:autoSpaceDE/>
                    <w:autoSpaceDN/>
                    <w:bidi w:val="0"/>
                    <w:adjustRightInd/>
                    <w:snapToGrid/>
                    <w:jc w:val="left"/>
                    <w:textAlignment w:val="auto"/>
                    <w:rPr>
                      <w:color w:val="auto"/>
                      <w:highlight w:val="none"/>
                    </w:rPr>
                  </w:pPr>
                  <w:r>
                    <w:rPr>
                      <w:color w:val="auto"/>
                      <w:highlight w:val="none"/>
                    </w:rPr>
                    <w:t>——致癌性药物；</w:t>
                  </w:r>
                </w:p>
                <w:p w14:paraId="62D6EC76">
                  <w:pPr>
                    <w:pStyle w:val="120"/>
                    <w:keepNext w:val="0"/>
                    <w:keepLines w:val="0"/>
                    <w:pageBreakBefore w:val="0"/>
                    <w:widowControl w:val="0"/>
                    <w:kinsoku/>
                    <w:wordWrap/>
                    <w:overflowPunct/>
                    <w:topLinePunct w:val="0"/>
                    <w:autoSpaceDE/>
                    <w:autoSpaceDN/>
                    <w:bidi w:val="0"/>
                    <w:adjustRightInd/>
                    <w:snapToGrid/>
                    <w:jc w:val="left"/>
                    <w:textAlignment w:val="auto"/>
                    <w:rPr>
                      <w:color w:val="auto"/>
                      <w:highlight w:val="none"/>
                    </w:rPr>
                  </w:pPr>
                  <w:r>
                    <w:rPr>
                      <w:color w:val="auto"/>
                      <w:highlight w:val="none"/>
                    </w:rPr>
                    <w:t>——可疑致癌性药物；</w:t>
                  </w:r>
                </w:p>
                <w:p w14:paraId="52BB8C5E">
                  <w:pPr>
                    <w:pStyle w:val="120"/>
                    <w:keepNext w:val="0"/>
                    <w:keepLines w:val="0"/>
                    <w:pageBreakBefore w:val="0"/>
                    <w:widowControl w:val="0"/>
                    <w:kinsoku/>
                    <w:wordWrap/>
                    <w:overflowPunct/>
                    <w:topLinePunct w:val="0"/>
                    <w:autoSpaceDE/>
                    <w:autoSpaceDN/>
                    <w:bidi w:val="0"/>
                    <w:adjustRightInd/>
                    <w:snapToGrid/>
                    <w:jc w:val="left"/>
                    <w:textAlignment w:val="auto"/>
                    <w:rPr>
                      <w:color w:val="auto"/>
                      <w:highlight w:val="none"/>
                    </w:rPr>
                  </w:pPr>
                  <w:r>
                    <w:rPr>
                      <w:color w:val="auto"/>
                      <w:highlight w:val="none"/>
                    </w:rPr>
                    <w:t>——免疫抑制剂。</w:t>
                  </w:r>
                </w:p>
              </w:tc>
            </w:tr>
            <w:tr w14:paraId="764B6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4" w:type="pct"/>
                  <w:vMerge w:val="continue"/>
                  <w:tcBorders>
                    <w:tl2br w:val="nil"/>
                    <w:tr2bl w:val="nil"/>
                  </w:tcBorders>
                  <w:noWrap w:val="0"/>
                  <w:vAlign w:val="center"/>
                </w:tcPr>
                <w:p w14:paraId="57B5B0E8">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1230" w:type="pct"/>
                  <w:vMerge w:val="continue"/>
                  <w:tcBorders>
                    <w:tl2br w:val="nil"/>
                    <w:tr2bl w:val="nil"/>
                  </w:tcBorders>
                  <w:noWrap w:val="0"/>
                  <w:vAlign w:val="center"/>
                </w:tcPr>
                <w:p w14:paraId="280182A0">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3234" w:type="pct"/>
                  <w:tcBorders>
                    <w:tl2br w:val="nil"/>
                    <w:tr2bl w:val="nil"/>
                  </w:tcBorders>
                  <w:noWrap w:val="0"/>
                  <w:vAlign w:val="center"/>
                </w:tcPr>
                <w:p w14:paraId="45D4169A">
                  <w:pPr>
                    <w:pStyle w:val="120"/>
                    <w:keepNext w:val="0"/>
                    <w:keepLines w:val="0"/>
                    <w:pageBreakBefore w:val="0"/>
                    <w:widowControl w:val="0"/>
                    <w:kinsoku/>
                    <w:wordWrap/>
                    <w:overflowPunct/>
                    <w:topLinePunct w:val="0"/>
                    <w:autoSpaceDE/>
                    <w:autoSpaceDN/>
                    <w:bidi w:val="0"/>
                    <w:adjustRightInd/>
                    <w:snapToGrid/>
                    <w:jc w:val="left"/>
                    <w:textAlignment w:val="auto"/>
                    <w:rPr>
                      <w:color w:val="auto"/>
                      <w:highlight w:val="none"/>
                    </w:rPr>
                  </w:pPr>
                  <w:r>
                    <w:rPr>
                      <w:color w:val="auto"/>
                      <w:highlight w:val="none"/>
                    </w:rPr>
                    <w:t>3、废弃的疫苗、血液制品等。</w:t>
                  </w:r>
                </w:p>
              </w:tc>
            </w:tr>
            <w:tr w14:paraId="1DF7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4" w:type="pct"/>
                  <w:vMerge w:val="restart"/>
                  <w:tcBorders>
                    <w:tl2br w:val="nil"/>
                    <w:tr2bl w:val="nil"/>
                  </w:tcBorders>
                  <w:noWrap w:val="0"/>
                  <w:vAlign w:val="center"/>
                </w:tcPr>
                <w:p w14:paraId="204D0607">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r>
                    <w:rPr>
                      <w:color w:val="auto"/>
                      <w:highlight w:val="none"/>
                    </w:rPr>
                    <w:t>感染性废物</w:t>
                  </w:r>
                </w:p>
              </w:tc>
              <w:tc>
                <w:tcPr>
                  <w:tcW w:w="1230" w:type="pct"/>
                  <w:vMerge w:val="restart"/>
                  <w:tcBorders>
                    <w:tl2br w:val="nil"/>
                    <w:tr2bl w:val="nil"/>
                  </w:tcBorders>
                  <w:noWrap w:val="0"/>
                  <w:vAlign w:val="center"/>
                </w:tcPr>
                <w:p w14:paraId="08C8571B">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r>
                    <w:rPr>
                      <w:color w:val="auto"/>
                      <w:highlight w:val="none"/>
                    </w:rPr>
                    <w:t>携带病原微生物具有引发感染性疾病传播危险的医疗废物。</w:t>
                  </w:r>
                </w:p>
              </w:tc>
              <w:tc>
                <w:tcPr>
                  <w:tcW w:w="3234" w:type="pct"/>
                  <w:tcBorders>
                    <w:tl2br w:val="nil"/>
                    <w:tr2bl w:val="nil"/>
                  </w:tcBorders>
                  <w:noWrap w:val="0"/>
                  <w:vAlign w:val="center"/>
                </w:tcPr>
                <w:p w14:paraId="52F64A7D">
                  <w:pPr>
                    <w:pStyle w:val="120"/>
                    <w:keepNext w:val="0"/>
                    <w:keepLines w:val="0"/>
                    <w:pageBreakBefore w:val="0"/>
                    <w:widowControl w:val="0"/>
                    <w:kinsoku/>
                    <w:wordWrap/>
                    <w:overflowPunct/>
                    <w:topLinePunct w:val="0"/>
                    <w:autoSpaceDE/>
                    <w:autoSpaceDN/>
                    <w:bidi w:val="0"/>
                    <w:adjustRightInd/>
                    <w:snapToGrid/>
                    <w:jc w:val="left"/>
                    <w:textAlignment w:val="auto"/>
                    <w:rPr>
                      <w:color w:val="auto"/>
                      <w:highlight w:val="none"/>
                    </w:rPr>
                  </w:pPr>
                  <w:r>
                    <w:rPr>
                      <w:color w:val="auto"/>
                      <w:highlight w:val="none"/>
                    </w:rPr>
                    <w:t>1、被病人血液、体液、排泄物污染的物品，包括：</w:t>
                  </w:r>
                </w:p>
                <w:p w14:paraId="3530F4C3">
                  <w:pPr>
                    <w:pStyle w:val="120"/>
                    <w:keepNext w:val="0"/>
                    <w:keepLines w:val="0"/>
                    <w:pageBreakBefore w:val="0"/>
                    <w:widowControl w:val="0"/>
                    <w:kinsoku/>
                    <w:wordWrap/>
                    <w:overflowPunct/>
                    <w:topLinePunct w:val="0"/>
                    <w:autoSpaceDE/>
                    <w:autoSpaceDN/>
                    <w:bidi w:val="0"/>
                    <w:adjustRightInd/>
                    <w:snapToGrid/>
                    <w:jc w:val="left"/>
                    <w:textAlignment w:val="auto"/>
                    <w:rPr>
                      <w:color w:val="auto"/>
                      <w:highlight w:val="none"/>
                    </w:rPr>
                  </w:pPr>
                  <w:r>
                    <w:rPr>
                      <w:color w:val="auto"/>
                      <w:highlight w:val="none"/>
                    </w:rPr>
                    <w:t>--—棉球、棉签、引流棉条、纱布及其他各种敷料；</w:t>
                  </w:r>
                </w:p>
                <w:p w14:paraId="3EF586EB">
                  <w:pPr>
                    <w:pStyle w:val="120"/>
                    <w:keepNext w:val="0"/>
                    <w:keepLines w:val="0"/>
                    <w:pageBreakBefore w:val="0"/>
                    <w:widowControl w:val="0"/>
                    <w:kinsoku/>
                    <w:wordWrap/>
                    <w:overflowPunct/>
                    <w:topLinePunct w:val="0"/>
                    <w:autoSpaceDE/>
                    <w:autoSpaceDN/>
                    <w:bidi w:val="0"/>
                    <w:adjustRightInd/>
                    <w:snapToGrid/>
                    <w:jc w:val="left"/>
                    <w:textAlignment w:val="auto"/>
                    <w:rPr>
                      <w:rFonts w:hint="eastAsia" w:eastAsia="宋体"/>
                      <w:color w:val="auto"/>
                      <w:highlight w:val="none"/>
                      <w:lang w:eastAsia="zh-CN"/>
                    </w:rPr>
                  </w:pPr>
                  <w:r>
                    <w:rPr>
                      <w:color w:val="auto"/>
                      <w:highlight w:val="none"/>
                    </w:rPr>
                    <w:t>——次性使用卫生用品、一次性使用医疗用品及一次性医疗械</w:t>
                  </w:r>
                  <w:r>
                    <w:rPr>
                      <w:rFonts w:hint="eastAsia"/>
                      <w:color w:val="auto"/>
                      <w:highlight w:val="none"/>
                      <w:lang w:eastAsia="zh-CN"/>
                    </w:rPr>
                    <w:t>；</w:t>
                  </w:r>
                </w:p>
                <w:p w14:paraId="6D9339EF">
                  <w:pPr>
                    <w:pStyle w:val="120"/>
                    <w:keepNext w:val="0"/>
                    <w:keepLines w:val="0"/>
                    <w:pageBreakBefore w:val="0"/>
                    <w:widowControl w:val="0"/>
                    <w:kinsoku/>
                    <w:wordWrap/>
                    <w:overflowPunct/>
                    <w:topLinePunct w:val="0"/>
                    <w:autoSpaceDE/>
                    <w:autoSpaceDN/>
                    <w:bidi w:val="0"/>
                    <w:adjustRightInd/>
                    <w:snapToGrid/>
                    <w:jc w:val="left"/>
                    <w:textAlignment w:val="auto"/>
                    <w:rPr>
                      <w:color w:val="auto"/>
                      <w:highlight w:val="none"/>
                    </w:rPr>
                  </w:pPr>
                  <w:r>
                    <w:rPr>
                      <w:color w:val="auto"/>
                      <w:highlight w:val="none"/>
                    </w:rPr>
                    <w:t>--—废弃的被服；</w:t>
                  </w:r>
                </w:p>
                <w:p w14:paraId="637480D6">
                  <w:pPr>
                    <w:pStyle w:val="120"/>
                    <w:keepNext w:val="0"/>
                    <w:keepLines w:val="0"/>
                    <w:pageBreakBefore w:val="0"/>
                    <w:widowControl w:val="0"/>
                    <w:kinsoku/>
                    <w:wordWrap/>
                    <w:overflowPunct/>
                    <w:topLinePunct w:val="0"/>
                    <w:autoSpaceDE/>
                    <w:autoSpaceDN/>
                    <w:bidi w:val="0"/>
                    <w:adjustRightInd/>
                    <w:snapToGrid/>
                    <w:jc w:val="left"/>
                    <w:textAlignment w:val="auto"/>
                    <w:rPr>
                      <w:color w:val="auto"/>
                      <w:highlight w:val="none"/>
                    </w:rPr>
                  </w:pPr>
                  <w:r>
                    <w:rPr>
                      <w:color w:val="auto"/>
                      <w:highlight w:val="none"/>
                    </w:rPr>
                    <w:t>——其他被病人血液、体液、排泄物污染的物品。</w:t>
                  </w:r>
                </w:p>
              </w:tc>
            </w:tr>
            <w:tr w14:paraId="4BEA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4" w:type="pct"/>
                  <w:vMerge w:val="continue"/>
                  <w:tcBorders>
                    <w:tl2br w:val="nil"/>
                    <w:tr2bl w:val="nil"/>
                  </w:tcBorders>
                  <w:noWrap w:val="0"/>
                  <w:vAlign w:val="center"/>
                </w:tcPr>
                <w:p w14:paraId="7D8E75A4">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1230" w:type="pct"/>
                  <w:vMerge w:val="continue"/>
                  <w:tcBorders>
                    <w:tl2br w:val="nil"/>
                    <w:tr2bl w:val="nil"/>
                  </w:tcBorders>
                  <w:noWrap w:val="0"/>
                  <w:vAlign w:val="center"/>
                </w:tcPr>
                <w:p w14:paraId="7C772414">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3234" w:type="pct"/>
                  <w:tcBorders>
                    <w:tl2br w:val="nil"/>
                    <w:tr2bl w:val="nil"/>
                  </w:tcBorders>
                  <w:noWrap w:val="0"/>
                  <w:vAlign w:val="center"/>
                </w:tcPr>
                <w:p w14:paraId="6E231EE7">
                  <w:pPr>
                    <w:pStyle w:val="120"/>
                    <w:keepNext w:val="0"/>
                    <w:keepLines w:val="0"/>
                    <w:pageBreakBefore w:val="0"/>
                    <w:widowControl w:val="0"/>
                    <w:kinsoku/>
                    <w:wordWrap/>
                    <w:overflowPunct/>
                    <w:topLinePunct w:val="0"/>
                    <w:autoSpaceDE/>
                    <w:autoSpaceDN/>
                    <w:bidi w:val="0"/>
                    <w:adjustRightInd/>
                    <w:snapToGrid/>
                    <w:jc w:val="left"/>
                    <w:textAlignment w:val="auto"/>
                    <w:rPr>
                      <w:color w:val="auto"/>
                      <w:highlight w:val="none"/>
                    </w:rPr>
                  </w:pPr>
                  <w:r>
                    <w:rPr>
                      <w:color w:val="auto"/>
                      <w:highlight w:val="none"/>
                    </w:rPr>
                    <w:t>2、医疗机构收治的隔离传染病病人或者疑似传染病病人产生的生活垃圾。</w:t>
                  </w:r>
                </w:p>
              </w:tc>
            </w:tr>
            <w:tr w14:paraId="44618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4" w:type="pct"/>
                  <w:vMerge w:val="continue"/>
                  <w:tcBorders>
                    <w:tl2br w:val="nil"/>
                    <w:tr2bl w:val="nil"/>
                  </w:tcBorders>
                  <w:noWrap w:val="0"/>
                  <w:vAlign w:val="center"/>
                </w:tcPr>
                <w:p w14:paraId="2B5AD86F">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1230" w:type="pct"/>
                  <w:vMerge w:val="continue"/>
                  <w:tcBorders>
                    <w:tl2br w:val="nil"/>
                    <w:tr2bl w:val="nil"/>
                  </w:tcBorders>
                  <w:noWrap w:val="0"/>
                  <w:vAlign w:val="center"/>
                </w:tcPr>
                <w:p w14:paraId="51DE09E6">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3234" w:type="pct"/>
                  <w:tcBorders>
                    <w:tl2br w:val="nil"/>
                    <w:tr2bl w:val="nil"/>
                  </w:tcBorders>
                  <w:noWrap w:val="0"/>
                  <w:vAlign w:val="center"/>
                </w:tcPr>
                <w:p w14:paraId="227CD39F">
                  <w:pPr>
                    <w:pStyle w:val="120"/>
                    <w:keepNext w:val="0"/>
                    <w:keepLines w:val="0"/>
                    <w:pageBreakBefore w:val="0"/>
                    <w:widowControl w:val="0"/>
                    <w:kinsoku/>
                    <w:wordWrap/>
                    <w:overflowPunct/>
                    <w:topLinePunct w:val="0"/>
                    <w:autoSpaceDE/>
                    <w:autoSpaceDN/>
                    <w:bidi w:val="0"/>
                    <w:adjustRightInd/>
                    <w:snapToGrid/>
                    <w:jc w:val="left"/>
                    <w:textAlignment w:val="auto"/>
                    <w:rPr>
                      <w:color w:val="auto"/>
                      <w:highlight w:val="none"/>
                    </w:rPr>
                  </w:pPr>
                  <w:r>
                    <w:rPr>
                      <w:color w:val="auto"/>
                      <w:highlight w:val="none"/>
                    </w:rPr>
                    <w:t>3、病原体的培养基、标本和菌种、毒种保存液。</w:t>
                  </w:r>
                </w:p>
              </w:tc>
            </w:tr>
            <w:tr w14:paraId="493E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4" w:type="pct"/>
                  <w:vMerge w:val="continue"/>
                  <w:tcBorders>
                    <w:tl2br w:val="nil"/>
                    <w:tr2bl w:val="nil"/>
                  </w:tcBorders>
                  <w:noWrap w:val="0"/>
                  <w:vAlign w:val="center"/>
                </w:tcPr>
                <w:p w14:paraId="6E226A14">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1230" w:type="pct"/>
                  <w:vMerge w:val="continue"/>
                  <w:tcBorders>
                    <w:tl2br w:val="nil"/>
                    <w:tr2bl w:val="nil"/>
                  </w:tcBorders>
                  <w:noWrap w:val="0"/>
                  <w:vAlign w:val="center"/>
                </w:tcPr>
                <w:p w14:paraId="14F9E554">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3234" w:type="pct"/>
                  <w:tcBorders>
                    <w:tl2br w:val="nil"/>
                    <w:tr2bl w:val="nil"/>
                  </w:tcBorders>
                  <w:noWrap w:val="0"/>
                  <w:vAlign w:val="center"/>
                </w:tcPr>
                <w:p w14:paraId="02A8189A">
                  <w:pPr>
                    <w:pStyle w:val="120"/>
                    <w:keepNext w:val="0"/>
                    <w:keepLines w:val="0"/>
                    <w:pageBreakBefore w:val="0"/>
                    <w:widowControl w:val="0"/>
                    <w:kinsoku/>
                    <w:wordWrap/>
                    <w:overflowPunct/>
                    <w:topLinePunct w:val="0"/>
                    <w:autoSpaceDE/>
                    <w:autoSpaceDN/>
                    <w:bidi w:val="0"/>
                    <w:adjustRightInd/>
                    <w:snapToGrid/>
                    <w:jc w:val="left"/>
                    <w:textAlignment w:val="auto"/>
                    <w:rPr>
                      <w:color w:val="auto"/>
                      <w:highlight w:val="none"/>
                    </w:rPr>
                  </w:pPr>
                  <w:r>
                    <w:rPr>
                      <w:color w:val="auto"/>
                      <w:highlight w:val="none"/>
                    </w:rPr>
                    <w:t>4、各种废弃的医学标本。</w:t>
                  </w:r>
                </w:p>
              </w:tc>
            </w:tr>
            <w:tr w14:paraId="386F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4" w:type="pct"/>
                  <w:vMerge w:val="continue"/>
                  <w:tcBorders>
                    <w:tl2br w:val="nil"/>
                    <w:tr2bl w:val="nil"/>
                  </w:tcBorders>
                  <w:noWrap w:val="0"/>
                  <w:vAlign w:val="center"/>
                </w:tcPr>
                <w:p w14:paraId="3D85CCAE">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1230" w:type="pct"/>
                  <w:vMerge w:val="continue"/>
                  <w:tcBorders>
                    <w:tl2br w:val="nil"/>
                    <w:tr2bl w:val="nil"/>
                  </w:tcBorders>
                  <w:noWrap w:val="0"/>
                  <w:vAlign w:val="center"/>
                </w:tcPr>
                <w:p w14:paraId="33C267F1">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3234" w:type="pct"/>
                  <w:tcBorders>
                    <w:tl2br w:val="nil"/>
                    <w:tr2bl w:val="nil"/>
                  </w:tcBorders>
                  <w:noWrap w:val="0"/>
                  <w:vAlign w:val="center"/>
                </w:tcPr>
                <w:p w14:paraId="2029319E">
                  <w:pPr>
                    <w:pStyle w:val="120"/>
                    <w:keepNext w:val="0"/>
                    <w:keepLines w:val="0"/>
                    <w:pageBreakBefore w:val="0"/>
                    <w:widowControl w:val="0"/>
                    <w:kinsoku/>
                    <w:wordWrap/>
                    <w:overflowPunct/>
                    <w:topLinePunct w:val="0"/>
                    <w:autoSpaceDE/>
                    <w:autoSpaceDN/>
                    <w:bidi w:val="0"/>
                    <w:adjustRightInd/>
                    <w:snapToGrid/>
                    <w:jc w:val="left"/>
                    <w:textAlignment w:val="auto"/>
                    <w:rPr>
                      <w:color w:val="auto"/>
                      <w:highlight w:val="none"/>
                    </w:rPr>
                  </w:pPr>
                  <w:r>
                    <w:rPr>
                      <w:color w:val="auto"/>
                      <w:highlight w:val="none"/>
                    </w:rPr>
                    <w:t>5、废弃的血液、血清。</w:t>
                  </w:r>
                </w:p>
              </w:tc>
            </w:tr>
            <w:tr w14:paraId="533E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4" w:type="pct"/>
                  <w:vMerge w:val="continue"/>
                  <w:tcBorders>
                    <w:tl2br w:val="nil"/>
                    <w:tr2bl w:val="nil"/>
                  </w:tcBorders>
                  <w:noWrap w:val="0"/>
                  <w:vAlign w:val="center"/>
                </w:tcPr>
                <w:p w14:paraId="4601DE70">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1230" w:type="pct"/>
                  <w:vMerge w:val="continue"/>
                  <w:tcBorders>
                    <w:tl2br w:val="nil"/>
                    <w:tr2bl w:val="nil"/>
                  </w:tcBorders>
                  <w:noWrap w:val="0"/>
                  <w:vAlign w:val="center"/>
                </w:tcPr>
                <w:p w14:paraId="47ACB88E">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p>
              </w:tc>
              <w:tc>
                <w:tcPr>
                  <w:tcW w:w="3234" w:type="pct"/>
                  <w:tcBorders>
                    <w:tl2br w:val="nil"/>
                    <w:tr2bl w:val="nil"/>
                  </w:tcBorders>
                  <w:noWrap w:val="0"/>
                  <w:vAlign w:val="center"/>
                </w:tcPr>
                <w:p w14:paraId="2F7D5993">
                  <w:pPr>
                    <w:pStyle w:val="120"/>
                    <w:keepNext w:val="0"/>
                    <w:keepLines w:val="0"/>
                    <w:pageBreakBefore w:val="0"/>
                    <w:widowControl w:val="0"/>
                    <w:kinsoku/>
                    <w:wordWrap/>
                    <w:overflowPunct/>
                    <w:topLinePunct w:val="0"/>
                    <w:autoSpaceDE/>
                    <w:autoSpaceDN/>
                    <w:bidi w:val="0"/>
                    <w:adjustRightInd/>
                    <w:snapToGrid/>
                    <w:jc w:val="left"/>
                    <w:textAlignment w:val="auto"/>
                    <w:rPr>
                      <w:color w:val="auto"/>
                      <w:highlight w:val="none"/>
                    </w:rPr>
                  </w:pPr>
                  <w:r>
                    <w:rPr>
                      <w:color w:val="auto"/>
                      <w:highlight w:val="none"/>
                    </w:rPr>
                    <w:t>6、使用后的一次性使用医疗用品及一次性医疗器械视为感染物。</w:t>
                  </w:r>
                </w:p>
              </w:tc>
            </w:tr>
            <w:tr w14:paraId="206D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4" w:type="pct"/>
                  <w:tcBorders>
                    <w:tl2br w:val="nil"/>
                    <w:tr2bl w:val="nil"/>
                  </w:tcBorders>
                  <w:noWrap w:val="0"/>
                  <w:vAlign w:val="center"/>
                </w:tcPr>
                <w:p w14:paraId="20B525FA">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r>
                    <w:rPr>
                      <w:color w:val="auto"/>
                      <w:highlight w:val="none"/>
                    </w:rPr>
                    <w:t>化学性废物</w:t>
                  </w:r>
                </w:p>
              </w:tc>
              <w:tc>
                <w:tcPr>
                  <w:tcW w:w="1230" w:type="pct"/>
                  <w:tcBorders>
                    <w:tl2br w:val="nil"/>
                    <w:tr2bl w:val="nil"/>
                  </w:tcBorders>
                  <w:noWrap w:val="0"/>
                  <w:vAlign w:val="center"/>
                </w:tcPr>
                <w:p w14:paraId="210138E2">
                  <w:pPr>
                    <w:pStyle w:val="120"/>
                    <w:keepNext w:val="0"/>
                    <w:keepLines w:val="0"/>
                    <w:pageBreakBefore w:val="0"/>
                    <w:widowControl w:val="0"/>
                    <w:kinsoku/>
                    <w:wordWrap/>
                    <w:overflowPunct/>
                    <w:topLinePunct w:val="0"/>
                    <w:autoSpaceDE/>
                    <w:autoSpaceDN/>
                    <w:bidi w:val="0"/>
                    <w:adjustRightInd/>
                    <w:snapToGrid/>
                    <w:jc w:val="center"/>
                    <w:textAlignment w:val="auto"/>
                    <w:rPr>
                      <w:color w:val="auto"/>
                      <w:highlight w:val="none"/>
                    </w:rPr>
                  </w:pPr>
                  <w:r>
                    <w:rPr>
                      <w:color w:val="auto"/>
                      <w:highlight w:val="none"/>
                    </w:rPr>
                    <w:t>具有毒性、腐蚀性、易燃易爆性的废弃的化学物品。</w:t>
                  </w:r>
                </w:p>
              </w:tc>
              <w:tc>
                <w:tcPr>
                  <w:tcW w:w="3234" w:type="pct"/>
                  <w:tcBorders>
                    <w:tl2br w:val="nil"/>
                    <w:tr2bl w:val="nil"/>
                  </w:tcBorders>
                  <w:noWrap w:val="0"/>
                  <w:vAlign w:val="center"/>
                </w:tcPr>
                <w:p w14:paraId="0759555A">
                  <w:pPr>
                    <w:pStyle w:val="120"/>
                    <w:keepNext w:val="0"/>
                    <w:keepLines w:val="0"/>
                    <w:pageBreakBefore w:val="0"/>
                    <w:widowControl w:val="0"/>
                    <w:kinsoku/>
                    <w:wordWrap/>
                    <w:overflowPunct/>
                    <w:topLinePunct w:val="0"/>
                    <w:autoSpaceDE/>
                    <w:autoSpaceDN/>
                    <w:bidi w:val="0"/>
                    <w:adjustRightInd/>
                    <w:snapToGrid/>
                    <w:jc w:val="left"/>
                    <w:textAlignment w:val="auto"/>
                    <w:rPr>
                      <w:color w:val="auto"/>
                      <w:highlight w:val="none"/>
                    </w:rPr>
                  </w:pPr>
                  <w:r>
                    <w:rPr>
                      <w:color w:val="auto"/>
                      <w:highlight w:val="none"/>
                    </w:rPr>
                    <w:t>医学影像室、实验室废弃的化学试剂。</w:t>
                  </w:r>
                </w:p>
              </w:tc>
            </w:tr>
          </w:tbl>
          <w:p w14:paraId="379E3C05">
            <w:pPr>
              <w:keepNext w:val="0"/>
              <w:keepLines w:val="0"/>
              <w:pageBreakBefore w:val="0"/>
              <w:suppressLineNumbers w:val="0"/>
              <w:kinsoku/>
              <w:wordWrap/>
              <w:overflowPunct/>
              <w:bidi w:val="0"/>
              <w:spacing w:before="0" w:beforeAutospacing="0" w:afterAutospacing="0" w:line="360" w:lineRule="auto"/>
              <w:ind w:left="0" w:leftChars="0" w:right="0" w:firstLine="480" w:firstLineChars="200"/>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根据《医疗废物化学消毒集中处理工程技术规范）》（</w:t>
            </w:r>
            <w:r>
              <w:rPr>
                <w:rFonts w:hint="default" w:ascii="Times New Roman" w:hAnsi="Times New Roman" w:eastAsia="宋体" w:cs="Times New Roman"/>
                <w:sz w:val="24"/>
                <w:lang w:val="en-US" w:eastAsia="zh-CN"/>
              </w:rPr>
              <w:t>HJ/T228-2021</w:t>
            </w:r>
            <w:r>
              <w:rPr>
                <w:rFonts w:hint="eastAsia" w:ascii="Times New Roman" w:hAnsi="Times New Roman" w:eastAsia="宋体" w:cs="Times New Roman"/>
                <w:sz w:val="24"/>
                <w:lang w:val="en-US" w:eastAsia="zh-CN"/>
              </w:rPr>
              <w:t>），医疗机构产生的医疗废物总量包括固定病床的医疗废物产生量和门诊医疗废物产生量，本次扩建项目只涉及固定病床的医疗废物，不涉及门诊医疗废物。</w:t>
            </w:r>
          </w:p>
          <w:p w14:paraId="6577DBDE">
            <w:pPr>
              <w:keepNext w:val="0"/>
              <w:keepLines w:val="0"/>
              <w:pageBreakBefore w:val="0"/>
              <w:suppressLineNumbers w:val="0"/>
              <w:kinsoku/>
              <w:wordWrap/>
              <w:overflowPunct/>
              <w:bidi w:val="0"/>
              <w:spacing w:before="0" w:beforeAutospacing="0" w:afterAutospacing="0" w:line="360" w:lineRule="auto"/>
              <w:ind w:left="0" w:leftChars="0" w:right="0" w:firstLine="480" w:firstLineChars="200"/>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 xml:space="preserve">固定病床的医疗废物产生量可按以下方法计算及预测： </w:t>
            </w:r>
          </w:p>
          <w:p w14:paraId="50396475">
            <w:pPr>
              <w:keepNext w:val="0"/>
              <w:keepLines w:val="0"/>
              <w:pageBreakBefore w:val="0"/>
              <w:suppressLineNumbers w:val="0"/>
              <w:kinsoku/>
              <w:wordWrap/>
              <w:overflowPunct/>
              <w:bidi w:val="0"/>
              <w:spacing w:before="0" w:beforeAutospacing="0" w:afterAutospacing="0" w:line="360" w:lineRule="auto"/>
              <w:ind w:right="0"/>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drawing>
                <wp:inline distT="0" distB="0" distL="114300" distR="114300">
                  <wp:extent cx="1771650" cy="352425"/>
                  <wp:effectExtent l="0" t="0" r="0" b="9525"/>
                  <wp:docPr id="43" name="图片 43" descr="c5383bf0-81cb-4ca7-b3f2-66401440cf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c5383bf0-81cb-4ca7-b3f2-66401440cfd7"/>
                          <pic:cNvPicPr>
                            <a:picLocks noChangeAspect="1"/>
                          </pic:cNvPicPr>
                        </pic:nvPicPr>
                        <pic:blipFill>
                          <a:blip r:embed="rId23"/>
                          <a:stretch>
                            <a:fillRect/>
                          </a:stretch>
                        </pic:blipFill>
                        <pic:spPr>
                          <a:xfrm>
                            <a:off x="0" y="0"/>
                            <a:ext cx="1771650" cy="352425"/>
                          </a:xfrm>
                          <a:prstGeom prst="rect">
                            <a:avLst/>
                          </a:prstGeom>
                        </pic:spPr>
                      </pic:pic>
                    </a:graphicData>
                  </a:graphic>
                </wp:inline>
              </w:drawing>
            </w:r>
          </w:p>
          <w:p w14:paraId="46BD762F">
            <w:pPr>
              <w:keepNext w:val="0"/>
              <w:keepLines w:val="0"/>
              <w:pageBreakBefore w:val="0"/>
              <w:suppressLineNumbers w:val="0"/>
              <w:kinsoku/>
              <w:wordWrap/>
              <w:overflowPunct/>
              <w:bidi w:val="0"/>
              <w:spacing w:before="0" w:beforeAutospacing="0" w:afterAutospacing="0" w:line="360" w:lineRule="auto"/>
              <w:ind w:left="0" w:leftChars="0" w:right="0" w:firstLine="480" w:firstLineChars="200"/>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式中：</w:t>
            </w:r>
            <w:r>
              <w:rPr>
                <w:rFonts w:hint="default" w:ascii="Times New Roman" w:hAnsi="Times New Roman" w:eastAsia="宋体" w:cs="Times New Roman"/>
                <w:sz w:val="24"/>
                <w:lang w:val="en-US" w:eastAsia="zh-CN"/>
              </w:rPr>
              <w:t>Qb—</w:t>
            </w:r>
            <w:r>
              <w:rPr>
                <w:rFonts w:hint="eastAsia" w:ascii="Times New Roman" w:hAnsi="Times New Roman" w:eastAsia="宋体" w:cs="Times New Roman"/>
                <w:sz w:val="24"/>
                <w:lang w:val="en-US" w:eastAsia="zh-CN"/>
              </w:rPr>
              <w:t>病床医疗废物产生量，</w:t>
            </w:r>
            <w:r>
              <w:rPr>
                <w:rFonts w:hint="default" w:ascii="Times New Roman" w:hAnsi="Times New Roman" w:eastAsia="宋体" w:cs="Times New Roman"/>
                <w:sz w:val="24"/>
                <w:lang w:val="en-US" w:eastAsia="zh-CN"/>
              </w:rPr>
              <w:t>kg/d</w:t>
            </w:r>
            <w:r>
              <w:rPr>
                <w:rFonts w:hint="eastAsia" w:ascii="Times New Roman" w:hAnsi="Times New Roman" w:eastAsia="宋体" w:cs="Times New Roman"/>
                <w:sz w:val="24"/>
                <w:lang w:val="en-US" w:eastAsia="zh-CN"/>
              </w:rPr>
              <w:t>；</w:t>
            </w:r>
          </w:p>
          <w:p w14:paraId="34E29E3C">
            <w:pPr>
              <w:keepNext w:val="0"/>
              <w:keepLines w:val="0"/>
              <w:pageBreakBefore w:val="0"/>
              <w:suppressLineNumbers w:val="0"/>
              <w:kinsoku/>
              <w:wordWrap/>
              <w:overflowPunct/>
              <w:bidi w:val="0"/>
              <w:spacing w:before="0" w:beforeAutospacing="0" w:afterAutospacing="0" w:line="360" w:lineRule="auto"/>
              <w:ind w:left="0" w:leftChars="0" w:right="0" w:firstLine="1200" w:firstLineChars="500"/>
              <w:rPr>
                <w:rFonts w:hint="eastAsia" w:ascii="Times New Roman" w:hAnsi="Times New Roman" w:eastAsia="宋体" w:cs="Times New Roman"/>
                <w:sz w:val="24"/>
                <w:lang w:eastAsia="zh-CN"/>
              </w:rPr>
            </w:pPr>
            <w:r>
              <w:rPr>
                <w:rFonts w:hint="default" w:ascii="Times New Roman" w:hAnsi="Times New Roman" w:eastAsia="微软雅黑" w:cs="Times New Roman"/>
                <w:sz w:val="24"/>
                <w:lang w:val="en-US" w:eastAsia="zh-CN"/>
              </w:rPr>
              <w:t>ɑ</w:t>
            </w:r>
            <w:r>
              <w:rPr>
                <w:rFonts w:hint="default" w:ascii="Times New Roman" w:hAnsi="Times New Roman" w:eastAsia="宋体" w:cs="Times New Roman"/>
                <w:sz w:val="24"/>
                <w:lang w:val="en-US" w:eastAsia="zh-CN"/>
              </w:rPr>
              <w:t>b—</w:t>
            </w:r>
            <w:r>
              <w:rPr>
                <w:rFonts w:hint="eastAsia" w:ascii="Times New Roman" w:hAnsi="Times New Roman" w:eastAsia="宋体" w:cs="Times New Roman"/>
                <w:sz w:val="24"/>
                <w:lang w:val="en-US" w:eastAsia="zh-CN"/>
              </w:rPr>
              <w:t>病床床位医疗废物产生系数，</w:t>
            </w:r>
            <w:r>
              <w:rPr>
                <w:rFonts w:hint="default" w:ascii="Times New Roman" w:hAnsi="Times New Roman" w:eastAsia="宋体" w:cs="Times New Roman"/>
                <w:sz w:val="24"/>
                <w:lang w:val="en-US" w:eastAsia="zh-CN"/>
              </w:rPr>
              <w:t>kg/</w:t>
            </w:r>
            <w:r>
              <w:rPr>
                <w:rFonts w:hint="eastAsia" w:ascii="Times New Roman" w:hAnsi="Times New Roman" w:eastAsia="宋体" w:cs="Times New Roman"/>
                <w:sz w:val="24"/>
                <w:lang w:val="en-US" w:eastAsia="zh-CN"/>
              </w:rPr>
              <w:t>床</w:t>
            </w:r>
            <w:r>
              <w:rPr>
                <w:rFonts w:hint="default" w:ascii="Times New Roman" w:hAnsi="Times New Roman" w:eastAsia="宋体" w:cs="Times New Roman"/>
                <w:sz w:val="24"/>
                <w:lang w:val="en-US" w:eastAsia="zh-CN"/>
              </w:rPr>
              <w:t>·d</w:t>
            </w:r>
            <w:r>
              <w:rPr>
                <w:rFonts w:hint="eastAsia" w:ascii="Times New Roman" w:hAnsi="Times New Roman" w:eastAsia="宋体" w:cs="Times New Roman"/>
                <w:sz w:val="24"/>
                <w:lang w:val="en-US" w:eastAsia="zh-CN"/>
              </w:rPr>
              <w:t>，本评价取</w:t>
            </w:r>
            <w:r>
              <w:rPr>
                <w:rFonts w:hint="default" w:ascii="Times New Roman" w:hAnsi="Times New Roman" w:eastAsia="宋体" w:cs="Times New Roman"/>
                <w:sz w:val="24"/>
                <w:lang w:val="en-US" w:eastAsia="zh-CN"/>
              </w:rPr>
              <w:t>1.0kg/</w:t>
            </w:r>
            <w:r>
              <w:rPr>
                <w:rFonts w:hint="eastAsia" w:ascii="Times New Roman" w:hAnsi="Times New Roman" w:eastAsia="宋体" w:cs="Times New Roman"/>
                <w:sz w:val="24"/>
                <w:lang w:val="en-US" w:eastAsia="zh-CN"/>
              </w:rPr>
              <w:t>床</w:t>
            </w:r>
            <w:r>
              <w:rPr>
                <w:rFonts w:hint="default" w:ascii="Times New Roman" w:hAnsi="Times New Roman" w:eastAsia="宋体" w:cs="Times New Roman"/>
                <w:sz w:val="24"/>
                <w:lang w:val="en-US" w:eastAsia="zh-CN"/>
              </w:rPr>
              <w:t>·d</w:t>
            </w:r>
            <w:r>
              <w:rPr>
                <w:rFonts w:hint="eastAsia" w:ascii="Times New Roman" w:hAnsi="Times New Roman" w:eastAsia="宋体" w:cs="Times New Roman"/>
                <w:sz w:val="24"/>
                <w:lang w:val="en-US" w:eastAsia="zh-CN"/>
              </w:rPr>
              <w:t>；</w:t>
            </w:r>
          </w:p>
          <w:p w14:paraId="2229C74A">
            <w:pPr>
              <w:keepNext w:val="0"/>
              <w:keepLines w:val="0"/>
              <w:pageBreakBefore w:val="0"/>
              <w:suppressLineNumbers w:val="0"/>
              <w:kinsoku/>
              <w:wordWrap/>
              <w:overflowPunct/>
              <w:bidi w:val="0"/>
              <w:spacing w:before="0" w:beforeAutospacing="0" w:afterAutospacing="0" w:line="360" w:lineRule="auto"/>
              <w:ind w:left="0" w:leftChars="0" w:right="0" w:firstLine="1200" w:firstLineChars="500"/>
              <w:rPr>
                <w:rFonts w:hint="eastAsia" w:ascii="Times New Roman" w:hAnsi="Times New Roman" w:eastAsia="宋体" w:cs="Times New Roman"/>
                <w:sz w:val="24"/>
                <w:lang w:eastAsia="zh-CN"/>
              </w:rPr>
            </w:pPr>
            <w:r>
              <w:rPr>
                <w:rFonts w:hint="default" w:ascii="Times New Roman" w:hAnsi="Times New Roman" w:eastAsia="宋体" w:cs="Times New Roman"/>
                <w:sz w:val="24"/>
                <w:lang w:val="en-US" w:eastAsia="zh-CN"/>
              </w:rPr>
              <w:t>Bb—</w:t>
            </w:r>
            <w:r>
              <w:rPr>
                <w:rFonts w:hint="eastAsia" w:ascii="Times New Roman" w:hAnsi="Times New Roman" w:eastAsia="宋体" w:cs="Times New Roman"/>
                <w:sz w:val="24"/>
                <w:lang w:val="en-US" w:eastAsia="zh-CN"/>
              </w:rPr>
              <w:t>病床床位数，个，本项目新增住院床位</w:t>
            </w:r>
            <w:r>
              <w:rPr>
                <w:rFonts w:hint="default" w:ascii="Times New Roman" w:hAnsi="Times New Roman" w:eastAsia="宋体" w:cs="Times New Roman"/>
                <w:sz w:val="24"/>
                <w:lang w:val="en-US" w:eastAsia="zh-CN"/>
              </w:rPr>
              <w:t>2</w:t>
            </w:r>
            <w:r>
              <w:rPr>
                <w:rFonts w:hint="eastAsia" w:ascii="Times New Roman" w:hAnsi="Times New Roman" w:eastAsia="宋体" w:cs="Times New Roman"/>
                <w:sz w:val="24"/>
                <w:lang w:val="en-US" w:eastAsia="zh-CN"/>
              </w:rPr>
              <w:t>60个；</w:t>
            </w:r>
          </w:p>
          <w:p w14:paraId="275745A7">
            <w:pPr>
              <w:keepNext w:val="0"/>
              <w:keepLines w:val="0"/>
              <w:pageBreakBefore w:val="0"/>
              <w:suppressLineNumbers w:val="0"/>
              <w:kinsoku/>
              <w:wordWrap/>
              <w:overflowPunct/>
              <w:bidi w:val="0"/>
              <w:spacing w:before="0" w:beforeAutospacing="0" w:afterAutospacing="0" w:line="360" w:lineRule="auto"/>
              <w:ind w:left="0" w:leftChars="0" w:right="0" w:firstLine="1200" w:firstLineChars="500"/>
              <w:rPr>
                <w:rFonts w:hint="eastAsia" w:ascii="Times New Roman" w:hAnsi="Times New Roman" w:eastAsia="宋体" w:cs="Times New Roman"/>
                <w:sz w:val="24"/>
                <w:lang w:eastAsia="zh-CN"/>
              </w:rPr>
            </w:pPr>
            <w:r>
              <w:rPr>
                <w:rFonts w:hint="default" w:ascii="Times New Roman" w:hAnsi="Times New Roman" w:eastAsia="宋体" w:cs="Times New Roman"/>
                <w:sz w:val="24"/>
                <w:lang w:val="en-US" w:eastAsia="zh-CN"/>
              </w:rPr>
              <w:t>Pb—</w:t>
            </w:r>
            <w:r>
              <w:rPr>
                <w:rFonts w:hint="eastAsia" w:ascii="Times New Roman" w:hAnsi="Times New Roman" w:eastAsia="宋体" w:cs="Times New Roman"/>
                <w:sz w:val="24"/>
                <w:lang w:val="en-US" w:eastAsia="zh-CN"/>
              </w:rPr>
              <w:t>病床床位使用率，</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，本评价取</w:t>
            </w:r>
            <w:r>
              <w:rPr>
                <w:rFonts w:hint="default" w:ascii="Times New Roman" w:hAnsi="Times New Roman" w:eastAsia="宋体" w:cs="Times New Roman"/>
                <w:sz w:val="24"/>
                <w:lang w:val="en-US" w:eastAsia="zh-CN"/>
              </w:rPr>
              <w:t>100%</w:t>
            </w:r>
            <w:r>
              <w:rPr>
                <w:rFonts w:hint="eastAsia" w:ascii="Times New Roman" w:hAnsi="Times New Roman" w:eastAsia="宋体" w:cs="Times New Roman"/>
                <w:sz w:val="24"/>
                <w:lang w:val="en-US" w:eastAsia="zh-CN"/>
              </w:rPr>
              <w:t>。</w:t>
            </w:r>
          </w:p>
          <w:p w14:paraId="4FD2219A">
            <w:pPr>
              <w:keepNext w:val="0"/>
              <w:keepLines w:val="0"/>
              <w:pageBreakBefore w:val="0"/>
              <w:suppressLineNumbers w:val="0"/>
              <w:kinsoku/>
              <w:wordWrap/>
              <w:overflowPunct/>
              <w:bidi w:val="0"/>
              <w:spacing w:before="0" w:beforeAutospacing="0" w:afterAutospacing="0" w:line="360" w:lineRule="auto"/>
              <w:ind w:left="0" w:leftChars="0" w:right="0" w:firstLine="480" w:firstLineChars="200"/>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通过以上计算，则本项目医疗废物产生总量为</w:t>
            </w:r>
            <w:r>
              <w:rPr>
                <w:rFonts w:hint="default" w:ascii="Times New Roman" w:hAnsi="Times New Roman" w:eastAsia="宋体" w:cs="Times New Roman"/>
                <w:sz w:val="24"/>
                <w:lang w:val="en-US" w:eastAsia="zh-CN"/>
              </w:rPr>
              <w:t>9</w:t>
            </w:r>
            <w:r>
              <w:rPr>
                <w:rFonts w:hint="eastAsia" w:ascii="Times New Roman" w:hAnsi="Times New Roman" w:eastAsia="宋体" w:cs="Times New Roman"/>
                <w:sz w:val="24"/>
                <w:lang w:val="en-US" w:eastAsia="zh-CN"/>
              </w:rPr>
              <w:t>4.9</w:t>
            </w:r>
            <w:r>
              <w:rPr>
                <w:rFonts w:hint="default" w:ascii="Times New Roman" w:hAnsi="Times New Roman" w:eastAsia="宋体" w:cs="Times New Roman"/>
                <w:sz w:val="24"/>
                <w:lang w:val="en-US" w:eastAsia="zh-CN"/>
              </w:rPr>
              <w:t>t/a</w:t>
            </w:r>
            <w:r>
              <w:rPr>
                <w:rFonts w:hint="eastAsia" w:ascii="Times New Roman" w:hAnsi="Times New Roman" w:eastAsia="宋体" w:cs="Times New Roman"/>
                <w:sz w:val="24"/>
                <w:lang w:val="en-US" w:eastAsia="zh-CN"/>
              </w:rPr>
              <w:t>。对照《国家危险废物名录（</w:t>
            </w:r>
            <w:r>
              <w:rPr>
                <w:rFonts w:hint="default" w:ascii="Times New Roman" w:hAnsi="Times New Roman" w:eastAsia="宋体" w:cs="Times New Roman"/>
                <w:sz w:val="24"/>
                <w:lang w:val="en-US" w:eastAsia="zh-CN"/>
              </w:rPr>
              <w:t>202</w:t>
            </w:r>
            <w:r>
              <w:rPr>
                <w:rFonts w:hint="eastAsia" w:ascii="Times New Roman" w:hAnsi="Times New Roman" w:eastAsia="宋体" w:cs="Times New Roman"/>
                <w:sz w:val="24"/>
                <w:lang w:val="en-US" w:eastAsia="zh-CN"/>
              </w:rPr>
              <w:t>5年版）》，医疗废物属于</w:t>
            </w:r>
            <w:r>
              <w:rPr>
                <w:rFonts w:hint="default" w:ascii="Times New Roman" w:hAnsi="Times New Roman" w:eastAsia="宋体" w:cs="Times New Roman"/>
                <w:sz w:val="24"/>
                <w:lang w:val="en-US" w:eastAsia="zh-CN"/>
              </w:rPr>
              <w:t>HW01</w:t>
            </w:r>
            <w:r>
              <w:rPr>
                <w:rFonts w:hint="eastAsia" w:ascii="Times New Roman" w:hAnsi="Times New Roman" w:eastAsia="宋体" w:cs="Times New Roman"/>
                <w:sz w:val="24"/>
                <w:lang w:val="en-US" w:eastAsia="zh-CN"/>
              </w:rPr>
              <w:t>医疗废物，废物代码</w:t>
            </w:r>
            <w:r>
              <w:rPr>
                <w:rFonts w:hint="default" w:ascii="Times New Roman" w:hAnsi="Times New Roman" w:eastAsia="宋体" w:cs="Times New Roman"/>
                <w:sz w:val="24"/>
                <w:lang w:val="en-US" w:eastAsia="zh-CN"/>
              </w:rPr>
              <w:t>8</w:t>
            </w:r>
            <w:r>
              <w:rPr>
                <w:rFonts w:hint="eastAsia" w:ascii="Times New Roman" w:hAnsi="Times New Roman" w:eastAsia="宋体" w:cs="Times New Roman"/>
                <w:sz w:val="24"/>
                <w:lang w:val="en-US" w:eastAsia="zh-CN"/>
              </w:rPr>
              <w:t>4</w:t>
            </w:r>
            <w:r>
              <w:rPr>
                <w:rFonts w:hint="default" w:ascii="Times New Roman" w:hAnsi="Times New Roman" w:eastAsia="宋体" w:cs="Times New Roman"/>
                <w:sz w:val="24"/>
                <w:lang w:val="en-US" w:eastAsia="zh-CN"/>
              </w:rPr>
              <w:t>1-001-01</w:t>
            </w:r>
            <w:r>
              <w:rPr>
                <w:rFonts w:hint="eastAsia" w:ascii="Times New Roman" w:hAnsi="Times New Roman" w:eastAsia="宋体" w:cs="Times New Roman"/>
                <w:sz w:val="24"/>
                <w:lang w:val="en-US" w:eastAsia="zh-CN"/>
              </w:rPr>
              <w:t>、</w:t>
            </w:r>
            <w:r>
              <w:rPr>
                <w:rFonts w:hint="default" w:ascii="Times New Roman" w:hAnsi="Times New Roman" w:eastAsia="宋体" w:cs="Times New Roman"/>
                <w:sz w:val="24"/>
                <w:lang w:val="en-US" w:eastAsia="zh-CN"/>
              </w:rPr>
              <w:t>8</w:t>
            </w:r>
            <w:r>
              <w:rPr>
                <w:rFonts w:hint="eastAsia" w:ascii="Times New Roman" w:hAnsi="Times New Roman" w:eastAsia="宋体" w:cs="Times New Roman"/>
                <w:sz w:val="24"/>
                <w:lang w:val="en-US" w:eastAsia="zh-CN"/>
              </w:rPr>
              <w:t>4</w:t>
            </w:r>
            <w:r>
              <w:rPr>
                <w:rFonts w:hint="default" w:ascii="Times New Roman" w:hAnsi="Times New Roman" w:eastAsia="宋体" w:cs="Times New Roman"/>
                <w:sz w:val="24"/>
                <w:lang w:val="en-US" w:eastAsia="zh-CN"/>
              </w:rPr>
              <w:t>1-00</w:t>
            </w:r>
            <w:r>
              <w:rPr>
                <w:rFonts w:hint="eastAsia" w:ascii="Times New Roman" w:hAnsi="Times New Roman" w:eastAsia="宋体" w:cs="Times New Roman"/>
                <w:sz w:val="24"/>
                <w:lang w:val="en-US" w:eastAsia="zh-CN"/>
              </w:rPr>
              <w:t>2</w:t>
            </w:r>
            <w:r>
              <w:rPr>
                <w:rFonts w:hint="default" w:ascii="Times New Roman" w:hAnsi="Times New Roman" w:eastAsia="宋体" w:cs="Times New Roman"/>
                <w:sz w:val="24"/>
                <w:lang w:val="en-US" w:eastAsia="zh-CN"/>
              </w:rPr>
              <w:t>-01</w:t>
            </w:r>
            <w:r>
              <w:rPr>
                <w:rFonts w:hint="eastAsia" w:ascii="Times New Roman" w:hAnsi="Times New Roman" w:eastAsia="宋体" w:cs="Times New Roman"/>
                <w:sz w:val="24"/>
                <w:lang w:val="en-US" w:eastAsia="zh-CN"/>
              </w:rPr>
              <w:t>、</w:t>
            </w:r>
            <w:r>
              <w:rPr>
                <w:rFonts w:hint="default" w:ascii="Times New Roman" w:hAnsi="Times New Roman" w:eastAsia="宋体" w:cs="Times New Roman"/>
                <w:sz w:val="24"/>
                <w:lang w:val="en-US" w:eastAsia="zh-CN"/>
              </w:rPr>
              <w:t>8</w:t>
            </w:r>
            <w:r>
              <w:rPr>
                <w:rFonts w:hint="eastAsia" w:ascii="Times New Roman" w:hAnsi="Times New Roman" w:eastAsia="宋体" w:cs="Times New Roman"/>
                <w:sz w:val="24"/>
                <w:lang w:val="en-US" w:eastAsia="zh-CN"/>
              </w:rPr>
              <w:t>4</w:t>
            </w:r>
            <w:r>
              <w:rPr>
                <w:rFonts w:hint="default" w:ascii="Times New Roman" w:hAnsi="Times New Roman" w:eastAsia="宋体" w:cs="Times New Roman"/>
                <w:sz w:val="24"/>
                <w:lang w:val="en-US" w:eastAsia="zh-CN"/>
              </w:rPr>
              <w:t>1-003-01</w:t>
            </w:r>
            <w:r>
              <w:rPr>
                <w:rFonts w:hint="eastAsia" w:ascii="Times New Roman" w:hAnsi="Times New Roman" w:eastAsia="宋体" w:cs="Times New Roman"/>
                <w:sz w:val="24"/>
                <w:lang w:val="en-US" w:eastAsia="zh-CN"/>
              </w:rPr>
              <w:t>、</w:t>
            </w:r>
            <w:r>
              <w:rPr>
                <w:rFonts w:hint="default" w:ascii="Times New Roman" w:hAnsi="Times New Roman" w:eastAsia="宋体" w:cs="Times New Roman"/>
                <w:sz w:val="24"/>
                <w:lang w:val="en-US" w:eastAsia="zh-CN"/>
              </w:rPr>
              <w:t>8</w:t>
            </w:r>
            <w:r>
              <w:rPr>
                <w:rFonts w:hint="eastAsia" w:ascii="Times New Roman" w:hAnsi="Times New Roman" w:eastAsia="宋体" w:cs="Times New Roman"/>
                <w:sz w:val="24"/>
                <w:lang w:val="en-US" w:eastAsia="zh-CN"/>
              </w:rPr>
              <w:t>4</w:t>
            </w:r>
            <w:r>
              <w:rPr>
                <w:rFonts w:hint="default" w:ascii="Times New Roman" w:hAnsi="Times New Roman" w:eastAsia="宋体" w:cs="Times New Roman"/>
                <w:sz w:val="24"/>
                <w:lang w:val="en-US" w:eastAsia="zh-CN"/>
              </w:rPr>
              <w:t>1-004-01</w:t>
            </w:r>
            <w:r>
              <w:rPr>
                <w:rFonts w:hint="eastAsia" w:ascii="Times New Roman" w:hAnsi="Times New Roman" w:eastAsia="宋体" w:cs="Times New Roman"/>
                <w:sz w:val="24"/>
                <w:lang w:val="en-US" w:eastAsia="zh-CN"/>
              </w:rPr>
              <w:t>、</w:t>
            </w:r>
            <w:r>
              <w:rPr>
                <w:rFonts w:hint="default" w:ascii="Times New Roman" w:hAnsi="Times New Roman" w:eastAsia="宋体" w:cs="Times New Roman"/>
                <w:sz w:val="24"/>
                <w:lang w:val="en-US" w:eastAsia="zh-CN"/>
              </w:rPr>
              <w:t>8</w:t>
            </w:r>
            <w:r>
              <w:rPr>
                <w:rFonts w:hint="eastAsia" w:ascii="Times New Roman" w:hAnsi="Times New Roman" w:eastAsia="宋体" w:cs="Times New Roman"/>
                <w:sz w:val="24"/>
                <w:lang w:val="en-US" w:eastAsia="zh-CN"/>
              </w:rPr>
              <w:t>4</w:t>
            </w:r>
            <w:r>
              <w:rPr>
                <w:rFonts w:hint="default" w:ascii="Times New Roman" w:hAnsi="Times New Roman" w:eastAsia="宋体" w:cs="Times New Roman"/>
                <w:sz w:val="24"/>
                <w:lang w:val="en-US" w:eastAsia="zh-CN"/>
              </w:rPr>
              <w:t>1-005-01</w:t>
            </w:r>
            <w:r>
              <w:rPr>
                <w:rFonts w:hint="eastAsia" w:ascii="Times New Roman" w:hAnsi="Times New Roman" w:eastAsia="宋体" w:cs="Times New Roman"/>
                <w:sz w:val="24"/>
                <w:lang w:val="en-US" w:eastAsia="zh-CN"/>
              </w:rPr>
              <w:t>，收集后暂存于危险废物暂存间，定期委托具有相应危废处置资质的单位进行处置。</w:t>
            </w:r>
          </w:p>
          <w:p w14:paraId="49940F1A">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bCs/>
                <w:color w:val="auto"/>
                <w:sz w:val="24"/>
              </w:rPr>
              <w:fldChar w:fldCharType="begin"/>
            </w:r>
            <w:r>
              <w:rPr>
                <w:rFonts w:hint="default" w:ascii="Times New Roman" w:hAnsi="Times New Roman" w:cs="Times New Roman"/>
                <w:bCs/>
                <w:color w:val="auto"/>
                <w:sz w:val="24"/>
              </w:rPr>
              <w:instrText xml:space="preserve"> = 2 \* GB3 </w:instrText>
            </w:r>
            <w:r>
              <w:rPr>
                <w:rFonts w:hint="default" w:ascii="Times New Roman" w:hAnsi="Times New Roman" w:cs="Times New Roman"/>
                <w:bCs/>
                <w:color w:val="auto"/>
                <w:sz w:val="24"/>
              </w:rPr>
              <w:fldChar w:fldCharType="separate"/>
            </w:r>
            <w:r>
              <w:rPr>
                <w:rFonts w:hint="default" w:ascii="Times New Roman" w:hAnsi="Times New Roman" w:cs="Times New Roman"/>
                <w:bCs/>
                <w:color w:val="auto"/>
                <w:sz w:val="24"/>
              </w:rPr>
              <w:t>②</w:t>
            </w:r>
            <w:r>
              <w:rPr>
                <w:rFonts w:hint="default" w:ascii="Times New Roman" w:hAnsi="Times New Roman" w:cs="Times New Roman"/>
                <w:bCs/>
                <w:color w:val="auto"/>
                <w:sz w:val="24"/>
              </w:rPr>
              <w:fldChar w:fldCharType="end"/>
            </w:r>
            <w:r>
              <w:rPr>
                <w:rFonts w:hint="eastAsia" w:cs="Times New Roman"/>
                <w:color w:val="auto"/>
                <w:kern w:val="0"/>
                <w:sz w:val="24"/>
                <w:lang w:val="en-US" w:eastAsia="zh-CN"/>
              </w:rPr>
              <w:t>危险废包装物</w:t>
            </w:r>
          </w:p>
          <w:p w14:paraId="4B9746BA">
            <w:pPr>
              <w:keepNext w:val="0"/>
              <w:keepLines w:val="0"/>
              <w:pageBreakBefore w:val="0"/>
              <w:suppressLineNumbers w:val="0"/>
              <w:kinsoku/>
              <w:wordWrap/>
              <w:overflowPunct/>
              <w:bidi w:val="0"/>
              <w:spacing w:before="0" w:beforeAutospacing="0" w:afterAutospacing="0" w:line="360" w:lineRule="auto"/>
              <w:ind w:left="0" w:leftChars="0" w:right="0"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本项目使用的95%乙醇消毒液、75%乙醇消毒液、84消毒液、碘伏消毒液、多酶清洗剂等包装物属于危险废物，合计年使用约4530瓶，</w:t>
            </w:r>
            <w:r>
              <w:rPr>
                <w:rFonts w:hint="default" w:ascii="Times New Roman" w:hAnsi="Times New Roman" w:cs="Times New Roman"/>
                <w:color w:val="auto"/>
                <w:sz w:val="24"/>
                <w:lang w:val="en-US" w:eastAsia="zh-CN"/>
              </w:rPr>
              <w:t>产生量</w:t>
            </w:r>
            <w:r>
              <w:rPr>
                <w:rFonts w:hint="eastAsia" w:cs="Times New Roman"/>
                <w:color w:val="auto"/>
                <w:sz w:val="24"/>
                <w:lang w:val="en-US" w:eastAsia="zh-CN"/>
              </w:rPr>
              <w:t>约</w:t>
            </w:r>
            <w:r>
              <w:rPr>
                <w:rFonts w:hint="default" w:ascii="Times New Roman" w:hAnsi="Times New Roman" w:cs="Times New Roman"/>
                <w:color w:val="auto"/>
                <w:sz w:val="24"/>
                <w:lang w:val="en-US" w:eastAsia="zh-CN"/>
              </w:rPr>
              <w:t>为</w:t>
            </w:r>
            <w:r>
              <w:rPr>
                <w:rFonts w:hint="eastAsia" w:ascii="Times New Roman" w:hAnsi="Times New Roman" w:cs="Times New Roman"/>
                <w:color w:val="auto"/>
                <w:sz w:val="24"/>
                <w:lang w:val="en-US" w:eastAsia="zh-CN"/>
              </w:rPr>
              <w:t>0.</w:t>
            </w:r>
            <w:r>
              <w:rPr>
                <w:rFonts w:hint="eastAsia" w:cs="Times New Roman"/>
                <w:color w:val="auto"/>
                <w:sz w:val="24"/>
                <w:lang w:val="en-US" w:eastAsia="zh-CN"/>
              </w:rPr>
              <w:t>45</w:t>
            </w:r>
            <w:r>
              <w:rPr>
                <w:rFonts w:hint="default" w:ascii="Times New Roman" w:hAnsi="Times New Roman" w:cs="Times New Roman"/>
                <w:color w:val="auto"/>
                <w:sz w:val="24"/>
                <w:lang w:val="en-US" w:eastAsia="zh-CN"/>
              </w:rPr>
              <w:t>t/a</w:t>
            </w:r>
            <w:r>
              <w:rPr>
                <w:rFonts w:hint="eastAsia" w:cs="Times New Roman"/>
                <w:color w:val="auto"/>
                <w:sz w:val="24"/>
                <w:lang w:val="en-US" w:eastAsia="zh-CN"/>
              </w:rPr>
              <w:t>，</w:t>
            </w:r>
            <w:r>
              <w:rPr>
                <w:rFonts w:hint="default" w:ascii="Times New Roman" w:hAnsi="Times New Roman" w:cs="Times New Roman"/>
                <w:color w:val="auto"/>
                <w:sz w:val="24"/>
                <w:lang w:val="en-US" w:eastAsia="zh-CN"/>
              </w:rPr>
              <w:t>收集后暂存于危废暂存间，定期交由资质单位集中处置</w:t>
            </w:r>
            <w:r>
              <w:rPr>
                <w:rFonts w:hint="eastAsia" w:ascii="Times New Roman" w:hAnsi="Times New Roman" w:eastAsia="宋体" w:cs="Times New Roman"/>
                <w:sz w:val="24"/>
                <w:lang w:val="en-US" w:eastAsia="zh-CN"/>
              </w:rPr>
              <w:t>。</w:t>
            </w:r>
          </w:p>
          <w:p w14:paraId="06D03DF7">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kern w:val="0"/>
                <w:sz w:val="24"/>
              </w:rPr>
              <w:fldChar w:fldCharType="begin"/>
            </w:r>
            <w:r>
              <w:rPr>
                <w:rFonts w:hint="default" w:ascii="Times New Roman" w:hAnsi="Times New Roman" w:cs="Times New Roman"/>
                <w:color w:val="auto"/>
                <w:kern w:val="0"/>
                <w:sz w:val="24"/>
              </w:rPr>
              <w:instrText xml:space="preserve"> = 3 \* GB3 </w:instrText>
            </w:r>
            <w:r>
              <w:rPr>
                <w:rFonts w:hint="default" w:ascii="Times New Roman" w:hAnsi="Times New Roman" w:cs="Times New Roman"/>
                <w:color w:val="auto"/>
                <w:kern w:val="0"/>
                <w:sz w:val="24"/>
              </w:rPr>
              <w:fldChar w:fldCharType="separate"/>
            </w:r>
            <w:r>
              <w:rPr>
                <w:rFonts w:hint="default" w:ascii="Times New Roman" w:hAnsi="Times New Roman" w:cs="Times New Roman"/>
                <w:color w:val="auto"/>
                <w:kern w:val="0"/>
                <w:sz w:val="24"/>
              </w:rPr>
              <w:t>③</w:t>
            </w:r>
            <w:r>
              <w:rPr>
                <w:rFonts w:hint="default" w:ascii="Times New Roman" w:hAnsi="Times New Roman" w:cs="Times New Roman"/>
                <w:color w:val="auto"/>
                <w:kern w:val="0"/>
                <w:sz w:val="24"/>
              </w:rPr>
              <w:fldChar w:fldCharType="end"/>
            </w:r>
            <w:r>
              <w:rPr>
                <w:rFonts w:hint="eastAsia" w:cs="Times New Roman"/>
                <w:color w:val="auto"/>
                <w:kern w:val="0"/>
                <w:sz w:val="24"/>
                <w:lang w:val="en-US" w:eastAsia="zh-CN"/>
              </w:rPr>
              <w:t>废UV灯管</w:t>
            </w:r>
          </w:p>
          <w:p w14:paraId="6387F640">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color w:val="auto"/>
                <w:sz w:val="24"/>
                <w:szCs w:val="24"/>
                <w:lang w:val="en-US" w:eastAsia="zh-CN"/>
              </w:rPr>
              <w:t>本项目UV光氧装置采用</w:t>
            </w:r>
            <w:r>
              <w:rPr>
                <w:rFonts w:hint="default" w:ascii="Times New Roman" w:hAnsi="Times New Roman" w:cs="Times New Roman"/>
                <w:color w:val="auto"/>
                <w:sz w:val="24"/>
                <w:szCs w:val="24"/>
                <w:lang w:val="en-US" w:eastAsia="zh-CN"/>
              </w:rPr>
              <w:t>UV</w:t>
            </w:r>
            <w:r>
              <w:rPr>
                <w:rFonts w:hint="eastAsia"/>
                <w:color w:val="auto"/>
                <w:sz w:val="24"/>
                <w:szCs w:val="24"/>
                <w:lang w:val="en-US" w:eastAsia="zh-CN"/>
              </w:rPr>
              <w:t>灯管照射除臭，该过程中</w:t>
            </w:r>
            <w:r>
              <w:rPr>
                <w:rFonts w:hint="default" w:ascii="Times New Roman" w:hAnsi="Times New Roman" w:cs="Times New Roman"/>
                <w:color w:val="auto"/>
                <w:sz w:val="24"/>
                <w:szCs w:val="24"/>
                <w:lang w:val="en-US" w:eastAsia="zh-CN"/>
              </w:rPr>
              <w:t>UV</w:t>
            </w:r>
            <w:r>
              <w:rPr>
                <w:rFonts w:hint="eastAsia"/>
                <w:color w:val="auto"/>
                <w:sz w:val="24"/>
                <w:szCs w:val="24"/>
                <w:lang w:val="en-US" w:eastAsia="zh-CN"/>
              </w:rPr>
              <w:t>灯管持续工作，其使用寿命缓慢减少，紫外线逐渐衰弱，为保证其照射效果可达到工艺要求、不影响正常生产，需定期更换，更换时会产生废</w:t>
            </w:r>
            <w:r>
              <w:rPr>
                <w:rFonts w:hint="default" w:ascii="Times New Roman" w:hAnsi="Times New Roman" w:cs="Times New Roman"/>
                <w:color w:val="auto"/>
                <w:sz w:val="24"/>
                <w:szCs w:val="24"/>
                <w:lang w:val="en-US" w:eastAsia="zh-CN"/>
              </w:rPr>
              <w:t>UV</w:t>
            </w:r>
            <w:r>
              <w:rPr>
                <w:rFonts w:hint="eastAsia"/>
                <w:color w:val="auto"/>
                <w:sz w:val="24"/>
                <w:szCs w:val="24"/>
                <w:lang w:val="en-US" w:eastAsia="zh-CN"/>
              </w:rPr>
              <w:t>灯管，根据建设单位提供的资料，废</w:t>
            </w:r>
            <w:r>
              <w:rPr>
                <w:rFonts w:hint="default" w:ascii="Times New Roman" w:hAnsi="Times New Roman" w:cs="Times New Roman"/>
                <w:color w:val="auto"/>
                <w:sz w:val="24"/>
                <w:szCs w:val="24"/>
                <w:lang w:val="en-US" w:eastAsia="zh-CN"/>
              </w:rPr>
              <w:t>UV</w:t>
            </w:r>
            <w:r>
              <w:rPr>
                <w:rFonts w:hint="eastAsia"/>
                <w:color w:val="auto"/>
                <w:sz w:val="24"/>
                <w:szCs w:val="24"/>
                <w:lang w:val="en-US" w:eastAsia="zh-CN"/>
              </w:rPr>
              <w:t>灯管产生量为</w:t>
            </w:r>
            <w:r>
              <w:rPr>
                <w:rFonts w:hint="default" w:ascii="Times New Roman" w:hAnsi="Times New Roman" w:cs="Times New Roman"/>
                <w:color w:val="auto"/>
                <w:sz w:val="24"/>
                <w:szCs w:val="24"/>
                <w:lang w:val="en-US" w:eastAsia="zh-CN"/>
              </w:rPr>
              <w:t>0</w:t>
            </w:r>
            <w:r>
              <w:rPr>
                <w:rFonts w:hint="eastAsia"/>
                <w:color w:val="auto"/>
                <w:sz w:val="24"/>
                <w:szCs w:val="24"/>
                <w:lang w:val="en-US" w:eastAsia="zh-CN"/>
              </w:rPr>
              <w:t>.</w:t>
            </w:r>
            <w:r>
              <w:rPr>
                <w:rFonts w:hint="default" w:ascii="Times New Roman" w:hAnsi="Times New Roman" w:cs="Times New Roman"/>
                <w:color w:val="auto"/>
                <w:sz w:val="24"/>
                <w:szCs w:val="24"/>
                <w:lang w:val="en-US" w:eastAsia="zh-CN"/>
              </w:rPr>
              <w:t>0</w:t>
            </w:r>
            <w:r>
              <w:rPr>
                <w:rFonts w:hint="eastAsia" w:cs="Times New Roman"/>
                <w:color w:val="auto"/>
                <w:sz w:val="24"/>
                <w:szCs w:val="24"/>
                <w:lang w:val="en-US" w:eastAsia="zh-CN"/>
              </w:rPr>
              <w:t>5</w:t>
            </w:r>
            <w:r>
              <w:rPr>
                <w:rFonts w:hint="default" w:ascii="Times New Roman" w:hAnsi="Times New Roman" w:cs="Times New Roman"/>
                <w:color w:val="auto"/>
                <w:sz w:val="24"/>
                <w:szCs w:val="24"/>
                <w:lang w:val="en-US" w:eastAsia="zh-CN"/>
              </w:rPr>
              <w:t>t</w:t>
            </w:r>
            <w:r>
              <w:rPr>
                <w:rFonts w:hint="eastAsia"/>
                <w:color w:val="auto"/>
                <w:sz w:val="24"/>
                <w:szCs w:val="24"/>
                <w:lang w:val="en-US" w:eastAsia="zh-CN"/>
              </w:rPr>
              <w:t>/</w:t>
            </w:r>
            <w:r>
              <w:rPr>
                <w:rFonts w:hint="default" w:ascii="Times New Roman" w:hAnsi="Times New Roman" w:cs="Times New Roman"/>
                <w:color w:val="auto"/>
                <w:sz w:val="24"/>
                <w:szCs w:val="24"/>
                <w:lang w:val="en-US" w:eastAsia="zh-CN"/>
              </w:rPr>
              <w:t>a</w:t>
            </w:r>
            <w:r>
              <w:rPr>
                <w:rFonts w:hint="eastAsia"/>
                <w:color w:val="auto"/>
                <w:sz w:val="24"/>
                <w:szCs w:val="24"/>
                <w:lang w:val="en-US" w:eastAsia="zh-CN"/>
              </w:rPr>
              <w:t>，收集后定期委托有危险废物处理资质的单位处理</w:t>
            </w:r>
            <w:r>
              <w:rPr>
                <w:rFonts w:hint="eastAsia" w:cs="Times New Roman"/>
                <w:color w:val="auto"/>
                <w:sz w:val="24"/>
                <w:szCs w:val="24"/>
                <w:lang w:val="en-US" w:eastAsia="zh-CN"/>
              </w:rPr>
              <w:t>。</w:t>
            </w:r>
          </w:p>
          <w:p w14:paraId="2EBA53F4">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fldChar w:fldCharType="begin"/>
            </w:r>
            <w:r>
              <w:rPr>
                <w:rFonts w:hint="default" w:ascii="Times New Roman" w:hAnsi="Times New Roman" w:eastAsia="宋体" w:cs="Times New Roman"/>
                <w:color w:val="auto"/>
                <w:kern w:val="0"/>
                <w:sz w:val="24"/>
                <w:szCs w:val="24"/>
              </w:rPr>
              <w:instrText xml:space="preserve"> = 4 \* GB3 </w:instrText>
            </w:r>
            <w:r>
              <w:rPr>
                <w:rFonts w:hint="default" w:ascii="Times New Roman" w:hAnsi="Times New Roman" w:eastAsia="宋体" w:cs="Times New Roman"/>
                <w:color w:val="auto"/>
                <w:kern w:val="0"/>
                <w:sz w:val="24"/>
                <w:szCs w:val="24"/>
              </w:rPr>
              <w:fldChar w:fldCharType="separate"/>
            </w:r>
            <w:r>
              <w:rPr>
                <w:rFonts w:hint="default" w:ascii="Times New Roman" w:hAnsi="Times New Roman" w:eastAsia="宋体" w:cs="Times New Roman"/>
                <w:color w:val="auto"/>
                <w:kern w:val="0"/>
                <w:sz w:val="24"/>
                <w:szCs w:val="24"/>
              </w:rPr>
              <w:t>④</w:t>
            </w:r>
            <w:r>
              <w:rPr>
                <w:rFonts w:hint="default" w:ascii="Times New Roman" w:hAnsi="Times New Roman" w:eastAsia="宋体" w:cs="Times New Roman"/>
                <w:color w:val="auto"/>
                <w:kern w:val="0"/>
                <w:sz w:val="24"/>
                <w:szCs w:val="24"/>
              </w:rPr>
              <w:fldChar w:fldCharType="end"/>
            </w:r>
            <w:r>
              <w:rPr>
                <w:rFonts w:hint="eastAsia" w:cs="Times New Roman"/>
                <w:color w:val="auto"/>
                <w:kern w:val="0"/>
                <w:sz w:val="24"/>
                <w:szCs w:val="24"/>
                <w:lang w:val="en-US" w:eastAsia="zh-CN"/>
              </w:rPr>
              <w:t>废紫外灯</w:t>
            </w:r>
          </w:p>
          <w:p w14:paraId="7E91F52C">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default" w:ascii="Times New Roman" w:hAnsi="Times New Roman" w:cs="Times New Roman"/>
                <w:color w:val="auto"/>
                <w:sz w:val="24"/>
                <w:szCs w:val="24"/>
              </w:rPr>
            </w:pPr>
            <w:r>
              <w:rPr>
                <w:rFonts w:hint="eastAsia" w:ascii="Times New Roman" w:cs="Times New Roman"/>
                <w:b w:val="0"/>
                <w:bCs w:val="0"/>
                <w:color w:val="auto"/>
                <w:sz w:val="24"/>
                <w:szCs w:val="24"/>
                <w:highlight w:val="none"/>
                <w:lang w:val="en-US" w:eastAsia="zh-CN"/>
              </w:rPr>
              <w:t>洗消供应室、手术室、危废间、医废间、污物间等采用紫外线消毒，紫外灯一年更换一次，产生量0.4t/a，</w:t>
            </w:r>
            <w:r>
              <w:rPr>
                <w:rFonts w:hint="eastAsia" w:ascii="Times New Roman" w:hAnsi="Times New Roman" w:eastAsia="宋体" w:cs="Times New Roman"/>
                <w:sz w:val="24"/>
                <w:lang w:val="en-US" w:eastAsia="zh-CN"/>
              </w:rPr>
              <w:t>收集后暂存于危险废物暂存间，定期委托具有相应危废处置资质的单位进行处置</w:t>
            </w:r>
            <w:r>
              <w:rPr>
                <w:rFonts w:hint="eastAsia" w:ascii="Times New Roman" w:cs="Times New Roman"/>
                <w:b w:val="0"/>
                <w:bCs w:val="0"/>
                <w:color w:val="auto"/>
                <w:sz w:val="24"/>
                <w:szCs w:val="24"/>
                <w:highlight w:val="none"/>
                <w:lang w:val="en-US" w:eastAsia="zh-CN"/>
              </w:rPr>
              <w:t>。</w:t>
            </w:r>
          </w:p>
          <w:p w14:paraId="455670AB">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default" w:ascii="Times New Roman" w:hAnsi="Times New Roman" w:cs="Times New Roman"/>
                <w:color w:val="auto"/>
                <w:sz w:val="24"/>
                <w:szCs w:val="24"/>
              </w:rPr>
            </w:pPr>
            <w:r>
              <w:rPr>
                <w:sz w:val="24"/>
              </w:rPr>
              <w:t>⑤</w:t>
            </w:r>
            <w:r>
              <w:rPr>
                <w:rFonts w:hint="eastAsia" w:cs="Times New Roman"/>
                <w:color w:val="auto"/>
                <w:kern w:val="0"/>
                <w:sz w:val="24"/>
                <w:lang w:val="en-US" w:eastAsia="zh-CN"/>
              </w:rPr>
              <w:t>污水处理站污泥</w:t>
            </w:r>
          </w:p>
          <w:p w14:paraId="0D08A77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根据《医院污水处理工程技术规范》（HJ2029-2013）和《排污许可证申请与核发技术规范 医疗机构》（HJ1105—2020），医院污泥应按照危险废物处理处置要求，经</w:t>
            </w:r>
            <w:r>
              <w:rPr>
                <w:rFonts w:hint="eastAsia"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石灰消毒+化学调质</w:t>
            </w:r>
            <w:r>
              <w:rPr>
                <w:rFonts w:hint="eastAsia"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后脱水，由</w:t>
            </w:r>
            <w:r>
              <w:rPr>
                <w:rFonts w:hint="eastAsia" w:ascii="Times New Roman" w:hAnsi="Times New Roman" w:cs="Times New Roman"/>
                <w:color w:val="auto"/>
                <w:sz w:val="24"/>
                <w:szCs w:val="24"/>
                <w:highlight w:val="none"/>
                <w:lang w:val="en-US" w:eastAsia="zh-CN"/>
              </w:rPr>
              <w:t>具备</w:t>
            </w:r>
            <w:r>
              <w:rPr>
                <w:rFonts w:hint="default" w:ascii="Times New Roman" w:hAnsi="Times New Roman" w:eastAsia="宋体" w:cs="Times New Roman"/>
                <w:color w:val="auto"/>
                <w:sz w:val="24"/>
                <w:szCs w:val="24"/>
                <w:highlight w:val="none"/>
              </w:rPr>
              <w:t>医疗废物处置资质单位进行集中处置。根据预处理工艺的污泥产量计算公式计算本项目污泥产生量。</w:t>
            </w:r>
          </w:p>
          <w:p w14:paraId="7A5A07D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position w:val="-14"/>
                <w:sz w:val="24"/>
                <w:szCs w:val="24"/>
                <w:highlight w:val="none"/>
              </w:rPr>
              <w:object>
                <v:shape id="_x0000_i1026" o:spt="75" type="#_x0000_t75" style="height:19pt;width:96.95pt;" o:ole="t" filled="f" o:preferrelative="t" stroked="f" coordsize="21600,21600">
                  <v:path/>
                  <v:fill on="f" focussize="0,0"/>
                  <v:stroke on="f"/>
                  <v:imagedata r:id="rId25" o:title=""/>
                  <o:lock v:ext="edit" aspectratio="t"/>
                  <w10:wrap type="none"/>
                  <w10:anchorlock/>
                </v:shape>
                <o:OLEObject Type="Embed" ProgID="Equation.KSEE3" ShapeID="_x0000_i1026" DrawAspect="Content" ObjectID="_1468075725" r:id="rId24">
                  <o:LockedField>false</o:LockedField>
                </o:OLEObject>
              </w:object>
            </w:r>
          </w:p>
          <w:p w14:paraId="7EC1675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式中，△X为预处理污泥产生量，kg/d；</w:t>
            </w:r>
          </w:p>
          <w:p w14:paraId="6658D8C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Spi、Spo分别为进出水悬浮物浓度，kg/m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p>
          <w:p w14:paraId="42DC03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Q为设计平均日废水流量，m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p>
          <w:p w14:paraId="5AA5E03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a为系数，无量纲，初沉池a=0.8~1.0，排泥间隔较长时，取下限。</w:t>
            </w:r>
          </w:p>
          <w:p w14:paraId="73670808">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highlight w:val="none"/>
              </w:rPr>
              <w:t>本项目进入污水处理站废水量为</w:t>
            </w:r>
            <w:r>
              <w:rPr>
                <w:rFonts w:hint="eastAsia" w:ascii="Times New Roman" w:hAnsi="Times New Roman" w:cs="Times New Roman"/>
                <w:color w:val="auto"/>
                <w:sz w:val="24"/>
                <w:szCs w:val="24"/>
                <w:highlight w:val="none"/>
                <w:lang w:val="en-US" w:eastAsia="zh-CN"/>
              </w:rPr>
              <w:t>149.1683</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/d，项目选取如下参数：a=1.0，Q=1</w:t>
            </w:r>
            <w:r>
              <w:rPr>
                <w:rFonts w:hint="eastAsia" w:ascii="Times New Roman" w:hAnsi="Times New Roman" w:cs="Times New Roman"/>
                <w:color w:val="auto"/>
                <w:sz w:val="24"/>
                <w:szCs w:val="24"/>
                <w:highlight w:val="none"/>
                <w:lang w:val="en-US" w:eastAsia="zh-CN"/>
              </w:rPr>
              <w:t>49.1683</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d</w:t>
            </w:r>
            <w:r>
              <w:rPr>
                <w:rFonts w:hint="default" w:ascii="Times New Roman" w:hAnsi="Times New Roman" w:eastAsia="宋体" w:cs="Times New Roman"/>
                <w:color w:val="auto"/>
                <w:sz w:val="24"/>
                <w:szCs w:val="24"/>
                <w:highlight w:val="none"/>
              </w:rPr>
              <w:t>，Spi=</w:t>
            </w:r>
            <w:r>
              <w:rPr>
                <w:rFonts w:hint="eastAsia" w:ascii="Times New Roman" w:hAnsi="Times New Roman" w:eastAsia="宋体" w:cs="Times New Roman"/>
                <w:color w:val="auto"/>
                <w:sz w:val="24"/>
                <w:szCs w:val="24"/>
                <w:highlight w:val="none"/>
                <w:lang w:val="en-US" w:eastAsia="zh-CN"/>
              </w:rPr>
              <w:t>0.08</w:t>
            </w:r>
            <w:r>
              <w:rPr>
                <w:rFonts w:hint="default" w:ascii="Times New Roman" w:hAnsi="Times New Roman" w:eastAsia="宋体" w:cs="Times New Roman"/>
                <w:color w:val="auto"/>
                <w:sz w:val="24"/>
                <w:szCs w:val="24"/>
                <w:highlight w:val="none"/>
              </w:rPr>
              <w:t>kg/m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，Spo=</w:t>
            </w:r>
            <w:r>
              <w:rPr>
                <w:rFonts w:hint="eastAsia" w:ascii="Times New Roman" w:hAnsi="Times New Roman" w:eastAsia="宋体" w:cs="Times New Roman"/>
                <w:color w:val="auto"/>
                <w:sz w:val="24"/>
                <w:szCs w:val="24"/>
                <w:highlight w:val="none"/>
                <w:lang w:val="en-US" w:eastAsia="zh-CN"/>
              </w:rPr>
              <w:t>0.0</w:t>
            </w:r>
            <w:r>
              <w:rPr>
                <w:rFonts w:hint="eastAsia" w:ascii="Times New Roman" w:hAnsi="Times New Roman"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kg/m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，根据计算，本项目绝干污泥产生量为</w:t>
            </w:r>
            <w:r>
              <w:rPr>
                <w:rFonts w:hint="eastAsia" w:cs="Times New Roman"/>
                <w:color w:val="auto"/>
                <w:sz w:val="24"/>
                <w:szCs w:val="24"/>
                <w:highlight w:val="none"/>
                <w:lang w:val="en-US" w:eastAsia="zh-CN"/>
              </w:rPr>
              <w:t>5.97</w:t>
            </w:r>
            <w:r>
              <w:rPr>
                <w:rFonts w:hint="default" w:ascii="Times New Roman" w:hAnsi="Times New Roman" w:eastAsia="宋体" w:cs="Times New Roman"/>
                <w:color w:val="auto"/>
                <w:sz w:val="24"/>
                <w:szCs w:val="24"/>
                <w:highlight w:val="none"/>
              </w:rPr>
              <w:t>kg/d，折合含水率</w:t>
            </w:r>
            <w:r>
              <w:rPr>
                <w:rFonts w:hint="eastAsia" w:ascii="Times New Roman" w:hAnsi="Times New Roman"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rPr>
              <w:t>0%（脱水后污泥产生量=绝干污泥/（1-含水率）），</w:t>
            </w:r>
            <w:r>
              <w:rPr>
                <w:rFonts w:hint="eastAsia" w:ascii="Times New Roman" w:hAnsi="Times New Roman"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rPr>
              <w:t>0%含水率污泥</w:t>
            </w:r>
            <w:r>
              <w:rPr>
                <w:rFonts w:hint="eastAsia" w:ascii="Times New Roman" w:hAnsi="Times New Roman" w:cs="Times New Roman"/>
                <w:color w:val="auto"/>
                <w:sz w:val="24"/>
                <w:szCs w:val="24"/>
                <w:highlight w:val="none"/>
                <w:lang w:val="en-US" w:eastAsia="zh-CN"/>
              </w:rPr>
              <w:t>29.85</w:t>
            </w:r>
            <w:r>
              <w:rPr>
                <w:rFonts w:hint="default" w:ascii="Times New Roman" w:hAnsi="Times New Roman" w:eastAsia="宋体" w:cs="Times New Roman"/>
                <w:color w:val="auto"/>
                <w:sz w:val="24"/>
                <w:szCs w:val="24"/>
                <w:highlight w:val="none"/>
              </w:rPr>
              <w:t>kg/d（</w:t>
            </w:r>
            <w:r>
              <w:rPr>
                <w:rFonts w:hint="eastAsia" w:ascii="Times New Roman" w:hAnsi="Times New Roman" w:cs="Times New Roman"/>
                <w:color w:val="auto"/>
                <w:sz w:val="24"/>
                <w:szCs w:val="24"/>
                <w:highlight w:val="none"/>
                <w:lang w:val="en-US" w:eastAsia="zh-CN"/>
              </w:rPr>
              <w:t>10.9</w:t>
            </w:r>
            <w:r>
              <w:rPr>
                <w:rFonts w:hint="default" w:ascii="Times New Roman" w:hAnsi="Times New Roman" w:eastAsia="宋体" w:cs="Times New Roman"/>
                <w:color w:val="auto"/>
                <w:sz w:val="24"/>
                <w:szCs w:val="24"/>
                <w:highlight w:val="none"/>
              </w:rPr>
              <w:t>t/a）</w:t>
            </w:r>
            <w:r>
              <w:rPr>
                <w:rFonts w:hint="default" w:ascii="Times New Roman" w:hAnsi="Times New Roman" w:cs="Times New Roman"/>
                <w:color w:val="auto"/>
                <w:sz w:val="24"/>
                <w:szCs w:val="24"/>
              </w:rPr>
              <w:t>。</w:t>
            </w:r>
          </w:p>
          <w:p w14:paraId="6EF23242">
            <w:pPr>
              <w:keepNext w:val="0"/>
              <w:keepLines w:val="0"/>
              <w:pageBreakBefore w:val="0"/>
              <w:widowControl/>
              <w:kinsoku/>
              <w:wordWrap/>
              <w:overflowPunct/>
              <w:bidi w:val="0"/>
              <w:adjustRightInd w:val="0"/>
              <w:snapToGrid w:val="0"/>
              <w:spacing w:line="360" w:lineRule="auto"/>
              <w:ind w:left="0" w:leftChars="0" w:right="0"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（2）一般工业固废</w:t>
            </w:r>
          </w:p>
          <w:p w14:paraId="2C365BA0">
            <w:pPr>
              <w:keepNext w:val="0"/>
              <w:keepLines w:val="0"/>
              <w:pageBreakBefore w:val="0"/>
              <w:suppressLineNumbers w:val="0"/>
              <w:kinsoku/>
              <w:wordWrap/>
              <w:overflowPunct/>
              <w:bidi w:val="0"/>
              <w:spacing w:before="0" w:beforeAutospacing="0" w:afterAutospacing="0" w:line="360" w:lineRule="auto"/>
              <w:ind w:left="0" w:leftChars="0" w:right="0" w:firstLine="480" w:firstLineChars="200"/>
              <w:rPr>
                <w:rFonts w:hint="default" w:ascii="Times New Roman" w:hAnsi="Times New Roman" w:eastAsia="宋体" w:cs="Times New Roman"/>
                <w:bCs/>
                <w:color w:val="auto"/>
                <w:sz w:val="24"/>
                <w:szCs w:val="24"/>
                <w:lang w:val="en-US" w:eastAsia="zh-CN"/>
              </w:rPr>
            </w:pPr>
            <w:r>
              <w:rPr>
                <w:rFonts w:hint="default" w:ascii="Times New Roman" w:hAnsi="Times New Roman" w:cs="Times New Roman"/>
                <w:color w:val="auto"/>
                <w:sz w:val="24"/>
              </w:rPr>
              <w:fldChar w:fldCharType="begin"/>
            </w:r>
            <w:r>
              <w:rPr>
                <w:rFonts w:hint="default" w:ascii="Times New Roman" w:hAnsi="Times New Roman" w:cs="Times New Roman"/>
                <w:color w:val="auto"/>
                <w:sz w:val="24"/>
              </w:rPr>
              <w:instrText xml:space="preserve"> = 1 \* GB3 </w:instrText>
            </w:r>
            <w:r>
              <w:rPr>
                <w:rFonts w:hint="default" w:ascii="Times New Roman" w:hAnsi="Times New Roman" w:cs="Times New Roman"/>
                <w:color w:val="auto"/>
                <w:sz w:val="24"/>
              </w:rPr>
              <w:fldChar w:fldCharType="separate"/>
            </w:r>
            <w:r>
              <w:rPr>
                <w:rFonts w:hint="default" w:ascii="Times New Roman" w:hAnsi="Times New Roman" w:cs="Times New Roman"/>
                <w:color w:val="auto"/>
                <w:sz w:val="24"/>
              </w:rPr>
              <w:t>①</w:t>
            </w:r>
            <w:r>
              <w:rPr>
                <w:rFonts w:hint="default" w:ascii="Times New Roman" w:hAnsi="Times New Roman" w:cs="Times New Roman"/>
                <w:color w:val="auto"/>
                <w:sz w:val="24"/>
              </w:rPr>
              <w:fldChar w:fldCharType="end"/>
            </w:r>
            <w:r>
              <w:rPr>
                <w:rFonts w:hint="eastAsia" w:cs="Times New Roman"/>
                <w:color w:val="auto"/>
                <w:kern w:val="0"/>
                <w:sz w:val="24"/>
                <w:lang w:val="en-US" w:eastAsia="zh-CN"/>
              </w:rPr>
              <w:t>普通废包装材料</w:t>
            </w:r>
            <w:r>
              <w:rPr>
                <w:rFonts w:hint="default" w:ascii="Times New Roman" w:hAnsi="Times New Roman" w:cs="Times New Roman"/>
                <w:bCs/>
                <w:color w:val="auto"/>
                <w:sz w:val="24"/>
              </w:rPr>
              <w:t>：</w:t>
            </w:r>
            <w:r>
              <w:rPr>
                <w:rFonts w:hint="eastAsia" w:ascii="Times New Roman" w:cs="Times New Roman"/>
                <w:b w:val="0"/>
                <w:bCs w:val="0"/>
                <w:color w:val="auto"/>
                <w:sz w:val="24"/>
                <w:szCs w:val="24"/>
                <w:highlight w:val="none"/>
                <w:lang w:val="en-US" w:eastAsia="zh-CN"/>
              </w:rPr>
              <w:t>来源于废纸张、包装盒、塑料袋等废包装材料，根据建设单位提供的资料，项目产生量约为5t/a，定期外售</w:t>
            </w:r>
            <w:r>
              <w:rPr>
                <w:rFonts w:hint="default" w:ascii="Times New Roman" w:hAnsi="Times New Roman" w:cs="Times New Roman"/>
                <w:color w:val="auto"/>
                <w:sz w:val="24"/>
                <w:szCs w:val="24"/>
                <w:lang w:val="en-US" w:eastAsia="zh-CN"/>
              </w:rPr>
              <w:t>物资回收单位综合利用</w:t>
            </w:r>
            <w:r>
              <w:rPr>
                <w:rFonts w:hint="default" w:ascii="Times New Roman" w:hAnsi="Times New Roman" w:cs="Times New Roman"/>
                <w:bCs/>
                <w:color w:val="auto"/>
                <w:sz w:val="24"/>
                <w:szCs w:val="24"/>
              </w:rPr>
              <w:t>。</w:t>
            </w:r>
          </w:p>
          <w:p w14:paraId="05D07565">
            <w:pPr>
              <w:keepNext w:val="0"/>
              <w:keepLines w:val="0"/>
              <w:pageBreakBefore w:val="0"/>
              <w:widowControl/>
              <w:kinsoku/>
              <w:wordWrap/>
              <w:overflowPunct/>
              <w:bidi w:val="0"/>
              <w:adjustRightInd w:val="0"/>
              <w:snapToGrid w:val="0"/>
              <w:spacing w:line="360" w:lineRule="auto"/>
              <w:ind w:left="0" w:leftChars="0" w:right="0" w:firstLine="480" w:firstLineChars="200"/>
              <w:rPr>
                <w:rFonts w:hint="eastAsia" w:ascii="Times New Roman" w:hAnsi="Times New Roman" w:cs="Times New Roman"/>
                <w:color w:val="auto"/>
                <w:sz w:val="24"/>
                <w:shd w:val="clear" w:color="auto" w:fill="FFFFFF"/>
                <w:lang w:val="en-US" w:eastAsia="zh-CN"/>
              </w:rPr>
            </w:pPr>
            <w:r>
              <w:rPr>
                <w:rFonts w:hint="default" w:ascii="Times New Roman" w:hAnsi="Times New Roman" w:cs="Times New Roman"/>
                <w:bCs/>
                <w:color w:val="auto"/>
                <w:sz w:val="24"/>
              </w:rPr>
              <w:fldChar w:fldCharType="begin"/>
            </w:r>
            <w:r>
              <w:rPr>
                <w:rFonts w:hint="default" w:ascii="Times New Roman" w:hAnsi="Times New Roman" w:cs="Times New Roman"/>
                <w:bCs/>
                <w:color w:val="auto"/>
                <w:sz w:val="24"/>
              </w:rPr>
              <w:instrText xml:space="preserve"> = 2 \* GB3 </w:instrText>
            </w:r>
            <w:r>
              <w:rPr>
                <w:rFonts w:hint="default" w:ascii="Times New Roman" w:hAnsi="Times New Roman" w:cs="Times New Roman"/>
                <w:bCs/>
                <w:color w:val="auto"/>
                <w:sz w:val="24"/>
              </w:rPr>
              <w:fldChar w:fldCharType="separate"/>
            </w:r>
            <w:r>
              <w:rPr>
                <w:rFonts w:hint="default" w:ascii="Times New Roman" w:hAnsi="Times New Roman" w:cs="Times New Roman"/>
                <w:bCs/>
                <w:color w:val="auto"/>
                <w:sz w:val="24"/>
              </w:rPr>
              <w:t>②</w:t>
            </w:r>
            <w:r>
              <w:rPr>
                <w:rFonts w:hint="default" w:ascii="Times New Roman" w:hAnsi="Times New Roman" w:cs="Times New Roman"/>
                <w:bCs/>
                <w:color w:val="auto"/>
                <w:sz w:val="24"/>
              </w:rPr>
              <w:fldChar w:fldCharType="end"/>
            </w:r>
            <w:r>
              <w:rPr>
                <w:rFonts w:hint="eastAsia" w:cs="Times New Roman"/>
                <w:bCs/>
                <w:color w:val="auto"/>
                <w:sz w:val="24"/>
                <w:lang w:val="en-US" w:eastAsia="zh-CN"/>
              </w:rPr>
              <w:t>生活垃圾</w:t>
            </w:r>
            <w:r>
              <w:rPr>
                <w:rFonts w:hint="eastAsia" w:cs="Times New Roman"/>
                <w:bCs/>
                <w:color w:val="auto"/>
                <w:sz w:val="24"/>
                <w:lang w:eastAsia="zh-CN"/>
              </w:rPr>
              <w:t>：</w:t>
            </w:r>
            <w:r>
              <w:rPr>
                <w:rFonts w:hint="default" w:ascii="Times New Roman" w:hAnsi="Times New Roman" w:eastAsia="宋体" w:cs="Times New Roman"/>
                <w:color w:val="auto"/>
                <w:kern w:val="0"/>
                <w:sz w:val="24"/>
                <w:szCs w:val="24"/>
              </w:rPr>
              <w:t>项目</w:t>
            </w:r>
            <w:r>
              <w:rPr>
                <w:rFonts w:hint="eastAsia" w:cs="Times New Roman"/>
                <w:color w:val="auto"/>
                <w:kern w:val="0"/>
                <w:sz w:val="24"/>
                <w:szCs w:val="24"/>
                <w:lang w:eastAsia="zh-CN"/>
              </w:rPr>
              <w:t>新增员工</w:t>
            </w:r>
            <w:r>
              <w:rPr>
                <w:rFonts w:hint="eastAsia" w:cs="Times New Roman"/>
                <w:color w:val="auto"/>
                <w:kern w:val="0"/>
                <w:sz w:val="24"/>
                <w:szCs w:val="24"/>
                <w:lang w:val="en-US" w:eastAsia="zh-CN"/>
              </w:rPr>
              <w:t>545</w:t>
            </w:r>
            <w:r>
              <w:rPr>
                <w:rFonts w:hint="default" w:ascii="Times New Roman" w:hAnsi="Times New Roman" w:eastAsia="宋体" w:cs="Times New Roman"/>
                <w:color w:val="auto"/>
                <w:kern w:val="0"/>
                <w:sz w:val="24"/>
                <w:szCs w:val="24"/>
              </w:rPr>
              <w:t>人，年工作3</w:t>
            </w:r>
            <w:r>
              <w:rPr>
                <w:rFonts w:hint="eastAsia" w:eastAsia="宋体" w:cs="Times New Roman"/>
                <w:color w:val="auto"/>
                <w:kern w:val="0"/>
                <w:sz w:val="24"/>
                <w:szCs w:val="24"/>
                <w:lang w:val="en-US" w:eastAsia="zh-CN"/>
              </w:rPr>
              <w:t>65</w:t>
            </w:r>
            <w:r>
              <w:rPr>
                <w:rFonts w:hint="default" w:ascii="Times New Roman" w:hAnsi="Times New Roman" w:eastAsia="宋体" w:cs="Times New Roman"/>
                <w:color w:val="auto"/>
                <w:kern w:val="0"/>
                <w:sz w:val="24"/>
                <w:szCs w:val="24"/>
              </w:rPr>
              <w:t>天</w:t>
            </w:r>
            <w:r>
              <w:rPr>
                <w:rFonts w:hint="default" w:ascii="Times New Roman" w:hAnsi="Times New Roman" w:eastAsia="宋体" w:cs="Times New Roman"/>
                <w:color w:val="auto"/>
                <w:kern w:val="0"/>
                <w:sz w:val="24"/>
                <w:szCs w:val="24"/>
                <w:lang w:eastAsia="zh-CN"/>
              </w:rPr>
              <w:t>，</w:t>
            </w:r>
            <w:r>
              <w:rPr>
                <w:rFonts w:hint="default" w:ascii="Times New Roman" w:hAnsi="Times New Roman" w:eastAsia="宋体" w:cs="Times New Roman"/>
                <w:color w:val="auto"/>
                <w:kern w:val="2"/>
                <w:sz w:val="24"/>
                <w:szCs w:val="24"/>
              </w:rPr>
              <w:t>生活垃圾产生量按照</w:t>
            </w:r>
            <w:r>
              <w:rPr>
                <w:rFonts w:hint="eastAsia" w:cs="Times New Roman"/>
                <w:color w:val="auto"/>
                <w:kern w:val="2"/>
                <w:sz w:val="24"/>
                <w:szCs w:val="24"/>
                <w:lang w:val="en-US" w:eastAsia="zh-CN"/>
              </w:rPr>
              <w:t>0.5</w:t>
            </w:r>
            <w:r>
              <w:rPr>
                <w:rFonts w:hint="default" w:ascii="Times New Roman" w:hAnsi="Times New Roman" w:eastAsia="宋体" w:cs="Times New Roman"/>
                <w:color w:val="auto"/>
                <w:kern w:val="2"/>
                <w:sz w:val="24"/>
                <w:szCs w:val="24"/>
              </w:rPr>
              <w:t>kg/人·天计算</w:t>
            </w:r>
            <w:r>
              <w:rPr>
                <w:rFonts w:hint="default" w:ascii="Times New Roman" w:hAnsi="Times New Roman" w:eastAsia="宋体" w:cs="Times New Roman"/>
                <w:color w:val="auto"/>
                <w:kern w:val="0"/>
                <w:sz w:val="24"/>
                <w:szCs w:val="24"/>
              </w:rPr>
              <w:t>，则生活垃圾产生量为</w:t>
            </w:r>
            <w:r>
              <w:rPr>
                <w:rFonts w:hint="eastAsia" w:eastAsia="宋体" w:cs="Times New Roman"/>
                <w:color w:val="auto"/>
                <w:kern w:val="0"/>
                <w:sz w:val="24"/>
                <w:szCs w:val="24"/>
                <w:lang w:val="en-US" w:eastAsia="zh-CN"/>
              </w:rPr>
              <w:t>272.5</w:t>
            </w:r>
            <w:r>
              <w:rPr>
                <w:rFonts w:hint="default" w:ascii="Times New Roman" w:hAnsi="Times New Roman" w:eastAsia="宋体" w:cs="Times New Roman"/>
                <w:color w:val="auto"/>
                <w:kern w:val="0"/>
                <w:sz w:val="24"/>
                <w:szCs w:val="24"/>
              </w:rPr>
              <w:t>kg/d（</w:t>
            </w:r>
            <w:r>
              <w:rPr>
                <w:rFonts w:hint="eastAsia" w:eastAsia="宋体" w:cs="Times New Roman"/>
                <w:color w:val="auto"/>
                <w:kern w:val="0"/>
                <w:sz w:val="24"/>
                <w:szCs w:val="24"/>
                <w:lang w:val="en-US" w:eastAsia="zh-CN"/>
              </w:rPr>
              <w:t>99.5</w:t>
            </w:r>
            <w:r>
              <w:rPr>
                <w:rFonts w:hint="default" w:ascii="Times New Roman" w:hAnsi="Times New Roman" w:eastAsia="宋体" w:cs="Times New Roman"/>
                <w:color w:val="auto"/>
                <w:kern w:val="0"/>
                <w:sz w:val="24"/>
                <w:szCs w:val="24"/>
              </w:rPr>
              <w:t>t/a）。</w:t>
            </w:r>
            <w:r>
              <w:rPr>
                <w:rFonts w:hint="default" w:ascii="Times New Roman" w:hAnsi="Times New Roman" w:eastAsia="宋体" w:cs="Times New Roman"/>
                <w:snapToGrid w:val="0"/>
                <w:color w:val="auto"/>
                <w:kern w:val="0"/>
                <w:sz w:val="24"/>
                <w:szCs w:val="24"/>
              </w:rPr>
              <w:t>生活垃圾在厂区内统一收集后，由环卫部门定期清运</w:t>
            </w:r>
            <w:r>
              <w:rPr>
                <w:rFonts w:hint="eastAsia" w:ascii="Times New Roman" w:hAnsi="Times New Roman" w:cs="Times New Roman"/>
                <w:color w:val="auto"/>
                <w:sz w:val="24"/>
                <w:shd w:val="clear" w:color="auto" w:fill="FFFFFF"/>
                <w:lang w:val="en-US" w:eastAsia="zh-CN"/>
              </w:rPr>
              <w:t>。</w:t>
            </w:r>
          </w:p>
          <w:p w14:paraId="359341FF">
            <w:pPr>
              <w:keepNext w:val="0"/>
              <w:keepLines w:val="0"/>
              <w:pageBreakBefore w:val="0"/>
              <w:widowControl/>
              <w:kinsoku/>
              <w:wordWrap/>
              <w:overflowPunct/>
              <w:bidi w:val="0"/>
              <w:adjustRightInd w:val="0"/>
              <w:snapToGrid w:val="0"/>
              <w:spacing w:line="360" w:lineRule="auto"/>
              <w:ind w:left="0" w:leftChars="0" w:right="0" w:firstLine="456"/>
              <w:jc w:val="left"/>
              <w:rPr>
                <w:rFonts w:hint="default" w:ascii="Times New Roman" w:hAnsi="Times New Roman" w:cs="Times New Roman"/>
                <w:b/>
                <w:bCs/>
                <w:color w:val="auto"/>
                <w:sz w:val="24"/>
                <w:szCs w:val="24"/>
              </w:rPr>
            </w:pPr>
            <w:r>
              <w:rPr>
                <w:rFonts w:hint="default" w:ascii="Times New Roman" w:hAnsi="Times New Roman" w:cs="Times New Roman"/>
                <w:color w:val="auto"/>
                <w:kern w:val="0"/>
                <w:sz w:val="24"/>
              </w:rPr>
              <w:t>本项目固体废物污染源源强核算情况详见</w:t>
            </w:r>
            <w:r>
              <w:rPr>
                <w:rFonts w:hint="default" w:ascii="Times New Roman" w:hAnsi="Times New Roman" w:cs="Times New Roman"/>
                <w:color w:val="auto"/>
                <w:kern w:val="0"/>
                <w:sz w:val="24"/>
                <w:lang w:val="en-US" w:eastAsia="zh-CN"/>
              </w:rPr>
              <w:t>下</w:t>
            </w:r>
            <w:r>
              <w:rPr>
                <w:rFonts w:hint="default" w:ascii="Times New Roman" w:hAnsi="Times New Roman" w:cs="Times New Roman"/>
                <w:color w:val="auto"/>
                <w:kern w:val="0"/>
                <w:sz w:val="24"/>
              </w:rPr>
              <w:t>表。</w:t>
            </w:r>
          </w:p>
          <w:p w14:paraId="615BC667">
            <w:pPr>
              <w:jc w:val="center"/>
              <w:rPr>
                <w:rFonts w:hint="default" w:ascii="Times New Roman" w:hAnsi="Times New Roman" w:cs="Times New Roman"/>
                <w:b/>
                <w:bCs/>
                <w:color w:val="auto"/>
                <w:sz w:val="24"/>
                <w:szCs w:val="24"/>
              </w:rPr>
            </w:pPr>
          </w:p>
          <w:p w14:paraId="5164045F">
            <w:pPr>
              <w:jc w:val="center"/>
              <w:rPr>
                <w:rFonts w:hint="default" w:ascii="Times New Roman" w:hAnsi="Times New Roman" w:cs="Times New Roman"/>
                <w:b/>
                <w:bCs/>
                <w:color w:val="auto"/>
                <w:sz w:val="24"/>
                <w:szCs w:val="24"/>
              </w:rPr>
            </w:pPr>
          </w:p>
          <w:p w14:paraId="755217A1">
            <w:pPr>
              <w:jc w:val="center"/>
              <w:rPr>
                <w:rFonts w:hint="default" w:ascii="Times New Roman" w:hAnsi="Times New Roman" w:cs="Times New Roman"/>
                <w:b/>
                <w:bCs/>
                <w:color w:val="auto"/>
                <w:szCs w:val="21"/>
              </w:rPr>
            </w:pPr>
            <w:r>
              <w:rPr>
                <w:rFonts w:hint="default" w:ascii="Times New Roman" w:hAnsi="Times New Roman" w:cs="Times New Roman"/>
                <w:b/>
                <w:bCs/>
                <w:color w:val="auto"/>
                <w:sz w:val="24"/>
                <w:szCs w:val="24"/>
              </w:rPr>
              <w:t>表4</w:t>
            </w:r>
            <w:r>
              <w:rPr>
                <w:rFonts w:hint="eastAsia" w:cs="Times New Roman"/>
                <w:b/>
                <w:bCs/>
                <w:color w:val="auto"/>
                <w:sz w:val="24"/>
                <w:szCs w:val="24"/>
                <w:lang w:val="en-US" w:eastAsia="zh-CN"/>
              </w:rPr>
              <w:t xml:space="preserve">-19 </w:t>
            </w:r>
            <w:r>
              <w:rPr>
                <w:rFonts w:hint="default" w:ascii="Times New Roman" w:hAnsi="Times New Roman" w:cs="Times New Roman"/>
                <w:b/>
                <w:bCs/>
                <w:color w:val="auto"/>
                <w:sz w:val="24"/>
                <w:szCs w:val="24"/>
              </w:rPr>
              <w:t xml:space="preserve"> </w:t>
            </w:r>
            <w:r>
              <w:rPr>
                <w:rFonts w:hint="eastAsia" w:cs="Calibri"/>
                <w:b/>
                <w:bCs/>
                <w:color w:val="auto"/>
                <w:sz w:val="24"/>
              </w:rPr>
              <w:t>项目运营期固废产生及处置情况一览表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
              <w:gridCol w:w="1320"/>
              <w:gridCol w:w="1097"/>
              <w:gridCol w:w="782"/>
              <w:gridCol w:w="1070"/>
              <w:gridCol w:w="1006"/>
              <w:gridCol w:w="1122"/>
              <w:gridCol w:w="918"/>
              <w:gridCol w:w="854"/>
            </w:tblGrid>
            <w:tr w14:paraId="3FDA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 w:type="pct"/>
                  <w:vAlign w:val="center"/>
                </w:tcPr>
                <w:p w14:paraId="5289108B">
                  <w:pPr>
                    <w:jc w:val="center"/>
                    <w:rPr>
                      <w:color w:val="auto"/>
                      <w:szCs w:val="21"/>
                    </w:rPr>
                  </w:pPr>
                  <w:r>
                    <w:rPr>
                      <w:color w:val="auto"/>
                      <w:szCs w:val="21"/>
                    </w:rPr>
                    <w:t>序号</w:t>
                  </w:r>
                </w:p>
              </w:tc>
              <w:tc>
                <w:tcPr>
                  <w:tcW w:w="765" w:type="pct"/>
                  <w:vAlign w:val="center"/>
                </w:tcPr>
                <w:p w14:paraId="1F3B4FF5">
                  <w:pPr>
                    <w:jc w:val="center"/>
                    <w:rPr>
                      <w:color w:val="auto"/>
                      <w:szCs w:val="21"/>
                    </w:rPr>
                  </w:pPr>
                  <w:r>
                    <w:rPr>
                      <w:color w:val="auto"/>
                      <w:szCs w:val="21"/>
                    </w:rPr>
                    <w:t>固体废物</w:t>
                  </w:r>
                </w:p>
              </w:tc>
              <w:tc>
                <w:tcPr>
                  <w:tcW w:w="636" w:type="pct"/>
                  <w:vAlign w:val="center"/>
                </w:tcPr>
                <w:p w14:paraId="27434483">
                  <w:pPr>
                    <w:jc w:val="center"/>
                    <w:rPr>
                      <w:color w:val="auto"/>
                      <w:szCs w:val="21"/>
                    </w:rPr>
                  </w:pPr>
                  <w:r>
                    <w:rPr>
                      <w:color w:val="auto"/>
                      <w:szCs w:val="21"/>
                    </w:rPr>
                    <w:t>产生工序</w:t>
                  </w:r>
                </w:p>
              </w:tc>
              <w:tc>
                <w:tcPr>
                  <w:tcW w:w="453" w:type="pct"/>
                  <w:vAlign w:val="center"/>
                </w:tcPr>
                <w:p w14:paraId="78987215">
                  <w:pPr>
                    <w:jc w:val="center"/>
                    <w:rPr>
                      <w:color w:val="auto"/>
                      <w:szCs w:val="21"/>
                    </w:rPr>
                  </w:pPr>
                  <w:r>
                    <w:rPr>
                      <w:color w:val="auto"/>
                      <w:szCs w:val="21"/>
                    </w:rPr>
                    <w:t>形态</w:t>
                  </w:r>
                </w:p>
              </w:tc>
              <w:tc>
                <w:tcPr>
                  <w:tcW w:w="620" w:type="pct"/>
                  <w:vAlign w:val="center"/>
                </w:tcPr>
                <w:p w14:paraId="01010807">
                  <w:pPr>
                    <w:jc w:val="center"/>
                    <w:rPr>
                      <w:color w:val="auto"/>
                      <w:szCs w:val="21"/>
                    </w:rPr>
                  </w:pPr>
                  <w:r>
                    <w:rPr>
                      <w:rFonts w:hint="eastAsia"/>
                      <w:color w:val="auto"/>
                      <w:szCs w:val="21"/>
                    </w:rPr>
                    <w:t>属性</w:t>
                  </w:r>
                </w:p>
              </w:tc>
              <w:tc>
                <w:tcPr>
                  <w:tcW w:w="583" w:type="pct"/>
                  <w:vAlign w:val="center"/>
                </w:tcPr>
                <w:p w14:paraId="17F681B5">
                  <w:pPr>
                    <w:jc w:val="center"/>
                    <w:rPr>
                      <w:rFonts w:hint="default" w:eastAsia="宋体"/>
                      <w:color w:val="auto"/>
                      <w:szCs w:val="21"/>
                      <w:lang w:val="en-US" w:eastAsia="zh-CN"/>
                    </w:rPr>
                  </w:pPr>
                  <w:r>
                    <w:rPr>
                      <w:rFonts w:hint="eastAsia"/>
                      <w:color w:val="auto"/>
                      <w:szCs w:val="21"/>
                      <w:lang w:eastAsia="zh-CN"/>
                    </w:rPr>
                    <w:t>产生量</w:t>
                  </w:r>
                  <w:r>
                    <w:rPr>
                      <w:rFonts w:hint="eastAsia"/>
                      <w:color w:val="auto"/>
                      <w:szCs w:val="21"/>
                      <w:lang w:val="en-US" w:eastAsia="zh-CN"/>
                    </w:rPr>
                    <w:t>t/a</w:t>
                  </w:r>
                </w:p>
              </w:tc>
              <w:tc>
                <w:tcPr>
                  <w:tcW w:w="650" w:type="pct"/>
                  <w:vAlign w:val="center"/>
                </w:tcPr>
                <w:p w14:paraId="1CFBA193">
                  <w:pPr>
                    <w:jc w:val="center"/>
                    <w:rPr>
                      <w:color w:val="auto"/>
                      <w:szCs w:val="21"/>
                    </w:rPr>
                  </w:pPr>
                  <w:r>
                    <w:rPr>
                      <w:rFonts w:hint="eastAsia"/>
                      <w:color w:val="auto"/>
                      <w:szCs w:val="21"/>
                      <w:lang w:eastAsia="zh-CN"/>
                    </w:rPr>
                    <w:t>处置量</w:t>
                  </w:r>
                  <w:r>
                    <w:rPr>
                      <w:color w:val="auto"/>
                      <w:szCs w:val="21"/>
                    </w:rPr>
                    <w:t>t/a</w:t>
                  </w:r>
                </w:p>
              </w:tc>
              <w:tc>
                <w:tcPr>
                  <w:tcW w:w="532" w:type="pct"/>
                  <w:vAlign w:val="center"/>
                </w:tcPr>
                <w:p w14:paraId="018E55BA">
                  <w:pPr>
                    <w:jc w:val="center"/>
                    <w:rPr>
                      <w:color w:val="auto"/>
                      <w:szCs w:val="21"/>
                    </w:rPr>
                  </w:pPr>
                  <w:r>
                    <w:rPr>
                      <w:color w:val="auto"/>
                      <w:szCs w:val="21"/>
                    </w:rPr>
                    <w:t>产废周期</w:t>
                  </w:r>
                </w:p>
              </w:tc>
              <w:tc>
                <w:tcPr>
                  <w:tcW w:w="495" w:type="pct"/>
                  <w:vAlign w:val="center"/>
                </w:tcPr>
                <w:p w14:paraId="1C79AD70">
                  <w:pPr>
                    <w:jc w:val="center"/>
                    <w:rPr>
                      <w:color w:val="auto"/>
                      <w:szCs w:val="21"/>
                    </w:rPr>
                  </w:pPr>
                  <w:r>
                    <w:rPr>
                      <w:color w:val="auto"/>
                      <w:szCs w:val="21"/>
                    </w:rPr>
                    <w:t>处置方式</w:t>
                  </w:r>
                </w:p>
              </w:tc>
            </w:tr>
            <w:tr w14:paraId="40CE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 w:type="pct"/>
                  <w:vAlign w:val="center"/>
                </w:tcPr>
                <w:p w14:paraId="43938495">
                  <w:pPr>
                    <w:jc w:val="center"/>
                    <w:rPr>
                      <w:color w:val="auto"/>
                      <w:szCs w:val="21"/>
                    </w:rPr>
                  </w:pPr>
                  <w:r>
                    <w:rPr>
                      <w:rFonts w:hint="eastAsia"/>
                      <w:color w:val="auto"/>
                      <w:szCs w:val="21"/>
                    </w:rPr>
                    <w:t>1</w:t>
                  </w:r>
                </w:p>
              </w:tc>
              <w:tc>
                <w:tcPr>
                  <w:tcW w:w="765" w:type="pct"/>
                  <w:vAlign w:val="center"/>
                </w:tcPr>
                <w:p w14:paraId="5FE71A34">
                  <w:pPr>
                    <w:jc w:val="center"/>
                    <w:rPr>
                      <w:rFonts w:hint="eastAsia" w:eastAsia="宋体"/>
                      <w:color w:val="auto"/>
                      <w:szCs w:val="21"/>
                      <w:lang w:eastAsia="zh-CN"/>
                    </w:rPr>
                  </w:pPr>
                  <w:r>
                    <w:rPr>
                      <w:rFonts w:hint="eastAsia"/>
                      <w:color w:val="auto"/>
                      <w:szCs w:val="21"/>
                      <w:lang w:val="en-US" w:eastAsia="zh-CN"/>
                    </w:rPr>
                    <w:t>生活垃圾</w:t>
                  </w:r>
                </w:p>
              </w:tc>
              <w:tc>
                <w:tcPr>
                  <w:tcW w:w="1097" w:type="dxa"/>
                  <w:vAlign w:val="center"/>
                </w:tcPr>
                <w:p w14:paraId="791EEEAF">
                  <w:pPr>
                    <w:keepNext w:val="0"/>
                    <w:keepLines w:val="0"/>
                    <w:pageBreakBefore w:val="0"/>
                    <w:widowControl w:val="0"/>
                    <w:bidi w:val="0"/>
                    <w:spacing w:beforeAutospacing="0" w:afterAutospacing="0"/>
                    <w:ind w:left="0" w:leftChars="0" w:right="0" w:rightChars="0"/>
                    <w:jc w:val="center"/>
                    <w:rPr>
                      <w:rFonts w:hint="default" w:eastAsia="宋体"/>
                      <w:color w:val="auto"/>
                      <w:szCs w:val="21"/>
                      <w:lang w:val="en-US" w:eastAsia="zh-CN"/>
                    </w:rPr>
                  </w:pPr>
                  <w:r>
                    <w:rPr>
                      <w:rFonts w:hint="eastAsia"/>
                      <w:szCs w:val="21"/>
                      <w:lang w:eastAsia="zh-CN"/>
                    </w:rPr>
                    <w:t>职工生活</w:t>
                  </w:r>
                </w:p>
              </w:tc>
              <w:tc>
                <w:tcPr>
                  <w:tcW w:w="782" w:type="dxa"/>
                  <w:vAlign w:val="center"/>
                </w:tcPr>
                <w:p w14:paraId="6E43A1E4">
                  <w:pPr>
                    <w:keepNext w:val="0"/>
                    <w:keepLines w:val="0"/>
                    <w:pageBreakBefore w:val="0"/>
                    <w:widowControl w:val="0"/>
                    <w:bidi w:val="0"/>
                    <w:spacing w:beforeAutospacing="0" w:afterAutospacing="0"/>
                    <w:ind w:left="0" w:leftChars="0" w:right="0" w:rightChars="0"/>
                    <w:jc w:val="center"/>
                    <w:rPr>
                      <w:color w:val="auto"/>
                      <w:szCs w:val="21"/>
                    </w:rPr>
                  </w:pPr>
                  <w:r>
                    <w:rPr>
                      <w:rFonts w:hint="eastAsia"/>
                      <w:szCs w:val="21"/>
                      <w:lang w:eastAsia="zh-CN"/>
                    </w:rPr>
                    <w:t>固态</w:t>
                  </w:r>
                </w:p>
              </w:tc>
              <w:tc>
                <w:tcPr>
                  <w:tcW w:w="1070" w:type="dxa"/>
                  <w:vAlign w:val="center"/>
                </w:tcPr>
                <w:p w14:paraId="0706E2B6">
                  <w:pPr>
                    <w:keepNext w:val="0"/>
                    <w:keepLines w:val="0"/>
                    <w:pageBreakBefore w:val="0"/>
                    <w:widowControl w:val="0"/>
                    <w:bidi w:val="0"/>
                    <w:spacing w:beforeAutospacing="0" w:afterAutospacing="0"/>
                    <w:ind w:left="0" w:leftChars="0" w:right="0" w:rightChars="0"/>
                    <w:jc w:val="center"/>
                    <w:rPr>
                      <w:color w:val="auto"/>
                      <w:szCs w:val="21"/>
                    </w:rPr>
                  </w:pPr>
                  <w:r>
                    <w:rPr>
                      <w:rFonts w:hint="eastAsia"/>
                      <w:szCs w:val="21"/>
                      <w:lang w:eastAsia="zh-CN"/>
                    </w:rPr>
                    <w:t>生活垃圾</w:t>
                  </w:r>
                </w:p>
              </w:tc>
              <w:tc>
                <w:tcPr>
                  <w:tcW w:w="1006" w:type="dxa"/>
                  <w:vAlign w:val="center"/>
                </w:tcPr>
                <w:p w14:paraId="6DE05988">
                  <w:pPr>
                    <w:keepNext w:val="0"/>
                    <w:keepLines w:val="0"/>
                    <w:pageBreakBefore w:val="0"/>
                    <w:widowControl w:val="0"/>
                    <w:bidi w:val="0"/>
                    <w:spacing w:beforeAutospacing="0" w:afterAutospacing="0"/>
                    <w:ind w:left="0" w:leftChars="0" w:right="0" w:rightChars="0"/>
                    <w:jc w:val="center"/>
                    <w:rPr>
                      <w:rFonts w:hint="default" w:eastAsia="宋体"/>
                      <w:color w:val="auto"/>
                      <w:szCs w:val="21"/>
                      <w:lang w:val="en-US" w:eastAsia="zh-CN"/>
                    </w:rPr>
                  </w:pPr>
                  <w:r>
                    <w:rPr>
                      <w:rFonts w:hint="eastAsia"/>
                      <w:color w:val="auto"/>
                      <w:szCs w:val="21"/>
                      <w:lang w:val="en-US" w:eastAsia="zh-CN"/>
                    </w:rPr>
                    <w:t>99.5</w:t>
                  </w:r>
                </w:p>
              </w:tc>
              <w:tc>
                <w:tcPr>
                  <w:tcW w:w="1122" w:type="dxa"/>
                  <w:vAlign w:val="center"/>
                </w:tcPr>
                <w:p w14:paraId="4C276A16">
                  <w:pPr>
                    <w:keepNext w:val="0"/>
                    <w:keepLines w:val="0"/>
                    <w:pageBreakBefore w:val="0"/>
                    <w:widowControl w:val="0"/>
                    <w:bidi w:val="0"/>
                    <w:spacing w:beforeAutospacing="0" w:afterAutospacing="0"/>
                    <w:ind w:left="0" w:leftChars="0" w:right="0" w:rightChars="0"/>
                    <w:jc w:val="center"/>
                    <w:rPr>
                      <w:rFonts w:hint="default" w:eastAsia="宋体"/>
                      <w:color w:val="auto"/>
                      <w:szCs w:val="21"/>
                      <w:lang w:val="en-US" w:eastAsia="zh-CN"/>
                    </w:rPr>
                  </w:pPr>
                  <w:r>
                    <w:rPr>
                      <w:rFonts w:hint="eastAsia"/>
                      <w:color w:val="auto"/>
                      <w:szCs w:val="21"/>
                      <w:lang w:val="en-US" w:eastAsia="zh-CN"/>
                    </w:rPr>
                    <w:t>99.5</w:t>
                  </w:r>
                </w:p>
              </w:tc>
              <w:tc>
                <w:tcPr>
                  <w:tcW w:w="918" w:type="dxa"/>
                  <w:vAlign w:val="center"/>
                </w:tcPr>
                <w:p w14:paraId="0F459D54">
                  <w:pPr>
                    <w:keepNext w:val="0"/>
                    <w:keepLines w:val="0"/>
                    <w:pageBreakBefore w:val="0"/>
                    <w:widowControl w:val="0"/>
                    <w:bidi w:val="0"/>
                    <w:spacing w:beforeAutospacing="0" w:afterAutospacing="0"/>
                    <w:ind w:left="0" w:leftChars="0" w:right="0" w:rightChars="0"/>
                    <w:jc w:val="center"/>
                    <w:rPr>
                      <w:rFonts w:hint="eastAsia" w:eastAsia="宋体"/>
                      <w:color w:val="auto"/>
                      <w:szCs w:val="21"/>
                      <w:lang w:eastAsia="zh-CN"/>
                    </w:rPr>
                  </w:pPr>
                  <w:r>
                    <w:rPr>
                      <w:rFonts w:hint="eastAsia"/>
                      <w:szCs w:val="21"/>
                      <w:lang w:eastAsia="zh-CN"/>
                    </w:rPr>
                    <w:t>每天</w:t>
                  </w:r>
                </w:p>
              </w:tc>
              <w:tc>
                <w:tcPr>
                  <w:tcW w:w="854" w:type="dxa"/>
                  <w:vAlign w:val="center"/>
                </w:tcPr>
                <w:p w14:paraId="5D769240">
                  <w:pPr>
                    <w:keepNext w:val="0"/>
                    <w:keepLines w:val="0"/>
                    <w:pageBreakBefore w:val="0"/>
                    <w:widowControl w:val="0"/>
                    <w:bidi w:val="0"/>
                    <w:spacing w:beforeAutospacing="0" w:afterAutospacing="0"/>
                    <w:ind w:left="0" w:leftChars="0" w:right="0" w:rightChars="0"/>
                    <w:jc w:val="center"/>
                    <w:rPr>
                      <w:rFonts w:hint="eastAsia" w:eastAsia="宋体"/>
                      <w:color w:val="auto"/>
                      <w:szCs w:val="21"/>
                      <w:lang w:eastAsia="zh-CN"/>
                    </w:rPr>
                  </w:pPr>
                  <w:r>
                    <w:rPr>
                      <w:szCs w:val="21"/>
                    </w:rPr>
                    <w:t>由环卫部门统一</w:t>
                  </w:r>
                  <w:r>
                    <w:rPr>
                      <w:rFonts w:hint="eastAsia"/>
                      <w:szCs w:val="21"/>
                      <w:lang w:eastAsia="zh-CN"/>
                    </w:rPr>
                    <w:t>清运</w:t>
                  </w:r>
                </w:p>
              </w:tc>
            </w:tr>
            <w:tr w14:paraId="20A8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 w:type="pct"/>
                  <w:vAlign w:val="center"/>
                </w:tcPr>
                <w:p w14:paraId="4DA3AE8E">
                  <w:pPr>
                    <w:jc w:val="center"/>
                    <w:rPr>
                      <w:rFonts w:hint="default"/>
                      <w:color w:val="auto"/>
                      <w:szCs w:val="21"/>
                      <w:lang w:val="en-US" w:eastAsia="zh-CN"/>
                    </w:rPr>
                  </w:pPr>
                  <w:r>
                    <w:rPr>
                      <w:rFonts w:hint="eastAsia"/>
                      <w:color w:val="auto"/>
                      <w:szCs w:val="21"/>
                      <w:lang w:val="en-US" w:eastAsia="zh-CN"/>
                    </w:rPr>
                    <w:t>2</w:t>
                  </w:r>
                </w:p>
              </w:tc>
              <w:tc>
                <w:tcPr>
                  <w:tcW w:w="765" w:type="pct"/>
                  <w:vAlign w:val="center"/>
                </w:tcPr>
                <w:p w14:paraId="53B696FF">
                  <w:pPr>
                    <w:jc w:val="center"/>
                    <w:rPr>
                      <w:rFonts w:hint="eastAsia"/>
                      <w:color w:val="auto"/>
                      <w:szCs w:val="21"/>
                      <w:lang w:eastAsia="zh-CN"/>
                    </w:rPr>
                  </w:pPr>
                  <w:r>
                    <w:rPr>
                      <w:rFonts w:hint="eastAsia"/>
                      <w:color w:val="auto"/>
                      <w:szCs w:val="21"/>
                      <w:lang w:val="en-US" w:eastAsia="zh-CN"/>
                    </w:rPr>
                    <w:t>普通</w:t>
                  </w:r>
                  <w:r>
                    <w:rPr>
                      <w:rFonts w:hint="eastAsia"/>
                      <w:color w:val="auto"/>
                      <w:szCs w:val="21"/>
                      <w:lang w:eastAsia="zh-CN"/>
                    </w:rPr>
                    <w:t>废包装材料</w:t>
                  </w:r>
                </w:p>
              </w:tc>
              <w:tc>
                <w:tcPr>
                  <w:tcW w:w="636" w:type="pct"/>
                  <w:vAlign w:val="center"/>
                </w:tcPr>
                <w:p w14:paraId="5B5B0E2A">
                  <w:pPr>
                    <w:jc w:val="center"/>
                    <w:rPr>
                      <w:rFonts w:hint="eastAsia"/>
                      <w:color w:val="auto"/>
                      <w:szCs w:val="21"/>
                      <w:lang w:eastAsia="zh-CN"/>
                    </w:rPr>
                  </w:pPr>
                  <w:r>
                    <w:rPr>
                      <w:rFonts w:hint="eastAsia"/>
                      <w:color w:val="auto"/>
                      <w:szCs w:val="21"/>
                      <w:lang w:eastAsia="zh-CN"/>
                    </w:rPr>
                    <w:t>原料包装</w:t>
                  </w:r>
                </w:p>
              </w:tc>
              <w:tc>
                <w:tcPr>
                  <w:tcW w:w="453" w:type="pct"/>
                  <w:vAlign w:val="center"/>
                </w:tcPr>
                <w:p w14:paraId="2DAF410C">
                  <w:pPr>
                    <w:jc w:val="center"/>
                    <w:rPr>
                      <w:rFonts w:hint="eastAsia"/>
                      <w:color w:val="auto"/>
                      <w:szCs w:val="21"/>
                      <w:lang w:eastAsia="zh-CN"/>
                    </w:rPr>
                  </w:pPr>
                  <w:r>
                    <w:rPr>
                      <w:rFonts w:hint="eastAsia"/>
                      <w:color w:val="auto"/>
                      <w:szCs w:val="21"/>
                    </w:rPr>
                    <w:t>固态</w:t>
                  </w:r>
                </w:p>
              </w:tc>
              <w:tc>
                <w:tcPr>
                  <w:tcW w:w="620" w:type="pct"/>
                  <w:vAlign w:val="center"/>
                </w:tcPr>
                <w:p w14:paraId="643983D6">
                  <w:pPr>
                    <w:jc w:val="center"/>
                    <w:rPr>
                      <w:rFonts w:hint="eastAsia"/>
                      <w:color w:val="auto"/>
                      <w:szCs w:val="21"/>
                      <w:lang w:eastAsia="zh-CN"/>
                    </w:rPr>
                  </w:pPr>
                  <w:r>
                    <w:rPr>
                      <w:rFonts w:hint="eastAsia"/>
                      <w:color w:val="auto"/>
                      <w:szCs w:val="21"/>
                    </w:rPr>
                    <w:t>一般固废</w:t>
                  </w:r>
                </w:p>
              </w:tc>
              <w:tc>
                <w:tcPr>
                  <w:tcW w:w="583" w:type="pct"/>
                  <w:vAlign w:val="center"/>
                </w:tcPr>
                <w:p w14:paraId="53D491F9">
                  <w:pPr>
                    <w:jc w:val="center"/>
                    <w:rPr>
                      <w:rFonts w:hint="default"/>
                      <w:color w:val="auto"/>
                      <w:szCs w:val="21"/>
                      <w:lang w:val="en-US" w:eastAsia="zh-CN"/>
                    </w:rPr>
                  </w:pPr>
                  <w:r>
                    <w:rPr>
                      <w:rFonts w:hint="eastAsia"/>
                      <w:color w:val="auto"/>
                      <w:szCs w:val="21"/>
                      <w:lang w:val="en-US" w:eastAsia="zh-CN"/>
                    </w:rPr>
                    <w:t>5</w:t>
                  </w:r>
                </w:p>
              </w:tc>
              <w:tc>
                <w:tcPr>
                  <w:tcW w:w="1122" w:type="dxa"/>
                  <w:vAlign w:val="center"/>
                </w:tcPr>
                <w:p w14:paraId="04E1820B">
                  <w:pPr>
                    <w:jc w:val="center"/>
                    <w:rPr>
                      <w:rFonts w:hint="eastAsia"/>
                      <w:color w:val="auto"/>
                      <w:szCs w:val="21"/>
                      <w:lang w:val="en-US" w:eastAsia="zh-CN"/>
                    </w:rPr>
                  </w:pPr>
                  <w:r>
                    <w:rPr>
                      <w:rFonts w:hint="eastAsia"/>
                      <w:color w:val="auto"/>
                      <w:szCs w:val="21"/>
                      <w:lang w:val="en-US" w:eastAsia="zh-CN"/>
                    </w:rPr>
                    <w:t>5</w:t>
                  </w:r>
                </w:p>
              </w:tc>
              <w:tc>
                <w:tcPr>
                  <w:tcW w:w="532" w:type="pct"/>
                  <w:vAlign w:val="center"/>
                </w:tcPr>
                <w:p w14:paraId="6F915634">
                  <w:pPr>
                    <w:jc w:val="center"/>
                    <w:rPr>
                      <w:rFonts w:hint="eastAsia"/>
                      <w:color w:val="auto"/>
                      <w:szCs w:val="21"/>
                      <w:lang w:eastAsia="zh-CN"/>
                    </w:rPr>
                  </w:pPr>
                  <w:r>
                    <w:rPr>
                      <w:rFonts w:hint="eastAsia"/>
                      <w:color w:val="auto"/>
                      <w:szCs w:val="21"/>
                      <w:lang w:eastAsia="zh-CN"/>
                    </w:rPr>
                    <w:t>每天</w:t>
                  </w:r>
                </w:p>
              </w:tc>
              <w:tc>
                <w:tcPr>
                  <w:tcW w:w="495" w:type="pct"/>
                  <w:vAlign w:val="center"/>
                </w:tcPr>
                <w:p w14:paraId="0B95BABE">
                  <w:pPr>
                    <w:jc w:val="center"/>
                    <w:rPr>
                      <w:rFonts w:hint="eastAsia" w:cs="Times New Roman"/>
                      <w:color w:val="auto"/>
                      <w:szCs w:val="21"/>
                      <w:lang w:val="en-US" w:eastAsia="zh-CN"/>
                    </w:rPr>
                  </w:pPr>
                  <w:r>
                    <w:rPr>
                      <w:rFonts w:hint="eastAsia"/>
                      <w:color w:val="auto"/>
                      <w:szCs w:val="21"/>
                    </w:rPr>
                    <w:t>外售物资回收单位综合利用</w:t>
                  </w:r>
                </w:p>
              </w:tc>
            </w:tr>
            <w:tr w14:paraId="7CCE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2" w:type="pct"/>
                  <w:vAlign w:val="center"/>
                </w:tcPr>
                <w:p w14:paraId="54264269">
                  <w:pPr>
                    <w:jc w:val="center"/>
                    <w:rPr>
                      <w:rFonts w:hint="default"/>
                      <w:color w:val="auto"/>
                      <w:szCs w:val="21"/>
                      <w:lang w:val="en-US" w:eastAsia="zh-CN"/>
                    </w:rPr>
                  </w:pPr>
                  <w:r>
                    <w:rPr>
                      <w:rFonts w:hint="eastAsia"/>
                      <w:color w:val="auto"/>
                      <w:szCs w:val="21"/>
                      <w:lang w:val="en-US" w:eastAsia="zh-CN"/>
                    </w:rPr>
                    <w:t>3</w:t>
                  </w:r>
                </w:p>
              </w:tc>
              <w:tc>
                <w:tcPr>
                  <w:tcW w:w="765" w:type="pct"/>
                  <w:vAlign w:val="center"/>
                </w:tcPr>
                <w:p w14:paraId="77F09EF7">
                  <w:pPr>
                    <w:jc w:val="center"/>
                    <w:rPr>
                      <w:rFonts w:hint="default"/>
                      <w:color w:val="auto"/>
                      <w:szCs w:val="21"/>
                      <w:lang w:val="en-US" w:eastAsia="zh-CN"/>
                    </w:rPr>
                  </w:pPr>
                  <w:r>
                    <w:rPr>
                      <w:rFonts w:hint="eastAsia"/>
                      <w:color w:val="auto"/>
                      <w:szCs w:val="21"/>
                      <w:lang w:val="en-US" w:eastAsia="zh-CN"/>
                    </w:rPr>
                    <w:t>医疗废物</w:t>
                  </w:r>
                </w:p>
              </w:tc>
              <w:tc>
                <w:tcPr>
                  <w:tcW w:w="636" w:type="pct"/>
                  <w:vAlign w:val="center"/>
                </w:tcPr>
                <w:p w14:paraId="68368831">
                  <w:pPr>
                    <w:jc w:val="center"/>
                    <w:rPr>
                      <w:rFonts w:hint="default"/>
                      <w:color w:val="auto"/>
                      <w:szCs w:val="21"/>
                      <w:lang w:val="en-US" w:eastAsia="zh-CN"/>
                    </w:rPr>
                  </w:pPr>
                  <w:r>
                    <w:rPr>
                      <w:rFonts w:hint="eastAsia"/>
                      <w:color w:val="auto"/>
                      <w:szCs w:val="21"/>
                      <w:lang w:val="en-US" w:eastAsia="zh-CN"/>
                    </w:rPr>
                    <w:t>医院运营</w:t>
                  </w:r>
                </w:p>
              </w:tc>
              <w:tc>
                <w:tcPr>
                  <w:tcW w:w="453" w:type="pct"/>
                  <w:vAlign w:val="center"/>
                </w:tcPr>
                <w:p w14:paraId="18C96693">
                  <w:pPr>
                    <w:jc w:val="center"/>
                    <w:rPr>
                      <w:rFonts w:hint="eastAsia"/>
                      <w:color w:val="auto"/>
                      <w:szCs w:val="21"/>
                    </w:rPr>
                  </w:pPr>
                  <w:r>
                    <w:rPr>
                      <w:rFonts w:hint="eastAsia"/>
                      <w:color w:val="auto"/>
                      <w:szCs w:val="21"/>
                      <w:lang w:eastAsia="zh-CN"/>
                    </w:rPr>
                    <w:t>固态</w:t>
                  </w:r>
                </w:p>
              </w:tc>
              <w:tc>
                <w:tcPr>
                  <w:tcW w:w="620" w:type="pct"/>
                  <w:vAlign w:val="center"/>
                </w:tcPr>
                <w:p w14:paraId="4B7D0E92">
                  <w:pPr>
                    <w:jc w:val="center"/>
                    <w:rPr>
                      <w:rFonts w:hint="eastAsia"/>
                      <w:color w:val="auto"/>
                      <w:szCs w:val="21"/>
                      <w:lang w:val="en-US" w:eastAsia="zh-CN"/>
                    </w:rPr>
                  </w:pPr>
                  <w:r>
                    <w:rPr>
                      <w:rFonts w:hint="eastAsia"/>
                      <w:color w:val="auto"/>
                      <w:szCs w:val="21"/>
                      <w:lang w:eastAsia="zh-CN"/>
                    </w:rPr>
                    <w:t>危险废物</w:t>
                  </w:r>
                </w:p>
              </w:tc>
              <w:tc>
                <w:tcPr>
                  <w:tcW w:w="583" w:type="pct"/>
                  <w:vAlign w:val="center"/>
                </w:tcPr>
                <w:p w14:paraId="74AAFE94">
                  <w:pPr>
                    <w:jc w:val="center"/>
                    <w:rPr>
                      <w:rFonts w:hint="default"/>
                      <w:color w:val="auto"/>
                      <w:szCs w:val="21"/>
                      <w:highlight w:val="none"/>
                      <w:lang w:val="en-US" w:eastAsia="zh-CN"/>
                    </w:rPr>
                  </w:pPr>
                  <w:r>
                    <w:rPr>
                      <w:rFonts w:hint="eastAsia"/>
                      <w:color w:val="auto"/>
                      <w:szCs w:val="21"/>
                      <w:highlight w:val="none"/>
                      <w:lang w:val="en-US" w:eastAsia="zh-CN"/>
                    </w:rPr>
                    <w:t>94.9</w:t>
                  </w:r>
                </w:p>
              </w:tc>
              <w:tc>
                <w:tcPr>
                  <w:tcW w:w="1122" w:type="dxa"/>
                  <w:vAlign w:val="center"/>
                </w:tcPr>
                <w:p w14:paraId="3EF8BA26">
                  <w:pPr>
                    <w:jc w:val="center"/>
                    <w:rPr>
                      <w:rFonts w:hint="default"/>
                      <w:color w:val="auto"/>
                      <w:szCs w:val="21"/>
                      <w:highlight w:val="none"/>
                      <w:lang w:val="en-US" w:eastAsia="zh-CN"/>
                    </w:rPr>
                  </w:pPr>
                  <w:r>
                    <w:rPr>
                      <w:rFonts w:hint="eastAsia"/>
                      <w:color w:val="auto"/>
                      <w:szCs w:val="21"/>
                      <w:highlight w:val="none"/>
                      <w:lang w:val="en-US" w:eastAsia="zh-CN"/>
                    </w:rPr>
                    <w:t>94.9</w:t>
                  </w:r>
                </w:p>
              </w:tc>
              <w:tc>
                <w:tcPr>
                  <w:tcW w:w="918" w:type="dxa"/>
                  <w:vAlign w:val="center"/>
                </w:tcPr>
                <w:p w14:paraId="41FD1D1F">
                  <w:pPr>
                    <w:keepNext w:val="0"/>
                    <w:keepLines w:val="0"/>
                    <w:pageBreakBefore w:val="0"/>
                    <w:widowControl w:val="0"/>
                    <w:bidi w:val="0"/>
                    <w:spacing w:beforeAutospacing="0" w:afterAutospacing="0"/>
                    <w:ind w:left="0" w:leftChars="0" w:right="0" w:rightChars="0"/>
                    <w:jc w:val="center"/>
                    <w:rPr>
                      <w:rFonts w:hint="eastAsia"/>
                      <w:color w:val="auto"/>
                      <w:szCs w:val="21"/>
                      <w:lang w:eastAsia="zh-CN"/>
                    </w:rPr>
                  </w:pPr>
                  <w:r>
                    <w:rPr>
                      <w:rFonts w:hint="eastAsia"/>
                      <w:szCs w:val="21"/>
                      <w:lang w:eastAsia="zh-CN"/>
                    </w:rPr>
                    <w:t>每天</w:t>
                  </w:r>
                </w:p>
              </w:tc>
              <w:tc>
                <w:tcPr>
                  <w:tcW w:w="495" w:type="pct"/>
                  <w:vMerge w:val="restart"/>
                  <w:vAlign w:val="center"/>
                </w:tcPr>
                <w:p w14:paraId="262A373B">
                  <w:pPr>
                    <w:jc w:val="center"/>
                    <w:rPr>
                      <w:rFonts w:hint="eastAsia" w:eastAsia="宋体"/>
                      <w:color w:val="auto"/>
                      <w:szCs w:val="21"/>
                      <w:lang w:eastAsia="zh-CN"/>
                    </w:rPr>
                  </w:pPr>
                  <w:r>
                    <w:rPr>
                      <w:rFonts w:hint="eastAsia"/>
                      <w:color w:val="auto"/>
                      <w:szCs w:val="21"/>
                      <w:lang w:eastAsia="zh-CN"/>
                    </w:rPr>
                    <w:t>委托有资质单位处置</w:t>
                  </w:r>
                </w:p>
              </w:tc>
            </w:tr>
            <w:tr w14:paraId="7D28B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2" w:type="pct"/>
                  <w:vAlign w:val="center"/>
                </w:tcPr>
                <w:p w14:paraId="0C99A95C">
                  <w:pPr>
                    <w:jc w:val="center"/>
                    <w:rPr>
                      <w:rFonts w:hint="default"/>
                      <w:color w:val="auto"/>
                      <w:szCs w:val="21"/>
                      <w:lang w:val="en-US" w:eastAsia="zh-CN"/>
                    </w:rPr>
                  </w:pPr>
                  <w:r>
                    <w:rPr>
                      <w:rFonts w:hint="eastAsia"/>
                      <w:color w:val="auto"/>
                      <w:szCs w:val="21"/>
                      <w:lang w:val="en-US" w:eastAsia="zh-CN"/>
                    </w:rPr>
                    <w:t>4</w:t>
                  </w:r>
                </w:p>
              </w:tc>
              <w:tc>
                <w:tcPr>
                  <w:tcW w:w="765" w:type="pct"/>
                  <w:vAlign w:val="center"/>
                </w:tcPr>
                <w:p w14:paraId="5450A272">
                  <w:pPr>
                    <w:jc w:val="center"/>
                    <w:rPr>
                      <w:rFonts w:hint="default"/>
                      <w:color w:val="auto"/>
                      <w:szCs w:val="21"/>
                      <w:lang w:val="en-US" w:eastAsia="zh-CN"/>
                    </w:rPr>
                  </w:pPr>
                  <w:r>
                    <w:rPr>
                      <w:rFonts w:hint="eastAsia"/>
                      <w:color w:val="auto"/>
                      <w:szCs w:val="21"/>
                      <w:lang w:val="en-US" w:eastAsia="zh-CN"/>
                    </w:rPr>
                    <w:t>危险废包装物</w:t>
                  </w:r>
                </w:p>
              </w:tc>
              <w:tc>
                <w:tcPr>
                  <w:tcW w:w="636" w:type="pct"/>
                  <w:vAlign w:val="center"/>
                </w:tcPr>
                <w:p w14:paraId="69E007C5">
                  <w:pPr>
                    <w:jc w:val="center"/>
                    <w:rPr>
                      <w:rFonts w:hint="default"/>
                      <w:color w:val="auto"/>
                      <w:szCs w:val="21"/>
                      <w:lang w:val="en-US" w:eastAsia="zh-CN"/>
                    </w:rPr>
                  </w:pPr>
                  <w:r>
                    <w:rPr>
                      <w:rFonts w:hint="eastAsia"/>
                      <w:color w:val="auto"/>
                      <w:szCs w:val="21"/>
                      <w:lang w:val="en-US" w:eastAsia="zh-CN"/>
                    </w:rPr>
                    <w:t>原料包装</w:t>
                  </w:r>
                </w:p>
              </w:tc>
              <w:tc>
                <w:tcPr>
                  <w:tcW w:w="453" w:type="pct"/>
                  <w:vAlign w:val="center"/>
                </w:tcPr>
                <w:p w14:paraId="3AAEE849">
                  <w:pPr>
                    <w:jc w:val="center"/>
                    <w:rPr>
                      <w:rFonts w:hint="eastAsia"/>
                      <w:color w:val="auto"/>
                      <w:szCs w:val="21"/>
                      <w:lang w:eastAsia="zh-CN"/>
                    </w:rPr>
                  </w:pPr>
                  <w:r>
                    <w:rPr>
                      <w:rFonts w:hint="eastAsia"/>
                      <w:color w:val="auto"/>
                      <w:szCs w:val="21"/>
                      <w:lang w:eastAsia="zh-CN"/>
                    </w:rPr>
                    <w:t>固态</w:t>
                  </w:r>
                </w:p>
              </w:tc>
              <w:tc>
                <w:tcPr>
                  <w:tcW w:w="620" w:type="pct"/>
                  <w:vAlign w:val="center"/>
                </w:tcPr>
                <w:p w14:paraId="2EC94EB4">
                  <w:pPr>
                    <w:jc w:val="center"/>
                    <w:rPr>
                      <w:rFonts w:hint="eastAsia"/>
                      <w:color w:val="auto"/>
                      <w:szCs w:val="21"/>
                      <w:lang w:eastAsia="zh-CN"/>
                    </w:rPr>
                  </w:pPr>
                  <w:r>
                    <w:rPr>
                      <w:rFonts w:hint="eastAsia"/>
                      <w:color w:val="auto"/>
                      <w:szCs w:val="21"/>
                      <w:lang w:eastAsia="zh-CN"/>
                    </w:rPr>
                    <w:t>危险废物</w:t>
                  </w:r>
                </w:p>
              </w:tc>
              <w:tc>
                <w:tcPr>
                  <w:tcW w:w="583" w:type="pct"/>
                  <w:vAlign w:val="center"/>
                </w:tcPr>
                <w:p w14:paraId="72697C1A">
                  <w:pPr>
                    <w:jc w:val="center"/>
                    <w:rPr>
                      <w:rFonts w:hint="default"/>
                      <w:color w:val="auto"/>
                      <w:szCs w:val="21"/>
                      <w:lang w:val="en-US" w:eastAsia="zh-CN"/>
                    </w:rPr>
                  </w:pPr>
                  <w:r>
                    <w:rPr>
                      <w:rFonts w:hint="eastAsia"/>
                      <w:color w:val="auto"/>
                      <w:szCs w:val="21"/>
                      <w:lang w:val="en-US" w:eastAsia="zh-CN"/>
                    </w:rPr>
                    <w:t>0.45</w:t>
                  </w:r>
                </w:p>
              </w:tc>
              <w:tc>
                <w:tcPr>
                  <w:tcW w:w="1122" w:type="dxa"/>
                  <w:vAlign w:val="center"/>
                </w:tcPr>
                <w:p w14:paraId="7779DA43">
                  <w:pPr>
                    <w:jc w:val="center"/>
                    <w:rPr>
                      <w:rFonts w:hint="eastAsia"/>
                      <w:color w:val="auto"/>
                      <w:szCs w:val="21"/>
                      <w:lang w:val="en-US" w:eastAsia="zh-CN"/>
                    </w:rPr>
                  </w:pPr>
                  <w:r>
                    <w:rPr>
                      <w:rFonts w:hint="eastAsia"/>
                      <w:color w:val="auto"/>
                      <w:szCs w:val="21"/>
                      <w:lang w:val="en-US" w:eastAsia="zh-CN"/>
                    </w:rPr>
                    <w:t>0.45</w:t>
                  </w:r>
                </w:p>
              </w:tc>
              <w:tc>
                <w:tcPr>
                  <w:tcW w:w="918" w:type="dxa"/>
                  <w:vAlign w:val="center"/>
                </w:tcPr>
                <w:p w14:paraId="3D471D83">
                  <w:pPr>
                    <w:jc w:val="center"/>
                    <w:rPr>
                      <w:rFonts w:hint="eastAsia"/>
                      <w:color w:val="auto"/>
                      <w:szCs w:val="21"/>
                      <w:lang w:val="en-US" w:eastAsia="zh-CN"/>
                    </w:rPr>
                  </w:pPr>
                  <w:r>
                    <w:rPr>
                      <w:rFonts w:hint="eastAsia"/>
                      <w:color w:val="auto"/>
                      <w:szCs w:val="21"/>
                      <w:lang w:eastAsia="zh-CN"/>
                    </w:rPr>
                    <w:t>每天</w:t>
                  </w:r>
                </w:p>
              </w:tc>
              <w:tc>
                <w:tcPr>
                  <w:tcW w:w="495" w:type="pct"/>
                  <w:vMerge w:val="continue"/>
                  <w:vAlign w:val="center"/>
                </w:tcPr>
                <w:p w14:paraId="6B232626">
                  <w:pPr>
                    <w:jc w:val="center"/>
                    <w:rPr>
                      <w:rFonts w:hint="eastAsia"/>
                      <w:color w:val="auto"/>
                      <w:szCs w:val="21"/>
                      <w:lang w:eastAsia="zh-CN"/>
                    </w:rPr>
                  </w:pPr>
                </w:p>
              </w:tc>
            </w:tr>
            <w:tr w14:paraId="00E2F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2" w:type="pct"/>
                  <w:vAlign w:val="center"/>
                </w:tcPr>
                <w:p w14:paraId="78E50844">
                  <w:pPr>
                    <w:jc w:val="center"/>
                    <w:rPr>
                      <w:rFonts w:hint="default"/>
                      <w:color w:val="auto"/>
                      <w:szCs w:val="21"/>
                      <w:lang w:val="en-US" w:eastAsia="zh-CN"/>
                    </w:rPr>
                  </w:pPr>
                  <w:r>
                    <w:rPr>
                      <w:rFonts w:hint="eastAsia"/>
                      <w:color w:val="auto"/>
                      <w:szCs w:val="21"/>
                      <w:lang w:val="en-US" w:eastAsia="zh-CN"/>
                    </w:rPr>
                    <w:t>5</w:t>
                  </w:r>
                </w:p>
              </w:tc>
              <w:tc>
                <w:tcPr>
                  <w:tcW w:w="765" w:type="pct"/>
                  <w:vAlign w:val="center"/>
                </w:tcPr>
                <w:p w14:paraId="66FB36F2">
                  <w:pPr>
                    <w:jc w:val="center"/>
                    <w:rPr>
                      <w:rFonts w:hint="default"/>
                      <w:color w:val="auto"/>
                      <w:szCs w:val="21"/>
                      <w:lang w:val="en-US" w:eastAsia="zh-CN"/>
                    </w:rPr>
                  </w:pPr>
                  <w:r>
                    <w:rPr>
                      <w:rFonts w:hint="eastAsia"/>
                      <w:color w:val="auto"/>
                      <w:szCs w:val="21"/>
                      <w:lang w:val="en-US" w:eastAsia="zh-CN"/>
                    </w:rPr>
                    <w:t>废UV灯管</w:t>
                  </w:r>
                </w:p>
              </w:tc>
              <w:tc>
                <w:tcPr>
                  <w:tcW w:w="636" w:type="pct"/>
                  <w:vAlign w:val="center"/>
                </w:tcPr>
                <w:p w14:paraId="28323BBC">
                  <w:pPr>
                    <w:jc w:val="center"/>
                    <w:rPr>
                      <w:rFonts w:hint="default"/>
                      <w:color w:val="auto"/>
                      <w:szCs w:val="21"/>
                      <w:lang w:val="en-US" w:eastAsia="zh-CN"/>
                    </w:rPr>
                  </w:pPr>
                  <w:r>
                    <w:rPr>
                      <w:rFonts w:hint="eastAsia"/>
                      <w:color w:val="auto"/>
                      <w:szCs w:val="21"/>
                      <w:lang w:val="en-US" w:eastAsia="zh-CN"/>
                    </w:rPr>
                    <w:t>废气处理</w:t>
                  </w:r>
                </w:p>
              </w:tc>
              <w:tc>
                <w:tcPr>
                  <w:tcW w:w="453" w:type="pct"/>
                  <w:vAlign w:val="center"/>
                </w:tcPr>
                <w:p w14:paraId="1500286A">
                  <w:pPr>
                    <w:jc w:val="center"/>
                    <w:rPr>
                      <w:rFonts w:hint="eastAsia"/>
                      <w:color w:val="auto"/>
                      <w:szCs w:val="21"/>
                      <w:lang w:eastAsia="zh-CN"/>
                    </w:rPr>
                  </w:pPr>
                  <w:r>
                    <w:rPr>
                      <w:rFonts w:hint="eastAsia"/>
                      <w:color w:val="auto"/>
                      <w:szCs w:val="21"/>
                      <w:lang w:eastAsia="zh-CN"/>
                    </w:rPr>
                    <w:t>固态</w:t>
                  </w:r>
                </w:p>
              </w:tc>
              <w:tc>
                <w:tcPr>
                  <w:tcW w:w="620" w:type="pct"/>
                  <w:vAlign w:val="center"/>
                </w:tcPr>
                <w:p w14:paraId="21D6B72A">
                  <w:pPr>
                    <w:jc w:val="center"/>
                    <w:rPr>
                      <w:rFonts w:hint="eastAsia"/>
                      <w:color w:val="auto"/>
                      <w:szCs w:val="21"/>
                      <w:lang w:eastAsia="zh-CN"/>
                    </w:rPr>
                  </w:pPr>
                  <w:r>
                    <w:rPr>
                      <w:rFonts w:hint="eastAsia"/>
                      <w:color w:val="auto"/>
                      <w:szCs w:val="21"/>
                      <w:lang w:eastAsia="zh-CN"/>
                    </w:rPr>
                    <w:t>危险废物</w:t>
                  </w:r>
                </w:p>
              </w:tc>
              <w:tc>
                <w:tcPr>
                  <w:tcW w:w="583" w:type="pct"/>
                  <w:vAlign w:val="center"/>
                </w:tcPr>
                <w:p w14:paraId="66DF3DD9">
                  <w:pPr>
                    <w:jc w:val="center"/>
                    <w:rPr>
                      <w:rFonts w:hint="default"/>
                      <w:color w:val="auto"/>
                      <w:szCs w:val="21"/>
                      <w:lang w:val="en-US" w:eastAsia="zh-CN"/>
                    </w:rPr>
                  </w:pPr>
                  <w:r>
                    <w:rPr>
                      <w:rFonts w:hint="eastAsia"/>
                      <w:color w:val="auto"/>
                      <w:szCs w:val="21"/>
                      <w:lang w:val="en-US" w:eastAsia="zh-CN"/>
                    </w:rPr>
                    <w:t>0.05</w:t>
                  </w:r>
                </w:p>
              </w:tc>
              <w:tc>
                <w:tcPr>
                  <w:tcW w:w="1122" w:type="dxa"/>
                  <w:vAlign w:val="center"/>
                </w:tcPr>
                <w:p w14:paraId="3B172E5F">
                  <w:pPr>
                    <w:jc w:val="center"/>
                    <w:rPr>
                      <w:rFonts w:hint="eastAsia"/>
                      <w:color w:val="auto"/>
                      <w:szCs w:val="21"/>
                      <w:lang w:val="en-US" w:eastAsia="zh-CN"/>
                    </w:rPr>
                  </w:pPr>
                  <w:r>
                    <w:rPr>
                      <w:rFonts w:hint="eastAsia"/>
                      <w:color w:val="auto"/>
                      <w:szCs w:val="21"/>
                      <w:lang w:val="en-US" w:eastAsia="zh-CN"/>
                    </w:rPr>
                    <w:t>0.05</w:t>
                  </w:r>
                </w:p>
              </w:tc>
              <w:tc>
                <w:tcPr>
                  <w:tcW w:w="918" w:type="dxa"/>
                  <w:vAlign w:val="center"/>
                </w:tcPr>
                <w:p w14:paraId="6B3B2E1B">
                  <w:pPr>
                    <w:keepNext w:val="0"/>
                    <w:keepLines w:val="0"/>
                    <w:pageBreakBefore w:val="0"/>
                    <w:widowControl w:val="0"/>
                    <w:bidi w:val="0"/>
                    <w:spacing w:beforeAutospacing="0" w:afterAutospacing="0"/>
                    <w:ind w:left="0" w:leftChars="0" w:right="0" w:rightChars="0"/>
                    <w:jc w:val="center"/>
                    <w:rPr>
                      <w:rFonts w:hint="default"/>
                      <w:color w:val="auto"/>
                      <w:szCs w:val="21"/>
                      <w:lang w:val="en-US" w:eastAsia="zh-CN"/>
                    </w:rPr>
                  </w:pPr>
                  <w:r>
                    <w:rPr>
                      <w:rFonts w:hint="eastAsia"/>
                      <w:color w:val="auto"/>
                      <w:szCs w:val="21"/>
                      <w:lang w:val="en-US" w:eastAsia="zh-CN"/>
                    </w:rPr>
                    <w:t>1个月</w:t>
                  </w:r>
                </w:p>
              </w:tc>
              <w:tc>
                <w:tcPr>
                  <w:tcW w:w="495" w:type="pct"/>
                  <w:vMerge w:val="continue"/>
                  <w:vAlign w:val="center"/>
                </w:tcPr>
                <w:p w14:paraId="4C6CF29D">
                  <w:pPr>
                    <w:jc w:val="center"/>
                    <w:rPr>
                      <w:rFonts w:hint="eastAsia"/>
                      <w:color w:val="auto"/>
                      <w:szCs w:val="21"/>
                      <w:lang w:eastAsia="zh-CN"/>
                    </w:rPr>
                  </w:pPr>
                </w:p>
              </w:tc>
            </w:tr>
            <w:tr w14:paraId="241DE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2" w:type="pct"/>
                  <w:vAlign w:val="center"/>
                </w:tcPr>
                <w:p w14:paraId="71F34BBF">
                  <w:pPr>
                    <w:jc w:val="center"/>
                    <w:rPr>
                      <w:rFonts w:hint="default"/>
                      <w:color w:val="auto"/>
                      <w:szCs w:val="21"/>
                      <w:lang w:val="en-US" w:eastAsia="zh-CN"/>
                    </w:rPr>
                  </w:pPr>
                  <w:r>
                    <w:rPr>
                      <w:rFonts w:hint="eastAsia"/>
                      <w:color w:val="auto"/>
                      <w:szCs w:val="21"/>
                      <w:lang w:val="en-US" w:eastAsia="zh-CN"/>
                    </w:rPr>
                    <w:t>6</w:t>
                  </w:r>
                </w:p>
              </w:tc>
              <w:tc>
                <w:tcPr>
                  <w:tcW w:w="765" w:type="pct"/>
                  <w:vAlign w:val="center"/>
                </w:tcPr>
                <w:p w14:paraId="1B893781">
                  <w:pPr>
                    <w:jc w:val="center"/>
                    <w:rPr>
                      <w:rFonts w:hint="default"/>
                      <w:color w:val="auto"/>
                      <w:szCs w:val="21"/>
                      <w:lang w:val="en-US" w:eastAsia="zh-CN"/>
                    </w:rPr>
                  </w:pPr>
                  <w:r>
                    <w:rPr>
                      <w:rFonts w:hint="eastAsia"/>
                      <w:color w:val="auto"/>
                      <w:szCs w:val="21"/>
                      <w:lang w:val="en-US" w:eastAsia="zh-CN"/>
                    </w:rPr>
                    <w:t>废紫外灯</w:t>
                  </w:r>
                </w:p>
              </w:tc>
              <w:tc>
                <w:tcPr>
                  <w:tcW w:w="636" w:type="pct"/>
                  <w:vAlign w:val="center"/>
                </w:tcPr>
                <w:p w14:paraId="60534092">
                  <w:pPr>
                    <w:jc w:val="center"/>
                    <w:rPr>
                      <w:rFonts w:hint="default"/>
                      <w:color w:val="auto"/>
                      <w:szCs w:val="21"/>
                      <w:lang w:val="en-US" w:eastAsia="zh-CN"/>
                    </w:rPr>
                  </w:pPr>
                  <w:r>
                    <w:rPr>
                      <w:rFonts w:hint="eastAsia"/>
                      <w:color w:val="auto"/>
                      <w:szCs w:val="21"/>
                      <w:lang w:val="en-US" w:eastAsia="zh-CN"/>
                    </w:rPr>
                    <w:t>消毒</w:t>
                  </w:r>
                </w:p>
              </w:tc>
              <w:tc>
                <w:tcPr>
                  <w:tcW w:w="453" w:type="pct"/>
                  <w:vAlign w:val="center"/>
                </w:tcPr>
                <w:p w14:paraId="7567DFE3">
                  <w:pPr>
                    <w:jc w:val="center"/>
                    <w:rPr>
                      <w:rFonts w:hint="eastAsia"/>
                      <w:color w:val="auto"/>
                      <w:szCs w:val="21"/>
                      <w:lang w:eastAsia="zh-CN"/>
                    </w:rPr>
                  </w:pPr>
                  <w:r>
                    <w:rPr>
                      <w:rFonts w:hint="eastAsia"/>
                      <w:color w:val="auto"/>
                      <w:szCs w:val="21"/>
                      <w:lang w:eastAsia="zh-CN"/>
                    </w:rPr>
                    <w:t>固态</w:t>
                  </w:r>
                </w:p>
              </w:tc>
              <w:tc>
                <w:tcPr>
                  <w:tcW w:w="620" w:type="pct"/>
                  <w:vAlign w:val="center"/>
                </w:tcPr>
                <w:p w14:paraId="2D9AC4B2">
                  <w:pPr>
                    <w:jc w:val="center"/>
                    <w:rPr>
                      <w:rFonts w:hint="eastAsia"/>
                      <w:color w:val="auto"/>
                      <w:szCs w:val="21"/>
                      <w:lang w:eastAsia="zh-CN"/>
                    </w:rPr>
                  </w:pPr>
                  <w:r>
                    <w:rPr>
                      <w:rFonts w:hint="eastAsia"/>
                      <w:color w:val="auto"/>
                      <w:szCs w:val="21"/>
                      <w:lang w:eastAsia="zh-CN"/>
                    </w:rPr>
                    <w:t>危险废物</w:t>
                  </w:r>
                </w:p>
              </w:tc>
              <w:tc>
                <w:tcPr>
                  <w:tcW w:w="583" w:type="pct"/>
                  <w:vAlign w:val="center"/>
                </w:tcPr>
                <w:p w14:paraId="3077ABE1">
                  <w:pPr>
                    <w:jc w:val="center"/>
                    <w:rPr>
                      <w:rFonts w:hint="default"/>
                      <w:color w:val="auto"/>
                      <w:szCs w:val="21"/>
                      <w:lang w:val="en-US" w:eastAsia="zh-CN"/>
                    </w:rPr>
                  </w:pPr>
                  <w:r>
                    <w:rPr>
                      <w:rFonts w:hint="eastAsia"/>
                      <w:color w:val="auto"/>
                      <w:szCs w:val="21"/>
                      <w:lang w:val="en-US" w:eastAsia="zh-CN"/>
                    </w:rPr>
                    <w:t>0.4</w:t>
                  </w:r>
                </w:p>
              </w:tc>
              <w:tc>
                <w:tcPr>
                  <w:tcW w:w="1122" w:type="dxa"/>
                  <w:vAlign w:val="center"/>
                </w:tcPr>
                <w:p w14:paraId="2BE71C57">
                  <w:pPr>
                    <w:jc w:val="center"/>
                    <w:rPr>
                      <w:rFonts w:hint="eastAsia"/>
                      <w:color w:val="auto"/>
                      <w:szCs w:val="21"/>
                      <w:lang w:val="en-US" w:eastAsia="zh-CN"/>
                    </w:rPr>
                  </w:pPr>
                  <w:r>
                    <w:rPr>
                      <w:rFonts w:hint="eastAsia"/>
                      <w:color w:val="auto"/>
                      <w:szCs w:val="21"/>
                      <w:lang w:val="en-US" w:eastAsia="zh-CN"/>
                    </w:rPr>
                    <w:t>0.4</w:t>
                  </w:r>
                </w:p>
              </w:tc>
              <w:tc>
                <w:tcPr>
                  <w:tcW w:w="918" w:type="dxa"/>
                  <w:vAlign w:val="center"/>
                </w:tcPr>
                <w:p w14:paraId="6B4AACE4">
                  <w:pPr>
                    <w:keepNext w:val="0"/>
                    <w:keepLines w:val="0"/>
                    <w:pageBreakBefore w:val="0"/>
                    <w:widowControl w:val="0"/>
                    <w:bidi w:val="0"/>
                    <w:spacing w:beforeAutospacing="0" w:afterAutospacing="0"/>
                    <w:ind w:left="0" w:leftChars="0" w:right="0" w:rightChars="0"/>
                    <w:jc w:val="center"/>
                    <w:rPr>
                      <w:rFonts w:hint="default"/>
                      <w:szCs w:val="21"/>
                      <w:lang w:val="en-US" w:eastAsia="zh-CN"/>
                    </w:rPr>
                  </w:pPr>
                  <w:r>
                    <w:rPr>
                      <w:rFonts w:hint="eastAsia"/>
                      <w:szCs w:val="21"/>
                      <w:lang w:val="en-US" w:eastAsia="zh-CN"/>
                    </w:rPr>
                    <w:t>1年</w:t>
                  </w:r>
                </w:p>
              </w:tc>
              <w:tc>
                <w:tcPr>
                  <w:tcW w:w="495" w:type="pct"/>
                  <w:vMerge w:val="continue"/>
                  <w:vAlign w:val="center"/>
                </w:tcPr>
                <w:p w14:paraId="52FFCC55">
                  <w:pPr>
                    <w:jc w:val="center"/>
                    <w:rPr>
                      <w:rFonts w:hint="eastAsia"/>
                      <w:color w:val="auto"/>
                      <w:szCs w:val="21"/>
                      <w:lang w:eastAsia="zh-CN"/>
                    </w:rPr>
                  </w:pPr>
                </w:p>
              </w:tc>
            </w:tr>
            <w:tr w14:paraId="1E49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 w:type="pct"/>
                  <w:vAlign w:val="center"/>
                </w:tcPr>
                <w:p w14:paraId="6C1E4889">
                  <w:pPr>
                    <w:jc w:val="center"/>
                    <w:rPr>
                      <w:rFonts w:hint="default"/>
                      <w:color w:val="auto"/>
                      <w:szCs w:val="21"/>
                      <w:lang w:val="en-US" w:eastAsia="zh-CN"/>
                    </w:rPr>
                  </w:pPr>
                  <w:r>
                    <w:rPr>
                      <w:rFonts w:hint="eastAsia"/>
                      <w:color w:val="auto"/>
                      <w:szCs w:val="21"/>
                      <w:lang w:val="en-US" w:eastAsia="zh-CN"/>
                    </w:rPr>
                    <w:t>7</w:t>
                  </w:r>
                </w:p>
              </w:tc>
              <w:tc>
                <w:tcPr>
                  <w:tcW w:w="765" w:type="pct"/>
                  <w:vAlign w:val="center"/>
                </w:tcPr>
                <w:p w14:paraId="2AA32B8B">
                  <w:pPr>
                    <w:jc w:val="center"/>
                    <w:rPr>
                      <w:rFonts w:hint="default"/>
                      <w:color w:val="auto"/>
                      <w:szCs w:val="21"/>
                      <w:lang w:val="en-US" w:eastAsia="zh-CN"/>
                    </w:rPr>
                  </w:pPr>
                  <w:r>
                    <w:rPr>
                      <w:rFonts w:hint="eastAsia"/>
                      <w:color w:val="auto"/>
                      <w:szCs w:val="21"/>
                      <w:lang w:val="en-US" w:eastAsia="zh-CN"/>
                    </w:rPr>
                    <w:t>污水处理站污泥</w:t>
                  </w:r>
                </w:p>
              </w:tc>
              <w:tc>
                <w:tcPr>
                  <w:tcW w:w="636" w:type="pct"/>
                  <w:vAlign w:val="center"/>
                </w:tcPr>
                <w:p w14:paraId="3946D174">
                  <w:pPr>
                    <w:jc w:val="center"/>
                    <w:rPr>
                      <w:rFonts w:hint="default"/>
                      <w:color w:val="auto"/>
                      <w:szCs w:val="21"/>
                      <w:lang w:val="en-US" w:eastAsia="zh-CN"/>
                    </w:rPr>
                  </w:pPr>
                  <w:r>
                    <w:rPr>
                      <w:rFonts w:hint="eastAsia"/>
                      <w:color w:val="auto"/>
                      <w:szCs w:val="21"/>
                      <w:lang w:val="en-US" w:eastAsia="zh-CN"/>
                    </w:rPr>
                    <w:t>废水处理</w:t>
                  </w:r>
                </w:p>
              </w:tc>
              <w:tc>
                <w:tcPr>
                  <w:tcW w:w="453" w:type="pct"/>
                  <w:vAlign w:val="center"/>
                </w:tcPr>
                <w:p w14:paraId="6258B8B4">
                  <w:pPr>
                    <w:jc w:val="center"/>
                    <w:rPr>
                      <w:rFonts w:hint="eastAsia" w:eastAsia="宋体"/>
                      <w:color w:val="auto"/>
                      <w:szCs w:val="21"/>
                      <w:lang w:eastAsia="zh-CN"/>
                    </w:rPr>
                  </w:pPr>
                  <w:r>
                    <w:rPr>
                      <w:rFonts w:hint="eastAsia"/>
                      <w:color w:val="auto"/>
                      <w:szCs w:val="21"/>
                      <w:lang w:eastAsia="zh-CN"/>
                    </w:rPr>
                    <w:t>固态</w:t>
                  </w:r>
                </w:p>
              </w:tc>
              <w:tc>
                <w:tcPr>
                  <w:tcW w:w="620" w:type="pct"/>
                  <w:vAlign w:val="center"/>
                </w:tcPr>
                <w:p w14:paraId="5D891724">
                  <w:pPr>
                    <w:jc w:val="center"/>
                    <w:rPr>
                      <w:rFonts w:hint="eastAsia"/>
                      <w:color w:val="auto"/>
                      <w:szCs w:val="21"/>
                      <w:lang w:eastAsia="zh-CN"/>
                    </w:rPr>
                  </w:pPr>
                  <w:r>
                    <w:rPr>
                      <w:rFonts w:hint="eastAsia"/>
                      <w:color w:val="auto"/>
                      <w:szCs w:val="21"/>
                      <w:lang w:eastAsia="zh-CN"/>
                    </w:rPr>
                    <w:t>危险废物</w:t>
                  </w:r>
                </w:p>
              </w:tc>
              <w:tc>
                <w:tcPr>
                  <w:tcW w:w="583" w:type="pct"/>
                  <w:vAlign w:val="center"/>
                </w:tcPr>
                <w:p w14:paraId="34C690DE">
                  <w:pPr>
                    <w:jc w:val="center"/>
                    <w:rPr>
                      <w:rFonts w:hint="default"/>
                      <w:color w:val="auto"/>
                      <w:szCs w:val="21"/>
                      <w:lang w:val="en-US" w:eastAsia="zh-CN"/>
                    </w:rPr>
                  </w:pPr>
                  <w:r>
                    <w:rPr>
                      <w:rFonts w:hint="eastAsia"/>
                      <w:color w:val="auto"/>
                      <w:szCs w:val="21"/>
                      <w:lang w:val="en-US" w:eastAsia="zh-CN"/>
                    </w:rPr>
                    <w:t>10.9</w:t>
                  </w:r>
                </w:p>
              </w:tc>
              <w:tc>
                <w:tcPr>
                  <w:tcW w:w="1122" w:type="dxa"/>
                  <w:vAlign w:val="center"/>
                </w:tcPr>
                <w:p w14:paraId="280004F7">
                  <w:pPr>
                    <w:jc w:val="center"/>
                    <w:rPr>
                      <w:rFonts w:hint="default"/>
                      <w:color w:val="auto"/>
                      <w:szCs w:val="21"/>
                      <w:lang w:val="en-US" w:eastAsia="zh-CN"/>
                    </w:rPr>
                  </w:pPr>
                  <w:r>
                    <w:rPr>
                      <w:rFonts w:hint="eastAsia"/>
                      <w:color w:val="auto"/>
                      <w:szCs w:val="21"/>
                      <w:lang w:val="en-US" w:eastAsia="zh-CN"/>
                    </w:rPr>
                    <w:t>10.9</w:t>
                  </w:r>
                </w:p>
              </w:tc>
              <w:tc>
                <w:tcPr>
                  <w:tcW w:w="918" w:type="dxa"/>
                  <w:vAlign w:val="center"/>
                </w:tcPr>
                <w:p w14:paraId="1631CA31">
                  <w:pPr>
                    <w:jc w:val="center"/>
                    <w:rPr>
                      <w:rFonts w:hint="default"/>
                      <w:color w:val="auto"/>
                      <w:szCs w:val="21"/>
                      <w:lang w:val="en-US" w:eastAsia="zh-CN"/>
                    </w:rPr>
                  </w:pPr>
                  <w:r>
                    <w:rPr>
                      <w:rFonts w:hint="eastAsia"/>
                      <w:color w:val="auto"/>
                      <w:szCs w:val="21"/>
                      <w:lang w:val="en-US" w:eastAsia="zh-CN"/>
                    </w:rPr>
                    <w:t>1周</w:t>
                  </w:r>
                </w:p>
              </w:tc>
              <w:tc>
                <w:tcPr>
                  <w:tcW w:w="495" w:type="pct"/>
                  <w:vMerge w:val="continue"/>
                  <w:vAlign w:val="center"/>
                </w:tcPr>
                <w:p w14:paraId="7DF5D531">
                  <w:pPr>
                    <w:jc w:val="center"/>
                    <w:rPr>
                      <w:color w:val="auto"/>
                      <w:szCs w:val="21"/>
                    </w:rPr>
                  </w:pPr>
                </w:p>
              </w:tc>
            </w:tr>
          </w:tbl>
          <w:p w14:paraId="30EDA1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auto"/>
                <w:szCs w:val="21"/>
              </w:rPr>
            </w:pPr>
            <w:r>
              <w:rPr>
                <w:rFonts w:hint="default" w:ascii="Times New Roman" w:hAnsi="Times New Roman" w:cs="Times New Roman"/>
                <w:b/>
                <w:bCs/>
                <w:color w:val="auto"/>
                <w:sz w:val="24"/>
                <w:szCs w:val="24"/>
              </w:rPr>
              <w:t>表4</w:t>
            </w:r>
            <w:r>
              <w:rPr>
                <w:rFonts w:hint="eastAsia" w:cs="Times New Roman"/>
                <w:b/>
                <w:bCs/>
                <w:color w:val="auto"/>
                <w:sz w:val="24"/>
                <w:szCs w:val="24"/>
                <w:lang w:val="en-US" w:eastAsia="zh-CN"/>
              </w:rPr>
              <w:t xml:space="preserve">-20 </w:t>
            </w:r>
            <w:r>
              <w:rPr>
                <w:rFonts w:hint="default" w:ascii="Times New Roman" w:hAnsi="Times New Roman" w:cs="Times New Roman"/>
                <w:b/>
                <w:bCs/>
                <w:color w:val="auto"/>
                <w:sz w:val="24"/>
                <w:szCs w:val="24"/>
              </w:rPr>
              <w:t xml:space="preserve"> 项目运营期危险废物汇总表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
              <w:gridCol w:w="696"/>
              <w:gridCol w:w="797"/>
              <w:gridCol w:w="1205"/>
              <w:gridCol w:w="796"/>
              <w:gridCol w:w="811"/>
              <w:gridCol w:w="428"/>
              <w:gridCol w:w="803"/>
              <w:gridCol w:w="815"/>
              <w:gridCol w:w="497"/>
              <w:gridCol w:w="578"/>
              <w:gridCol w:w="746"/>
            </w:tblGrid>
            <w:tr w14:paraId="78B6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260" w:type="pct"/>
                  <w:noWrap w:val="0"/>
                  <w:vAlign w:val="center"/>
                </w:tcPr>
                <w:p w14:paraId="06DC1839">
                  <w:pPr>
                    <w:topLinePunct/>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序号</w:t>
                  </w:r>
                </w:p>
              </w:tc>
              <w:tc>
                <w:tcPr>
                  <w:tcW w:w="403" w:type="pct"/>
                  <w:noWrap w:val="0"/>
                  <w:vAlign w:val="center"/>
                </w:tcPr>
                <w:p w14:paraId="7F5DCB92">
                  <w:pPr>
                    <w:topLinePunct/>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危险废物名称</w:t>
                  </w:r>
                </w:p>
              </w:tc>
              <w:tc>
                <w:tcPr>
                  <w:tcW w:w="462" w:type="pct"/>
                  <w:noWrap w:val="0"/>
                  <w:vAlign w:val="center"/>
                </w:tcPr>
                <w:p w14:paraId="381F0EDC">
                  <w:pPr>
                    <w:topLinePunct/>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危险废物类别</w:t>
                  </w:r>
                </w:p>
              </w:tc>
              <w:tc>
                <w:tcPr>
                  <w:tcW w:w="698" w:type="pct"/>
                  <w:noWrap w:val="0"/>
                  <w:vAlign w:val="center"/>
                </w:tcPr>
                <w:p w14:paraId="6C2CA025">
                  <w:pPr>
                    <w:topLinePunct/>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危险废物代码</w:t>
                  </w:r>
                </w:p>
              </w:tc>
              <w:tc>
                <w:tcPr>
                  <w:tcW w:w="461" w:type="pct"/>
                  <w:noWrap w:val="0"/>
                  <w:vAlign w:val="center"/>
                </w:tcPr>
                <w:p w14:paraId="7FBA9FAC">
                  <w:pPr>
                    <w:topLinePunct/>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产生量</w:t>
                  </w:r>
                  <w:r>
                    <w:rPr>
                      <w:rFonts w:hint="eastAsia" w:ascii="Times New Roman" w:hAnsi="Times New Roman" w:cs="Times New Roman"/>
                      <w:color w:val="auto"/>
                      <w:sz w:val="21"/>
                      <w:szCs w:val="21"/>
                      <w:lang w:val="en-US" w:eastAsia="zh-CN"/>
                    </w:rPr>
                    <w:t>t</w:t>
                  </w:r>
                  <w:r>
                    <w:rPr>
                      <w:rFonts w:hint="default" w:ascii="Times New Roman" w:hAnsi="Times New Roman" w:cs="Times New Roman"/>
                      <w:color w:val="auto"/>
                      <w:sz w:val="21"/>
                      <w:szCs w:val="21"/>
                    </w:rPr>
                    <w:t>/a</w:t>
                  </w:r>
                </w:p>
              </w:tc>
              <w:tc>
                <w:tcPr>
                  <w:tcW w:w="470" w:type="pct"/>
                  <w:noWrap w:val="0"/>
                  <w:vAlign w:val="center"/>
                </w:tcPr>
                <w:p w14:paraId="1FDC1E36">
                  <w:pPr>
                    <w:topLinePunct/>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产生工序及装置</w:t>
                  </w:r>
                </w:p>
              </w:tc>
              <w:tc>
                <w:tcPr>
                  <w:tcW w:w="248" w:type="pct"/>
                  <w:noWrap w:val="0"/>
                  <w:vAlign w:val="center"/>
                </w:tcPr>
                <w:p w14:paraId="5D5FE6A6">
                  <w:pPr>
                    <w:topLinePunct/>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形态</w:t>
                  </w:r>
                </w:p>
              </w:tc>
              <w:tc>
                <w:tcPr>
                  <w:tcW w:w="465" w:type="pct"/>
                  <w:noWrap w:val="0"/>
                  <w:vAlign w:val="center"/>
                </w:tcPr>
                <w:p w14:paraId="01C927BA">
                  <w:pPr>
                    <w:topLinePunct/>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主要成分</w:t>
                  </w:r>
                </w:p>
              </w:tc>
              <w:tc>
                <w:tcPr>
                  <w:tcW w:w="472" w:type="pct"/>
                  <w:noWrap w:val="0"/>
                  <w:vAlign w:val="center"/>
                </w:tcPr>
                <w:p w14:paraId="44F25F12">
                  <w:pPr>
                    <w:topLinePunct/>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有害成分</w:t>
                  </w:r>
                </w:p>
              </w:tc>
              <w:tc>
                <w:tcPr>
                  <w:tcW w:w="288" w:type="pct"/>
                  <w:noWrap w:val="0"/>
                  <w:vAlign w:val="center"/>
                </w:tcPr>
                <w:p w14:paraId="5A22C388">
                  <w:pPr>
                    <w:topLinePunct/>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产废周期</w:t>
                  </w:r>
                </w:p>
              </w:tc>
              <w:tc>
                <w:tcPr>
                  <w:tcW w:w="335" w:type="pct"/>
                  <w:noWrap w:val="0"/>
                  <w:vAlign w:val="center"/>
                </w:tcPr>
                <w:p w14:paraId="2F8FADD6">
                  <w:pPr>
                    <w:topLinePunct/>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危险特性</w:t>
                  </w:r>
                </w:p>
              </w:tc>
              <w:tc>
                <w:tcPr>
                  <w:tcW w:w="432" w:type="pct"/>
                  <w:noWrap w:val="0"/>
                  <w:vAlign w:val="center"/>
                </w:tcPr>
                <w:p w14:paraId="6212B450">
                  <w:pPr>
                    <w:topLinePunct/>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污染防治措施</w:t>
                  </w:r>
                </w:p>
              </w:tc>
            </w:tr>
            <w:tr w14:paraId="77822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60" w:type="pct"/>
                  <w:vMerge w:val="restart"/>
                  <w:noWrap w:val="0"/>
                  <w:vAlign w:val="center"/>
                </w:tcPr>
                <w:p w14:paraId="52916BAC">
                  <w:pPr>
                    <w:topLinePunct/>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w:t>
                  </w:r>
                </w:p>
              </w:tc>
              <w:tc>
                <w:tcPr>
                  <w:tcW w:w="403" w:type="pct"/>
                  <w:vMerge w:val="restart"/>
                  <w:noWrap w:val="0"/>
                  <w:vAlign w:val="center"/>
                </w:tcPr>
                <w:p w14:paraId="3221330F">
                  <w:pPr>
                    <w:jc w:val="center"/>
                    <w:rPr>
                      <w:rFonts w:hint="eastAsia"/>
                      <w:color w:val="auto"/>
                      <w:szCs w:val="21"/>
                      <w:lang w:eastAsia="zh-CN"/>
                    </w:rPr>
                  </w:pPr>
                  <w:r>
                    <w:rPr>
                      <w:rFonts w:hint="eastAsia"/>
                      <w:color w:val="auto"/>
                      <w:szCs w:val="21"/>
                      <w:lang w:val="en-US" w:eastAsia="zh-CN"/>
                    </w:rPr>
                    <w:t>医疗废物</w:t>
                  </w:r>
                </w:p>
              </w:tc>
              <w:tc>
                <w:tcPr>
                  <w:tcW w:w="462" w:type="pct"/>
                  <w:vMerge w:val="restart"/>
                  <w:noWrap w:val="0"/>
                  <w:vAlign w:val="center"/>
                </w:tcPr>
                <w:p w14:paraId="483BC4B3">
                  <w:pPr>
                    <w:pStyle w:val="86"/>
                    <w:spacing w:line="240" w:lineRule="auto"/>
                    <w:rPr>
                      <w:rFonts w:hint="default" w:ascii="Times New Roman" w:hAnsi="Times New Roman" w:eastAsia="宋体" w:cs="Times New Roman"/>
                      <w:color w:val="auto"/>
                      <w:sz w:val="21"/>
                      <w:szCs w:val="21"/>
                      <w:lang w:val="en-US"/>
                    </w:rPr>
                  </w:pPr>
                  <w:r>
                    <w:rPr>
                      <w:rFonts w:hint="eastAsia" w:eastAsia="宋体" w:cs="Times New Roman"/>
                      <w:color w:val="auto"/>
                      <w:sz w:val="21"/>
                      <w:szCs w:val="21"/>
                      <w:lang w:val="en-US" w:eastAsia="zh-CN"/>
                    </w:rPr>
                    <w:t>HW01</w:t>
                  </w:r>
                </w:p>
              </w:tc>
              <w:tc>
                <w:tcPr>
                  <w:tcW w:w="698" w:type="pct"/>
                  <w:noWrap w:val="0"/>
                  <w:vAlign w:val="center"/>
                </w:tcPr>
                <w:p w14:paraId="4AF91B0F">
                  <w:pPr>
                    <w:pStyle w:val="86"/>
                    <w:spacing w:line="240" w:lineRule="auto"/>
                    <w:rPr>
                      <w:rFonts w:hint="default" w:ascii="Times New Roman" w:hAnsi="Times New Roman" w:cs="Times New Roman"/>
                      <w:color w:val="auto"/>
                      <w:sz w:val="21"/>
                      <w:szCs w:val="21"/>
                      <w:lang w:val="en-US"/>
                    </w:rPr>
                  </w:pPr>
                  <w:r>
                    <w:rPr>
                      <w:rFonts w:hint="eastAsia" w:cs="Times New Roman"/>
                      <w:color w:val="auto"/>
                      <w:sz w:val="21"/>
                      <w:szCs w:val="21"/>
                      <w:lang w:val="en-US" w:eastAsia="zh-CN"/>
                    </w:rPr>
                    <w:t>841-001-01</w:t>
                  </w:r>
                </w:p>
              </w:tc>
              <w:tc>
                <w:tcPr>
                  <w:tcW w:w="461" w:type="pct"/>
                  <w:vMerge w:val="restart"/>
                  <w:noWrap w:val="0"/>
                  <w:vAlign w:val="center"/>
                </w:tcPr>
                <w:p w14:paraId="06D714DC">
                  <w:pPr>
                    <w:jc w:val="center"/>
                    <w:rPr>
                      <w:rFonts w:hint="default" w:cs="Times New Roman"/>
                      <w:color w:val="auto"/>
                      <w:kern w:val="2"/>
                      <w:sz w:val="21"/>
                      <w:szCs w:val="21"/>
                      <w:lang w:val="en-US" w:eastAsia="zh-CN" w:bidi="ar-SA"/>
                    </w:rPr>
                  </w:pPr>
                  <w:r>
                    <w:rPr>
                      <w:rFonts w:hint="eastAsia"/>
                      <w:color w:val="auto"/>
                      <w:szCs w:val="21"/>
                      <w:highlight w:val="none"/>
                      <w:lang w:val="en-US" w:eastAsia="zh-CN"/>
                    </w:rPr>
                    <w:t>94.9</w:t>
                  </w:r>
                </w:p>
              </w:tc>
              <w:tc>
                <w:tcPr>
                  <w:tcW w:w="470" w:type="pct"/>
                  <w:vMerge w:val="restart"/>
                  <w:noWrap w:val="0"/>
                  <w:vAlign w:val="center"/>
                </w:tcPr>
                <w:p w14:paraId="7434C24E">
                  <w:pPr>
                    <w:jc w:val="center"/>
                    <w:rPr>
                      <w:rFonts w:hint="eastAsia"/>
                      <w:color w:val="auto"/>
                      <w:szCs w:val="21"/>
                      <w:lang w:eastAsia="zh-CN"/>
                    </w:rPr>
                  </w:pPr>
                  <w:r>
                    <w:rPr>
                      <w:rFonts w:hint="eastAsia"/>
                      <w:color w:val="auto"/>
                      <w:szCs w:val="21"/>
                      <w:lang w:eastAsia="zh-CN"/>
                    </w:rPr>
                    <w:t>危险废物</w:t>
                  </w:r>
                </w:p>
              </w:tc>
              <w:tc>
                <w:tcPr>
                  <w:tcW w:w="248" w:type="pct"/>
                  <w:vMerge w:val="restart"/>
                  <w:noWrap w:val="0"/>
                  <w:vAlign w:val="center"/>
                </w:tcPr>
                <w:p w14:paraId="6E945EDD">
                  <w:pPr>
                    <w:jc w:val="center"/>
                    <w:rPr>
                      <w:rFonts w:hint="eastAsia"/>
                      <w:color w:val="auto"/>
                      <w:szCs w:val="21"/>
                    </w:rPr>
                  </w:pPr>
                  <w:r>
                    <w:rPr>
                      <w:rFonts w:hint="eastAsia"/>
                      <w:color w:val="auto"/>
                      <w:szCs w:val="21"/>
                      <w:lang w:eastAsia="zh-CN"/>
                    </w:rPr>
                    <w:t>固态</w:t>
                  </w:r>
                </w:p>
              </w:tc>
              <w:tc>
                <w:tcPr>
                  <w:tcW w:w="803" w:type="dxa"/>
                  <w:noWrap w:val="0"/>
                  <w:vAlign w:val="center"/>
                </w:tcPr>
                <w:p w14:paraId="7BDB3E38">
                  <w:pPr>
                    <w:pStyle w:val="120"/>
                    <w:keepNext w:val="0"/>
                    <w:keepLines w:val="0"/>
                    <w:pageBreakBefore w:val="0"/>
                    <w:widowControl w:val="0"/>
                    <w:kinsoku/>
                    <w:wordWrap/>
                    <w:overflowPunct/>
                    <w:topLinePunct w:val="0"/>
                    <w:autoSpaceDE/>
                    <w:autoSpaceDN/>
                    <w:bidi w:val="0"/>
                    <w:adjustRightInd/>
                    <w:snapToGrid/>
                    <w:ind w:left="-105" w:leftChars="-50" w:right="-105" w:rightChars="-50" w:firstLine="0" w:firstLineChars="0"/>
                    <w:textAlignment w:val="auto"/>
                    <w:rPr>
                      <w:rFonts w:hint="default" w:ascii="Times New Roman" w:hAnsi="Times New Roman" w:cs="Times New Roman"/>
                      <w:color w:val="auto"/>
                      <w:sz w:val="21"/>
                      <w:szCs w:val="21"/>
                      <w:lang w:val="en-US" w:eastAsia="zh-CN"/>
                    </w:rPr>
                  </w:pPr>
                  <w:r>
                    <w:rPr>
                      <w:rFonts w:hint="default"/>
                      <w:color w:val="auto"/>
                      <w:highlight w:val="none"/>
                      <w:lang w:val="en-US" w:eastAsia="zh-CN"/>
                    </w:rPr>
                    <w:t>感染性废物</w:t>
                  </w:r>
                </w:p>
              </w:tc>
              <w:tc>
                <w:tcPr>
                  <w:tcW w:w="472" w:type="pct"/>
                  <w:vMerge w:val="restart"/>
                  <w:noWrap w:val="0"/>
                  <w:vAlign w:val="center"/>
                </w:tcPr>
                <w:p w14:paraId="0244A8EA">
                  <w:pPr>
                    <w:topLinePunct/>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附着少量化学物质及病菌</w:t>
                  </w:r>
                </w:p>
              </w:tc>
              <w:tc>
                <w:tcPr>
                  <w:tcW w:w="288" w:type="pct"/>
                  <w:vMerge w:val="restart"/>
                  <w:noWrap w:val="0"/>
                  <w:vAlign w:val="center"/>
                </w:tcPr>
                <w:p w14:paraId="283E3D4E">
                  <w:pPr>
                    <w:keepNext w:val="0"/>
                    <w:keepLines w:val="0"/>
                    <w:pageBreakBefore w:val="0"/>
                    <w:widowControl w:val="0"/>
                    <w:bidi w:val="0"/>
                    <w:spacing w:beforeAutospacing="0" w:afterAutospacing="0"/>
                    <w:ind w:left="0" w:leftChars="0" w:right="0" w:rightChars="0"/>
                    <w:jc w:val="center"/>
                    <w:rPr>
                      <w:rFonts w:hint="default"/>
                      <w:color w:val="auto"/>
                      <w:szCs w:val="21"/>
                      <w:lang w:val="en-US" w:eastAsia="zh-CN"/>
                    </w:rPr>
                  </w:pPr>
                  <w:r>
                    <w:rPr>
                      <w:rFonts w:hint="eastAsia"/>
                      <w:szCs w:val="21"/>
                      <w:lang w:eastAsia="zh-CN"/>
                    </w:rPr>
                    <w:t>每天</w:t>
                  </w:r>
                </w:p>
              </w:tc>
              <w:tc>
                <w:tcPr>
                  <w:tcW w:w="335" w:type="pct"/>
                  <w:noWrap w:val="0"/>
                  <w:vAlign w:val="center"/>
                </w:tcPr>
                <w:p w14:paraId="7A7C3827">
                  <w:pPr>
                    <w:topLinePunct/>
                    <w:jc w:val="center"/>
                    <w:rPr>
                      <w:rFonts w:hint="default" w:ascii="Times New Roman" w:hAnsi="Times New Roman" w:cs="Times New Roman"/>
                      <w:color w:val="auto"/>
                      <w:sz w:val="21"/>
                      <w:szCs w:val="21"/>
                      <w:lang w:val="en-US"/>
                    </w:rPr>
                  </w:pPr>
                  <w:r>
                    <w:rPr>
                      <w:rFonts w:hint="eastAsia" w:cs="Times New Roman"/>
                      <w:color w:val="auto"/>
                      <w:sz w:val="21"/>
                      <w:szCs w:val="21"/>
                      <w:lang w:val="en-US" w:eastAsia="zh-CN"/>
                    </w:rPr>
                    <w:t>In</w:t>
                  </w:r>
                </w:p>
              </w:tc>
              <w:tc>
                <w:tcPr>
                  <w:tcW w:w="432" w:type="pct"/>
                  <w:vMerge w:val="restart"/>
                  <w:noWrap w:val="0"/>
                  <w:vAlign w:val="center"/>
                </w:tcPr>
                <w:p w14:paraId="45E9096A">
                  <w:pPr>
                    <w:topLinePun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委托有资质单位回收处置</w:t>
                  </w:r>
                </w:p>
              </w:tc>
            </w:tr>
            <w:tr w14:paraId="38FB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60" w:type="pct"/>
                  <w:vMerge w:val="continue"/>
                  <w:noWrap w:val="0"/>
                  <w:vAlign w:val="center"/>
                </w:tcPr>
                <w:p w14:paraId="03C55207">
                  <w:pPr>
                    <w:pStyle w:val="86"/>
                    <w:spacing w:line="240" w:lineRule="auto"/>
                  </w:pPr>
                </w:p>
              </w:tc>
              <w:tc>
                <w:tcPr>
                  <w:tcW w:w="403" w:type="pct"/>
                  <w:vMerge w:val="continue"/>
                  <w:noWrap w:val="0"/>
                  <w:vAlign w:val="center"/>
                </w:tcPr>
                <w:p w14:paraId="5731D957">
                  <w:pPr>
                    <w:pStyle w:val="86"/>
                    <w:spacing w:line="240" w:lineRule="auto"/>
                  </w:pPr>
                </w:p>
              </w:tc>
              <w:tc>
                <w:tcPr>
                  <w:tcW w:w="462" w:type="pct"/>
                  <w:vMerge w:val="continue"/>
                  <w:noWrap w:val="0"/>
                  <w:vAlign w:val="center"/>
                </w:tcPr>
                <w:p w14:paraId="16A9E747">
                  <w:pPr>
                    <w:pStyle w:val="86"/>
                    <w:spacing w:line="240" w:lineRule="auto"/>
                  </w:pPr>
                </w:p>
              </w:tc>
              <w:tc>
                <w:tcPr>
                  <w:tcW w:w="698" w:type="pct"/>
                  <w:noWrap w:val="0"/>
                  <w:vAlign w:val="center"/>
                </w:tcPr>
                <w:p w14:paraId="175D9A82">
                  <w:pPr>
                    <w:pStyle w:val="86"/>
                    <w:spacing w:line="240" w:lineRule="auto"/>
                    <w:rPr>
                      <w:rFonts w:hint="eastAsia" w:cs="Times New Roman"/>
                      <w:color w:val="auto"/>
                      <w:sz w:val="21"/>
                      <w:szCs w:val="21"/>
                      <w:lang w:val="en-US" w:eastAsia="zh-CN"/>
                    </w:rPr>
                  </w:pPr>
                  <w:r>
                    <w:rPr>
                      <w:rFonts w:hint="eastAsia" w:cs="Times New Roman"/>
                      <w:color w:val="auto"/>
                      <w:sz w:val="21"/>
                      <w:szCs w:val="21"/>
                      <w:lang w:val="en-US" w:eastAsia="zh-CN"/>
                    </w:rPr>
                    <w:t>841-002-01</w:t>
                  </w:r>
                </w:p>
              </w:tc>
              <w:tc>
                <w:tcPr>
                  <w:tcW w:w="461" w:type="pct"/>
                  <w:vMerge w:val="continue"/>
                  <w:noWrap w:val="0"/>
                  <w:vAlign w:val="center"/>
                </w:tcPr>
                <w:p w14:paraId="1DD29049">
                  <w:pPr>
                    <w:pStyle w:val="86"/>
                    <w:spacing w:line="240" w:lineRule="auto"/>
                    <w:rPr>
                      <w:rFonts w:hint="eastAsia" w:cs="Times New Roman"/>
                      <w:color w:val="auto"/>
                      <w:sz w:val="21"/>
                      <w:szCs w:val="21"/>
                      <w:lang w:val="en-US" w:eastAsia="zh-CN"/>
                    </w:rPr>
                  </w:pPr>
                </w:p>
              </w:tc>
              <w:tc>
                <w:tcPr>
                  <w:tcW w:w="470" w:type="pct"/>
                  <w:vMerge w:val="continue"/>
                  <w:noWrap w:val="0"/>
                  <w:vAlign w:val="center"/>
                </w:tcPr>
                <w:p w14:paraId="4A533C1D">
                  <w:pPr>
                    <w:pStyle w:val="86"/>
                    <w:spacing w:line="240" w:lineRule="auto"/>
                    <w:rPr>
                      <w:rFonts w:hint="eastAsia" w:cs="Times New Roman"/>
                      <w:color w:val="auto"/>
                      <w:sz w:val="21"/>
                      <w:szCs w:val="21"/>
                      <w:lang w:val="en-US" w:eastAsia="zh-CN"/>
                    </w:rPr>
                  </w:pPr>
                </w:p>
              </w:tc>
              <w:tc>
                <w:tcPr>
                  <w:tcW w:w="248" w:type="pct"/>
                  <w:vMerge w:val="continue"/>
                  <w:noWrap w:val="0"/>
                  <w:vAlign w:val="center"/>
                </w:tcPr>
                <w:p w14:paraId="31C22D51">
                  <w:pPr>
                    <w:pStyle w:val="86"/>
                    <w:spacing w:line="240" w:lineRule="auto"/>
                    <w:rPr>
                      <w:rFonts w:hint="eastAsia" w:cs="Times New Roman"/>
                      <w:color w:val="auto"/>
                      <w:sz w:val="21"/>
                      <w:szCs w:val="21"/>
                      <w:lang w:val="en-US" w:eastAsia="zh-CN"/>
                    </w:rPr>
                  </w:pPr>
                </w:p>
              </w:tc>
              <w:tc>
                <w:tcPr>
                  <w:tcW w:w="803" w:type="dxa"/>
                  <w:noWrap w:val="0"/>
                  <w:vAlign w:val="center"/>
                </w:tcPr>
                <w:p w14:paraId="57F83BF7">
                  <w:pPr>
                    <w:pStyle w:val="120"/>
                    <w:keepNext w:val="0"/>
                    <w:keepLines w:val="0"/>
                    <w:pageBreakBefore w:val="0"/>
                    <w:widowControl w:val="0"/>
                    <w:kinsoku/>
                    <w:wordWrap/>
                    <w:overflowPunct/>
                    <w:topLinePunct w:val="0"/>
                    <w:autoSpaceDE/>
                    <w:autoSpaceDN/>
                    <w:bidi w:val="0"/>
                    <w:adjustRightInd/>
                    <w:snapToGrid/>
                    <w:ind w:left="-105" w:leftChars="-50" w:right="-105" w:rightChars="-50" w:firstLine="0" w:firstLineChars="0"/>
                    <w:textAlignment w:val="auto"/>
                    <w:rPr>
                      <w:rFonts w:hint="eastAsia" w:cs="Times New Roman"/>
                      <w:color w:val="auto"/>
                      <w:sz w:val="21"/>
                      <w:szCs w:val="21"/>
                      <w:lang w:val="en-US" w:eastAsia="zh-CN"/>
                    </w:rPr>
                  </w:pPr>
                  <w:r>
                    <w:rPr>
                      <w:rFonts w:hint="eastAsia"/>
                      <w:color w:val="auto"/>
                      <w:highlight w:val="none"/>
                      <w:lang w:val="en-US" w:eastAsia="zh-CN"/>
                    </w:rPr>
                    <w:t>损伤性废物</w:t>
                  </w:r>
                </w:p>
              </w:tc>
              <w:tc>
                <w:tcPr>
                  <w:tcW w:w="472" w:type="pct"/>
                  <w:vMerge w:val="continue"/>
                  <w:noWrap w:val="0"/>
                  <w:vAlign w:val="center"/>
                </w:tcPr>
                <w:p w14:paraId="61EAA3BC">
                  <w:pPr>
                    <w:pStyle w:val="86"/>
                    <w:spacing w:line="240" w:lineRule="auto"/>
                    <w:rPr>
                      <w:rFonts w:hint="eastAsia" w:cs="Times New Roman"/>
                      <w:color w:val="auto"/>
                      <w:sz w:val="21"/>
                      <w:szCs w:val="21"/>
                      <w:lang w:val="en-US" w:eastAsia="zh-CN"/>
                    </w:rPr>
                  </w:pPr>
                </w:p>
              </w:tc>
              <w:tc>
                <w:tcPr>
                  <w:tcW w:w="288" w:type="pct"/>
                  <w:vMerge w:val="continue"/>
                  <w:noWrap w:val="0"/>
                  <w:vAlign w:val="center"/>
                </w:tcPr>
                <w:p w14:paraId="581820BB">
                  <w:pPr>
                    <w:pStyle w:val="86"/>
                    <w:spacing w:line="240" w:lineRule="auto"/>
                    <w:rPr>
                      <w:rFonts w:hint="eastAsia" w:cs="Times New Roman"/>
                      <w:color w:val="auto"/>
                      <w:sz w:val="21"/>
                      <w:szCs w:val="21"/>
                      <w:lang w:val="en-US" w:eastAsia="zh-CN"/>
                    </w:rPr>
                  </w:pPr>
                </w:p>
              </w:tc>
              <w:tc>
                <w:tcPr>
                  <w:tcW w:w="335" w:type="pct"/>
                  <w:noWrap w:val="0"/>
                  <w:vAlign w:val="center"/>
                </w:tcPr>
                <w:p w14:paraId="19C0A8F8">
                  <w:pPr>
                    <w:pStyle w:val="86"/>
                    <w:spacing w:line="240" w:lineRule="auto"/>
                    <w:rPr>
                      <w:rFonts w:hint="eastAsia" w:cs="Times New Roman"/>
                      <w:color w:val="auto"/>
                      <w:sz w:val="21"/>
                      <w:szCs w:val="21"/>
                      <w:lang w:val="en-US" w:eastAsia="zh-CN"/>
                    </w:rPr>
                  </w:pPr>
                  <w:r>
                    <w:rPr>
                      <w:rFonts w:hint="eastAsia" w:cs="Times New Roman"/>
                      <w:color w:val="auto"/>
                      <w:sz w:val="21"/>
                      <w:szCs w:val="21"/>
                      <w:lang w:val="en-US" w:eastAsia="zh-CN"/>
                    </w:rPr>
                    <w:t>In</w:t>
                  </w:r>
                </w:p>
              </w:tc>
              <w:tc>
                <w:tcPr>
                  <w:tcW w:w="432" w:type="pct"/>
                  <w:vMerge w:val="continue"/>
                  <w:noWrap w:val="0"/>
                  <w:vAlign w:val="center"/>
                </w:tcPr>
                <w:p w14:paraId="1E1B2D53">
                  <w:pPr>
                    <w:pStyle w:val="86"/>
                    <w:spacing w:line="240" w:lineRule="auto"/>
                    <w:rPr>
                      <w:rFonts w:hint="eastAsia" w:cs="Times New Roman"/>
                      <w:color w:val="auto"/>
                      <w:sz w:val="21"/>
                      <w:szCs w:val="21"/>
                      <w:lang w:val="en-US" w:eastAsia="zh-CN"/>
                    </w:rPr>
                  </w:pPr>
                </w:p>
              </w:tc>
            </w:tr>
            <w:tr w14:paraId="032B3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60" w:type="pct"/>
                  <w:vMerge w:val="continue"/>
                  <w:noWrap w:val="0"/>
                  <w:vAlign w:val="center"/>
                </w:tcPr>
                <w:p w14:paraId="36D7054E">
                  <w:pPr>
                    <w:pStyle w:val="86"/>
                    <w:spacing w:line="240" w:lineRule="auto"/>
                    <w:rPr>
                      <w:rFonts w:hint="eastAsia" w:cs="Times New Roman"/>
                      <w:color w:val="auto"/>
                      <w:sz w:val="21"/>
                      <w:szCs w:val="21"/>
                      <w:lang w:val="en-US" w:eastAsia="zh-CN"/>
                    </w:rPr>
                  </w:pPr>
                </w:p>
              </w:tc>
              <w:tc>
                <w:tcPr>
                  <w:tcW w:w="403" w:type="pct"/>
                  <w:vMerge w:val="continue"/>
                  <w:noWrap w:val="0"/>
                  <w:vAlign w:val="center"/>
                </w:tcPr>
                <w:p w14:paraId="558260F7">
                  <w:pPr>
                    <w:pStyle w:val="86"/>
                    <w:spacing w:line="240" w:lineRule="auto"/>
                    <w:rPr>
                      <w:rFonts w:hint="eastAsia" w:cs="Times New Roman"/>
                      <w:color w:val="auto"/>
                      <w:sz w:val="21"/>
                      <w:szCs w:val="21"/>
                      <w:lang w:val="en-US" w:eastAsia="zh-CN"/>
                    </w:rPr>
                  </w:pPr>
                </w:p>
              </w:tc>
              <w:tc>
                <w:tcPr>
                  <w:tcW w:w="462" w:type="pct"/>
                  <w:vMerge w:val="continue"/>
                  <w:noWrap w:val="0"/>
                  <w:vAlign w:val="center"/>
                </w:tcPr>
                <w:p w14:paraId="7B430922">
                  <w:pPr>
                    <w:pStyle w:val="86"/>
                    <w:spacing w:line="240" w:lineRule="auto"/>
                    <w:rPr>
                      <w:rFonts w:hint="eastAsia" w:cs="Times New Roman"/>
                      <w:color w:val="auto"/>
                      <w:sz w:val="21"/>
                      <w:szCs w:val="21"/>
                      <w:lang w:val="en-US" w:eastAsia="zh-CN"/>
                    </w:rPr>
                  </w:pPr>
                </w:p>
              </w:tc>
              <w:tc>
                <w:tcPr>
                  <w:tcW w:w="698" w:type="pct"/>
                  <w:noWrap w:val="0"/>
                  <w:vAlign w:val="center"/>
                </w:tcPr>
                <w:p w14:paraId="3CCABDD0">
                  <w:pPr>
                    <w:pStyle w:val="86"/>
                    <w:spacing w:line="240" w:lineRule="auto"/>
                    <w:rPr>
                      <w:rFonts w:hint="eastAsia" w:cs="Times New Roman"/>
                      <w:color w:val="auto"/>
                      <w:sz w:val="21"/>
                      <w:szCs w:val="21"/>
                      <w:lang w:val="en-US" w:eastAsia="zh-CN"/>
                    </w:rPr>
                  </w:pPr>
                  <w:r>
                    <w:rPr>
                      <w:rFonts w:hint="eastAsia" w:cs="Times New Roman"/>
                      <w:color w:val="auto"/>
                      <w:sz w:val="21"/>
                      <w:szCs w:val="21"/>
                      <w:lang w:val="en-US" w:eastAsia="zh-CN"/>
                    </w:rPr>
                    <w:t>841-003-01</w:t>
                  </w:r>
                </w:p>
              </w:tc>
              <w:tc>
                <w:tcPr>
                  <w:tcW w:w="461" w:type="pct"/>
                  <w:vMerge w:val="continue"/>
                  <w:noWrap w:val="0"/>
                  <w:vAlign w:val="center"/>
                </w:tcPr>
                <w:p w14:paraId="3E211F49">
                  <w:pPr>
                    <w:pStyle w:val="86"/>
                    <w:spacing w:line="240" w:lineRule="auto"/>
                    <w:rPr>
                      <w:rFonts w:hint="eastAsia" w:cs="Times New Roman"/>
                      <w:color w:val="auto"/>
                      <w:sz w:val="21"/>
                      <w:szCs w:val="21"/>
                      <w:lang w:val="en-US" w:eastAsia="zh-CN"/>
                    </w:rPr>
                  </w:pPr>
                </w:p>
              </w:tc>
              <w:tc>
                <w:tcPr>
                  <w:tcW w:w="470" w:type="pct"/>
                  <w:vMerge w:val="continue"/>
                  <w:noWrap w:val="0"/>
                  <w:vAlign w:val="center"/>
                </w:tcPr>
                <w:p w14:paraId="482559F7">
                  <w:pPr>
                    <w:pStyle w:val="86"/>
                    <w:spacing w:line="240" w:lineRule="auto"/>
                    <w:rPr>
                      <w:rFonts w:hint="eastAsia" w:cs="Times New Roman"/>
                      <w:color w:val="auto"/>
                      <w:sz w:val="21"/>
                      <w:szCs w:val="21"/>
                      <w:lang w:val="en-US" w:eastAsia="zh-CN"/>
                    </w:rPr>
                  </w:pPr>
                </w:p>
              </w:tc>
              <w:tc>
                <w:tcPr>
                  <w:tcW w:w="248" w:type="pct"/>
                  <w:vMerge w:val="continue"/>
                  <w:noWrap w:val="0"/>
                  <w:vAlign w:val="center"/>
                </w:tcPr>
                <w:p w14:paraId="2E26D4FA">
                  <w:pPr>
                    <w:pStyle w:val="86"/>
                    <w:spacing w:line="240" w:lineRule="auto"/>
                    <w:rPr>
                      <w:rFonts w:hint="eastAsia" w:cs="Times New Roman"/>
                      <w:color w:val="auto"/>
                      <w:sz w:val="21"/>
                      <w:szCs w:val="21"/>
                      <w:lang w:val="en-US" w:eastAsia="zh-CN"/>
                    </w:rPr>
                  </w:pPr>
                </w:p>
              </w:tc>
              <w:tc>
                <w:tcPr>
                  <w:tcW w:w="803" w:type="dxa"/>
                  <w:noWrap w:val="0"/>
                  <w:vAlign w:val="center"/>
                </w:tcPr>
                <w:p w14:paraId="78D4FBA0">
                  <w:pPr>
                    <w:pStyle w:val="120"/>
                    <w:keepNext w:val="0"/>
                    <w:keepLines w:val="0"/>
                    <w:pageBreakBefore w:val="0"/>
                    <w:widowControl w:val="0"/>
                    <w:kinsoku/>
                    <w:wordWrap/>
                    <w:overflowPunct/>
                    <w:topLinePunct w:val="0"/>
                    <w:autoSpaceDE/>
                    <w:autoSpaceDN/>
                    <w:bidi w:val="0"/>
                    <w:adjustRightInd/>
                    <w:snapToGrid/>
                    <w:ind w:left="-105" w:leftChars="-50" w:right="-105" w:rightChars="-50" w:firstLine="0" w:firstLineChars="0"/>
                    <w:textAlignment w:val="auto"/>
                    <w:rPr>
                      <w:rFonts w:hint="eastAsia" w:cs="Times New Roman"/>
                      <w:color w:val="auto"/>
                      <w:sz w:val="21"/>
                      <w:szCs w:val="21"/>
                      <w:lang w:val="en-US" w:eastAsia="zh-CN"/>
                    </w:rPr>
                  </w:pPr>
                  <w:r>
                    <w:rPr>
                      <w:rFonts w:hint="eastAsia"/>
                      <w:color w:val="auto"/>
                      <w:highlight w:val="none"/>
                      <w:lang w:val="en-US" w:eastAsia="zh-CN"/>
                    </w:rPr>
                    <w:t>病理性废物</w:t>
                  </w:r>
                </w:p>
              </w:tc>
              <w:tc>
                <w:tcPr>
                  <w:tcW w:w="472" w:type="pct"/>
                  <w:vMerge w:val="continue"/>
                  <w:noWrap w:val="0"/>
                  <w:vAlign w:val="center"/>
                </w:tcPr>
                <w:p w14:paraId="52B210D0">
                  <w:pPr>
                    <w:pStyle w:val="86"/>
                    <w:spacing w:line="240" w:lineRule="auto"/>
                    <w:rPr>
                      <w:rFonts w:hint="eastAsia" w:cs="Times New Roman"/>
                      <w:color w:val="auto"/>
                      <w:sz w:val="21"/>
                      <w:szCs w:val="21"/>
                      <w:lang w:val="en-US" w:eastAsia="zh-CN"/>
                    </w:rPr>
                  </w:pPr>
                </w:p>
              </w:tc>
              <w:tc>
                <w:tcPr>
                  <w:tcW w:w="288" w:type="pct"/>
                  <w:vMerge w:val="continue"/>
                  <w:noWrap w:val="0"/>
                  <w:vAlign w:val="center"/>
                </w:tcPr>
                <w:p w14:paraId="77F9CCE7">
                  <w:pPr>
                    <w:pStyle w:val="86"/>
                    <w:spacing w:line="240" w:lineRule="auto"/>
                    <w:rPr>
                      <w:rFonts w:hint="eastAsia" w:cs="Times New Roman"/>
                      <w:color w:val="auto"/>
                      <w:sz w:val="21"/>
                      <w:szCs w:val="21"/>
                      <w:lang w:val="en-US" w:eastAsia="zh-CN"/>
                    </w:rPr>
                  </w:pPr>
                </w:p>
              </w:tc>
              <w:tc>
                <w:tcPr>
                  <w:tcW w:w="335" w:type="pct"/>
                  <w:noWrap w:val="0"/>
                  <w:vAlign w:val="center"/>
                </w:tcPr>
                <w:p w14:paraId="32955131">
                  <w:pPr>
                    <w:pStyle w:val="86"/>
                    <w:spacing w:line="240" w:lineRule="auto"/>
                    <w:rPr>
                      <w:rFonts w:hint="eastAsia" w:cs="Times New Roman"/>
                      <w:color w:val="auto"/>
                      <w:sz w:val="21"/>
                      <w:szCs w:val="21"/>
                      <w:lang w:val="en-US" w:eastAsia="zh-CN"/>
                    </w:rPr>
                  </w:pPr>
                  <w:r>
                    <w:rPr>
                      <w:rFonts w:hint="eastAsia" w:cs="Times New Roman"/>
                      <w:color w:val="auto"/>
                      <w:sz w:val="21"/>
                      <w:szCs w:val="21"/>
                      <w:lang w:val="en-US" w:eastAsia="zh-CN"/>
                    </w:rPr>
                    <w:t>In</w:t>
                  </w:r>
                </w:p>
              </w:tc>
              <w:tc>
                <w:tcPr>
                  <w:tcW w:w="432" w:type="pct"/>
                  <w:vMerge w:val="continue"/>
                  <w:noWrap w:val="0"/>
                  <w:vAlign w:val="center"/>
                </w:tcPr>
                <w:p w14:paraId="220444AA">
                  <w:pPr>
                    <w:pStyle w:val="86"/>
                    <w:spacing w:line="240" w:lineRule="auto"/>
                    <w:rPr>
                      <w:rFonts w:hint="eastAsia" w:cs="Times New Roman"/>
                      <w:color w:val="auto"/>
                      <w:sz w:val="21"/>
                      <w:szCs w:val="21"/>
                      <w:lang w:val="en-US" w:eastAsia="zh-CN"/>
                    </w:rPr>
                  </w:pPr>
                </w:p>
              </w:tc>
            </w:tr>
            <w:tr w14:paraId="6E20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60" w:type="pct"/>
                  <w:vMerge w:val="continue"/>
                  <w:noWrap w:val="0"/>
                  <w:vAlign w:val="center"/>
                </w:tcPr>
                <w:p w14:paraId="72422EB8">
                  <w:pPr>
                    <w:pStyle w:val="86"/>
                    <w:spacing w:line="240" w:lineRule="auto"/>
                    <w:rPr>
                      <w:rFonts w:hint="eastAsia" w:cs="Times New Roman"/>
                      <w:color w:val="auto"/>
                      <w:sz w:val="21"/>
                      <w:szCs w:val="21"/>
                      <w:lang w:val="en-US" w:eastAsia="zh-CN"/>
                    </w:rPr>
                  </w:pPr>
                </w:p>
              </w:tc>
              <w:tc>
                <w:tcPr>
                  <w:tcW w:w="403" w:type="pct"/>
                  <w:vMerge w:val="continue"/>
                  <w:noWrap w:val="0"/>
                  <w:vAlign w:val="center"/>
                </w:tcPr>
                <w:p w14:paraId="3D481D81">
                  <w:pPr>
                    <w:pStyle w:val="86"/>
                    <w:spacing w:line="240" w:lineRule="auto"/>
                    <w:rPr>
                      <w:rFonts w:hint="eastAsia" w:cs="Times New Roman"/>
                      <w:color w:val="auto"/>
                      <w:sz w:val="21"/>
                      <w:szCs w:val="21"/>
                      <w:lang w:val="en-US" w:eastAsia="zh-CN"/>
                    </w:rPr>
                  </w:pPr>
                </w:p>
              </w:tc>
              <w:tc>
                <w:tcPr>
                  <w:tcW w:w="462" w:type="pct"/>
                  <w:vMerge w:val="continue"/>
                  <w:noWrap w:val="0"/>
                  <w:vAlign w:val="center"/>
                </w:tcPr>
                <w:p w14:paraId="164FEC4F">
                  <w:pPr>
                    <w:pStyle w:val="86"/>
                    <w:spacing w:line="240" w:lineRule="auto"/>
                    <w:rPr>
                      <w:rFonts w:hint="eastAsia" w:cs="Times New Roman"/>
                      <w:color w:val="auto"/>
                      <w:sz w:val="21"/>
                      <w:szCs w:val="21"/>
                      <w:lang w:val="en-US" w:eastAsia="zh-CN"/>
                    </w:rPr>
                  </w:pPr>
                </w:p>
              </w:tc>
              <w:tc>
                <w:tcPr>
                  <w:tcW w:w="698" w:type="pct"/>
                  <w:noWrap w:val="0"/>
                  <w:vAlign w:val="center"/>
                </w:tcPr>
                <w:p w14:paraId="7BAEAB95">
                  <w:pPr>
                    <w:pStyle w:val="86"/>
                    <w:spacing w:line="240" w:lineRule="auto"/>
                    <w:rPr>
                      <w:rFonts w:hint="eastAsia" w:cs="Times New Roman"/>
                      <w:color w:val="auto"/>
                      <w:sz w:val="21"/>
                      <w:szCs w:val="21"/>
                      <w:lang w:val="en-US" w:eastAsia="zh-CN"/>
                    </w:rPr>
                  </w:pPr>
                  <w:r>
                    <w:rPr>
                      <w:rFonts w:hint="eastAsia" w:cs="Times New Roman"/>
                      <w:color w:val="auto"/>
                      <w:sz w:val="21"/>
                      <w:szCs w:val="21"/>
                      <w:lang w:val="en-US" w:eastAsia="zh-CN"/>
                    </w:rPr>
                    <w:t>841-004-01</w:t>
                  </w:r>
                </w:p>
              </w:tc>
              <w:tc>
                <w:tcPr>
                  <w:tcW w:w="461" w:type="pct"/>
                  <w:vMerge w:val="continue"/>
                  <w:noWrap w:val="0"/>
                  <w:vAlign w:val="center"/>
                </w:tcPr>
                <w:p w14:paraId="54DCB179">
                  <w:pPr>
                    <w:pStyle w:val="86"/>
                    <w:spacing w:line="240" w:lineRule="auto"/>
                    <w:rPr>
                      <w:rFonts w:hint="eastAsia" w:cs="Times New Roman"/>
                      <w:color w:val="auto"/>
                      <w:sz w:val="21"/>
                      <w:szCs w:val="21"/>
                      <w:lang w:val="en-US" w:eastAsia="zh-CN"/>
                    </w:rPr>
                  </w:pPr>
                </w:p>
              </w:tc>
              <w:tc>
                <w:tcPr>
                  <w:tcW w:w="470" w:type="pct"/>
                  <w:vMerge w:val="continue"/>
                  <w:noWrap w:val="0"/>
                  <w:vAlign w:val="center"/>
                </w:tcPr>
                <w:p w14:paraId="3834CE94">
                  <w:pPr>
                    <w:pStyle w:val="86"/>
                    <w:spacing w:line="240" w:lineRule="auto"/>
                    <w:rPr>
                      <w:rFonts w:hint="eastAsia" w:cs="Times New Roman"/>
                      <w:color w:val="auto"/>
                      <w:sz w:val="21"/>
                      <w:szCs w:val="21"/>
                      <w:lang w:val="en-US" w:eastAsia="zh-CN"/>
                    </w:rPr>
                  </w:pPr>
                </w:p>
              </w:tc>
              <w:tc>
                <w:tcPr>
                  <w:tcW w:w="248" w:type="pct"/>
                  <w:vMerge w:val="continue"/>
                  <w:noWrap w:val="0"/>
                  <w:vAlign w:val="center"/>
                </w:tcPr>
                <w:p w14:paraId="72BB9AAE">
                  <w:pPr>
                    <w:pStyle w:val="86"/>
                    <w:spacing w:line="240" w:lineRule="auto"/>
                    <w:rPr>
                      <w:rFonts w:hint="eastAsia" w:cs="Times New Roman"/>
                      <w:color w:val="auto"/>
                      <w:sz w:val="21"/>
                      <w:szCs w:val="21"/>
                      <w:lang w:val="en-US" w:eastAsia="zh-CN"/>
                    </w:rPr>
                  </w:pPr>
                </w:p>
              </w:tc>
              <w:tc>
                <w:tcPr>
                  <w:tcW w:w="803" w:type="dxa"/>
                  <w:noWrap w:val="0"/>
                  <w:vAlign w:val="center"/>
                </w:tcPr>
                <w:p w14:paraId="1F24F168">
                  <w:pPr>
                    <w:pStyle w:val="120"/>
                    <w:keepNext w:val="0"/>
                    <w:keepLines w:val="0"/>
                    <w:pageBreakBefore w:val="0"/>
                    <w:widowControl w:val="0"/>
                    <w:kinsoku/>
                    <w:wordWrap/>
                    <w:overflowPunct/>
                    <w:topLinePunct w:val="0"/>
                    <w:autoSpaceDE/>
                    <w:autoSpaceDN/>
                    <w:bidi w:val="0"/>
                    <w:adjustRightInd/>
                    <w:snapToGrid/>
                    <w:ind w:left="-105" w:leftChars="-50" w:right="-105" w:rightChars="-50" w:firstLine="0" w:firstLineChars="0"/>
                    <w:textAlignment w:val="auto"/>
                    <w:rPr>
                      <w:rFonts w:hint="eastAsia" w:cs="Times New Roman"/>
                      <w:color w:val="auto"/>
                      <w:sz w:val="21"/>
                      <w:szCs w:val="21"/>
                      <w:lang w:val="en-US" w:eastAsia="zh-CN"/>
                    </w:rPr>
                  </w:pPr>
                  <w:r>
                    <w:rPr>
                      <w:rFonts w:hint="eastAsia"/>
                      <w:color w:val="auto"/>
                      <w:highlight w:val="none"/>
                      <w:lang w:val="en-US" w:eastAsia="zh-CN"/>
                    </w:rPr>
                    <w:t>化学性废物</w:t>
                  </w:r>
                </w:p>
              </w:tc>
              <w:tc>
                <w:tcPr>
                  <w:tcW w:w="472" w:type="pct"/>
                  <w:vMerge w:val="continue"/>
                  <w:noWrap w:val="0"/>
                  <w:vAlign w:val="center"/>
                </w:tcPr>
                <w:p w14:paraId="27EB7E9B">
                  <w:pPr>
                    <w:pStyle w:val="86"/>
                    <w:spacing w:line="240" w:lineRule="auto"/>
                    <w:rPr>
                      <w:rFonts w:hint="eastAsia" w:cs="Times New Roman"/>
                      <w:color w:val="auto"/>
                      <w:sz w:val="21"/>
                      <w:szCs w:val="21"/>
                      <w:lang w:val="en-US" w:eastAsia="zh-CN"/>
                    </w:rPr>
                  </w:pPr>
                </w:p>
              </w:tc>
              <w:tc>
                <w:tcPr>
                  <w:tcW w:w="288" w:type="pct"/>
                  <w:vMerge w:val="continue"/>
                  <w:noWrap w:val="0"/>
                  <w:vAlign w:val="center"/>
                </w:tcPr>
                <w:p w14:paraId="1BBD6396">
                  <w:pPr>
                    <w:pStyle w:val="86"/>
                    <w:spacing w:line="240" w:lineRule="auto"/>
                    <w:rPr>
                      <w:rFonts w:hint="eastAsia" w:cs="Times New Roman"/>
                      <w:color w:val="auto"/>
                      <w:sz w:val="21"/>
                      <w:szCs w:val="21"/>
                      <w:lang w:val="en-US" w:eastAsia="zh-CN"/>
                    </w:rPr>
                  </w:pPr>
                </w:p>
              </w:tc>
              <w:tc>
                <w:tcPr>
                  <w:tcW w:w="335" w:type="pct"/>
                  <w:noWrap w:val="0"/>
                  <w:vAlign w:val="center"/>
                </w:tcPr>
                <w:p w14:paraId="3411CAFE">
                  <w:pPr>
                    <w:pStyle w:val="86"/>
                    <w:spacing w:line="240" w:lineRule="auto"/>
                    <w:rPr>
                      <w:rFonts w:hint="default" w:cs="Times New Roman"/>
                      <w:color w:val="auto"/>
                      <w:sz w:val="21"/>
                      <w:szCs w:val="21"/>
                      <w:lang w:val="en-US" w:eastAsia="zh-CN"/>
                    </w:rPr>
                  </w:pPr>
                  <w:r>
                    <w:rPr>
                      <w:rFonts w:hint="eastAsia" w:cs="Times New Roman"/>
                      <w:color w:val="auto"/>
                      <w:sz w:val="21"/>
                      <w:szCs w:val="21"/>
                      <w:lang w:val="en-US" w:eastAsia="zh-CN"/>
                    </w:rPr>
                    <w:t>T/C/I/R</w:t>
                  </w:r>
                </w:p>
              </w:tc>
              <w:tc>
                <w:tcPr>
                  <w:tcW w:w="432" w:type="pct"/>
                  <w:vMerge w:val="continue"/>
                  <w:noWrap w:val="0"/>
                  <w:vAlign w:val="center"/>
                </w:tcPr>
                <w:p w14:paraId="571CD656">
                  <w:pPr>
                    <w:pStyle w:val="86"/>
                    <w:spacing w:line="240" w:lineRule="auto"/>
                    <w:rPr>
                      <w:rFonts w:hint="eastAsia" w:cs="Times New Roman"/>
                      <w:color w:val="auto"/>
                      <w:sz w:val="21"/>
                      <w:szCs w:val="21"/>
                      <w:lang w:val="en-US" w:eastAsia="zh-CN"/>
                    </w:rPr>
                  </w:pPr>
                </w:p>
              </w:tc>
            </w:tr>
            <w:tr w14:paraId="3327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60" w:type="pct"/>
                  <w:vMerge w:val="continue"/>
                  <w:noWrap w:val="0"/>
                  <w:vAlign w:val="center"/>
                </w:tcPr>
                <w:p w14:paraId="5BE9C574">
                  <w:pPr>
                    <w:pStyle w:val="86"/>
                    <w:spacing w:line="240" w:lineRule="auto"/>
                    <w:rPr>
                      <w:rFonts w:hint="eastAsia" w:cs="Times New Roman"/>
                      <w:color w:val="auto"/>
                      <w:sz w:val="21"/>
                      <w:szCs w:val="21"/>
                      <w:lang w:val="en-US" w:eastAsia="zh-CN"/>
                    </w:rPr>
                  </w:pPr>
                </w:p>
              </w:tc>
              <w:tc>
                <w:tcPr>
                  <w:tcW w:w="403" w:type="pct"/>
                  <w:vMerge w:val="continue"/>
                  <w:noWrap w:val="0"/>
                  <w:vAlign w:val="center"/>
                </w:tcPr>
                <w:p w14:paraId="5F022C89">
                  <w:pPr>
                    <w:pStyle w:val="86"/>
                    <w:spacing w:line="240" w:lineRule="auto"/>
                    <w:rPr>
                      <w:rFonts w:hint="eastAsia" w:cs="Times New Roman"/>
                      <w:color w:val="auto"/>
                      <w:sz w:val="21"/>
                      <w:szCs w:val="21"/>
                      <w:lang w:val="en-US" w:eastAsia="zh-CN"/>
                    </w:rPr>
                  </w:pPr>
                </w:p>
              </w:tc>
              <w:tc>
                <w:tcPr>
                  <w:tcW w:w="462" w:type="pct"/>
                  <w:vMerge w:val="continue"/>
                  <w:noWrap w:val="0"/>
                  <w:vAlign w:val="center"/>
                </w:tcPr>
                <w:p w14:paraId="57DB7905">
                  <w:pPr>
                    <w:pStyle w:val="86"/>
                    <w:spacing w:line="240" w:lineRule="auto"/>
                    <w:rPr>
                      <w:rFonts w:hint="eastAsia" w:cs="Times New Roman"/>
                      <w:color w:val="auto"/>
                      <w:sz w:val="21"/>
                      <w:szCs w:val="21"/>
                      <w:lang w:val="en-US" w:eastAsia="zh-CN"/>
                    </w:rPr>
                  </w:pPr>
                </w:p>
              </w:tc>
              <w:tc>
                <w:tcPr>
                  <w:tcW w:w="698" w:type="pct"/>
                  <w:noWrap w:val="0"/>
                  <w:vAlign w:val="center"/>
                </w:tcPr>
                <w:p w14:paraId="765D6806">
                  <w:pPr>
                    <w:pStyle w:val="86"/>
                    <w:spacing w:line="240" w:lineRule="auto"/>
                    <w:rPr>
                      <w:rFonts w:hint="eastAsia" w:cs="Times New Roman"/>
                      <w:color w:val="auto"/>
                      <w:sz w:val="21"/>
                      <w:szCs w:val="21"/>
                      <w:lang w:val="en-US" w:eastAsia="zh-CN"/>
                    </w:rPr>
                  </w:pPr>
                  <w:r>
                    <w:rPr>
                      <w:rFonts w:hint="eastAsia" w:cs="Times New Roman"/>
                      <w:color w:val="auto"/>
                      <w:sz w:val="21"/>
                      <w:szCs w:val="21"/>
                      <w:lang w:val="en-US" w:eastAsia="zh-CN"/>
                    </w:rPr>
                    <w:t>841-005-01</w:t>
                  </w:r>
                </w:p>
              </w:tc>
              <w:tc>
                <w:tcPr>
                  <w:tcW w:w="461" w:type="pct"/>
                  <w:vMerge w:val="continue"/>
                  <w:noWrap w:val="0"/>
                  <w:vAlign w:val="center"/>
                </w:tcPr>
                <w:p w14:paraId="75F3BCA0">
                  <w:pPr>
                    <w:pStyle w:val="86"/>
                    <w:spacing w:line="240" w:lineRule="auto"/>
                    <w:rPr>
                      <w:rFonts w:hint="eastAsia" w:cs="Times New Roman"/>
                      <w:color w:val="auto"/>
                      <w:sz w:val="21"/>
                      <w:szCs w:val="21"/>
                      <w:lang w:val="en-US" w:eastAsia="zh-CN"/>
                    </w:rPr>
                  </w:pPr>
                </w:p>
              </w:tc>
              <w:tc>
                <w:tcPr>
                  <w:tcW w:w="470" w:type="pct"/>
                  <w:vMerge w:val="continue"/>
                  <w:noWrap w:val="0"/>
                  <w:vAlign w:val="center"/>
                </w:tcPr>
                <w:p w14:paraId="48AC1BEA">
                  <w:pPr>
                    <w:pStyle w:val="86"/>
                    <w:spacing w:line="240" w:lineRule="auto"/>
                    <w:rPr>
                      <w:rFonts w:hint="eastAsia" w:cs="Times New Roman"/>
                      <w:color w:val="auto"/>
                      <w:sz w:val="21"/>
                      <w:szCs w:val="21"/>
                      <w:lang w:val="en-US" w:eastAsia="zh-CN"/>
                    </w:rPr>
                  </w:pPr>
                </w:p>
              </w:tc>
              <w:tc>
                <w:tcPr>
                  <w:tcW w:w="248" w:type="pct"/>
                  <w:vMerge w:val="continue"/>
                  <w:noWrap w:val="0"/>
                  <w:vAlign w:val="center"/>
                </w:tcPr>
                <w:p w14:paraId="69CCC33E">
                  <w:pPr>
                    <w:pStyle w:val="86"/>
                    <w:spacing w:line="240" w:lineRule="auto"/>
                    <w:rPr>
                      <w:rFonts w:hint="eastAsia" w:cs="Times New Roman"/>
                      <w:color w:val="auto"/>
                      <w:sz w:val="21"/>
                      <w:szCs w:val="21"/>
                      <w:lang w:val="en-US" w:eastAsia="zh-CN"/>
                    </w:rPr>
                  </w:pPr>
                </w:p>
              </w:tc>
              <w:tc>
                <w:tcPr>
                  <w:tcW w:w="803" w:type="dxa"/>
                  <w:noWrap w:val="0"/>
                  <w:vAlign w:val="center"/>
                </w:tcPr>
                <w:p w14:paraId="12BF43BC">
                  <w:pPr>
                    <w:pStyle w:val="120"/>
                    <w:keepNext w:val="0"/>
                    <w:keepLines w:val="0"/>
                    <w:pageBreakBefore w:val="0"/>
                    <w:widowControl w:val="0"/>
                    <w:kinsoku/>
                    <w:wordWrap/>
                    <w:overflowPunct/>
                    <w:topLinePunct w:val="0"/>
                    <w:autoSpaceDE/>
                    <w:autoSpaceDN/>
                    <w:bidi w:val="0"/>
                    <w:adjustRightInd/>
                    <w:snapToGrid/>
                    <w:ind w:left="-105" w:leftChars="-50" w:right="-105" w:rightChars="-50" w:firstLine="0" w:firstLineChars="0"/>
                    <w:textAlignment w:val="auto"/>
                    <w:rPr>
                      <w:rFonts w:hint="eastAsia" w:cs="Times New Roman"/>
                      <w:color w:val="auto"/>
                      <w:sz w:val="21"/>
                      <w:szCs w:val="21"/>
                      <w:lang w:val="en-US" w:eastAsia="zh-CN"/>
                    </w:rPr>
                  </w:pPr>
                  <w:r>
                    <w:rPr>
                      <w:rFonts w:hint="eastAsia"/>
                      <w:color w:val="auto"/>
                      <w:highlight w:val="none"/>
                      <w:lang w:val="en-US" w:eastAsia="zh-CN"/>
                    </w:rPr>
                    <w:t>药物性废物</w:t>
                  </w:r>
                </w:p>
              </w:tc>
              <w:tc>
                <w:tcPr>
                  <w:tcW w:w="472" w:type="pct"/>
                  <w:vMerge w:val="continue"/>
                  <w:noWrap w:val="0"/>
                  <w:vAlign w:val="center"/>
                </w:tcPr>
                <w:p w14:paraId="247F01C9">
                  <w:pPr>
                    <w:pStyle w:val="86"/>
                    <w:spacing w:line="240" w:lineRule="auto"/>
                    <w:rPr>
                      <w:rFonts w:hint="eastAsia" w:cs="Times New Roman"/>
                      <w:color w:val="auto"/>
                      <w:sz w:val="21"/>
                      <w:szCs w:val="21"/>
                      <w:lang w:val="en-US" w:eastAsia="zh-CN"/>
                    </w:rPr>
                  </w:pPr>
                </w:p>
              </w:tc>
              <w:tc>
                <w:tcPr>
                  <w:tcW w:w="288" w:type="pct"/>
                  <w:vMerge w:val="continue"/>
                  <w:noWrap w:val="0"/>
                  <w:vAlign w:val="center"/>
                </w:tcPr>
                <w:p w14:paraId="110106D0">
                  <w:pPr>
                    <w:pStyle w:val="86"/>
                    <w:spacing w:line="240" w:lineRule="auto"/>
                    <w:rPr>
                      <w:rFonts w:hint="eastAsia" w:cs="Times New Roman"/>
                      <w:color w:val="auto"/>
                      <w:sz w:val="21"/>
                      <w:szCs w:val="21"/>
                      <w:lang w:val="en-US" w:eastAsia="zh-CN"/>
                    </w:rPr>
                  </w:pPr>
                </w:p>
              </w:tc>
              <w:tc>
                <w:tcPr>
                  <w:tcW w:w="335" w:type="pct"/>
                  <w:noWrap w:val="0"/>
                  <w:vAlign w:val="center"/>
                </w:tcPr>
                <w:p w14:paraId="59167344">
                  <w:pPr>
                    <w:pStyle w:val="86"/>
                    <w:spacing w:line="240" w:lineRule="auto"/>
                    <w:rPr>
                      <w:rFonts w:hint="default" w:cs="Times New Roman"/>
                      <w:color w:val="auto"/>
                      <w:sz w:val="21"/>
                      <w:szCs w:val="21"/>
                      <w:lang w:val="en-US" w:eastAsia="zh-CN"/>
                    </w:rPr>
                  </w:pPr>
                  <w:r>
                    <w:rPr>
                      <w:rFonts w:hint="eastAsia" w:cs="Times New Roman"/>
                      <w:color w:val="auto"/>
                      <w:sz w:val="21"/>
                      <w:szCs w:val="21"/>
                      <w:lang w:val="en-US" w:eastAsia="zh-CN"/>
                    </w:rPr>
                    <w:t>T</w:t>
                  </w:r>
                </w:p>
              </w:tc>
              <w:tc>
                <w:tcPr>
                  <w:tcW w:w="432" w:type="pct"/>
                  <w:vMerge w:val="continue"/>
                  <w:noWrap w:val="0"/>
                  <w:vAlign w:val="center"/>
                </w:tcPr>
                <w:p w14:paraId="7DE908BC">
                  <w:pPr>
                    <w:pStyle w:val="86"/>
                    <w:spacing w:line="240" w:lineRule="auto"/>
                    <w:rPr>
                      <w:rFonts w:hint="eastAsia" w:cs="Times New Roman"/>
                      <w:color w:val="auto"/>
                      <w:sz w:val="21"/>
                      <w:szCs w:val="21"/>
                      <w:lang w:val="en-US" w:eastAsia="zh-CN"/>
                    </w:rPr>
                  </w:pPr>
                </w:p>
              </w:tc>
            </w:tr>
            <w:tr w14:paraId="299D5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0" w:type="pct"/>
                  <w:noWrap w:val="0"/>
                  <w:vAlign w:val="center"/>
                </w:tcPr>
                <w:p w14:paraId="25DD6FE0">
                  <w:pPr>
                    <w:topLinePunct/>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2</w:t>
                  </w:r>
                </w:p>
              </w:tc>
              <w:tc>
                <w:tcPr>
                  <w:tcW w:w="403" w:type="pct"/>
                  <w:noWrap w:val="0"/>
                  <w:vAlign w:val="center"/>
                </w:tcPr>
                <w:p w14:paraId="52BDE3B1">
                  <w:pPr>
                    <w:jc w:val="center"/>
                    <w:rPr>
                      <w:rFonts w:hint="eastAsia"/>
                      <w:color w:val="auto"/>
                      <w:szCs w:val="21"/>
                      <w:lang w:eastAsia="zh-CN"/>
                    </w:rPr>
                  </w:pPr>
                  <w:r>
                    <w:rPr>
                      <w:rFonts w:hint="eastAsia"/>
                      <w:color w:val="auto"/>
                      <w:szCs w:val="21"/>
                      <w:lang w:val="en-US" w:eastAsia="zh-CN"/>
                    </w:rPr>
                    <w:t>危险废包装物</w:t>
                  </w:r>
                </w:p>
              </w:tc>
              <w:tc>
                <w:tcPr>
                  <w:tcW w:w="462" w:type="pct"/>
                  <w:noWrap w:val="0"/>
                  <w:vAlign w:val="center"/>
                </w:tcPr>
                <w:p w14:paraId="6CECEA91">
                  <w:pPr>
                    <w:pStyle w:val="86"/>
                    <w:spacing w:line="240" w:lineRule="auto"/>
                    <w:rPr>
                      <w:rFonts w:hint="eastAsia"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HW49</w:t>
                  </w:r>
                </w:p>
              </w:tc>
              <w:tc>
                <w:tcPr>
                  <w:tcW w:w="698" w:type="pct"/>
                  <w:noWrap w:val="0"/>
                  <w:vAlign w:val="center"/>
                </w:tcPr>
                <w:p w14:paraId="7DB6021D">
                  <w:pPr>
                    <w:pStyle w:val="86"/>
                    <w:spacing w:line="240" w:lineRule="auto"/>
                    <w:rPr>
                      <w:rFonts w:hint="eastAsia" w:cs="Times New Roman"/>
                      <w:color w:val="auto"/>
                      <w:sz w:val="21"/>
                      <w:szCs w:val="21"/>
                      <w:lang w:val="en-US" w:eastAsia="zh-CN"/>
                    </w:rPr>
                  </w:pPr>
                  <w:r>
                    <w:rPr>
                      <w:rFonts w:hint="eastAsia" w:ascii="Times New Roman" w:hAnsi="Times New Roman" w:cs="Times New Roman"/>
                      <w:color w:val="auto"/>
                      <w:sz w:val="21"/>
                      <w:szCs w:val="21"/>
                      <w:lang w:val="en-US" w:eastAsia="zh-CN"/>
                    </w:rPr>
                    <w:t>900-041-49</w:t>
                  </w:r>
                </w:p>
              </w:tc>
              <w:tc>
                <w:tcPr>
                  <w:tcW w:w="461" w:type="pct"/>
                  <w:noWrap w:val="0"/>
                  <w:vAlign w:val="center"/>
                </w:tcPr>
                <w:p w14:paraId="39574354">
                  <w:pPr>
                    <w:jc w:val="center"/>
                    <w:rPr>
                      <w:rFonts w:hint="eastAsia"/>
                      <w:color w:val="auto"/>
                      <w:szCs w:val="21"/>
                      <w:lang w:val="en-US" w:eastAsia="zh-CN"/>
                    </w:rPr>
                  </w:pPr>
                  <w:r>
                    <w:rPr>
                      <w:rFonts w:hint="eastAsia"/>
                      <w:color w:val="auto"/>
                      <w:szCs w:val="21"/>
                      <w:lang w:val="en-US" w:eastAsia="zh-CN"/>
                    </w:rPr>
                    <w:t>0.45</w:t>
                  </w:r>
                </w:p>
              </w:tc>
              <w:tc>
                <w:tcPr>
                  <w:tcW w:w="470" w:type="pct"/>
                  <w:noWrap w:val="0"/>
                  <w:vAlign w:val="center"/>
                </w:tcPr>
                <w:p w14:paraId="0139DF6F">
                  <w:pPr>
                    <w:jc w:val="center"/>
                    <w:rPr>
                      <w:rFonts w:hint="eastAsia"/>
                      <w:color w:val="auto"/>
                      <w:szCs w:val="21"/>
                      <w:lang w:eastAsia="zh-CN"/>
                    </w:rPr>
                  </w:pPr>
                  <w:r>
                    <w:rPr>
                      <w:rFonts w:hint="eastAsia"/>
                      <w:color w:val="auto"/>
                      <w:szCs w:val="21"/>
                      <w:lang w:eastAsia="zh-CN"/>
                    </w:rPr>
                    <w:t>危险废物</w:t>
                  </w:r>
                </w:p>
              </w:tc>
              <w:tc>
                <w:tcPr>
                  <w:tcW w:w="248" w:type="pct"/>
                  <w:noWrap w:val="0"/>
                  <w:vAlign w:val="center"/>
                </w:tcPr>
                <w:p w14:paraId="1F9548E6">
                  <w:pPr>
                    <w:jc w:val="center"/>
                    <w:rPr>
                      <w:rFonts w:hint="eastAsia"/>
                      <w:color w:val="auto"/>
                      <w:szCs w:val="21"/>
                      <w:lang w:eastAsia="zh-CN"/>
                    </w:rPr>
                  </w:pPr>
                  <w:r>
                    <w:rPr>
                      <w:rFonts w:hint="eastAsia"/>
                      <w:color w:val="auto"/>
                      <w:szCs w:val="21"/>
                      <w:lang w:eastAsia="zh-CN"/>
                    </w:rPr>
                    <w:t>固态</w:t>
                  </w:r>
                </w:p>
              </w:tc>
              <w:tc>
                <w:tcPr>
                  <w:tcW w:w="465" w:type="pct"/>
                  <w:noWrap w:val="0"/>
                  <w:vAlign w:val="center"/>
                </w:tcPr>
                <w:p w14:paraId="3492AA22">
                  <w:pPr>
                    <w:topLinePunct/>
                    <w:jc w:val="center"/>
                    <w:rPr>
                      <w:rFonts w:hint="default" w:cs="Times New Roman"/>
                      <w:color w:val="auto"/>
                      <w:sz w:val="21"/>
                      <w:szCs w:val="21"/>
                      <w:lang w:val="en-US" w:eastAsia="zh-CN"/>
                    </w:rPr>
                  </w:pPr>
                  <w:r>
                    <w:rPr>
                      <w:rFonts w:hint="eastAsia" w:cs="Times New Roman"/>
                      <w:color w:val="auto"/>
                      <w:sz w:val="21"/>
                      <w:szCs w:val="21"/>
                      <w:lang w:val="en-US" w:eastAsia="zh-CN"/>
                    </w:rPr>
                    <w:t>消毒液</w:t>
                  </w:r>
                </w:p>
              </w:tc>
              <w:tc>
                <w:tcPr>
                  <w:tcW w:w="472" w:type="pct"/>
                  <w:noWrap w:val="0"/>
                  <w:vAlign w:val="center"/>
                </w:tcPr>
                <w:p w14:paraId="6A91BA44">
                  <w:pPr>
                    <w:topLinePunct/>
                    <w:jc w:val="center"/>
                    <w:rPr>
                      <w:rFonts w:hint="default" w:cs="Times New Roman"/>
                      <w:color w:val="auto"/>
                      <w:sz w:val="21"/>
                      <w:szCs w:val="21"/>
                      <w:lang w:val="en-US" w:eastAsia="zh-CN"/>
                    </w:rPr>
                  </w:pPr>
                  <w:r>
                    <w:rPr>
                      <w:rFonts w:hint="eastAsia" w:cs="Times New Roman"/>
                      <w:color w:val="auto"/>
                      <w:sz w:val="21"/>
                      <w:szCs w:val="21"/>
                      <w:lang w:val="en-US" w:eastAsia="zh-CN"/>
                    </w:rPr>
                    <w:t>消毒液</w:t>
                  </w:r>
                </w:p>
              </w:tc>
              <w:tc>
                <w:tcPr>
                  <w:tcW w:w="288" w:type="pct"/>
                  <w:noWrap w:val="0"/>
                  <w:vAlign w:val="center"/>
                </w:tcPr>
                <w:p w14:paraId="696BAF23">
                  <w:pPr>
                    <w:jc w:val="center"/>
                    <w:rPr>
                      <w:rFonts w:hint="eastAsia"/>
                      <w:color w:val="auto"/>
                      <w:szCs w:val="21"/>
                      <w:lang w:val="en-US" w:eastAsia="zh-CN"/>
                    </w:rPr>
                  </w:pPr>
                  <w:r>
                    <w:rPr>
                      <w:rFonts w:hint="eastAsia"/>
                      <w:color w:val="auto"/>
                      <w:szCs w:val="21"/>
                      <w:lang w:eastAsia="zh-CN"/>
                    </w:rPr>
                    <w:t>每天</w:t>
                  </w:r>
                </w:p>
              </w:tc>
              <w:tc>
                <w:tcPr>
                  <w:tcW w:w="335" w:type="pct"/>
                  <w:noWrap w:val="0"/>
                  <w:vAlign w:val="center"/>
                </w:tcPr>
                <w:p w14:paraId="28012A26">
                  <w:pPr>
                    <w:topLinePunct/>
                    <w:jc w:val="center"/>
                    <w:rPr>
                      <w:rFonts w:hint="eastAsia" w:cs="Times New Roman"/>
                      <w:color w:val="auto"/>
                      <w:sz w:val="21"/>
                      <w:szCs w:val="21"/>
                      <w:lang w:val="en-US" w:eastAsia="zh-CN"/>
                    </w:rPr>
                  </w:pPr>
                  <w:r>
                    <w:rPr>
                      <w:rFonts w:hint="eastAsia" w:ascii="Times New Roman" w:hAnsi="Times New Roman" w:cs="Times New Roman"/>
                      <w:color w:val="auto"/>
                      <w:sz w:val="21"/>
                      <w:szCs w:val="21"/>
                      <w:lang w:val="en-US" w:eastAsia="zh-CN"/>
                    </w:rPr>
                    <w:t>T/In</w:t>
                  </w:r>
                </w:p>
              </w:tc>
              <w:tc>
                <w:tcPr>
                  <w:tcW w:w="432" w:type="pct"/>
                  <w:vMerge w:val="continue"/>
                  <w:noWrap w:val="0"/>
                  <w:vAlign w:val="center"/>
                </w:tcPr>
                <w:p w14:paraId="7B52BDDB">
                  <w:pPr>
                    <w:topLinePunct/>
                    <w:jc w:val="center"/>
                    <w:rPr>
                      <w:rFonts w:hint="default" w:ascii="Times New Roman" w:hAnsi="Times New Roman" w:cs="Times New Roman"/>
                      <w:color w:val="auto"/>
                      <w:sz w:val="21"/>
                      <w:szCs w:val="21"/>
                    </w:rPr>
                  </w:pPr>
                </w:p>
              </w:tc>
            </w:tr>
            <w:tr w14:paraId="1C89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0" w:type="pct"/>
                  <w:noWrap w:val="0"/>
                  <w:vAlign w:val="center"/>
                </w:tcPr>
                <w:p w14:paraId="1796D422">
                  <w:pPr>
                    <w:topLinePunct/>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3</w:t>
                  </w:r>
                </w:p>
              </w:tc>
              <w:tc>
                <w:tcPr>
                  <w:tcW w:w="403" w:type="pct"/>
                  <w:noWrap w:val="0"/>
                  <w:vAlign w:val="center"/>
                </w:tcPr>
                <w:p w14:paraId="08EC4EC4">
                  <w:pPr>
                    <w:jc w:val="center"/>
                    <w:rPr>
                      <w:rFonts w:hint="eastAsia"/>
                      <w:color w:val="auto"/>
                      <w:szCs w:val="21"/>
                      <w:lang w:eastAsia="zh-CN"/>
                    </w:rPr>
                  </w:pPr>
                  <w:r>
                    <w:rPr>
                      <w:rFonts w:hint="eastAsia"/>
                      <w:color w:val="auto"/>
                      <w:szCs w:val="21"/>
                      <w:lang w:val="en-US" w:eastAsia="zh-CN"/>
                    </w:rPr>
                    <w:t>废UV灯管</w:t>
                  </w:r>
                </w:p>
              </w:tc>
              <w:tc>
                <w:tcPr>
                  <w:tcW w:w="462" w:type="pct"/>
                  <w:noWrap w:val="0"/>
                  <w:vAlign w:val="center"/>
                </w:tcPr>
                <w:p w14:paraId="19BDD81B">
                  <w:pPr>
                    <w:pStyle w:val="86"/>
                    <w:spacing w:line="240" w:lineRule="auto"/>
                    <w:rPr>
                      <w:rFonts w:hint="eastAsia" w:eastAsia="宋体" w:cs="Times New Roman"/>
                      <w:color w:val="auto"/>
                      <w:sz w:val="21"/>
                      <w:szCs w:val="21"/>
                      <w:lang w:val="en-US" w:eastAsia="zh-CN"/>
                    </w:rPr>
                  </w:pPr>
                  <w:r>
                    <w:rPr>
                      <w:rFonts w:hint="default" w:ascii="Times New Roman" w:hAnsi="Times New Roman" w:eastAsia="宋体" w:cs="Times New Roman"/>
                      <w:color w:val="auto"/>
                      <w:sz w:val="21"/>
                      <w:szCs w:val="21"/>
                    </w:rPr>
                    <w:t>HW</w:t>
                  </w:r>
                  <w:r>
                    <w:rPr>
                      <w:rFonts w:hint="eastAsia" w:eastAsia="宋体" w:cs="Times New Roman"/>
                      <w:color w:val="auto"/>
                      <w:sz w:val="21"/>
                      <w:szCs w:val="21"/>
                      <w:lang w:val="en-US" w:eastAsia="zh-CN"/>
                    </w:rPr>
                    <w:t>29</w:t>
                  </w:r>
                </w:p>
              </w:tc>
              <w:tc>
                <w:tcPr>
                  <w:tcW w:w="698" w:type="pct"/>
                  <w:noWrap w:val="0"/>
                  <w:vAlign w:val="center"/>
                </w:tcPr>
                <w:p w14:paraId="472446CA">
                  <w:pPr>
                    <w:pStyle w:val="86"/>
                    <w:spacing w:line="240" w:lineRule="auto"/>
                    <w:rPr>
                      <w:rFonts w:hint="eastAsia" w:cs="Times New Roman"/>
                      <w:color w:val="auto"/>
                      <w:sz w:val="21"/>
                      <w:szCs w:val="21"/>
                      <w:lang w:val="en-US" w:eastAsia="zh-CN"/>
                    </w:rPr>
                  </w:pPr>
                  <w:r>
                    <w:rPr>
                      <w:rFonts w:hint="default" w:ascii="Times New Roman" w:hAnsi="Times New Roman" w:cs="Times New Roman"/>
                      <w:color w:val="auto"/>
                      <w:sz w:val="21"/>
                      <w:szCs w:val="21"/>
                    </w:rPr>
                    <w:t>900-0</w:t>
                  </w:r>
                  <w:r>
                    <w:rPr>
                      <w:rFonts w:hint="eastAsia" w:cs="Times New Roman"/>
                      <w:color w:val="auto"/>
                      <w:sz w:val="21"/>
                      <w:szCs w:val="21"/>
                      <w:lang w:val="en-US" w:eastAsia="zh-CN"/>
                    </w:rPr>
                    <w:t>23</w:t>
                  </w:r>
                  <w:r>
                    <w:rPr>
                      <w:rFonts w:hint="default" w:ascii="Times New Roman" w:hAnsi="Times New Roman" w:cs="Times New Roman"/>
                      <w:color w:val="auto"/>
                      <w:sz w:val="21"/>
                      <w:szCs w:val="21"/>
                    </w:rPr>
                    <w:t>-</w:t>
                  </w:r>
                  <w:r>
                    <w:rPr>
                      <w:rFonts w:hint="eastAsia" w:cs="Times New Roman"/>
                      <w:color w:val="auto"/>
                      <w:sz w:val="21"/>
                      <w:szCs w:val="21"/>
                      <w:lang w:val="en-US" w:eastAsia="zh-CN"/>
                    </w:rPr>
                    <w:t>2</w:t>
                  </w:r>
                  <w:r>
                    <w:rPr>
                      <w:rFonts w:hint="default" w:ascii="Times New Roman" w:hAnsi="Times New Roman" w:cs="Times New Roman"/>
                      <w:color w:val="auto"/>
                      <w:sz w:val="21"/>
                      <w:szCs w:val="21"/>
                    </w:rPr>
                    <w:t>9</w:t>
                  </w:r>
                </w:p>
              </w:tc>
              <w:tc>
                <w:tcPr>
                  <w:tcW w:w="461" w:type="pct"/>
                  <w:noWrap w:val="0"/>
                  <w:vAlign w:val="center"/>
                </w:tcPr>
                <w:p w14:paraId="05049AD1">
                  <w:pPr>
                    <w:jc w:val="center"/>
                    <w:rPr>
                      <w:rFonts w:hint="eastAsia"/>
                      <w:color w:val="auto"/>
                      <w:szCs w:val="21"/>
                      <w:lang w:val="en-US" w:eastAsia="zh-CN"/>
                    </w:rPr>
                  </w:pPr>
                  <w:r>
                    <w:rPr>
                      <w:rFonts w:hint="eastAsia"/>
                      <w:color w:val="auto"/>
                      <w:szCs w:val="21"/>
                      <w:lang w:val="en-US" w:eastAsia="zh-CN"/>
                    </w:rPr>
                    <w:t>0.05</w:t>
                  </w:r>
                </w:p>
              </w:tc>
              <w:tc>
                <w:tcPr>
                  <w:tcW w:w="470" w:type="pct"/>
                  <w:noWrap w:val="0"/>
                  <w:vAlign w:val="center"/>
                </w:tcPr>
                <w:p w14:paraId="603AAE94">
                  <w:pPr>
                    <w:jc w:val="center"/>
                    <w:rPr>
                      <w:rFonts w:hint="eastAsia"/>
                      <w:color w:val="auto"/>
                      <w:szCs w:val="21"/>
                      <w:lang w:eastAsia="zh-CN"/>
                    </w:rPr>
                  </w:pPr>
                  <w:r>
                    <w:rPr>
                      <w:rFonts w:hint="eastAsia"/>
                      <w:color w:val="auto"/>
                      <w:szCs w:val="21"/>
                      <w:lang w:eastAsia="zh-CN"/>
                    </w:rPr>
                    <w:t>危险废物</w:t>
                  </w:r>
                </w:p>
              </w:tc>
              <w:tc>
                <w:tcPr>
                  <w:tcW w:w="248" w:type="pct"/>
                  <w:noWrap w:val="0"/>
                  <w:vAlign w:val="center"/>
                </w:tcPr>
                <w:p w14:paraId="33002773">
                  <w:pPr>
                    <w:jc w:val="center"/>
                    <w:rPr>
                      <w:rFonts w:hint="eastAsia"/>
                      <w:color w:val="auto"/>
                      <w:szCs w:val="21"/>
                      <w:lang w:eastAsia="zh-CN"/>
                    </w:rPr>
                  </w:pPr>
                  <w:r>
                    <w:rPr>
                      <w:rFonts w:hint="eastAsia"/>
                      <w:color w:val="auto"/>
                      <w:szCs w:val="21"/>
                      <w:lang w:eastAsia="zh-CN"/>
                    </w:rPr>
                    <w:t>固态</w:t>
                  </w:r>
                </w:p>
              </w:tc>
              <w:tc>
                <w:tcPr>
                  <w:tcW w:w="465" w:type="pct"/>
                  <w:noWrap w:val="0"/>
                  <w:vAlign w:val="center"/>
                </w:tcPr>
                <w:p w14:paraId="1DFFD4DB">
                  <w:pPr>
                    <w:topLinePunct/>
                    <w:jc w:val="center"/>
                    <w:rPr>
                      <w:rFonts w:hint="eastAsia" w:cs="Times New Roman"/>
                      <w:color w:val="auto"/>
                      <w:sz w:val="21"/>
                      <w:szCs w:val="21"/>
                      <w:lang w:val="en-US" w:eastAsia="zh-CN"/>
                    </w:rPr>
                  </w:pPr>
                  <w:r>
                    <w:rPr>
                      <w:rFonts w:hint="eastAsia" w:cs="Times New Roman"/>
                      <w:color w:val="auto"/>
                      <w:sz w:val="21"/>
                      <w:szCs w:val="21"/>
                      <w:lang w:val="en-US" w:eastAsia="zh-CN"/>
                    </w:rPr>
                    <w:t>含汞荧光灯管</w:t>
                  </w:r>
                </w:p>
              </w:tc>
              <w:tc>
                <w:tcPr>
                  <w:tcW w:w="472" w:type="pct"/>
                  <w:noWrap w:val="0"/>
                  <w:vAlign w:val="center"/>
                </w:tcPr>
                <w:p w14:paraId="00CEE2FF">
                  <w:pPr>
                    <w:topLinePunct/>
                    <w:jc w:val="center"/>
                    <w:rPr>
                      <w:rFonts w:hint="eastAsia" w:cs="Times New Roman"/>
                      <w:color w:val="auto"/>
                      <w:sz w:val="21"/>
                      <w:szCs w:val="21"/>
                      <w:lang w:val="en-US" w:eastAsia="zh-CN"/>
                    </w:rPr>
                  </w:pPr>
                  <w:r>
                    <w:rPr>
                      <w:rFonts w:hint="eastAsia" w:cs="Times New Roman"/>
                      <w:color w:val="auto"/>
                      <w:sz w:val="21"/>
                      <w:szCs w:val="21"/>
                      <w:lang w:val="en-US" w:eastAsia="zh-CN"/>
                    </w:rPr>
                    <w:t>汞</w:t>
                  </w:r>
                </w:p>
              </w:tc>
              <w:tc>
                <w:tcPr>
                  <w:tcW w:w="288" w:type="pct"/>
                  <w:noWrap w:val="0"/>
                  <w:vAlign w:val="center"/>
                </w:tcPr>
                <w:p w14:paraId="0A2B6206">
                  <w:pPr>
                    <w:keepNext w:val="0"/>
                    <w:keepLines w:val="0"/>
                    <w:pageBreakBefore w:val="0"/>
                    <w:widowControl w:val="0"/>
                    <w:bidi w:val="0"/>
                    <w:spacing w:beforeAutospacing="0" w:afterAutospacing="0"/>
                    <w:ind w:left="0" w:leftChars="0" w:right="0" w:rightChars="0"/>
                    <w:jc w:val="center"/>
                    <w:rPr>
                      <w:rFonts w:hint="eastAsia"/>
                      <w:color w:val="auto"/>
                      <w:szCs w:val="21"/>
                      <w:lang w:val="en-US" w:eastAsia="zh-CN"/>
                    </w:rPr>
                  </w:pPr>
                  <w:r>
                    <w:rPr>
                      <w:rFonts w:hint="eastAsia"/>
                      <w:color w:val="auto"/>
                      <w:szCs w:val="21"/>
                      <w:lang w:val="en-US" w:eastAsia="zh-CN"/>
                    </w:rPr>
                    <w:t>1个月</w:t>
                  </w:r>
                </w:p>
              </w:tc>
              <w:tc>
                <w:tcPr>
                  <w:tcW w:w="335" w:type="pct"/>
                  <w:noWrap w:val="0"/>
                  <w:vAlign w:val="center"/>
                </w:tcPr>
                <w:p w14:paraId="74E3A60F">
                  <w:pPr>
                    <w:topLinePunct/>
                    <w:jc w:val="center"/>
                    <w:rPr>
                      <w:rFonts w:hint="eastAsia" w:cs="Times New Roman"/>
                      <w:color w:val="auto"/>
                      <w:sz w:val="21"/>
                      <w:szCs w:val="21"/>
                      <w:lang w:val="en-US" w:eastAsia="zh-CN"/>
                    </w:rPr>
                  </w:pPr>
                  <w:r>
                    <w:rPr>
                      <w:rFonts w:hint="default" w:ascii="Times New Roman" w:hAnsi="Times New Roman" w:cs="Times New Roman"/>
                      <w:color w:val="auto"/>
                      <w:sz w:val="21"/>
                      <w:szCs w:val="21"/>
                    </w:rPr>
                    <w:t>T</w:t>
                  </w:r>
                </w:p>
              </w:tc>
              <w:tc>
                <w:tcPr>
                  <w:tcW w:w="432" w:type="pct"/>
                  <w:vMerge w:val="continue"/>
                  <w:noWrap w:val="0"/>
                  <w:vAlign w:val="center"/>
                </w:tcPr>
                <w:p w14:paraId="5FC05378">
                  <w:pPr>
                    <w:topLinePunct/>
                    <w:jc w:val="center"/>
                    <w:rPr>
                      <w:rFonts w:hint="default" w:ascii="Times New Roman" w:hAnsi="Times New Roman" w:cs="Times New Roman"/>
                      <w:color w:val="auto"/>
                      <w:sz w:val="21"/>
                      <w:szCs w:val="21"/>
                    </w:rPr>
                  </w:pPr>
                </w:p>
              </w:tc>
            </w:tr>
            <w:tr w14:paraId="2EB11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0" w:type="pct"/>
                  <w:noWrap w:val="0"/>
                  <w:vAlign w:val="center"/>
                </w:tcPr>
                <w:p w14:paraId="47BC9B82">
                  <w:pPr>
                    <w:topLinePunct/>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4</w:t>
                  </w:r>
                </w:p>
              </w:tc>
              <w:tc>
                <w:tcPr>
                  <w:tcW w:w="403" w:type="pct"/>
                  <w:noWrap w:val="0"/>
                  <w:vAlign w:val="center"/>
                </w:tcPr>
                <w:p w14:paraId="128BF83A">
                  <w:pPr>
                    <w:jc w:val="center"/>
                    <w:rPr>
                      <w:rFonts w:hint="eastAsia"/>
                      <w:color w:val="auto"/>
                      <w:szCs w:val="21"/>
                      <w:lang w:eastAsia="zh-CN"/>
                    </w:rPr>
                  </w:pPr>
                  <w:r>
                    <w:rPr>
                      <w:rFonts w:hint="eastAsia"/>
                      <w:color w:val="auto"/>
                      <w:szCs w:val="21"/>
                      <w:lang w:val="en-US" w:eastAsia="zh-CN"/>
                    </w:rPr>
                    <w:t>废紫外灯</w:t>
                  </w:r>
                </w:p>
              </w:tc>
              <w:tc>
                <w:tcPr>
                  <w:tcW w:w="462" w:type="pct"/>
                  <w:noWrap w:val="0"/>
                  <w:vAlign w:val="center"/>
                </w:tcPr>
                <w:p w14:paraId="0E2CB8AC">
                  <w:pPr>
                    <w:pStyle w:val="86"/>
                    <w:spacing w:line="240" w:lineRule="auto"/>
                    <w:rPr>
                      <w:rFonts w:hint="eastAsia" w:eastAsia="宋体" w:cs="Times New Roman"/>
                      <w:color w:val="auto"/>
                      <w:sz w:val="21"/>
                      <w:szCs w:val="21"/>
                      <w:lang w:val="en-US" w:eastAsia="zh-CN"/>
                    </w:rPr>
                  </w:pPr>
                  <w:r>
                    <w:rPr>
                      <w:rFonts w:hint="default" w:ascii="Times New Roman" w:hAnsi="Times New Roman" w:eastAsia="宋体" w:cs="Times New Roman"/>
                      <w:color w:val="auto"/>
                      <w:sz w:val="21"/>
                      <w:szCs w:val="21"/>
                    </w:rPr>
                    <w:t>HW</w:t>
                  </w:r>
                  <w:r>
                    <w:rPr>
                      <w:rFonts w:hint="eastAsia" w:eastAsia="宋体" w:cs="Times New Roman"/>
                      <w:color w:val="auto"/>
                      <w:sz w:val="21"/>
                      <w:szCs w:val="21"/>
                      <w:lang w:val="en-US" w:eastAsia="zh-CN"/>
                    </w:rPr>
                    <w:t>29</w:t>
                  </w:r>
                </w:p>
              </w:tc>
              <w:tc>
                <w:tcPr>
                  <w:tcW w:w="698" w:type="pct"/>
                  <w:noWrap w:val="0"/>
                  <w:vAlign w:val="center"/>
                </w:tcPr>
                <w:p w14:paraId="4E94EAF6">
                  <w:pPr>
                    <w:pStyle w:val="86"/>
                    <w:spacing w:line="240" w:lineRule="auto"/>
                    <w:rPr>
                      <w:rFonts w:hint="eastAsia" w:cs="Times New Roman"/>
                      <w:color w:val="auto"/>
                      <w:sz w:val="21"/>
                      <w:szCs w:val="21"/>
                      <w:lang w:val="en-US" w:eastAsia="zh-CN"/>
                    </w:rPr>
                  </w:pPr>
                  <w:r>
                    <w:rPr>
                      <w:rFonts w:hint="default" w:ascii="Times New Roman" w:hAnsi="Times New Roman" w:cs="Times New Roman"/>
                      <w:color w:val="auto"/>
                      <w:sz w:val="21"/>
                      <w:szCs w:val="21"/>
                    </w:rPr>
                    <w:t>900-0</w:t>
                  </w:r>
                  <w:r>
                    <w:rPr>
                      <w:rFonts w:hint="eastAsia" w:cs="Times New Roman"/>
                      <w:color w:val="auto"/>
                      <w:sz w:val="21"/>
                      <w:szCs w:val="21"/>
                      <w:lang w:val="en-US" w:eastAsia="zh-CN"/>
                    </w:rPr>
                    <w:t>23</w:t>
                  </w:r>
                  <w:r>
                    <w:rPr>
                      <w:rFonts w:hint="default" w:ascii="Times New Roman" w:hAnsi="Times New Roman" w:cs="Times New Roman"/>
                      <w:color w:val="auto"/>
                      <w:sz w:val="21"/>
                      <w:szCs w:val="21"/>
                    </w:rPr>
                    <w:t>-</w:t>
                  </w:r>
                  <w:r>
                    <w:rPr>
                      <w:rFonts w:hint="eastAsia" w:cs="Times New Roman"/>
                      <w:color w:val="auto"/>
                      <w:sz w:val="21"/>
                      <w:szCs w:val="21"/>
                      <w:lang w:val="en-US" w:eastAsia="zh-CN"/>
                    </w:rPr>
                    <w:t>2</w:t>
                  </w:r>
                  <w:r>
                    <w:rPr>
                      <w:rFonts w:hint="default" w:ascii="Times New Roman" w:hAnsi="Times New Roman" w:cs="Times New Roman"/>
                      <w:color w:val="auto"/>
                      <w:sz w:val="21"/>
                      <w:szCs w:val="21"/>
                    </w:rPr>
                    <w:t>9</w:t>
                  </w:r>
                </w:p>
              </w:tc>
              <w:tc>
                <w:tcPr>
                  <w:tcW w:w="461" w:type="pct"/>
                  <w:noWrap w:val="0"/>
                  <w:vAlign w:val="center"/>
                </w:tcPr>
                <w:p w14:paraId="7E7E1AB8">
                  <w:pPr>
                    <w:jc w:val="center"/>
                    <w:rPr>
                      <w:rFonts w:hint="eastAsia"/>
                      <w:color w:val="auto"/>
                      <w:szCs w:val="21"/>
                      <w:lang w:val="en-US" w:eastAsia="zh-CN"/>
                    </w:rPr>
                  </w:pPr>
                  <w:r>
                    <w:rPr>
                      <w:rFonts w:hint="eastAsia"/>
                      <w:color w:val="auto"/>
                      <w:szCs w:val="21"/>
                      <w:lang w:val="en-US" w:eastAsia="zh-CN"/>
                    </w:rPr>
                    <w:t>0.4</w:t>
                  </w:r>
                </w:p>
              </w:tc>
              <w:tc>
                <w:tcPr>
                  <w:tcW w:w="470" w:type="pct"/>
                  <w:noWrap w:val="0"/>
                  <w:vAlign w:val="center"/>
                </w:tcPr>
                <w:p w14:paraId="1E4416C3">
                  <w:pPr>
                    <w:jc w:val="center"/>
                    <w:rPr>
                      <w:rFonts w:hint="eastAsia"/>
                      <w:color w:val="auto"/>
                      <w:szCs w:val="21"/>
                      <w:lang w:eastAsia="zh-CN"/>
                    </w:rPr>
                  </w:pPr>
                  <w:r>
                    <w:rPr>
                      <w:rFonts w:hint="eastAsia"/>
                      <w:color w:val="auto"/>
                      <w:szCs w:val="21"/>
                      <w:lang w:eastAsia="zh-CN"/>
                    </w:rPr>
                    <w:t>危险废物</w:t>
                  </w:r>
                </w:p>
              </w:tc>
              <w:tc>
                <w:tcPr>
                  <w:tcW w:w="248" w:type="pct"/>
                  <w:noWrap w:val="0"/>
                  <w:vAlign w:val="center"/>
                </w:tcPr>
                <w:p w14:paraId="29AEC74A">
                  <w:pPr>
                    <w:jc w:val="center"/>
                    <w:rPr>
                      <w:rFonts w:hint="eastAsia"/>
                      <w:color w:val="auto"/>
                      <w:szCs w:val="21"/>
                      <w:lang w:eastAsia="zh-CN"/>
                    </w:rPr>
                  </w:pPr>
                  <w:r>
                    <w:rPr>
                      <w:rFonts w:hint="eastAsia"/>
                      <w:color w:val="auto"/>
                      <w:szCs w:val="21"/>
                      <w:lang w:eastAsia="zh-CN"/>
                    </w:rPr>
                    <w:t>固态</w:t>
                  </w:r>
                </w:p>
              </w:tc>
              <w:tc>
                <w:tcPr>
                  <w:tcW w:w="465" w:type="pct"/>
                  <w:noWrap w:val="0"/>
                  <w:vAlign w:val="center"/>
                </w:tcPr>
                <w:p w14:paraId="6AFE3B78">
                  <w:pPr>
                    <w:topLinePunct/>
                    <w:jc w:val="center"/>
                    <w:rPr>
                      <w:rFonts w:hint="eastAsia" w:cs="Times New Roman"/>
                      <w:color w:val="auto"/>
                      <w:sz w:val="21"/>
                      <w:szCs w:val="21"/>
                      <w:lang w:val="en-US" w:eastAsia="zh-CN"/>
                    </w:rPr>
                  </w:pPr>
                  <w:r>
                    <w:rPr>
                      <w:rFonts w:hint="eastAsia" w:cs="Times New Roman"/>
                      <w:color w:val="auto"/>
                      <w:sz w:val="21"/>
                      <w:szCs w:val="21"/>
                      <w:lang w:val="en-US" w:eastAsia="zh-CN"/>
                    </w:rPr>
                    <w:t>含汞荧光灯管</w:t>
                  </w:r>
                </w:p>
              </w:tc>
              <w:tc>
                <w:tcPr>
                  <w:tcW w:w="472" w:type="pct"/>
                  <w:noWrap w:val="0"/>
                  <w:vAlign w:val="center"/>
                </w:tcPr>
                <w:p w14:paraId="0E3E2AFB">
                  <w:pPr>
                    <w:topLinePunct/>
                    <w:jc w:val="center"/>
                    <w:rPr>
                      <w:rFonts w:hint="eastAsia" w:cs="Times New Roman"/>
                      <w:color w:val="auto"/>
                      <w:sz w:val="21"/>
                      <w:szCs w:val="21"/>
                      <w:lang w:val="en-US" w:eastAsia="zh-CN"/>
                    </w:rPr>
                  </w:pPr>
                  <w:r>
                    <w:rPr>
                      <w:rFonts w:hint="eastAsia" w:cs="Times New Roman"/>
                      <w:color w:val="auto"/>
                      <w:sz w:val="21"/>
                      <w:szCs w:val="21"/>
                      <w:lang w:val="en-US" w:eastAsia="zh-CN"/>
                    </w:rPr>
                    <w:t>汞</w:t>
                  </w:r>
                </w:p>
              </w:tc>
              <w:tc>
                <w:tcPr>
                  <w:tcW w:w="288" w:type="pct"/>
                  <w:noWrap w:val="0"/>
                  <w:vAlign w:val="center"/>
                </w:tcPr>
                <w:p w14:paraId="7B79F285">
                  <w:pPr>
                    <w:keepNext w:val="0"/>
                    <w:keepLines w:val="0"/>
                    <w:pageBreakBefore w:val="0"/>
                    <w:widowControl w:val="0"/>
                    <w:bidi w:val="0"/>
                    <w:spacing w:beforeAutospacing="0" w:afterAutospacing="0"/>
                    <w:ind w:left="0" w:leftChars="0" w:right="0" w:rightChars="0"/>
                    <w:jc w:val="center"/>
                    <w:rPr>
                      <w:rFonts w:hint="eastAsia"/>
                      <w:color w:val="auto"/>
                      <w:szCs w:val="21"/>
                      <w:lang w:val="en-US" w:eastAsia="zh-CN"/>
                    </w:rPr>
                  </w:pPr>
                  <w:r>
                    <w:rPr>
                      <w:rFonts w:hint="eastAsia"/>
                      <w:szCs w:val="21"/>
                      <w:lang w:val="en-US" w:eastAsia="zh-CN"/>
                    </w:rPr>
                    <w:t>1年</w:t>
                  </w:r>
                </w:p>
              </w:tc>
              <w:tc>
                <w:tcPr>
                  <w:tcW w:w="335" w:type="pct"/>
                  <w:noWrap w:val="0"/>
                  <w:vAlign w:val="center"/>
                </w:tcPr>
                <w:p w14:paraId="7DDE75D9">
                  <w:pPr>
                    <w:topLinePunct/>
                    <w:jc w:val="center"/>
                    <w:rPr>
                      <w:rFonts w:hint="eastAsia" w:cs="Times New Roman"/>
                      <w:color w:val="auto"/>
                      <w:sz w:val="21"/>
                      <w:szCs w:val="21"/>
                      <w:lang w:val="en-US" w:eastAsia="zh-CN"/>
                    </w:rPr>
                  </w:pPr>
                  <w:r>
                    <w:rPr>
                      <w:rFonts w:hint="default" w:ascii="Times New Roman" w:hAnsi="Times New Roman" w:cs="Times New Roman"/>
                      <w:color w:val="auto"/>
                      <w:sz w:val="21"/>
                      <w:szCs w:val="21"/>
                    </w:rPr>
                    <w:t>T</w:t>
                  </w:r>
                </w:p>
              </w:tc>
              <w:tc>
                <w:tcPr>
                  <w:tcW w:w="432" w:type="pct"/>
                  <w:vMerge w:val="continue"/>
                  <w:noWrap w:val="0"/>
                  <w:vAlign w:val="center"/>
                </w:tcPr>
                <w:p w14:paraId="3F65E0E8">
                  <w:pPr>
                    <w:topLinePunct/>
                    <w:jc w:val="center"/>
                    <w:rPr>
                      <w:rFonts w:hint="default" w:ascii="Times New Roman" w:hAnsi="Times New Roman" w:cs="Times New Roman"/>
                      <w:color w:val="auto"/>
                      <w:sz w:val="21"/>
                      <w:szCs w:val="21"/>
                    </w:rPr>
                  </w:pPr>
                </w:p>
              </w:tc>
            </w:tr>
            <w:tr w14:paraId="0F4D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0" w:type="pct"/>
                  <w:noWrap w:val="0"/>
                  <w:vAlign w:val="center"/>
                </w:tcPr>
                <w:p w14:paraId="423F6975">
                  <w:pPr>
                    <w:topLinePunct/>
                    <w:jc w:val="center"/>
                    <w:rPr>
                      <w:rFonts w:hint="default" w:cs="Times New Roman"/>
                      <w:color w:val="auto"/>
                      <w:sz w:val="21"/>
                      <w:szCs w:val="21"/>
                      <w:lang w:val="en-US" w:eastAsia="zh-CN"/>
                    </w:rPr>
                  </w:pPr>
                  <w:r>
                    <w:rPr>
                      <w:rFonts w:hint="eastAsia" w:cs="Times New Roman"/>
                      <w:color w:val="auto"/>
                      <w:sz w:val="21"/>
                      <w:szCs w:val="21"/>
                      <w:lang w:val="en-US" w:eastAsia="zh-CN"/>
                    </w:rPr>
                    <w:t>5</w:t>
                  </w:r>
                </w:p>
              </w:tc>
              <w:tc>
                <w:tcPr>
                  <w:tcW w:w="403" w:type="pct"/>
                  <w:noWrap w:val="0"/>
                  <w:vAlign w:val="center"/>
                </w:tcPr>
                <w:p w14:paraId="3CC50533">
                  <w:pPr>
                    <w:jc w:val="center"/>
                    <w:rPr>
                      <w:rFonts w:hint="eastAsia"/>
                      <w:color w:val="auto"/>
                      <w:szCs w:val="21"/>
                      <w:lang w:eastAsia="zh-CN"/>
                    </w:rPr>
                  </w:pPr>
                  <w:r>
                    <w:rPr>
                      <w:rFonts w:hint="eastAsia"/>
                      <w:color w:val="auto"/>
                      <w:szCs w:val="21"/>
                      <w:lang w:val="en-US" w:eastAsia="zh-CN"/>
                    </w:rPr>
                    <w:t>污水处理站污泥</w:t>
                  </w:r>
                </w:p>
              </w:tc>
              <w:tc>
                <w:tcPr>
                  <w:tcW w:w="462" w:type="pct"/>
                  <w:noWrap w:val="0"/>
                  <w:vAlign w:val="center"/>
                </w:tcPr>
                <w:p w14:paraId="23472BFD">
                  <w:pPr>
                    <w:pStyle w:val="86"/>
                    <w:spacing w:line="240" w:lineRule="auto"/>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HW01</w:t>
                  </w:r>
                </w:p>
              </w:tc>
              <w:tc>
                <w:tcPr>
                  <w:tcW w:w="698" w:type="pct"/>
                  <w:noWrap w:val="0"/>
                  <w:vAlign w:val="center"/>
                </w:tcPr>
                <w:p w14:paraId="21FCD888">
                  <w:pPr>
                    <w:pStyle w:val="86"/>
                    <w:spacing w:line="240" w:lineRule="auto"/>
                    <w:rPr>
                      <w:rFonts w:hint="default" w:cs="Times New Roman"/>
                      <w:color w:val="auto"/>
                      <w:sz w:val="21"/>
                      <w:szCs w:val="21"/>
                      <w:lang w:val="en-US" w:eastAsia="zh-CN"/>
                    </w:rPr>
                  </w:pPr>
                  <w:r>
                    <w:rPr>
                      <w:rFonts w:hint="eastAsia" w:cs="Times New Roman"/>
                      <w:color w:val="auto"/>
                      <w:sz w:val="21"/>
                      <w:szCs w:val="21"/>
                      <w:lang w:val="en-US" w:eastAsia="zh-CN"/>
                    </w:rPr>
                    <w:t>841-001-01</w:t>
                  </w:r>
                </w:p>
              </w:tc>
              <w:tc>
                <w:tcPr>
                  <w:tcW w:w="461" w:type="pct"/>
                  <w:noWrap w:val="0"/>
                  <w:vAlign w:val="center"/>
                </w:tcPr>
                <w:p w14:paraId="40F3B122">
                  <w:pPr>
                    <w:jc w:val="center"/>
                    <w:rPr>
                      <w:rFonts w:hint="default"/>
                      <w:color w:val="auto"/>
                      <w:szCs w:val="21"/>
                      <w:lang w:val="en-US" w:eastAsia="zh-CN"/>
                    </w:rPr>
                  </w:pPr>
                  <w:r>
                    <w:rPr>
                      <w:rFonts w:hint="eastAsia"/>
                      <w:color w:val="auto"/>
                      <w:szCs w:val="21"/>
                      <w:lang w:val="en-US" w:eastAsia="zh-CN"/>
                    </w:rPr>
                    <w:t>10.9</w:t>
                  </w:r>
                </w:p>
              </w:tc>
              <w:tc>
                <w:tcPr>
                  <w:tcW w:w="470" w:type="pct"/>
                  <w:noWrap w:val="0"/>
                  <w:vAlign w:val="center"/>
                </w:tcPr>
                <w:p w14:paraId="7FA823FE">
                  <w:pPr>
                    <w:jc w:val="center"/>
                    <w:rPr>
                      <w:rFonts w:hint="eastAsia" w:cs="Times New Roman"/>
                      <w:color w:val="auto"/>
                      <w:sz w:val="21"/>
                      <w:szCs w:val="21"/>
                      <w:lang w:val="en-US" w:eastAsia="zh-CN"/>
                    </w:rPr>
                  </w:pPr>
                  <w:r>
                    <w:rPr>
                      <w:rFonts w:hint="eastAsia"/>
                      <w:color w:val="auto"/>
                      <w:szCs w:val="21"/>
                      <w:lang w:eastAsia="zh-CN"/>
                    </w:rPr>
                    <w:t>危险废物</w:t>
                  </w:r>
                </w:p>
              </w:tc>
              <w:tc>
                <w:tcPr>
                  <w:tcW w:w="248" w:type="pct"/>
                  <w:noWrap w:val="0"/>
                  <w:vAlign w:val="center"/>
                </w:tcPr>
                <w:p w14:paraId="6ADE7227">
                  <w:pPr>
                    <w:jc w:val="center"/>
                    <w:rPr>
                      <w:rFonts w:hint="eastAsia" w:cs="Times New Roman"/>
                      <w:color w:val="auto"/>
                      <w:sz w:val="21"/>
                      <w:szCs w:val="21"/>
                      <w:lang w:eastAsia="zh-CN"/>
                    </w:rPr>
                  </w:pPr>
                  <w:r>
                    <w:rPr>
                      <w:rFonts w:hint="eastAsia"/>
                      <w:color w:val="auto"/>
                      <w:szCs w:val="21"/>
                      <w:lang w:eastAsia="zh-CN"/>
                    </w:rPr>
                    <w:t>固态</w:t>
                  </w:r>
                </w:p>
              </w:tc>
              <w:tc>
                <w:tcPr>
                  <w:tcW w:w="465" w:type="pct"/>
                  <w:noWrap w:val="0"/>
                  <w:vAlign w:val="center"/>
                </w:tcPr>
                <w:p w14:paraId="34CCA2D1">
                  <w:pPr>
                    <w:topLinePunct/>
                    <w:jc w:val="center"/>
                    <w:rPr>
                      <w:rFonts w:hint="eastAsia" w:cs="Times New Roman"/>
                      <w:color w:val="auto"/>
                      <w:sz w:val="21"/>
                      <w:szCs w:val="21"/>
                      <w:lang w:val="en-US" w:eastAsia="zh-CN"/>
                    </w:rPr>
                  </w:pPr>
                  <w:r>
                    <w:rPr>
                      <w:rFonts w:hint="eastAsia" w:cs="Times New Roman"/>
                      <w:color w:val="auto"/>
                      <w:sz w:val="21"/>
                      <w:szCs w:val="21"/>
                      <w:lang w:val="en-US" w:eastAsia="zh-CN"/>
                    </w:rPr>
                    <w:t>润滑油等</w:t>
                  </w:r>
                </w:p>
              </w:tc>
              <w:tc>
                <w:tcPr>
                  <w:tcW w:w="472" w:type="pct"/>
                  <w:noWrap w:val="0"/>
                  <w:vAlign w:val="center"/>
                </w:tcPr>
                <w:p w14:paraId="306D0A25">
                  <w:pPr>
                    <w:topLinePunct/>
                    <w:jc w:val="center"/>
                    <w:rPr>
                      <w:rFonts w:hint="default" w:cs="Times New Roman"/>
                      <w:color w:val="auto"/>
                      <w:sz w:val="21"/>
                      <w:szCs w:val="21"/>
                      <w:lang w:val="en-US" w:eastAsia="zh-CN"/>
                    </w:rPr>
                  </w:pPr>
                  <w:r>
                    <w:rPr>
                      <w:rFonts w:hint="eastAsia" w:cs="Times New Roman"/>
                      <w:color w:val="auto"/>
                      <w:sz w:val="21"/>
                      <w:szCs w:val="21"/>
                      <w:lang w:val="en-US" w:eastAsia="zh-CN"/>
                    </w:rPr>
                    <w:t>附着少量化学物质及病菌</w:t>
                  </w:r>
                </w:p>
              </w:tc>
              <w:tc>
                <w:tcPr>
                  <w:tcW w:w="288" w:type="pct"/>
                  <w:noWrap w:val="0"/>
                  <w:vAlign w:val="center"/>
                </w:tcPr>
                <w:p w14:paraId="5D20AEB4">
                  <w:pPr>
                    <w:jc w:val="center"/>
                    <w:rPr>
                      <w:rFonts w:hint="eastAsia" w:cs="Times New Roman"/>
                      <w:color w:val="auto"/>
                      <w:sz w:val="21"/>
                      <w:szCs w:val="21"/>
                      <w:lang w:val="en-US" w:eastAsia="zh-CN"/>
                    </w:rPr>
                  </w:pPr>
                  <w:r>
                    <w:rPr>
                      <w:rFonts w:hint="eastAsia"/>
                      <w:color w:val="auto"/>
                      <w:szCs w:val="21"/>
                      <w:lang w:val="en-US" w:eastAsia="zh-CN"/>
                    </w:rPr>
                    <w:t>1周</w:t>
                  </w:r>
                </w:p>
              </w:tc>
              <w:tc>
                <w:tcPr>
                  <w:tcW w:w="335" w:type="pct"/>
                  <w:noWrap w:val="0"/>
                  <w:vAlign w:val="center"/>
                </w:tcPr>
                <w:p w14:paraId="27E3577F">
                  <w:pPr>
                    <w:topLinePunct/>
                    <w:jc w:val="center"/>
                    <w:rPr>
                      <w:rFonts w:hint="default" w:cs="Times New Roman"/>
                      <w:color w:val="auto"/>
                      <w:sz w:val="21"/>
                      <w:szCs w:val="21"/>
                      <w:lang w:val="en-US" w:eastAsia="zh-CN"/>
                    </w:rPr>
                  </w:pPr>
                  <w:r>
                    <w:rPr>
                      <w:rFonts w:hint="default" w:ascii="Times New Roman" w:hAnsi="Times New Roman" w:cs="Times New Roman"/>
                      <w:color w:val="auto"/>
                      <w:sz w:val="21"/>
                      <w:szCs w:val="21"/>
                    </w:rPr>
                    <w:t>T</w:t>
                  </w:r>
                  <w:r>
                    <w:rPr>
                      <w:rFonts w:hint="eastAsia" w:cs="Times New Roman"/>
                      <w:color w:val="auto"/>
                      <w:sz w:val="21"/>
                      <w:szCs w:val="21"/>
                      <w:lang w:eastAsia="zh-CN"/>
                    </w:rPr>
                    <w:t>，</w:t>
                  </w:r>
                  <w:r>
                    <w:rPr>
                      <w:rFonts w:hint="eastAsia" w:cs="Times New Roman"/>
                      <w:color w:val="auto"/>
                      <w:sz w:val="21"/>
                      <w:szCs w:val="21"/>
                      <w:lang w:val="en-US" w:eastAsia="zh-CN"/>
                    </w:rPr>
                    <w:t>I</w:t>
                  </w:r>
                </w:p>
              </w:tc>
              <w:tc>
                <w:tcPr>
                  <w:tcW w:w="432" w:type="pct"/>
                  <w:vMerge w:val="continue"/>
                  <w:noWrap w:val="0"/>
                  <w:vAlign w:val="center"/>
                </w:tcPr>
                <w:p w14:paraId="39FF86F2">
                  <w:pPr>
                    <w:topLinePunct/>
                    <w:jc w:val="center"/>
                    <w:rPr>
                      <w:rFonts w:hint="default" w:ascii="Times New Roman" w:hAnsi="Times New Roman" w:cs="Times New Roman"/>
                      <w:color w:val="auto"/>
                      <w:sz w:val="21"/>
                      <w:szCs w:val="21"/>
                    </w:rPr>
                  </w:pPr>
                </w:p>
              </w:tc>
            </w:tr>
          </w:tbl>
          <w:p w14:paraId="58A15BD9">
            <w:pPr>
              <w:keepNext w:val="0"/>
              <w:keepLines w:val="0"/>
              <w:pageBreakBefore w:val="0"/>
              <w:kinsoku/>
              <w:wordWrap/>
              <w:overflowPunct/>
              <w:topLinePunct w:val="0"/>
              <w:autoSpaceDE/>
              <w:autoSpaceDN/>
              <w:bidi w:val="0"/>
              <w:adjustRightInd w:val="0"/>
              <w:snapToGrid w:val="0"/>
              <w:spacing w:line="360" w:lineRule="auto"/>
              <w:ind w:left="0" w:leftChars="0" w:right="0" w:firstLine="442" w:firstLineChars="200"/>
              <w:textAlignment w:val="auto"/>
              <w:rPr>
                <w:rFonts w:hint="default" w:ascii="Times New Roman" w:hAnsi="Times New Roman" w:cs="Times New Roman"/>
                <w:b/>
                <w:bCs/>
                <w:color w:val="auto"/>
                <w:spacing w:val="-10"/>
                <w:sz w:val="24"/>
              </w:rPr>
            </w:pPr>
            <w:r>
              <w:rPr>
                <w:rFonts w:hint="default" w:ascii="Times New Roman" w:hAnsi="Times New Roman" w:cs="Times New Roman"/>
                <w:b/>
                <w:bCs/>
                <w:color w:val="auto"/>
                <w:spacing w:val="-10"/>
                <w:sz w:val="24"/>
              </w:rPr>
              <w:t>2、处置去向及环境管理要求</w:t>
            </w:r>
          </w:p>
          <w:p w14:paraId="2FAC1D06">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cs="Times New Roman"/>
                <w:color w:val="auto"/>
                <w:kern w:val="0"/>
                <w:sz w:val="24"/>
              </w:rPr>
            </w:pPr>
            <w:r>
              <w:rPr>
                <w:rFonts w:hint="default" w:ascii="Times New Roman" w:hAnsi="Times New Roman" w:cs="Times New Roman"/>
                <w:color w:val="auto"/>
                <w:kern w:val="0"/>
                <w:sz w:val="24"/>
              </w:rPr>
              <w:t>项目的固体废弃物主要为</w:t>
            </w:r>
            <w:r>
              <w:rPr>
                <w:rFonts w:hint="eastAsia" w:cs="Times New Roman"/>
                <w:color w:val="auto"/>
                <w:kern w:val="0"/>
                <w:sz w:val="24"/>
                <w:lang w:val="en-US" w:eastAsia="zh-CN"/>
              </w:rPr>
              <w:t>普通废包装材料、医疗废物、危险废包装物、废UV灯管、废紫外灯、污水处理站污泥以及生活垃圾</w:t>
            </w:r>
            <w:r>
              <w:rPr>
                <w:rFonts w:hint="default" w:ascii="Times New Roman" w:hAnsi="Times New Roman" w:cs="Times New Roman"/>
                <w:color w:val="auto"/>
                <w:kern w:val="0"/>
                <w:sz w:val="24"/>
              </w:rPr>
              <w:t>。</w:t>
            </w:r>
          </w:p>
          <w:p w14:paraId="06A9A35C">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eastAsia" w:ascii="Times New Roman" w:hAnsi="Times New Roman" w:eastAsia="宋体" w:cs="Times New Roman"/>
                <w:color w:val="auto"/>
                <w:kern w:val="0"/>
                <w:sz w:val="24"/>
                <w:lang w:eastAsia="zh-CN"/>
              </w:rPr>
            </w:pPr>
            <w:r>
              <w:rPr>
                <w:rFonts w:hint="default" w:ascii="Times New Roman" w:hAnsi="Times New Roman" w:cs="Times New Roman"/>
                <w:color w:val="auto"/>
                <w:kern w:val="0"/>
                <w:sz w:val="24"/>
              </w:rPr>
              <w:t>建设单位应将生活垃圾进行妥善分类收集，交由环卫部门统一处理</w:t>
            </w:r>
            <w:r>
              <w:rPr>
                <w:rFonts w:hint="eastAsia" w:cs="Times New Roman"/>
                <w:color w:val="auto"/>
                <w:kern w:val="0"/>
                <w:sz w:val="24"/>
                <w:lang w:eastAsia="zh-CN"/>
              </w:rPr>
              <w:t>；</w:t>
            </w:r>
            <w:r>
              <w:rPr>
                <w:rFonts w:hint="eastAsia" w:cs="Times New Roman"/>
                <w:color w:val="auto"/>
                <w:kern w:val="0"/>
                <w:sz w:val="24"/>
                <w:lang w:val="en-US" w:eastAsia="zh-CN"/>
              </w:rPr>
              <w:t>普通废包装材料</w:t>
            </w:r>
            <w:r>
              <w:rPr>
                <w:rFonts w:hint="eastAsia" w:cs="Times New Roman"/>
                <w:color w:val="auto"/>
                <w:kern w:val="0"/>
                <w:sz w:val="24"/>
                <w:lang w:eastAsia="zh-CN"/>
              </w:rPr>
              <w:t>收集后</w:t>
            </w:r>
            <w:r>
              <w:rPr>
                <w:rFonts w:hint="eastAsia" w:cs="Times New Roman"/>
                <w:color w:val="auto"/>
                <w:kern w:val="0"/>
                <w:sz w:val="24"/>
                <w:lang w:val="en-US" w:eastAsia="zh-CN"/>
              </w:rPr>
              <w:t>外售物资回收单位综合利用</w:t>
            </w:r>
            <w:r>
              <w:rPr>
                <w:rFonts w:hint="eastAsia" w:cs="Times New Roman"/>
                <w:color w:val="auto"/>
                <w:kern w:val="0"/>
                <w:sz w:val="24"/>
                <w:lang w:eastAsia="zh-CN"/>
              </w:rPr>
              <w:t>；</w:t>
            </w:r>
            <w:r>
              <w:rPr>
                <w:rFonts w:hint="eastAsia" w:cs="Times New Roman"/>
                <w:color w:val="auto"/>
                <w:kern w:val="0"/>
                <w:sz w:val="24"/>
                <w:lang w:val="en-US" w:eastAsia="zh-CN"/>
              </w:rPr>
              <w:t>医疗废物、危险废包装物、</w:t>
            </w:r>
            <w:r>
              <w:rPr>
                <w:rFonts w:hint="eastAsia" w:cs="Times New Roman"/>
                <w:color w:val="auto"/>
                <w:kern w:val="0"/>
                <w:sz w:val="24"/>
                <w:szCs w:val="24"/>
                <w:lang w:val="en-US" w:eastAsia="zh-CN"/>
              </w:rPr>
              <w:t>废UV灯管、废紫外灯、污水处理站污泥</w:t>
            </w:r>
            <w:r>
              <w:rPr>
                <w:rFonts w:hint="default" w:ascii="Times New Roman" w:hAnsi="Times New Roman" w:cs="Times New Roman"/>
                <w:color w:val="auto"/>
                <w:kern w:val="0"/>
                <w:sz w:val="24"/>
                <w:szCs w:val="24"/>
              </w:rPr>
              <w:t>属于危险废物，将其交由</w:t>
            </w:r>
            <w:r>
              <w:rPr>
                <w:rFonts w:hint="eastAsia" w:cs="Times New Roman"/>
                <w:color w:val="auto"/>
                <w:kern w:val="0"/>
                <w:sz w:val="24"/>
                <w:szCs w:val="24"/>
                <w:lang w:eastAsia="zh-CN"/>
              </w:rPr>
              <w:t>具有</w:t>
            </w:r>
            <w:r>
              <w:rPr>
                <w:rFonts w:hint="default" w:ascii="Times New Roman" w:hAnsi="Times New Roman" w:cs="Times New Roman"/>
                <w:color w:val="auto"/>
                <w:kern w:val="0"/>
                <w:sz w:val="24"/>
                <w:szCs w:val="24"/>
              </w:rPr>
              <w:t>处理资质的单位回收处理。</w:t>
            </w:r>
            <w:r>
              <w:rPr>
                <w:rFonts w:hint="eastAsia" w:ascii="Times New Roman" w:cs="Times New Roman"/>
                <w:b w:val="0"/>
                <w:bCs w:val="0"/>
                <w:color w:val="auto"/>
                <w:sz w:val="24"/>
                <w:szCs w:val="24"/>
                <w:highlight w:val="none"/>
                <w:lang w:val="en-US" w:eastAsia="zh-CN"/>
              </w:rPr>
              <w:t>医疗废物暂存于危废暂存间，委托有处置资质的单位清运，在院内暂存时间不超过48h</w:t>
            </w:r>
            <w:r>
              <w:rPr>
                <w:rFonts w:hint="eastAsia" w:cs="Times New Roman"/>
                <w:color w:val="auto"/>
                <w:kern w:val="0"/>
                <w:sz w:val="24"/>
                <w:szCs w:val="24"/>
                <w:lang w:eastAsia="zh-CN"/>
              </w:rPr>
              <w:t>。</w:t>
            </w:r>
          </w:p>
          <w:p w14:paraId="3182F146">
            <w:pPr>
              <w:keepNext w:val="0"/>
              <w:keepLines w:val="0"/>
              <w:pageBreakBefore w:val="0"/>
              <w:widowControl/>
              <w:kinsoku/>
              <w:wordWrap/>
              <w:overflowPunct/>
              <w:topLinePunct w:val="0"/>
              <w:autoSpaceDE/>
              <w:autoSpaceDN/>
              <w:bidi w:val="0"/>
              <w:adjustRightInd w:val="0"/>
              <w:snapToGrid w:val="0"/>
              <w:spacing w:line="240" w:lineRule="auto"/>
              <w:ind w:left="0" w:leftChars="0" w:right="0"/>
              <w:contextualSpacing/>
              <w:jc w:val="center"/>
              <w:textAlignment w:val="auto"/>
              <w:rPr>
                <w:rFonts w:hint="default" w:ascii="Times New Roman" w:hAnsi="Times New Roman" w:cs="Times New Roman"/>
                <w:b/>
                <w:color w:val="auto"/>
                <w:kern w:val="0"/>
                <w:sz w:val="24"/>
                <w:szCs w:val="24"/>
              </w:rPr>
            </w:pPr>
            <w:r>
              <w:rPr>
                <w:rFonts w:hint="default" w:ascii="Times New Roman" w:hAnsi="Times New Roman" w:cs="Times New Roman"/>
                <w:b/>
                <w:color w:val="auto"/>
                <w:kern w:val="0"/>
                <w:sz w:val="24"/>
                <w:szCs w:val="24"/>
              </w:rPr>
              <w:t>表4-</w:t>
            </w:r>
            <w:r>
              <w:rPr>
                <w:rFonts w:hint="eastAsia" w:cs="Times New Roman"/>
                <w:b/>
                <w:color w:val="auto"/>
                <w:kern w:val="0"/>
                <w:sz w:val="24"/>
                <w:szCs w:val="24"/>
                <w:lang w:val="en-US" w:eastAsia="zh-CN"/>
              </w:rPr>
              <w:t>21</w:t>
            </w:r>
            <w:r>
              <w:rPr>
                <w:rFonts w:hint="default" w:ascii="Times New Roman" w:hAnsi="Times New Roman" w:cs="Times New Roman"/>
                <w:b/>
                <w:color w:val="auto"/>
                <w:kern w:val="0"/>
                <w:sz w:val="24"/>
                <w:szCs w:val="24"/>
                <w:lang w:val="en-US" w:eastAsia="zh-CN"/>
              </w:rPr>
              <w:t xml:space="preserve"> </w:t>
            </w:r>
            <w:r>
              <w:rPr>
                <w:rFonts w:hint="default" w:ascii="Times New Roman" w:hAnsi="Times New Roman" w:cs="Times New Roman"/>
                <w:b/>
                <w:color w:val="auto"/>
                <w:kern w:val="0"/>
                <w:sz w:val="24"/>
                <w:szCs w:val="24"/>
              </w:rPr>
              <w:t xml:space="preserve"> 项目危险废物贮存场所（设施）基本情况表</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314"/>
              <w:gridCol w:w="1290"/>
              <w:gridCol w:w="855"/>
              <w:gridCol w:w="1215"/>
              <w:gridCol w:w="579"/>
              <w:gridCol w:w="683"/>
              <w:gridCol w:w="764"/>
              <w:gridCol w:w="791"/>
              <w:gridCol w:w="698"/>
            </w:tblGrid>
            <w:tr w14:paraId="10A4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27" w:type="dxa"/>
                  <w:noWrap w:val="0"/>
                  <w:vAlign w:val="center"/>
                </w:tcPr>
                <w:p w14:paraId="68604CBF">
                  <w:pPr>
                    <w:keepNext w:val="0"/>
                    <w:keepLines w:val="0"/>
                    <w:pageBreakBefore w:val="0"/>
                    <w:kinsoku/>
                    <w:wordWrap/>
                    <w:overflowPunct/>
                    <w:topLinePunct/>
                    <w:bidi w:val="0"/>
                    <w:ind w:left="0" w:leftChars="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序号</w:t>
                  </w:r>
                </w:p>
              </w:tc>
              <w:tc>
                <w:tcPr>
                  <w:tcW w:w="1314" w:type="dxa"/>
                  <w:noWrap w:val="0"/>
                  <w:vAlign w:val="center"/>
                </w:tcPr>
                <w:p w14:paraId="76B145E9">
                  <w:pPr>
                    <w:keepNext w:val="0"/>
                    <w:keepLines w:val="0"/>
                    <w:pageBreakBefore w:val="0"/>
                    <w:kinsoku/>
                    <w:wordWrap/>
                    <w:overflowPunct/>
                    <w:topLinePunct/>
                    <w:bidi w:val="0"/>
                    <w:ind w:left="0" w:leftChars="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贮存场所（设施）名称</w:t>
                  </w:r>
                </w:p>
              </w:tc>
              <w:tc>
                <w:tcPr>
                  <w:tcW w:w="1290" w:type="dxa"/>
                  <w:noWrap w:val="0"/>
                  <w:vAlign w:val="center"/>
                </w:tcPr>
                <w:p w14:paraId="5B33851A">
                  <w:pPr>
                    <w:keepNext w:val="0"/>
                    <w:keepLines w:val="0"/>
                    <w:pageBreakBefore w:val="0"/>
                    <w:kinsoku/>
                    <w:wordWrap/>
                    <w:overflowPunct/>
                    <w:topLinePunct/>
                    <w:bidi w:val="0"/>
                    <w:ind w:left="0" w:leftChars="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危险废物名称</w:t>
                  </w:r>
                </w:p>
              </w:tc>
              <w:tc>
                <w:tcPr>
                  <w:tcW w:w="855" w:type="dxa"/>
                  <w:noWrap w:val="0"/>
                  <w:vAlign w:val="center"/>
                </w:tcPr>
                <w:p w14:paraId="3121E583">
                  <w:pPr>
                    <w:keepNext w:val="0"/>
                    <w:keepLines w:val="0"/>
                    <w:pageBreakBefore w:val="0"/>
                    <w:kinsoku/>
                    <w:wordWrap/>
                    <w:overflowPunct/>
                    <w:topLinePunct/>
                    <w:bidi w:val="0"/>
                    <w:ind w:left="0" w:leftChars="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危险废物类别</w:t>
                  </w:r>
                </w:p>
              </w:tc>
              <w:tc>
                <w:tcPr>
                  <w:tcW w:w="1215" w:type="dxa"/>
                  <w:noWrap w:val="0"/>
                  <w:vAlign w:val="center"/>
                </w:tcPr>
                <w:p w14:paraId="509B622A">
                  <w:pPr>
                    <w:keepNext w:val="0"/>
                    <w:keepLines w:val="0"/>
                    <w:pageBreakBefore w:val="0"/>
                    <w:kinsoku/>
                    <w:wordWrap/>
                    <w:overflowPunct/>
                    <w:topLinePunct/>
                    <w:bidi w:val="0"/>
                    <w:ind w:left="0" w:leftChars="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危险废物代码</w:t>
                  </w:r>
                </w:p>
              </w:tc>
              <w:tc>
                <w:tcPr>
                  <w:tcW w:w="579" w:type="dxa"/>
                  <w:noWrap w:val="0"/>
                  <w:vAlign w:val="center"/>
                </w:tcPr>
                <w:p w14:paraId="163296B1">
                  <w:pPr>
                    <w:keepNext w:val="0"/>
                    <w:keepLines w:val="0"/>
                    <w:pageBreakBefore w:val="0"/>
                    <w:kinsoku/>
                    <w:wordWrap/>
                    <w:overflowPunct/>
                    <w:topLinePunct/>
                    <w:bidi w:val="0"/>
                    <w:ind w:left="0" w:leftChars="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位置</w:t>
                  </w:r>
                </w:p>
              </w:tc>
              <w:tc>
                <w:tcPr>
                  <w:tcW w:w="683" w:type="dxa"/>
                  <w:noWrap w:val="0"/>
                  <w:vAlign w:val="center"/>
                </w:tcPr>
                <w:p w14:paraId="622BECEC">
                  <w:pPr>
                    <w:keepNext w:val="0"/>
                    <w:keepLines w:val="0"/>
                    <w:pageBreakBefore w:val="0"/>
                    <w:kinsoku/>
                    <w:wordWrap/>
                    <w:overflowPunct/>
                    <w:topLinePunct/>
                    <w:bidi w:val="0"/>
                    <w:ind w:left="0" w:leftChars="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占地面积</w:t>
                  </w:r>
                </w:p>
              </w:tc>
              <w:tc>
                <w:tcPr>
                  <w:tcW w:w="764" w:type="dxa"/>
                  <w:noWrap w:val="0"/>
                  <w:vAlign w:val="center"/>
                </w:tcPr>
                <w:p w14:paraId="3F285D76">
                  <w:pPr>
                    <w:keepNext w:val="0"/>
                    <w:keepLines w:val="0"/>
                    <w:pageBreakBefore w:val="0"/>
                    <w:kinsoku/>
                    <w:wordWrap/>
                    <w:overflowPunct/>
                    <w:topLinePunct/>
                    <w:bidi w:val="0"/>
                    <w:ind w:left="0" w:leftChars="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贮存方式</w:t>
                  </w:r>
                </w:p>
              </w:tc>
              <w:tc>
                <w:tcPr>
                  <w:tcW w:w="791" w:type="dxa"/>
                  <w:noWrap w:val="0"/>
                  <w:vAlign w:val="center"/>
                </w:tcPr>
                <w:p w14:paraId="593A8EF3">
                  <w:pPr>
                    <w:keepNext w:val="0"/>
                    <w:keepLines w:val="0"/>
                    <w:pageBreakBefore w:val="0"/>
                    <w:kinsoku/>
                    <w:wordWrap/>
                    <w:overflowPunct/>
                    <w:topLinePunct/>
                    <w:bidi w:val="0"/>
                    <w:ind w:left="0" w:leftChars="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贮存能力/t</w:t>
                  </w:r>
                </w:p>
              </w:tc>
              <w:tc>
                <w:tcPr>
                  <w:tcW w:w="698" w:type="dxa"/>
                  <w:noWrap w:val="0"/>
                  <w:vAlign w:val="center"/>
                </w:tcPr>
                <w:p w14:paraId="2F950EF0">
                  <w:pPr>
                    <w:keepNext w:val="0"/>
                    <w:keepLines w:val="0"/>
                    <w:pageBreakBefore w:val="0"/>
                    <w:kinsoku/>
                    <w:wordWrap/>
                    <w:overflowPunct/>
                    <w:topLinePunct/>
                    <w:bidi w:val="0"/>
                    <w:ind w:left="0" w:leftChars="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贮存周期</w:t>
                  </w:r>
                </w:p>
              </w:tc>
            </w:tr>
            <w:tr w14:paraId="3882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427" w:type="dxa"/>
                  <w:vMerge w:val="restart"/>
                  <w:noWrap w:val="0"/>
                  <w:vAlign w:val="center"/>
                </w:tcPr>
                <w:p w14:paraId="468FD41F">
                  <w:pPr>
                    <w:keepNext w:val="0"/>
                    <w:keepLines w:val="0"/>
                    <w:pageBreakBefore w:val="0"/>
                    <w:kinsoku/>
                    <w:wordWrap/>
                    <w:overflowPunct/>
                    <w:topLinePunct/>
                    <w:bidi w:val="0"/>
                    <w:ind w:left="0" w:leftChars="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314" w:type="dxa"/>
                  <w:vMerge w:val="restart"/>
                  <w:noWrap w:val="0"/>
                  <w:vAlign w:val="center"/>
                </w:tcPr>
                <w:p w14:paraId="186CFBB3">
                  <w:pPr>
                    <w:keepNext w:val="0"/>
                    <w:keepLines w:val="0"/>
                    <w:pageBreakBefore w:val="0"/>
                    <w:kinsoku/>
                    <w:wordWrap/>
                    <w:overflowPunct/>
                    <w:topLinePunct/>
                    <w:bidi w:val="0"/>
                    <w:ind w:left="0" w:leftChars="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危废暂存间</w:t>
                  </w:r>
                </w:p>
              </w:tc>
              <w:tc>
                <w:tcPr>
                  <w:tcW w:w="1290" w:type="dxa"/>
                  <w:vMerge w:val="restart"/>
                  <w:noWrap w:val="0"/>
                  <w:vAlign w:val="center"/>
                </w:tcPr>
                <w:p w14:paraId="43A7BBD7">
                  <w:pPr>
                    <w:jc w:val="center"/>
                    <w:rPr>
                      <w:rFonts w:hint="default" w:ascii="Times New Roman" w:hAnsi="Times New Roman" w:eastAsia="宋体" w:cs="Times New Roman"/>
                      <w:color w:val="auto"/>
                      <w:kern w:val="0"/>
                      <w:sz w:val="21"/>
                      <w:szCs w:val="21"/>
                      <w:lang w:val="en-US" w:eastAsia="zh-CN" w:bidi="ar-SA"/>
                    </w:rPr>
                  </w:pPr>
                  <w:r>
                    <w:rPr>
                      <w:rFonts w:hint="eastAsia"/>
                      <w:color w:val="auto"/>
                      <w:szCs w:val="21"/>
                      <w:lang w:val="en-US" w:eastAsia="zh-CN"/>
                    </w:rPr>
                    <w:t>医疗废物</w:t>
                  </w:r>
                </w:p>
              </w:tc>
              <w:tc>
                <w:tcPr>
                  <w:tcW w:w="855" w:type="dxa"/>
                  <w:vMerge w:val="restart"/>
                  <w:noWrap w:val="0"/>
                  <w:vAlign w:val="center"/>
                </w:tcPr>
                <w:p w14:paraId="1D968409">
                  <w:pPr>
                    <w:pStyle w:val="86"/>
                    <w:spacing w:line="240" w:lineRule="auto"/>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sz w:val="21"/>
                      <w:szCs w:val="21"/>
                      <w:lang w:val="en-US" w:eastAsia="zh-CN"/>
                    </w:rPr>
                    <w:t>HW01</w:t>
                  </w:r>
                </w:p>
              </w:tc>
              <w:tc>
                <w:tcPr>
                  <w:tcW w:w="1215" w:type="dxa"/>
                  <w:noWrap w:val="0"/>
                  <w:vAlign w:val="center"/>
                </w:tcPr>
                <w:p w14:paraId="7DA685F7">
                  <w:pPr>
                    <w:pStyle w:val="86"/>
                    <w:spacing w:line="240" w:lineRule="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lang w:val="en-US" w:eastAsia="zh-CN"/>
                    </w:rPr>
                    <w:t>841-001-01</w:t>
                  </w:r>
                </w:p>
              </w:tc>
              <w:tc>
                <w:tcPr>
                  <w:tcW w:w="579" w:type="dxa"/>
                  <w:vMerge w:val="restart"/>
                  <w:noWrap w:val="0"/>
                  <w:vAlign w:val="center"/>
                </w:tcPr>
                <w:p w14:paraId="47A0BD08">
                  <w:pPr>
                    <w:keepNext w:val="0"/>
                    <w:keepLines w:val="0"/>
                    <w:pageBreakBefore w:val="0"/>
                    <w:kinsoku/>
                    <w:wordWrap/>
                    <w:overflowPunct/>
                    <w:topLinePunct/>
                    <w:bidi w:val="0"/>
                    <w:ind w:left="0" w:leftChars="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院区内西南角</w:t>
                  </w:r>
                </w:p>
              </w:tc>
              <w:tc>
                <w:tcPr>
                  <w:tcW w:w="683" w:type="dxa"/>
                  <w:vMerge w:val="restart"/>
                  <w:noWrap w:val="0"/>
                  <w:vAlign w:val="center"/>
                </w:tcPr>
                <w:p w14:paraId="75DB8F1D">
                  <w:pPr>
                    <w:keepNext w:val="0"/>
                    <w:keepLines w:val="0"/>
                    <w:pageBreakBefore w:val="0"/>
                    <w:kinsoku/>
                    <w:wordWrap/>
                    <w:overflowPunct/>
                    <w:topLinePunct/>
                    <w:bidi w:val="0"/>
                    <w:ind w:left="0" w:leftChars="0" w:right="0"/>
                    <w:jc w:val="center"/>
                    <w:rPr>
                      <w:rFonts w:hint="default" w:ascii="Times New Roman" w:hAnsi="Times New Roman" w:cs="Times New Roman"/>
                      <w:color w:val="auto"/>
                      <w:sz w:val="21"/>
                      <w:szCs w:val="21"/>
                      <w:highlight w:val="yellow"/>
                    </w:rPr>
                  </w:pPr>
                  <w:r>
                    <w:rPr>
                      <w:rFonts w:hint="eastAsia" w:cs="Times New Roman"/>
                      <w:color w:val="auto"/>
                      <w:sz w:val="21"/>
                      <w:szCs w:val="21"/>
                      <w:lang w:val="en-US" w:eastAsia="zh-CN"/>
                    </w:rPr>
                    <w:t>1</w:t>
                  </w:r>
                  <w:r>
                    <w:rPr>
                      <w:rFonts w:hint="default" w:ascii="Times New Roman" w:hAnsi="Times New Roman" w:cs="Times New Roman"/>
                      <w:color w:val="auto"/>
                      <w:sz w:val="21"/>
                      <w:szCs w:val="21"/>
                      <w:lang w:val="en-US" w:eastAsia="zh-CN"/>
                    </w:rPr>
                    <w:t>0</w:t>
                  </w:r>
                  <w:r>
                    <w:rPr>
                      <w:rFonts w:hint="default" w:ascii="Times New Roman" w:hAnsi="Times New Roman" w:cs="Times New Roman"/>
                      <w:color w:val="auto"/>
                      <w:sz w:val="21"/>
                      <w:szCs w:val="21"/>
                    </w:rPr>
                    <w:t>m</w:t>
                  </w:r>
                  <w:r>
                    <w:rPr>
                      <w:rFonts w:hint="default" w:ascii="Times New Roman" w:hAnsi="Times New Roman" w:cs="Times New Roman"/>
                      <w:color w:val="auto"/>
                      <w:sz w:val="21"/>
                      <w:szCs w:val="21"/>
                      <w:vertAlign w:val="superscript"/>
                    </w:rPr>
                    <w:t>2</w:t>
                  </w:r>
                </w:p>
              </w:tc>
              <w:tc>
                <w:tcPr>
                  <w:tcW w:w="764" w:type="dxa"/>
                  <w:noWrap w:val="0"/>
                  <w:vAlign w:val="center"/>
                </w:tcPr>
                <w:p w14:paraId="57C6E24F">
                  <w:pPr>
                    <w:pStyle w:val="120"/>
                    <w:bidi w:val="0"/>
                    <w:ind w:firstLine="0" w:firstLineChars="0"/>
                    <w:rPr>
                      <w:rFonts w:hint="default" w:ascii="Times New Roman" w:hAnsi="Times New Roman" w:cs="Times New Roman"/>
                      <w:color w:val="auto"/>
                      <w:sz w:val="21"/>
                      <w:szCs w:val="21"/>
                      <w:lang w:val="en-US"/>
                    </w:rPr>
                  </w:pPr>
                  <w:r>
                    <w:rPr>
                      <w:rFonts w:hint="eastAsia" w:cs="Times New Roman"/>
                      <w:color w:val="auto"/>
                      <w:sz w:val="21"/>
                      <w:szCs w:val="21"/>
                      <w:highlight w:val="none"/>
                      <w:lang w:val="en-US" w:eastAsia="zh-CN" w:bidi="ar-SA"/>
                    </w:rPr>
                    <w:t>黄色专用包装袋</w:t>
                  </w:r>
                </w:p>
              </w:tc>
              <w:tc>
                <w:tcPr>
                  <w:tcW w:w="791" w:type="dxa"/>
                  <w:vMerge w:val="restart"/>
                  <w:noWrap w:val="0"/>
                  <w:vAlign w:val="center"/>
                </w:tcPr>
                <w:p w14:paraId="7C245EF9">
                  <w:pPr>
                    <w:keepNext w:val="0"/>
                    <w:keepLines w:val="0"/>
                    <w:pageBreakBefore w:val="0"/>
                    <w:kinsoku/>
                    <w:wordWrap/>
                    <w:overflowPunct/>
                    <w:topLinePunct/>
                    <w:bidi w:val="0"/>
                    <w:ind w:left="0" w:leftChars="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w:t>
                  </w:r>
                </w:p>
              </w:tc>
              <w:tc>
                <w:tcPr>
                  <w:tcW w:w="698" w:type="dxa"/>
                  <w:vMerge w:val="restart"/>
                  <w:noWrap w:val="0"/>
                  <w:vAlign w:val="center"/>
                </w:tcPr>
                <w:p w14:paraId="64075714">
                  <w:pPr>
                    <w:keepNext w:val="0"/>
                    <w:keepLines w:val="0"/>
                    <w:pageBreakBefore w:val="0"/>
                    <w:kinsoku/>
                    <w:wordWrap/>
                    <w:overflowPunct/>
                    <w:topLinePunct/>
                    <w:bidi w:val="0"/>
                    <w:ind w:left="0" w:leftChars="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不超过48h</w:t>
                  </w:r>
                </w:p>
              </w:tc>
            </w:tr>
            <w:tr w14:paraId="73D7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427" w:type="dxa"/>
                  <w:vMerge w:val="continue"/>
                  <w:noWrap w:val="0"/>
                  <w:vAlign w:val="center"/>
                </w:tcPr>
                <w:p w14:paraId="4FB674A4">
                  <w:pPr>
                    <w:pStyle w:val="86"/>
                    <w:spacing w:line="240" w:lineRule="auto"/>
                  </w:pPr>
                </w:p>
              </w:tc>
              <w:tc>
                <w:tcPr>
                  <w:tcW w:w="1314" w:type="dxa"/>
                  <w:vMerge w:val="continue"/>
                  <w:noWrap w:val="0"/>
                  <w:vAlign w:val="center"/>
                </w:tcPr>
                <w:p w14:paraId="1C290030">
                  <w:pPr>
                    <w:pStyle w:val="86"/>
                    <w:spacing w:line="240" w:lineRule="auto"/>
                  </w:pPr>
                </w:p>
              </w:tc>
              <w:tc>
                <w:tcPr>
                  <w:tcW w:w="1290" w:type="dxa"/>
                  <w:vMerge w:val="continue"/>
                  <w:noWrap w:val="0"/>
                  <w:vAlign w:val="center"/>
                </w:tcPr>
                <w:p w14:paraId="1D7C653A">
                  <w:pPr>
                    <w:pStyle w:val="86"/>
                    <w:spacing w:line="240" w:lineRule="auto"/>
                  </w:pPr>
                </w:p>
              </w:tc>
              <w:tc>
                <w:tcPr>
                  <w:tcW w:w="855" w:type="dxa"/>
                  <w:vMerge w:val="continue"/>
                  <w:noWrap w:val="0"/>
                  <w:vAlign w:val="center"/>
                </w:tcPr>
                <w:p w14:paraId="1BD43A13">
                  <w:pPr>
                    <w:pStyle w:val="86"/>
                    <w:spacing w:line="240" w:lineRule="auto"/>
                  </w:pPr>
                </w:p>
              </w:tc>
              <w:tc>
                <w:tcPr>
                  <w:tcW w:w="1215" w:type="dxa"/>
                  <w:noWrap w:val="0"/>
                  <w:vAlign w:val="center"/>
                </w:tcPr>
                <w:p w14:paraId="7658A832">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lang w:val="en-US" w:eastAsia="zh-CN"/>
                    </w:rPr>
                    <w:t>841-002-01</w:t>
                  </w:r>
                </w:p>
              </w:tc>
              <w:tc>
                <w:tcPr>
                  <w:tcW w:w="579" w:type="dxa"/>
                  <w:vMerge w:val="continue"/>
                  <w:noWrap w:val="0"/>
                  <w:vAlign w:val="center"/>
                </w:tcPr>
                <w:p w14:paraId="7BBB9D01">
                  <w:pPr>
                    <w:pStyle w:val="86"/>
                    <w:spacing w:line="240" w:lineRule="auto"/>
                    <w:rPr>
                      <w:rFonts w:hint="eastAsia" w:cs="Times New Roman"/>
                      <w:color w:val="auto"/>
                      <w:sz w:val="21"/>
                      <w:szCs w:val="21"/>
                      <w:highlight w:val="none"/>
                      <w:lang w:val="en-US" w:eastAsia="zh-CN"/>
                    </w:rPr>
                  </w:pPr>
                </w:p>
              </w:tc>
              <w:tc>
                <w:tcPr>
                  <w:tcW w:w="683" w:type="dxa"/>
                  <w:vMerge w:val="continue"/>
                  <w:noWrap w:val="0"/>
                  <w:vAlign w:val="center"/>
                </w:tcPr>
                <w:p w14:paraId="626E60A3">
                  <w:pPr>
                    <w:pStyle w:val="86"/>
                    <w:spacing w:line="240" w:lineRule="auto"/>
                    <w:rPr>
                      <w:rFonts w:hint="eastAsia" w:cs="Times New Roman"/>
                      <w:color w:val="auto"/>
                      <w:sz w:val="21"/>
                      <w:szCs w:val="21"/>
                      <w:highlight w:val="none"/>
                      <w:lang w:val="en-US" w:eastAsia="zh-CN"/>
                    </w:rPr>
                  </w:pPr>
                </w:p>
              </w:tc>
              <w:tc>
                <w:tcPr>
                  <w:tcW w:w="764" w:type="dxa"/>
                  <w:noWrap w:val="0"/>
                  <w:vAlign w:val="center"/>
                </w:tcPr>
                <w:p w14:paraId="7BA9CEC0">
                  <w:pPr>
                    <w:pStyle w:val="120"/>
                    <w:bidi w:val="0"/>
                    <w:ind w:firstLine="0" w:firstLineChars="0"/>
                    <w:rPr>
                      <w:rFonts w:hint="eastAsia" w:cs="Times New Roman"/>
                      <w:color w:val="auto"/>
                      <w:sz w:val="21"/>
                      <w:szCs w:val="21"/>
                      <w:highlight w:val="none"/>
                      <w:lang w:val="en-US" w:eastAsia="zh-CN"/>
                    </w:rPr>
                  </w:pPr>
                  <w:r>
                    <w:rPr>
                      <w:rFonts w:hint="eastAsia"/>
                      <w:color w:val="auto"/>
                      <w:highlight w:val="none"/>
                    </w:rPr>
                    <w:t>黄色防刺穿锐器盒</w:t>
                  </w:r>
                </w:p>
              </w:tc>
              <w:tc>
                <w:tcPr>
                  <w:tcW w:w="791" w:type="dxa"/>
                  <w:vMerge w:val="continue"/>
                  <w:noWrap w:val="0"/>
                  <w:vAlign w:val="center"/>
                </w:tcPr>
                <w:p w14:paraId="3049EAE2">
                  <w:pPr>
                    <w:pStyle w:val="86"/>
                    <w:spacing w:line="240" w:lineRule="auto"/>
                    <w:rPr>
                      <w:rFonts w:hint="eastAsia" w:cs="Times New Roman"/>
                      <w:color w:val="auto"/>
                      <w:sz w:val="21"/>
                      <w:szCs w:val="21"/>
                      <w:highlight w:val="none"/>
                      <w:lang w:val="en-US" w:eastAsia="zh-CN"/>
                    </w:rPr>
                  </w:pPr>
                </w:p>
              </w:tc>
              <w:tc>
                <w:tcPr>
                  <w:tcW w:w="698" w:type="dxa"/>
                  <w:vMerge w:val="continue"/>
                  <w:tcBorders/>
                  <w:noWrap w:val="0"/>
                  <w:vAlign w:val="center"/>
                </w:tcPr>
                <w:p w14:paraId="45CA5775">
                  <w:pPr>
                    <w:pStyle w:val="86"/>
                    <w:spacing w:line="240" w:lineRule="auto"/>
                    <w:rPr>
                      <w:rFonts w:hint="eastAsia" w:cs="Times New Roman"/>
                      <w:color w:val="auto"/>
                      <w:sz w:val="21"/>
                      <w:szCs w:val="21"/>
                      <w:highlight w:val="none"/>
                      <w:lang w:val="en-US" w:eastAsia="zh-CN"/>
                    </w:rPr>
                  </w:pPr>
                </w:p>
              </w:tc>
            </w:tr>
            <w:tr w14:paraId="79C4B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427" w:type="dxa"/>
                  <w:vMerge w:val="continue"/>
                  <w:noWrap w:val="0"/>
                  <w:vAlign w:val="center"/>
                </w:tcPr>
                <w:p w14:paraId="5D8318B4">
                  <w:pPr>
                    <w:pStyle w:val="86"/>
                    <w:spacing w:line="240" w:lineRule="auto"/>
                    <w:rPr>
                      <w:rFonts w:hint="eastAsia" w:cs="Times New Roman"/>
                      <w:color w:val="auto"/>
                      <w:sz w:val="21"/>
                      <w:szCs w:val="21"/>
                      <w:highlight w:val="none"/>
                      <w:lang w:val="en-US" w:eastAsia="zh-CN"/>
                    </w:rPr>
                  </w:pPr>
                </w:p>
              </w:tc>
              <w:tc>
                <w:tcPr>
                  <w:tcW w:w="1314" w:type="dxa"/>
                  <w:vMerge w:val="continue"/>
                  <w:noWrap w:val="0"/>
                  <w:vAlign w:val="center"/>
                </w:tcPr>
                <w:p w14:paraId="09B93929">
                  <w:pPr>
                    <w:pStyle w:val="86"/>
                    <w:spacing w:line="240" w:lineRule="auto"/>
                    <w:rPr>
                      <w:rFonts w:hint="eastAsia" w:cs="Times New Roman"/>
                      <w:color w:val="auto"/>
                      <w:sz w:val="21"/>
                      <w:szCs w:val="21"/>
                      <w:highlight w:val="none"/>
                      <w:lang w:val="en-US" w:eastAsia="zh-CN"/>
                    </w:rPr>
                  </w:pPr>
                </w:p>
              </w:tc>
              <w:tc>
                <w:tcPr>
                  <w:tcW w:w="1290" w:type="dxa"/>
                  <w:vMerge w:val="continue"/>
                  <w:noWrap w:val="0"/>
                  <w:vAlign w:val="center"/>
                </w:tcPr>
                <w:p w14:paraId="67490D22">
                  <w:pPr>
                    <w:pStyle w:val="86"/>
                    <w:spacing w:line="240" w:lineRule="auto"/>
                    <w:rPr>
                      <w:rFonts w:hint="eastAsia" w:cs="Times New Roman"/>
                      <w:color w:val="auto"/>
                      <w:sz w:val="21"/>
                      <w:szCs w:val="21"/>
                      <w:highlight w:val="none"/>
                      <w:lang w:val="en-US" w:eastAsia="zh-CN"/>
                    </w:rPr>
                  </w:pPr>
                </w:p>
              </w:tc>
              <w:tc>
                <w:tcPr>
                  <w:tcW w:w="855" w:type="dxa"/>
                  <w:vMerge w:val="continue"/>
                  <w:noWrap w:val="0"/>
                  <w:vAlign w:val="center"/>
                </w:tcPr>
                <w:p w14:paraId="757D64C6">
                  <w:pPr>
                    <w:pStyle w:val="86"/>
                    <w:spacing w:line="240" w:lineRule="auto"/>
                    <w:rPr>
                      <w:rFonts w:hint="eastAsia" w:cs="Times New Roman"/>
                      <w:color w:val="auto"/>
                      <w:sz w:val="21"/>
                      <w:szCs w:val="21"/>
                      <w:highlight w:val="none"/>
                      <w:lang w:val="en-US" w:eastAsia="zh-CN"/>
                    </w:rPr>
                  </w:pPr>
                </w:p>
              </w:tc>
              <w:tc>
                <w:tcPr>
                  <w:tcW w:w="1215" w:type="dxa"/>
                  <w:noWrap w:val="0"/>
                  <w:vAlign w:val="center"/>
                </w:tcPr>
                <w:p w14:paraId="24CAC526">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lang w:val="en-US" w:eastAsia="zh-CN"/>
                    </w:rPr>
                    <w:t>841-003-01</w:t>
                  </w:r>
                </w:p>
              </w:tc>
              <w:tc>
                <w:tcPr>
                  <w:tcW w:w="579" w:type="dxa"/>
                  <w:vMerge w:val="continue"/>
                  <w:noWrap w:val="0"/>
                  <w:vAlign w:val="center"/>
                </w:tcPr>
                <w:p w14:paraId="08F682E7">
                  <w:pPr>
                    <w:pStyle w:val="86"/>
                    <w:spacing w:line="240" w:lineRule="auto"/>
                    <w:rPr>
                      <w:rFonts w:hint="eastAsia" w:cs="Times New Roman"/>
                      <w:color w:val="auto"/>
                      <w:sz w:val="21"/>
                      <w:szCs w:val="21"/>
                      <w:highlight w:val="none"/>
                      <w:lang w:val="en-US" w:eastAsia="zh-CN"/>
                    </w:rPr>
                  </w:pPr>
                </w:p>
              </w:tc>
              <w:tc>
                <w:tcPr>
                  <w:tcW w:w="683" w:type="dxa"/>
                  <w:vMerge w:val="continue"/>
                  <w:noWrap w:val="0"/>
                  <w:vAlign w:val="center"/>
                </w:tcPr>
                <w:p w14:paraId="4A284B63">
                  <w:pPr>
                    <w:pStyle w:val="86"/>
                    <w:spacing w:line="240" w:lineRule="auto"/>
                    <w:rPr>
                      <w:rFonts w:hint="eastAsia" w:cs="Times New Roman"/>
                      <w:color w:val="auto"/>
                      <w:sz w:val="21"/>
                      <w:szCs w:val="21"/>
                      <w:highlight w:val="none"/>
                      <w:lang w:val="en-US" w:eastAsia="zh-CN"/>
                    </w:rPr>
                  </w:pPr>
                </w:p>
              </w:tc>
              <w:tc>
                <w:tcPr>
                  <w:tcW w:w="764" w:type="dxa"/>
                  <w:noWrap w:val="0"/>
                  <w:vAlign w:val="center"/>
                </w:tcPr>
                <w:p w14:paraId="60ECF5CE">
                  <w:pPr>
                    <w:pStyle w:val="120"/>
                    <w:bidi w:val="0"/>
                    <w:ind w:firstLine="0" w:firstLineChars="0"/>
                    <w:rPr>
                      <w:rFonts w:hint="eastAsia" w:cs="Times New Roman"/>
                      <w:color w:val="auto"/>
                      <w:sz w:val="21"/>
                      <w:szCs w:val="21"/>
                      <w:highlight w:val="none"/>
                      <w:lang w:val="en-US" w:eastAsia="zh-CN"/>
                    </w:rPr>
                  </w:pPr>
                  <w:r>
                    <w:rPr>
                      <w:rFonts w:hint="eastAsia"/>
                      <w:color w:val="auto"/>
                      <w:highlight w:val="none"/>
                    </w:rPr>
                    <w:t>双层黄色包装袋或专用容器</w:t>
                  </w:r>
                </w:p>
              </w:tc>
              <w:tc>
                <w:tcPr>
                  <w:tcW w:w="791" w:type="dxa"/>
                  <w:vMerge w:val="continue"/>
                  <w:noWrap w:val="0"/>
                  <w:vAlign w:val="center"/>
                </w:tcPr>
                <w:p w14:paraId="0857D31B">
                  <w:pPr>
                    <w:pStyle w:val="86"/>
                    <w:spacing w:line="240" w:lineRule="auto"/>
                    <w:rPr>
                      <w:rFonts w:hint="eastAsia" w:cs="Times New Roman"/>
                      <w:color w:val="auto"/>
                      <w:sz w:val="21"/>
                      <w:szCs w:val="21"/>
                      <w:highlight w:val="none"/>
                      <w:lang w:val="en-US" w:eastAsia="zh-CN"/>
                    </w:rPr>
                  </w:pPr>
                </w:p>
              </w:tc>
              <w:tc>
                <w:tcPr>
                  <w:tcW w:w="698" w:type="dxa"/>
                  <w:vMerge w:val="continue"/>
                  <w:tcBorders/>
                  <w:noWrap w:val="0"/>
                  <w:vAlign w:val="center"/>
                </w:tcPr>
                <w:p w14:paraId="06B23DD3">
                  <w:pPr>
                    <w:pStyle w:val="86"/>
                    <w:spacing w:line="240" w:lineRule="auto"/>
                    <w:rPr>
                      <w:rFonts w:hint="eastAsia" w:cs="Times New Roman"/>
                      <w:color w:val="auto"/>
                      <w:sz w:val="21"/>
                      <w:szCs w:val="21"/>
                      <w:highlight w:val="none"/>
                      <w:lang w:val="en-US" w:eastAsia="zh-CN"/>
                    </w:rPr>
                  </w:pPr>
                </w:p>
              </w:tc>
            </w:tr>
            <w:tr w14:paraId="6C99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427" w:type="dxa"/>
                  <w:vMerge w:val="continue"/>
                  <w:noWrap w:val="0"/>
                  <w:vAlign w:val="center"/>
                </w:tcPr>
                <w:p w14:paraId="1DD4AFF9">
                  <w:pPr>
                    <w:pStyle w:val="86"/>
                    <w:spacing w:line="240" w:lineRule="auto"/>
                    <w:rPr>
                      <w:rFonts w:hint="eastAsia" w:cs="Times New Roman"/>
                      <w:color w:val="auto"/>
                      <w:sz w:val="21"/>
                      <w:szCs w:val="21"/>
                      <w:highlight w:val="none"/>
                      <w:lang w:val="en-US" w:eastAsia="zh-CN"/>
                    </w:rPr>
                  </w:pPr>
                </w:p>
              </w:tc>
              <w:tc>
                <w:tcPr>
                  <w:tcW w:w="1314" w:type="dxa"/>
                  <w:vMerge w:val="continue"/>
                  <w:noWrap w:val="0"/>
                  <w:vAlign w:val="center"/>
                </w:tcPr>
                <w:p w14:paraId="5A1D4D63">
                  <w:pPr>
                    <w:pStyle w:val="86"/>
                    <w:spacing w:line="240" w:lineRule="auto"/>
                    <w:rPr>
                      <w:rFonts w:hint="eastAsia" w:cs="Times New Roman"/>
                      <w:color w:val="auto"/>
                      <w:sz w:val="21"/>
                      <w:szCs w:val="21"/>
                      <w:highlight w:val="none"/>
                      <w:lang w:val="en-US" w:eastAsia="zh-CN"/>
                    </w:rPr>
                  </w:pPr>
                </w:p>
              </w:tc>
              <w:tc>
                <w:tcPr>
                  <w:tcW w:w="1290" w:type="dxa"/>
                  <w:vMerge w:val="continue"/>
                  <w:noWrap w:val="0"/>
                  <w:vAlign w:val="center"/>
                </w:tcPr>
                <w:p w14:paraId="16757C6B">
                  <w:pPr>
                    <w:pStyle w:val="86"/>
                    <w:spacing w:line="240" w:lineRule="auto"/>
                    <w:rPr>
                      <w:rFonts w:hint="eastAsia" w:cs="Times New Roman"/>
                      <w:color w:val="auto"/>
                      <w:sz w:val="21"/>
                      <w:szCs w:val="21"/>
                      <w:highlight w:val="none"/>
                      <w:lang w:val="en-US" w:eastAsia="zh-CN"/>
                    </w:rPr>
                  </w:pPr>
                </w:p>
              </w:tc>
              <w:tc>
                <w:tcPr>
                  <w:tcW w:w="855" w:type="dxa"/>
                  <w:vMerge w:val="continue"/>
                  <w:noWrap w:val="0"/>
                  <w:vAlign w:val="center"/>
                </w:tcPr>
                <w:p w14:paraId="564D6D15">
                  <w:pPr>
                    <w:pStyle w:val="86"/>
                    <w:spacing w:line="240" w:lineRule="auto"/>
                    <w:rPr>
                      <w:rFonts w:hint="eastAsia" w:cs="Times New Roman"/>
                      <w:color w:val="auto"/>
                      <w:sz w:val="21"/>
                      <w:szCs w:val="21"/>
                      <w:highlight w:val="none"/>
                      <w:lang w:val="en-US" w:eastAsia="zh-CN"/>
                    </w:rPr>
                  </w:pPr>
                </w:p>
              </w:tc>
              <w:tc>
                <w:tcPr>
                  <w:tcW w:w="1215" w:type="dxa"/>
                  <w:noWrap w:val="0"/>
                  <w:vAlign w:val="center"/>
                </w:tcPr>
                <w:p w14:paraId="509902CA">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lang w:val="en-US" w:eastAsia="zh-CN"/>
                    </w:rPr>
                    <w:t>841-004-01</w:t>
                  </w:r>
                </w:p>
              </w:tc>
              <w:tc>
                <w:tcPr>
                  <w:tcW w:w="579" w:type="dxa"/>
                  <w:vMerge w:val="continue"/>
                  <w:noWrap w:val="0"/>
                  <w:vAlign w:val="center"/>
                </w:tcPr>
                <w:p w14:paraId="0AC65E71">
                  <w:pPr>
                    <w:pStyle w:val="86"/>
                    <w:spacing w:line="240" w:lineRule="auto"/>
                    <w:rPr>
                      <w:rFonts w:hint="eastAsia" w:cs="Times New Roman"/>
                      <w:color w:val="auto"/>
                      <w:sz w:val="21"/>
                      <w:szCs w:val="21"/>
                      <w:highlight w:val="none"/>
                      <w:lang w:val="en-US" w:eastAsia="zh-CN"/>
                    </w:rPr>
                  </w:pPr>
                </w:p>
              </w:tc>
              <w:tc>
                <w:tcPr>
                  <w:tcW w:w="683" w:type="dxa"/>
                  <w:vMerge w:val="continue"/>
                  <w:noWrap w:val="0"/>
                  <w:vAlign w:val="center"/>
                </w:tcPr>
                <w:p w14:paraId="20BF5AFB">
                  <w:pPr>
                    <w:pStyle w:val="86"/>
                    <w:spacing w:line="240" w:lineRule="auto"/>
                    <w:rPr>
                      <w:rFonts w:hint="eastAsia" w:cs="Times New Roman"/>
                      <w:color w:val="auto"/>
                      <w:sz w:val="21"/>
                      <w:szCs w:val="21"/>
                      <w:highlight w:val="none"/>
                      <w:lang w:val="en-US" w:eastAsia="zh-CN"/>
                    </w:rPr>
                  </w:pPr>
                </w:p>
              </w:tc>
              <w:tc>
                <w:tcPr>
                  <w:tcW w:w="764" w:type="dxa"/>
                  <w:noWrap w:val="0"/>
                  <w:vAlign w:val="center"/>
                </w:tcPr>
                <w:p w14:paraId="41259694">
                  <w:pPr>
                    <w:pStyle w:val="120"/>
                    <w:bidi w:val="0"/>
                    <w:ind w:firstLine="0" w:firstLineChars="0"/>
                    <w:rPr>
                      <w:rFonts w:hint="eastAsia" w:cs="Times New Roman"/>
                      <w:color w:val="auto"/>
                      <w:sz w:val="21"/>
                      <w:szCs w:val="21"/>
                      <w:highlight w:val="none"/>
                      <w:lang w:val="en-US" w:eastAsia="zh-CN"/>
                    </w:rPr>
                  </w:pPr>
                  <w:r>
                    <w:rPr>
                      <w:rFonts w:hint="eastAsia"/>
                      <w:color w:val="auto"/>
                      <w:highlight w:val="none"/>
                    </w:rPr>
                    <w:t>防腐蚀密闭容器</w:t>
                  </w:r>
                </w:p>
              </w:tc>
              <w:tc>
                <w:tcPr>
                  <w:tcW w:w="791" w:type="dxa"/>
                  <w:vMerge w:val="continue"/>
                  <w:noWrap w:val="0"/>
                  <w:vAlign w:val="center"/>
                </w:tcPr>
                <w:p w14:paraId="61ECDB0D">
                  <w:pPr>
                    <w:pStyle w:val="86"/>
                    <w:spacing w:line="240" w:lineRule="auto"/>
                    <w:rPr>
                      <w:rFonts w:hint="eastAsia" w:cs="Times New Roman"/>
                      <w:color w:val="auto"/>
                      <w:sz w:val="21"/>
                      <w:szCs w:val="21"/>
                      <w:highlight w:val="none"/>
                      <w:lang w:val="en-US" w:eastAsia="zh-CN"/>
                    </w:rPr>
                  </w:pPr>
                </w:p>
              </w:tc>
              <w:tc>
                <w:tcPr>
                  <w:tcW w:w="698" w:type="dxa"/>
                  <w:vMerge w:val="continue"/>
                  <w:tcBorders/>
                  <w:noWrap w:val="0"/>
                  <w:vAlign w:val="center"/>
                </w:tcPr>
                <w:p w14:paraId="6988846B">
                  <w:pPr>
                    <w:pStyle w:val="86"/>
                    <w:spacing w:line="240" w:lineRule="auto"/>
                    <w:rPr>
                      <w:rFonts w:hint="eastAsia" w:cs="Times New Roman"/>
                      <w:color w:val="auto"/>
                      <w:sz w:val="21"/>
                      <w:szCs w:val="21"/>
                      <w:highlight w:val="none"/>
                      <w:lang w:val="en-US" w:eastAsia="zh-CN"/>
                    </w:rPr>
                  </w:pPr>
                </w:p>
              </w:tc>
            </w:tr>
            <w:tr w14:paraId="07BF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427" w:type="dxa"/>
                  <w:vMerge w:val="continue"/>
                  <w:noWrap w:val="0"/>
                  <w:vAlign w:val="center"/>
                </w:tcPr>
                <w:p w14:paraId="4D967562">
                  <w:pPr>
                    <w:pStyle w:val="86"/>
                    <w:spacing w:line="240" w:lineRule="auto"/>
                    <w:rPr>
                      <w:rFonts w:hint="eastAsia" w:cs="Times New Roman"/>
                      <w:color w:val="auto"/>
                      <w:sz w:val="21"/>
                      <w:szCs w:val="21"/>
                      <w:highlight w:val="none"/>
                      <w:lang w:val="en-US" w:eastAsia="zh-CN"/>
                    </w:rPr>
                  </w:pPr>
                </w:p>
              </w:tc>
              <w:tc>
                <w:tcPr>
                  <w:tcW w:w="1314" w:type="dxa"/>
                  <w:vMerge w:val="continue"/>
                  <w:noWrap w:val="0"/>
                  <w:vAlign w:val="center"/>
                </w:tcPr>
                <w:p w14:paraId="344676B8">
                  <w:pPr>
                    <w:pStyle w:val="86"/>
                    <w:spacing w:line="240" w:lineRule="auto"/>
                    <w:rPr>
                      <w:rFonts w:hint="eastAsia" w:cs="Times New Roman"/>
                      <w:color w:val="auto"/>
                      <w:sz w:val="21"/>
                      <w:szCs w:val="21"/>
                      <w:highlight w:val="none"/>
                      <w:lang w:val="en-US" w:eastAsia="zh-CN"/>
                    </w:rPr>
                  </w:pPr>
                </w:p>
              </w:tc>
              <w:tc>
                <w:tcPr>
                  <w:tcW w:w="1290" w:type="dxa"/>
                  <w:vMerge w:val="continue"/>
                  <w:noWrap w:val="0"/>
                  <w:vAlign w:val="center"/>
                </w:tcPr>
                <w:p w14:paraId="115D6C36">
                  <w:pPr>
                    <w:pStyle w:val="86"/>
                    <w:spacing w:line="240" w:lineRule="auto"/>
                    <w:rPr>
                      <w:rFonts w:hint="eastAsia" w:cs="Times New Roman"/>
                      <w:color w:val="auto"/>
                      <w:sz w:val="21"/>
                      <w:szCs w:val="21"/>
                      <w:highlight w:val="none"/>
                      <w:lang w:val="en-US" w:eastAsia="zh-CN"/>
                    </w:rPr>
                  </w:pPr>
                </w:p>
              </w:tc>
              <w:tc>
                <w:tcPr>
                  <w:tcW w:w="855" w:type="dxa"/>
                  <w:vMerge w:val="continue"/>
                  <w:noWrap w:val="0"/>
                  <w:vAlign w:val="center"/>
                </w:tcPr>
                <w:p w14:paraId="2CFE2EC9">
                  <w:pPr>
                    <w:pStyle w:val="86"/>
                    <w:spacing w:line="240" w:lineRule="auto"/>
                    <w:rPr>
                      <w:rFonts w:hint="eastAsia" w:cs="Times New Roman"/>
                      <w:color w:val="auto"/>
                      <w:sz w:val="21"/>
                      <w:szCs w:val="21"/>
                      <w:highlight w:val="none"/>
                      <w:lang w:val="en-US" w:eastAsia="zh-CN"/>
                    </w:rPr>
                  </w:pPr>
                </w:p>
              </w:tc>
              <w:tc>
                <w:tcPr>
                  <w:tcW w:w="1215" w:type="dxa"/>
                  <w:noWrap w:val="0"/>
                  <w:vAlign w:val="center"/>
                </w:tcPr>
                <w:p w14:paraId="01D6780C">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lang w:val="en-US" w:eastAsia="zh-CN"/>
                    </w:rPr>
                    <w:t>841-005-01</w:t>
                  </w:r>
                </w:p>
              </w:tc>
              <w:tc>
                <w:tcPr>
                  <w:tcW w:w="579" w:type="dxa"/>
                  <w:vMerge w:val="continue"/>
                  <w:noWrap w:val="0"/>
                  <w:vAlign w:val="center"/>
                </w:tcPr>
                <w:p w14:paraId="6BD00EFB">
                  <w:pPr>
                    <w:pStyle w:val="86"/>
                    <w:spacing w:line="240" w:lineRule="auto"/>
                    <w:rPr>
                      <w:rFonts w:hint="eastAsia" w:cs="Times New Roman"/>
                      <w:color w:val="auto"/>
                      <w:sz w:val="21"/>
                      <w:szCs w:val="21"/>
                      <w:highlight w:val="none"/>
                      <w:lang w:val="en-US" w:eastAsia="zh-CN"/>
                    </w:rPr>
                  </w:pPr>
                </w:p>
              </w:tc>
              <w:tc>
                <w:tcPr>
                  <w:tcW w:w="683" w:type="dxa"/>
                  <w:vMerge w:val="continue"/>
                  <w:noWrap w:val="0"/>
                  <w:vAlign w:val="center"/>
                </w:tcPr>
                <w:p w14:paraId="4A55A68E">
                  <w:pPr>
                    <w:pStyle w:val="86"/>
                    <w:spacing w:line="240" w:lineRule="auto"/>
                    <w:rPr>
                      <w:rFonts w:hint="eastAsia" w:cs="Times New Roman"/>
                      <w:color w:val="auto"/>
                      <w:sz w:val="21"/>
                      <w:szCs w:val="21"/>
                      <w:highlight w:val="none"/>
                      <w:lang w:val="en-US" w:eastAsia="zh-CN"/>
                    </w:rPr>
                  </w:pPr>
                </w:p>
              </w:tc>
              <w:tc>
                <w:tcPr>
                  <w:tcW w:w="764" w:type="dxa"/>
                  <w:noWrap w:val="0"/>
                  <w:vAlign w:val="center"/>
                </w:tcPr>
                <w:p w14:paraId="7CC514C0">
                  <w:pPr>
                    <w:pStyle w:val="120"/>
                    <w:bidi w:val="0"/>
                    <w:ind w:firstLine="0" w:firstLineChars="0"/>
                    <w:rPr>
                      <w:rFonts w:hint="eastAsia" w:cs="Times New Roman"/>
                      <w:color w:val="auto"/>
                      <w:sz w:val="21"/>
                      <w:szCs w:val="21"/>
                      <w:highlight w:val="none"/>
                      <w:lang w:val="en-US" w:eastAsia="zh-CN"/>
                    </w:rPr>
                  </w:pPr>
                  <w:r>
                    <w:rPr>
                      <w:rFonts w:hint="eastAsia"/>
                      <w:color w:val="auto"/>
                      <w:highlight w:val="none"/>
                    </w:rPr>
                    <w:t>棕色容器或密封袋</w:t>
                  </w:r>
                </w:p>
              </w:tc>
              <w:tc>
                <w:tcPr>
                  <w:tcW w:w="791" w:type="dxa"/>
                  <w:vMerge w:val="continue"/>
                  <w:noWrap w:val="0"/>
                  <w:vAlign w:val="center"/>
                </w:tcPr>
                <w:p w14:paraId="5815DA04">
                  <w:pPr>
                    <w:pStyle w:val="86"/>
                    <w:spacing w:line="240" w:lineRule="auto"/>
                    <w:rPr>
                      <w:rFonts w:hint="eastAsia" w:cs="Times New Roman"/>
                      <w:color w:val="auto"/>
                      <w:sz w:val="21"/>
                      <w:szCs w:val="21"/>
                      <w:highlight w:val="none"/>
                      <w:lang w:val="en-US" w:eastAsia="zh-CN"/>
                    </w:rPr>
                  </w:pPr>
                </w:p>
              </w:tc>
              <w:tc>
                <w:tcPr>
                  <w:tcW w:w="698" w:type="dxa"/>
                  <w:vMerge w:val="continue"/>
                  <w:tcBorders/>
                  <w:noWrap w:val="0"/>
                  <w:vAlign w:val="center"/>
                </w:tcPr>
                <w:p w14:paraId="0F25BB65">
                  <w:pPr>
                    <w:pStyle w:val="86"/>
                    <w:spacing w:line="240" w:lineRule="auto"/>
                    <w:rPr>
                      <w:rFonts w:hint="eastAsia" w:cs="Times New Roman"/>
                      <w:color w:val="auto"/>
                      <w:sz w:val="21"/>
                      <w:szCs w:val="21"/>
                      <w:highlight w:val="none"/>
                      <w:lang w:val="en-US" w:eastAsia="zh-CN"/>
                    </w:rPr>
                  </w:pPr>
                </w:p>
              </w:tc>
            </w:tr>
            <w:tr w14:paraId="4FF60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27" w:type="dxa"/>
                  <w:noWrap w:val="0"/>
                  <w:vAlign w:val="center"/>
                </w:tcPr>
                <w:p w14:paraId="4F69FC1B">
                  <w:pPr>
                    <w:keepNext w:val="0"/>
                    <w:keepLines w:val="0"/>
                    <w:pageBreakBefore w:val="0"/>
                    <w:kinsoku/>
                    <w:wordWrap/>
                    <w:overflowPunct/>
                    <w:topLinePunct/>
                    <w:bidi w:val="0"/>
                    <w:ind w:left="0" w:leftChars="0" w:right="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w:t>
                  </w:r>
                </w:p>
              </w:tc>
              <w:tc>
                <w:tcPr>
                  <w:tcW w:w="1314" w:type="dxa"/>
                  <w:vMerge w:val="continue"/>
                  <w:noWrap w:val="0"/>
                  <w:vAlign w:val="center"/>
                </w:tcPr>
                <w:p w14:paraId="66A2ED06">
                  <w:pPr>
                    <w:keepNext w:val="0"/>
                    <w:keepLines w:val="0"/>
                    <w:pageBreakBefore w:val="0"/>
                    <w:kinsoku/>
                    <w:wordWrap/>
                    <w:overflowPunct/>
                    <w:topLinePunct/>
                    <w:bidi w:val="0"/>
                    <w:ind w:left="0" w:leftChars="0" w:right="0"/>
                    <w:jc w:val="center"/>
                    <w:rPr>
                      <w:rFonts w:hint="default" w:ascii="Times New Roman" w:hAnsi="Times New Roman" w:cs="Times New Roman"/>
                      <w:color w:val="auto"/>
                      <w:sz w:val="21"/>
                      <w:szCs w:val="21"/>
                    </w:rPr>
                  </w:pPr>
                </w:p>
              </w:tc>
              <w:tc>
                <w:tcPr>
                  <w:tcW w:w="1290" w:type="dxa"/>
                  <w:noWrap w:val="0"/>
                  <w:vAlign w:val="center"/>
                </w:tcPr>
                <w:p w14:paraId="755278C2">
                  <w:pPr>
                    <w:jc w:val="center"/>
                    <w:rPr>
                      <w:rFonts w:hint="eastAsia"/>
                      <w:color w:val="auto"/>
                      <w:szCs w:val="21"/>
                      <w:lang w:eastAsia="zh-CN"/>
                    </w:rPr>
                  </w:pPr>
                  <w:r>
                    <w:rPr>
                      <w:rFonts w:hint="eastAsia"/>
                      <w:color w:val="auto"/>
                      <w:szCs w:val="21"/>
                      <w:lang w:val="en-US" w:eastAsia="zh-CN"/>
                    </w:rPr>
                    <w:t>危险废包装物</w:t>
                  </w:r>
                </w:p>
              </w:tc>
              <w:tc>
                <w:tcPr>
                  <w:tcW w:w="855" w:type="dxa"/>
                  <w:noWrap w:val="0"/>
                  <w:vAlign w:val="center"/>
                </w:tcPr>
                <w:p w14:paraId="16F45E3C">
                  <w:pPr>
                    <w:pStyle w:val="86"/>
                    <w:spacing w:line="240" w:lineRule="auto"/>
                    <w:rPr>
                      <w:rFonts w:hint="eastAsia"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HW49</w:t>
                  </w:r>
                </w:p>
              </w:tc>
              <w:tc>
                <w:tcPr>
                  <w:tcW w:w="1215" w:type="dxa"/>
                  <w:noWrap w:val="0"/>
                  <w:vAlign w:val="center"/>
                </w:tcPr>
                <w:p w14:paraId="68FA1D71">
                  <w:pPr>
                    <w:pStyle w:val="86"/>
                    <w:spacing w:line="240" w:lineRule="auto"/>
                    <w:rPr>
                      <w:rFonts w:hint="eastAsia" w:cs="Times New Roman"/>
                      <w:color w:val="auto"/>
                      <w:sz w:val="21"/>
                      <w:szCs w:val="21"/>
                      <w:highlight w:val="none"/>
                      <w:lang w:val="en-US" w:eastAsia="zh-CN"/>
                    </w:rPr>
                  </w:pPr>
                  <w:r>
                    <w:rPr>
                      <w:rFonts w:hint="eastAsia" w:ascii="Times New Roman" w:hAnsi="Times New Roman" w:cs="Times New Roman"/>
                      <w:color w:val="auto"/>
                      <w:sz w:val="21"/>
                      <w:szCs w:val="21"/>
                      <w:lang w:val="en-US" w:eastAsia="zh-CN"/>
                    </w:rPr>
                    <w:t>900-041-49</w:t>
                  </w:r>
                </w:p>
              </w:tc>
              <w:tc>
                <w:tcPr>
                  <w:tcW w:w="579" w:type="dxa"/>
                  <w:vMerge w:val="continue"/>
                  <w:noWrap w:val="0"/>
                  <w:vAlign w:val="center"/>
                </w:tcPr>
                <w:p w14:paraId="0D2B0CEB">
                  <w:pPr>
                    <w:keepNext w:val="0"/>
                    <w:keepLines w:val="0"/>
                    <w:pageBreakBefore w:val="0"/>
                    <w:kinsoku/>
                    <w:wordWrap/>
                    <w:overflowPunct/>
                    <w:topLinePunct/>
                    <w:bidi w:val="0"/>
                    <w:ind w:left="0" w:leftChars="0" w:right="0"/>
                    <w:jc w:val="center"/>
                    <w:rPr>
                      <w:rFonts w:hint="eastAsia" w:cs="Times New Roman"/>
                      <w:color w:val="auto"/>
                      <w:sz w:val="21"/>
                      <w:szCs w:val="21"/>
                      <w:highlight w:val="none"/>
                      <w:lang w:val="en-US" w:eastAsia="zh-CN"/>
                    </w:rPr>
                  </w:pPr>
                </w:p>
              </w:tc>
              <w:tc>
                <w:tcPr>
                  <w:tcW w:w="683" w:type="dxa"/>
                  <w:vMerge w:val="continue"/>
                  <w:noWrap w:val="0"/>
                  <w:vAlign w:val="center"/>
                </w:tcPr>
                <w:p w14:paraId="5E00D847">
                  <w:pPr>
                    <w:keepNext w:val="0"/>
                    <w:keepLines w:val="0"/>
                    <w:pageBreakBefore w:val="0"/>
                    <w:kinsoku/>
                    <w:wordWrap/>
                    <w:overflowPunct/>
                    <w:topLinePunct/>
                    <w:bidi w:val="0"/>
                    <w:ind w:left="0" w:leftChars="0" w:right="0"/>
                    <w:jc w:val="center"/>
                    <w:rPr>
                      <w:rFonts w:hint="eastAsia" w:cs="Times New Roman"/>
                      <w:color w:val="auto"/>
                      <w:sz w:val="21"/>
                      <w:szCs w:val="21"/>
                      <w:lang w:val="en-US" w:eastAsia="zh-CN"/>
                    </w:rPr>
                  </w:pPr>
                </w:p>
              </w:tc>
              <w:tc>
                <w:tcPr>
                  <w:tcW w:w="764" w:type="dxa"/>
                  <w:noWrap w:val="0"/>
                  <w:vAlign w:val="center"/>
                </w:tcPr>
                <w:p w14:paraId="3A58141D">
                  <w:pPr>
                    <w:topLinePunct/>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密封袋</w:t>
                  </w:r>
                </w:p>
              </w:tc>
              <w:tc>
                <w:tcPr>
                  <w:tcW w:w="791" w:type="dxa"/>
                  <w:vMerge w:val="continue"/>
                  <w:noWrap w:val="0"/>
                  <w:vAlign w:val="center"/>
                </w:tcPr>
                <w:p w14:paraId="0AE3DABF">
                  <w:pPr>
                    <w:keepNext w:val="0"/>
                    <w:keepLines w:val="0"/>
                    <w:pageBreakBefore w:val="0"/>
                    <w:kinsoku/>
                    <w:wordWrap/>
                    <w:overflowPunct/>
                    <w:topLinePunct/>
                    <w:bidi w:val="0"/>
                    <w:ind w:left="0" w:leftChars="0" w:right="0"/>
                    <w:jc w:val="center"/>
                    <w:rPr>
                      <w:rFonts w:hint="eastAsia" w:cs="Times New Roman"/>
                      <w:color w:val="auto"/>
                      <w:sz w:val="21"/>
                      <w:szCs w:val="21"/>
                      <w:lang w:val="en-US" w:eastAsia="zh-CN"/>
                    </w:rPr>
                  </w:pPr>
                </w:p>
              </w:tc>
              <w:tc>
                <w:tcPr>
                  <w:tcW w:w="698" w:type="dxa"/>
                  <w:vMerge w:val="continue"/>
                  <w:tcBorders/>
                  <w:noWrap w:val="0"/>
                  <w:vAlign w:val="center"/>
                </w:tcPr>
                <w:p w14:paraId="101E6D04">
                  <w:pPr>
                    <w:keepNext w:val="0"/>
                    <w:keepLines w:val="0"/>
                    <w:pageBreakBefore w:val="0"/>
                    <w:kinsoku/>
                    <w:wordWrap/>
                    <w:overflowPunct/>
                    <w:topLinePunct/>
                    <w:bidi w:val="0"/>
                    <w:ind w:left="0" w:leftChars="0" w:right="0"/>
                    <w:jc w:val="center"/>
                    <w:rPr>
                      <w:rFonts w:hint="eastAsia" w:cs="Times New Roman"/>
                      <w:color w:val="auto"/>
                      <w:sz w:val="21"/>
                      <w:szCs w:val="21"/>
                      <w:lang w:val="en-US" w:eastAsia="zh-CN"/>
                    </w:rPr>
                  </w:pPr>
                </w:p>
              </w:tc>
            </w:tr>
            <w:tr w14:paraId="2EA2F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27" w:type="dxa"/>
                  <w:noWrap w:val="0"/>
                  <w:vAlign w:val="center"/>
                </w:tcPr>
                <w:p w14:paraId="7C4F58C1">
                  <w:pPr>
                    <w:keepNext w:val="0"/>
                    <w:keepLines w:val="0"/>
                    <w:pageBreakBefore w:val="0"/>
                    <w:kinsoku/>
                    <w:wordWrap/>
                    <w:overflowPunct/>
                    <w:topLinePunct/>
                    <w:bidi w:val="0"/>
                    <w:ind w:left="0" w:leftChars="0" w:right="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w:t>
                  </w:r>
                </w:p>
              </w:tc>
              <w:tc>
                <w:tcPr>
                  <w:tcW w:w="1314" w:type="dxa"/>
                  <w:vMerge w:val="continue"/>
                  <w:noWrap w:val="0"/>
                  <w:vAlign w:val="center"/>
                </w:tcPr>
                <w:p w14:paraId="5076024A">
                  <w:pPr>
                    <w:keepNext w:val="0"/>
                    <w:keepLines w:val="0"/>
                    <w:pageBreakBefore w:val="0"/>
                    <w:kinsoku/>
                    <w:wordWrap/>
                    <w:overflowPunct/>
                    <w:topLinePunct/>
                    <w:bidi w:val="0"/>
                    <w:ind w:left="0" w:leftChars="0" w:right="0"/>
                    <w:jc w:val="center"/>
                    <w:rPr>
                      <w:rFonts w:hint="default" w:ascii="Times New Roman" w:hAnsi="Times New Roman" w:cs="Times New Roman"/>
                      <w:color w:val="auto"/>
                      <w:sz w:val="21"/>
                      <w:szCs w:val="21"/>
                    </w:rPr>
                  </w:pPr>
                </w:p>
              </w:tc>
              <w:tc>
                <w:tcPr>
                  <w:tcW w:w="1290" w:type="dxa"/>
                  <w:noWrap w:val="0"/>
                  <w:vAlign w:val="center"/>
                </w:tcPr>
                <w:p w14:paraId="397291E7">
                  <w:pPr>
                    <w:jc w:val="center"/>
                    <w:rPr>
                      <w:rFonts w:hint="eastAsia"/>
                      <w:color w:val="auto"/>
                      <w:szCs w:val="21"/>
                      <w:lang w:eastAsia="zh-CN"/>
                    </w:rPr>
                  </w:pPr>
                  <w:r>
                    <w:rPr>
                      <w:rFonts w:hint="eastAsia"/>
                      <w:color w:val="auto"/>
                      <w:szCs w:val="21"/>
                      <w:lang w:val="en-US" w:eastAsia="zh-CN"/>
                    </w:rPr>
                    <w:t>废UV灯管</w:t>
                  </w:r>
                </w:p>
              </w:tc>
              <w:tc>
                <w:tcPr>
                  <w:tcW w:w="855" w:type="dxa"/>
                  <w:noWrap w:val="0"/>
                  <w:vAlign w:val="center"/>
                </w:tcPr>
                <w:p w14:paraId="3539B3B4">
                  <w:pPr>
                    <w:pStyle w:val="86"/>
                    <w:spacing w:line="240" w:lineRule="auto"/>
                    <w:rPr>
                      <w:rFonts w:hint="eastAsia" w:eastAsia="宋体" w:cs="Times New Roman"/>
                      <w:color w:val="auto"/>
                      <w:sz w:val="21"/>
                      <w:szCs w:val="21"/>
                      <w:lang w:val="en-US" w:eastAsia="zh-CN"/>
                    </w:rPr>
                  </w:pPr>
                  <w:r>
                    <w:rPr>
                      <w:rFonts w:hint="default" w:ascii="Times New Roman" w:hAnsi="Times New Roman" w:eastAsia="宋体" w:cs="Times New Roman"/>
                      <w:color w:val="auto"/>
                      <w:sz w:val="21"/>
                      <w:szCs w:val="21"/>
                    </w:rPr>
                    <w:t>HW</w:t>
                  </w:r>
                  <w:r>
                    <w:rPr>
                      <w:rFonts w:hint="eastAsia" w:eastAsia="宋体" w:cs="Times New Roman"/>
                      <w:color w:val="auto"/>
                      <w:sz w:val="21"/>
                      <w:szCs w:val="21"/>
                      <w:lang w:val="en-US" w:eastAsia="zh-CN"/>
                    </w:rPr>
                    <w:t>29</w:t>
                  </w:r>
                </w:p>
              </w:tc>
              <w:tc>
                <w:tcPr>
                  <w:tcW w:w="1215" w:type="dxa"/>
                  <w:noWrap w:val="0"/>
                  <w:vAlign w:val="center"/>
                </w:tcPr>
                <w:p w14:paraId="4CFD8741">
                  <w:pPr>
                    <w:pStyle w:val="86"/>
                    <w:spacing w:line="240" w:lineRule="auto"/>
                    <w:rPr>
                      <w:rFonts w:hint="eastAsia" w:cs="Times New Roman"/>
                      <w:color w:val="auto"/>
                      <w:sz w:val="21"/>
                      <w:szCs w:val="21"/>
                      <w:highlight w:val="none"/>
                      <w:lang w:val="en-US" w:eastAsia="zh-CN"/>
                    </w:rPr>
                  </w:pPr>
                  <w:r>
                    <w:rPr>
                      <w:rFonts w:hint="default" w:ascii="Times New Roman" w:hAnsi="Times New Roman" w:cs="Times New Roman"/>
                      <w:color w:val="auto"/>
                      <w:sz w:val="21"/>
                      <w:szCs w:val="21"/>
                    </w:rPr>
                    <w:t>900-0</w:t>
                  </w:r>
                  <w:r>
                    <w:rPr>
                      <w:rFonts w:hint="eastAsia" w:cs="Times New Roman"/>
                      <w:color w:val="auto"/>
                      <w:sz w:val="21"/>
                      <w:szCs w:val="21"/>
                      <w:lang w:val="en-US" w:eastAsia="zh-CN"/>
                    </w:rPr>
                    <w:t>23</w:t>
                  </w:r>
                  <w:r>
                    <w:rPr>
                      <w:rFonts w:hint="default" w:ascii="Times New Roman" w:hAnsi="Times New Roman" w:cs="Times New Roman"/>
                      <w:color w:val="auto"/>
                      <w:sz w:val="21"/>
                      <w:szCs w:val="21"/>
                    </w:rPr>
                    <w:t>-</w:t>
                  </w:r>
                  <w:r>
                    <w:rPr>
                      <w:rFonts w:hint="eastAsia" w:cs="Times New Roman"/>
                      <w:color w:val="auto"/>
                      <w:sz w:val="21"/>
                      <w:szCs w:val="21"/>
                      <w:lang w:val="en-US" w:eastAsia="zh-CN"/>
                    </w:rPr>
                    <w:t>2</w:t>
                  </w:r>
                  <w:r>
                    <w:rPr>
                      <w:rFonts w:hint="default" w:ascii="Times New Roman" w:hAnsi="Times New Roman" w:cs="Times New Roman"/>
                      <w:color w:val="auto"/>
                      <w:sz w:val="21"/>
                      <w:szCs w:val="21"/>
                    </w:rPr>
                    <w:t>9</w:t>
                  </w:r>
                </w:p>
              </w:tc>
              <w:tc>
                <w:tcPr>
                  <w:tcW w:w="579" w:type="dxa"/>
                  <w:vMerge w:val="continue"/>
                  <w:noWrap w:val="0"/>
                  <w:vAlign w:val="center"/>
                </w:tcPr>
                <w:p w14:paraId="032B5E5D">
                  <w:pPr>
                    <w:keepNext w:val="0"/>
                    <w:keepLines w:val="0"/>
                    <w:pageBreakBefore w:val="0"/>
                    <w:kinsoku/>
                    <w:wordWrap/>
                    <w:overflowPunct/>
                    <w:topLinePunct/>
                    <w:bidi w:val="0"/>
                    <w:ind w:left="0" w:leftChars="0" w:right="0"/>
                    <w:jc w:val="center"/>
                    <w:rPr>
                      <w:rFonts w:hint="eastAsia" w:cs="Times New Roman"/>
                      <w:color w:val="auto"/>
                      <w:sz w:val="21"/>
                      <w:szCs w:val="21"/>
                      <w:highlight w:val="none"/>
                      <w:lang w:val="en-US" w:eastAsia="zh-CN"/>
                    </w:rPr>
                  </w:pPr>
                </w:p>
              </w:tc>
              <w:tc>
                <w:tcPr>
                  <w:tcW w:w="683" w:type="dxa"/>
                  <w:vMerge w:val="continue"/>
                  <w:noWrap w:val="0"/>
                  <w:vAlign w:val="center"/>
                </w:tcPr>
                <w:p w14:paraId="37ACDC53">
                  <w:pPr>
                    <w:keepNext w:val="0"/>
                    <w:keepLines w:val="0"/>
                    <w:pageBreakBefore w:val="0"/>
                    <w:kinsoku/>
                    <w:wordWrap/>
                    <w:overflowPunct/>
                    <w:topLinePunct/>
                    <w:bidi w:val="0"/>
                    <w:ind w:left="0" w:leftChars="0" w:right="0"/>
                    <w:jc w:val="center"/>
                    <w:rPr>
                      <w:rFonts w:hint="eastAsia" w:cs="Times New Roman"/>
                      <w:color w:val="auto"/>
                      <w:sz w:val="21"/>
                      <w:szCs w:val="21"/>
                      <w:lang w:val="en-US" w:eastAsia="zh-CN"/>
                    </w:rPr>
                  </w:pPr>
                </w:p>
              </w:tc>
              <w:tc>
                <w:tcPr>
                  <w:tcW w:w="764" w:type="dxa"/>
                  <w:noWrap w:val="0"/>
                  <w:vAlign w:val="center"/>
                </w:tcPr>
                <w:p w14:paraId="5E9A5309">
                  <w:pPr>
                    <w:topLinePunct/>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密封袋</w:t>
                  </w:r>
                </w:p>
              </w:tc>
              <w:tc>
                <w:tcPr>
                  <w:tcW w:w="791" w:type="dxa"/>
                  <w:vMerge w:val="continue"/>
                  <w:noWrap w:val="0"/>
                  <w:vAlign w:val="center"/>
                </w:tcPr>
                <w:p w14:paraId="5068FC74">
                  <w:pPr>
                    <w:keepNext w:val="0"/>
                    <w:keepLines w:val="0"/>
                    <w:pageBreakBefore w:val="0"/>
                    <w:kinsoku/>
                    <w:wordWrap/>
                    <w:overflowPunct/>
                    <w:topLinePunct/>
                    <w:bidi w:val="0"/>
                    <w:ind w:left="0" w:leftChars="0" w:right="0"/>
                    <w:jc w:val="center"/>
                    <w:rPr>
                      <w:rFonts w:hint="eastAsia" w:cs="Times New Roman"/>
                      <w:color w:val="auto"/>
                      <w:sz w:val="21"/>
                      <w:szCs w:val="21"/>
                      <w:lang w:val="en-US" w:eastAsia="zh-CN"/>
                    </w:rPr>
                  </w:pPr>
                </w:p>
              </w:tc>
              <w:tc>
                <w:tcPr>
                  <w:tcW w:w="698" w:type="dxa"/>
                  <w:vMerge w:val="continue"/>
                  <w:tcBorders/>
                  <w:noWrap w:val="0"/>
                  <w:vAlign w:val="center"/>
                </w:tcPr>
                <w:p w14:paraId="0E254CAF">
                  <w:pPr>
                    <w:keepNext w:val="0"/>
                    <w:keepLines w:val="0"/>
                    <w:pageBreakBefore w:val="0"/>
                    <w:kinsoku/>
                    <w:wordWrap/>
                    <w:overflowPunct/>
                    <w:topLinePunct/>
                    <w:bidi w:val="0"/>
                    <w:ind w:left="0" w:leftChars="0" w:right="0"/>
                    <w:jc w:val="center"/>
                    <w:rPr>
                      <w:rFonts w:hint="eastAsia" w:cs="Times New Roman"/>
                      <w:color w:val="auto"/>
                      <w:sz w:val="21"/>
                      <w:szCs w:val="21"/>
                      <w:lang w:val="en-US" w:eastAsia="zh-CN"/>
                    </w:rPr>
                  </w:pPr>
                </w:p>
              </w:tc>
            </w:tr>
            <w:tr w14:paraId="2F52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27" w:type="dxa"/>
                  <w:noWrap w:val="0"/>
                  <w:vAlign w:val="center"/>
                </w:tcPr>
                <w:p w14:paraId="61C34B17">
                  <w:pPr>
                    <w:keepNext w:val="0"/>
                    <w:keepLines w:val="0"/>
                    <w:pageBreakBefore w:val="0"/>
                    <w:kinsoku/>
                    <w:wordWrap/>
                    <w:overflowPunct/>
                    <w:topLinePunct/>
                    <w:bidi w:val="0"/>
                    <w:ind w:left="0" w:leftChars="0" w:right="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w:t>
                  </w:r>
                </w:p>
              </w:tc>
              <w:tc>
                <w:tcPr>
                  <w:tcW w:w="1314" w:type="dxa"/>
                  <w:vMerge w:val="continue"/>
                  <w:noWrap w:val="0"/>
                  <w:vAlign w:val="center"/>
                </w:tcPr>
                <w:p w14:paraId="1EC28E93">
                  <w:pPr>
                    <w:keepNext w:val="0"/>
                    <w:keepLines w:val="0"/>
                    <w:pageBreakBefore w:val="0"/>
                    <w:kinsoku/>
                    <w:wordWrap/>
                    <w:overflowPunct/>
                    <w:topLinePunct/>
                    <w:bidi w:val="0"/>
                    <w:ind w:left="0" w:leftChars="0" w:right="0"/>
                    <w:jc w:val="center"/>
                    <w:rPr>
                      <w:rFonts w:hint="default" w:ascii="Times New Roman" w:hAnsi="Times New Roman" w:cs="Times New Roman"/>
                      <w:color w:val="auto"/>
                      <w:sz w:val="21"/>
                      <w:szCs w:val="21"/>
                    </w:rPr>
                  </w:pPr>
                </w:p>
              </w:tc>
              <w:tc>
                <w:tcPr>
                  <w:tcW w:w="1290" w:type="dxa"/>
                  <w:noWrap w:val="0"/>
                  <w:vAlign w:val="center"/>
                </w:tcPr>
                <w:p w14:paraId="378BD94A">
                  <w:pPr>
                    <w:jc w:val="center"/>
                    <w:rPr>
                      <w:rFonts w:hint="eastAsia"/>
                      <w:color w:val="auto"/>
                      <w:szCs w:val="21"/>
                      <w:lang w:eastAsia="zh-CN"/>
                    </w:rPr>
                  </w:pPr>
                  <w:r>
                    <w:rPr>
                      <w:rFonts w:hint="eastAsia"/>
                      <w:color w:val="auto"/>
                      <w:szCs w:val="21"/>
                      <w:lang w:val="en-US" w:eastAsia="zh-CN"/>
                    </w:rPr>
                    <w:t>废紫外灯</w:t>
                  </w:r>
                </w:p>
              </w:tc>
              <w:tc>
                <w:tcPr>
                  <w:tcW w:w="855" w:type="dxa"/>
                  <w:noWrap w:val="0"/>
                  <w:vAlign w:val="center"/>
                </w:tcPr>
                <w:p w14:paraId="11EE84DF">
                  <w:pPr>
                    <w:pStyle w:val="86"/>
                    <w:spacing w:line="240" w:lineRule="auto"/>
                    <w:rPr>
                      <w:rFonts w:hint="eastAsia" w:eastAsia="宋体" w:cs="Times New Roman"/>
                      <w:color w:val="auto"/>
                      <w:sz w:val="21"/>
                      <w:szCs w:val="21"/>
                      <w:lang w:val="en-US" w:eastAsia="zh-CN"/>
                    </w:rPr>
                  </w:pPr>
                  <w:r>
                    <w:rPr>
                      <w:rFonts w:hint="default" w:ascii="Times New Roman" w:hAnsi="Times New Roman" w:eastAsia="宋体" w:cs="Times New Roman"/>
                      <w:color w:val="auto"/>
                      <w:sz w:val="21"/>
                      <w:szCs w:val="21"/>
                    </w:rPr>
                    <w:t>HW</w:t>
                  </w:r>
                  <w:r>
                    <w:rPr>
                      <w:rFonts w:hint="eastAsia" w:eastAsia="宋体" w:cs="Times New Roman"/>
                      <w:color w:val="auto"/>
                      <w:sz w:val="21"/>
                      <w:szCs w:val="21"/>
                      <w:lang w:val="en-US" w:eastAsia="zh-CN"/>
                    </w:rPr>
                    <w:t>29</w:t>
                  </w:r>
                </w:p>
              </w:tc>
              <w:tc>
                <w:tcPr>
                  <w:tcW w:w="1215" w:type="dxa"/>
                  <w:noWrap w:val="0"/>
                  <w:vAlign w:val="center"/>
                </w:tcPr>
                <w:p w14:paraId="335E6546">
                  <w:pPr>
                    <w:pStyle w:val="86"/>
                    <w:spacing w:line="240" w:lineRule="auto"/>
                    <w:rPr>
                      <w:rFonts w:hint="eastAsia" w:cs="Times New Roman"/>
                      <w:color w:val="auto"/>
                      <w:sz w:val="21"/>
                      <w:szCs w:val="21"/>
                      <w:highlight w:val="none"/>
                      <w:lang w:val="en-US" w:eastAsia="zh-CN"/>
                    </w:rPr>
                  </w:pPr>
                  <w:r>
                    <w:rPr>
                      <w:rFonts w:hint="default" w:ascii="Times New Roman" w:hAnsi="Times New Roman" w:cs="Times New Roman"/>
                      <w:color w:val="auto"/>
                      <w:sz w:val="21"/>
                      <w:szCs w:val="21"/>
                    </w:rPr>
                    <w:t>900-0</w:t>
                  </w:r>
                  <w:r>
                    <w:rPr>
                      <w:rFonts w:hint="eastAsia" w:cs="Times New Roman"/>
                      <w:color w:val="auto"/>
                      <w:sz w:val="21"/>
                      <w:szCs w:val="21"/>
                      <w:lang w:val="en-US" w:eastAsia="zh-CN"/>
                    </w:rPr>
                    <w:t>23</w:t>
                  </w:r>
                  <w:r>
                    <w:rPr>
                      <w:rFonts w:hint="default" w:ascii="Times New Roman" w:hAnsi="Times New Roman" w:cs="Times New Roman"/>
                      <w:color w:val="auto"/>
                      <w:sz w:val="21"/>
                      <w:szCs w:val="21"/>
                    </w:rPr>
                    <w:t>-</w:t>
                  </w:r>
                  <w:r>
                    <w:rPr>
                      <w:rFonts w:hint="eastAsia" w:cs="Times New Roman"/>
                      <w:color w:val="auto"/>
                      <w:sz w:val="21"/>
                      <w:szCs w:val="21"/>
                      <w:lang w:val="en-US" w:eastAsia="zh-CN"/>
                    </w:rPr>
                    <w:t>2</w:t>
                  </w:r>
                  <w:r>
                    <w:rPr>
                      <w:rFonts w:hint="default" w:ascii="Times New Roman" w:hAnsi="Times New Roman" w:cs="Times New Roman"/>
                      <w:color w:val="auto"/>
                      <w:sz w:val="21"/>
                      <w:szCs w:val="21"/>
                    </w:rPr>
                    <w:t>9</w:t>
                  </w:r>
                </w:p>
              </w:tc>
              <w:tc>
                <w:tcPr>
                  <w:tcW w:w="579" w:type="dxa"/>
                  <w:vMerge w:val="continue"/>
                  <w:noWrap w:val="0"/>
                  <w:vAlign w:val="center"/>
                </w:tcPr>
                <w:p w14:paraId="0B080FC4">
                  <w:pPr>
                    <w:keepNext w:val="0"/>
                    <w:keepLines w:val="0"/>
                    <w:pageBreakBefore w:val="0"/>
                    <w:kinsoku/>
                    <w:wordWrap/>
                    <w:overflowPunct/>
                    <w:topLinePunct/>
                    <w:bidi w:val="0"/>
                    <w:ind w:left="0" w:leftChars="0" w:right="0"/>
                    <w:jc w:val="center"/>
                    <w:rPr>
                      <w:rFonts w:hint="eastAsia" w:cs="Times New Roman"/>
                      <w:color w:val="auto"/>
                      <w:sz w:val="21"/>
                      <w:szCs w:val="21"/>
                      <w:highlight w:val="none"/>
                      <w:lang w:val="en-US" w:eastAsia="zh-CN"/>
                    </w:rPr>
                  </w:pPr>
                </w:p>
              </w:tc>
              <w:tc>
                <w:tcPr>
                  <w:tcW w:w="683" w:type="dxa"/>
                  <w:vMerge w:val="continue"/>
                  <w:noWrap w:val="0"/>
                  <w:vAlign w:val="center"/>
                </w:tcPr>
                <w:p w14:paraId="038F5230">
                  <w:pPr>
                    <w:keepNext w:val="0"/>
                    <w:keepLines w:val="0"/>
                    <w:pageBreakBefore w:val="0"/>
                    <w:kinsoku/>
                    <w:wordWrap/>
                    <w:overflowPunct/>
                    <w:topLinePunct/>
                    <w:bidi w:val="0"/>
                    <w:ind w:left="0" w:leftChars="0" w:right="0"/>
                    <w:jc w:val="center"/>
                    <w:rPr>
                      <w:rFonts w:hint="eastAsia" w:cs="Times New Roman"/>
                      <w:color w:val="auto"/>
                      <w:sz w:val="21"/>
                      <w:szCs w:val="21"/>
                      <w:lang w:val="en-US" w:eastAsia="zh-CN"/>
                    </w:rPr>
                  </w:pPr>
                </w:p>
              </w:tc>
              <w:tc>
                <w:tcPr>
                  <w:tcW w:w="764" w:type="dxa"/>
                  <w:noWrap w:val="0"/>
                  <w:vAlign w:val="center"/>
                </w:tcPr>
                <w:p w14:paraId="46F84F99">
                  <w:pPr>
                    <w:topLinePunct/>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密封袋</w:t>
                  </w:r>
                </w:p>
              </w:tc>
              <w:tc>
                <w:tcPr>
                  <w:tcW w:w="791" w:type="dxa"/>
                  <w:vMerge w:val="continue"/>
                  <w:noWrap w:val="0"/>
                  <w:vAlign w:val="center"/>
                </w:tcPr>
                <w:p w14:paraId="13C5301E">
                  <w:pPr>
                    <w:keepNext w:val="0"/>
                    <w:keepLines w:val="0"/>
                    <w:pageBreakBefore w:val="0"/>
                    <w:kinsoku/>
                    <w:wordWrap/>
                    <w:overflowPunct/>
                    <w:topLinePunct/>
                    <w:bidi w:val="0"/>
                    <w:ind w:left="0" w:leftChars="0" w:right="0"/>
                    <w:jc w:val="center"/>
                    <w:rPr>
                      <w:rFonts w:hint="eastAsia" w:cs="Times New Roman"/>
                      <w:color w:val="auto"/>
                      <w:sz w:val="21"/>
                      <w:szCs w:val="21"/>
                      <w:lang w:val="en-US" w:eastAsia="zh-CN"/>
                    </w:rPr>
                  </w:pPr>
                </w:p>
              </w:tc>
              <w:tc>
                <w:tcPr>
                  <w:tcW w:w="698" w:type="dxa"/>
                  <w:vMerge w:val="continue"/>
                  <w:tcBorders/>
                  <w:noWrap w:val="0"/>
                  <w:vAlign w:val="center"/>
                </w:tcPr>
                <w:p w14:paraId="7CD739EC">
                  <w:pPr>
                    <w:keepNext w:val="0"/>
                    <w:keepLines w:val="0"/>
                    <w:pageBreakBefore w:val="0"/>
                    <w:kinsoku/>
                    <w:wordWrap/>
                    <w:overflowPunct/>
                    <w:topLinePunct/>
                    <w:bidi w:val="0"/>
                    <w:ind w:left="0" w:leftChars="0" w:right="0"/>
                    <w:jc w:val="center"/>
                    <w:rPr>
                      <w:rFonts w:hint="eastAsia" w:cs="Times New Roman"/>
                      <w:color w:val="auto"/>
                      <w:sz w:val="21"/>
                      <w:szCs w:val="21"/>
                      <w:lang w:val="en-US" w:eastAsia="zh-CN"/>
                    </w:rPr>
                  </w:pPr>
                </w:p>
              </w:tc>
            </w:tr>
            <w:tr w14:paraId="3BE70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27" w:type="dxa"/>
                  <w:vAlign w:val="center"/>
                </w:tcPr>
                <w:p w14:paraId="458E8E30">
                  <w:pPr>
                    <w:keepNext w:val="0"/>
                    <w:keepLines w:val="0"/>
                    <w:pageBreakBefore w:val="0"/>
                    <w:kinsoku/>
                    <w:wordWrap/>
                    <w:overflowPunct/>
                    <w:topLinePunct/>
                    <w:bidi w:val="0"/>
                    <w:ind w:left="0" w:leftChars="0" w:right="0" w:rightChars="0"/>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5</w:t>
                  </w:r>
                </w:p>
              </w:tc>
              <w:tc>
                <w:tcPr>
                  <w:tcW w:w="1314" w:type="dxa"/>
                  <w:vMerge w:val="continue"/>
                  <w:vAlign w:val="center"/>
                </w:tcPr>
                <w:p w14:paraId="3DE1438D">
                  <w:pPr>
                    <w:keepNext w:val="0"/>
                    <w:keepLines w:val="0"/>
                    <w:pageBreakBefore w:val="0"/>
                    <w:kinsoku/>
                    <w:wordWrap/>
                    <w:overflowPunct/>
                    <w:topLinePunct/>
                    <w:bidi w:val="0"/>
                    <w:ind w:left="0" w:leftChars="0" w:right="0"/>
                    <w:jc w:val="center"/>
                    <w:rPr>
                      <w:rFonts w:hint="default" w:ascii="Times New Roman" w:hAnsi="Times New Roman" w:cs="Times New Roman"/>
                      <w:color w:val="auto"/>
                      <w:sz w:val="21"/>
                      <w:szCs w:val="21"/>
                    </w:rPr>
                  </w:pPr>
                </w:p>
              </w:tc>
              <w:tc>
                <w:tcPr>
                  <w:tcW w:w="1290" w:type="dxa"/>
                  <w:vAlign w:val="center"/>
                </w:tcPr>
                <w:p w14:paraId="3A10B062">
                  <w:pPr>
                    <w:jc w:val="center"/>
                    <w:rPr>
                      <w:rFonts w:hint="default" w:ascii="Times New Roman" w:hAnsi="Times New Roman" w:eastAsia="宋体" w:cs="Times New Roman"/>
                      <w:color w:val="auto"/>
                      <w:sz w:val="21"/>
                      <w:szCs w:val="21"/>
                      <w:lang w:val="en-US" w:eastAsia="zh-CN"/>
                    </w:rPr>
                  </w:pPr>
                  <w:r>
                    <w:rPr>
                      <w:rFonts w:hint="eastAsia"/>
                      <w:color w:val="auto"/>
                      <w:szCs w:val="21"/>
                      <w:lang w:val="en-US" w:eastAsia="zh-CN"/>
                    </w:rPr>
                    <w:t>污水处理站污泥</w:t>
                  </w:r>
                </w:p>
              </w:tc>
              <w:tc>
                <w:tcPr>
                  <w:tcW w:w="855" w:type="dxa"/>
                  <w:vAlign w:val="center"/>
                </w:tcPr>
                <w:p w14:paraId="41C6BEF3">
                  <w:pPr>
                    <w:pStyle w:val="86"/>
                    <w:spacing w:line="240" w:lineRule="auto"/>
                    <w:rPr>
                      <w:rFonts w:hint="default" w:ascii="Times New Roman" w:hAnsi="Times New Roman" w:eastAsia="宋体" w:cs="Times New Roman"/>
                      <w:color w:val="auto"/>
                      <w:kern w:val="2"/>
                      <w:sz w:val="21"/>
                      <w:szCs w:val="21"/>
                      <w:lang w:val="en-US" w:eastAsia="zh-CN" w:bidi="ar-SA"/>
                    </w:rPr>
                  </w:pPr>
                  <w:r>
                    <w:rPr>
                      <w:rFonts w:hint="eastAsia" w:eastAsia="宋体" w:cs="Times New Roman"/>
                      <w:color w:val="auto"/>
                      <w:sz w:val="21"/>
                      <w:szCs w:val="21"/>
                      <w:lang w:val="en-US" w:eastAsia="zh-CN"/>
                    </w:rPr>
                    <w:t>HW01</w:t>
                  </w:r>
                </w:p>
              </w:tc>
              <w:tc>
                <w:tcPr>
                  <w:tcW w:w="1215" w:type="dxa"/>
                  <w:vAlign w:val="center"/>
                </w:tcPr>
                <w:p w14:paraId="0EA10A05">
                  <w:pPr>
                    <w:pStyle w:val="86"/>
                    <w:spacing w:line="240" w:lineRule="auto"/>
                    <w:rPr>
                      <w:rFonts w:hint="default" w:ascii="Times New Roman" w:hAnsi="Times New Roman" w:eastAsia="宋体" w:cs="Times New Roman"/>
                      <w:color w:val="auto"/>
                      <w:kern w:val="0"/>
                      <w:sz w:val="21"/>
                      <w:szCs w:val="21"/>
                      <w:lang w:val="en-US" w:eastAsia="zh-CN" w:bidi="ar-SA"/>
                    </w:rPr>
                  </w:pPr>
                  <w:r>
                    <w:rPr>
                      <w:rFonts w:hint="eastAsia" w:cs="Times New Roman"/>
                      <w:color w:val="auto"/>
                      <w:sz w:val="21"/>
                      <w:szCs w:val="21"/>
                      <w:lang w:val="en-US" w:eastAsia="zh-CN"/>
                    </w:rPr>
                    <w:t>841-001-01</w:t>
                  </w:r>
                </w:p>
              </w:tc>
              <w:tc>
                <w:tcPr>
                  <w:tcW w:w="579" w:type="dxa"/>
                  <w:vMerge w:val="continue"/>
                  <w:vAlign w:val="center"/>
                </w:tcPr>
                <w:p w14:paraId="1273C7D4">
                  <w:pPr>
                    <w:pStyle w:val="86"/>
                    <w:keepNext w:val="0"/>
                    <w:keepLines w:val="0"/>
                    <w:pageBreakBefore w:val="0"/>
                    <w:kinsoku/>
                    <w:wordWrap/>
                    <w:overflowPunct/>
                    <w:bidi w:val="0"/>
                    <w:spacing w:line="240" w:lineRule="auto"/>
                    <w:ind w:left="0" w:leftChars="0" w:right="0"/>
                    <w:jc w:val="center"/>
                    <w:rPr>
                      <w:rFonts w:hint="default" w:ascii="Times New Roman" w:hAnsi="Times New Roman" w:cs="Times New Roman"/>
                      <w:color w:val="auto"/>
                      <w:sz w:val="21"/>
                      <w:szCs w:val="21"/>
                    </w:rPr>
                  </w:pPr>
                </w:p>
              </w:tc>
              <w:tc>
                <w:tcPr>
                  <w:tcW w:w="683" w:type="dxa"/>
                  <w:vMerge w:val="continue"/>
                  <w:vAlign w:val="center"/>
                </w:tcPr>
                <w:p w14:paraId="467F7261">
                  <w:pPr>
                    <w:keepNext w:val="0"/>
                    <w:keepLines w:val="0"/>
                    <w:pageBreakBefore w:val="0"/>
                    <w:kinsoku/>
                    <w:wordWrap/>
                    <w:overflowPunct/>
                    <w:topLinePunct/>
                    <w:bidi w:val="0"/>
                    <w:ind w:left="0" w:leftChars="0" w:right="0"/>
                    <w:jc w:val="center"/>
                    <w:rPr>
                      <w:rFonts w:hint="default" w:ascii="Times New Roman" w:hAnsi="Times New Roman" w:cs="Times New Roman"/>
                      <w:color w:val="auto"/>
                      <w:sz w:val="21"/>
                      <w:szCs w:val="21"/>
                    </w:rPr>
                  </w:pPr>
                </w:p>
              </w:tc>
              <w:tc>
                <w:tcPr>
                  <w:tcW w:w="764" w:type="dxa"/>
                  <w:vAlign w:val="center"/>
                </w:tcPr>
                <w:p w14:paraId="60575C7A">
                  <w:pPr>
                    <w:topLinePunct/>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密封桶</w:t>
                  </w:r>
                </w:p>
              </w:tc>
              <w:tc>
                <w:tcPr>
                  <w:tcW w:w="791" w:type="dxa"/>
                  <w:vMerge w:val="continue"/>
                  <w:vAlign w:val="center"/>
                </w:tcPr>
                <w:p w14:paraId="0515D808">
                  <w:pPr>
                    <w:keepNext w:val="0"/>
                    <w:keepLines w:val="0"/>
                    <w:pageBreakBefore w:val="0"/>
                    <w:kinsoku/>
                    <w:wordWrap/>
                    <w:overflowPunct/>
                    <w:topLinePunct/>
                    <w:bidi w:val="0"/>
                    <w:ind w:left="0" w:leftChars="0" w:right="0"/>
                    <w:jc w:val="center"/>
                    <w:rPr>
                      <w:rFonts w:hint="default" w:ascii="Times New Roman" w:hAnsi="Times New Roman" w:cs="Times New Roman"/>
                      <w:color w:val="auto"/>
                      <w:sz w:val="21"/>
                      <w:szCs w:val="21"/>
                    </w:rPr>
                  </w:pPr>
                </w:p>
              </w:tc>
              <w:tc>
                <w:tcPr>
                  <w:tcW w:w="698" w:type="dxa"/>
                  <w:vMerge w:val="continue"/>
                  <w:tcBorders/>
                  <w:vAlign w:val="center"/>
                </w:tcPr>
                <w:p w14:paraId="7CC1C240">
                  <w:pPr>
                    <w:keepNext w:val="0"/>
                    <w:keepLines w:val="0"/>
                    <w:pageBreakBefore w:val="0"/>
                    <w:kinsoku/>
                    <w:wordWrap/>
                    <w:overflowPunct/>
                    <w:topLinePunct/>
                    <w:bidi w:val="0"/>
                    <w:ind w:left="0" w:leftChars="0" w:right="0"/>
                    <w:jc w:val="center"/>
                    <w:rPr>
                      <w:rFonts w:hint="default" w:ascii="Times New Roman" w:hAnsi="Times New Roman" w:eastAsia="宋体" w:cs="Times New Roman"/>
                      <w:color w:val="auto"/>
                      <w:sz w:val="21"/>
                      <w:szCs w:val="21"/>
                      <w:lang w:val="en-US" w:eastAsia="zh-CN"/>
                    </w:rPr>
                  </w:pPr>
                </w:p>
              </w:tc>
            </w:tr>
          </w:tbl>
          <w:p w14:paraId="06AC39EA">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60" w:lineRule="auto"/>
              <w:ind w:left="0" w:leftChars="0" w:right="0" w:firstLine="480" w:firstLineChars="200"/>
              <w:jc w:val="both"/>
              <w:textAlignment w:val="auto"/>
              <w:rPr>
                <w:rFonts w:hint="default" w:ascii="Times New Roman" w:hAnsi="Times New Roman" w:cs="Times New Roman"/>
                <w:i w:val="0"/>
                <w:iCs w:val="0"/>
                <w:color w:val="auto"/>
                <w:sz w:val="24"/>
                <w:szCs w:val="24"/>
                <w:lang w:val="en-US"/>
              </w:rPr>
            </w:pPr>
            <w:r>
              <w:rPr>
                <w:rFonts w:hint="eastAsia" w:cs="Times New Roman"/>
                <w:i w:val="0"/>
                <w:iCs w:val="0"/>
                <w:color w:val="auto"/>
                <w:kern w:val="2"/>
                <w:sz w:val="24"/>
                <w:szCs w:val="24"/>
                <w:lang w:val="en-US" w:eastAsia="zh-CN" w:bidi="ar"/>
              </w:rPr>
              <w:t>现有</w:t>
            </w:r>
            <w:r>
              <w:rPr>
                <w:rFonts w:hint="default" w:ascii="Times New Roman" w:hAnsi="Times New Roman" w:eastAsia="宋体" w:cs="Times New Roman"/>
                <w:i w:val="0"/>
                <w:iCs w:val="0"/>
                <w:color w:val="auto"/>
                <w:kern w:val="2"/>
                <w:sz w:val="24"/>
                <w:szCs w:val="24"/>
                <w:lang w:val="en-US" w:eastAsia="zh-CN" w:bidi="ar"/>
              </w:rPr>
              <w:t>危废暂存间位于</w:t>
            </w:r>
            <w:r>
              <w:rPr>
                <w:rFonts w:hint="eastAsia" w:cs="Times New Roman"/>
                <w:i w:val="0"/>
                <w:iCs w:val="0"/>
                <w:color w:val="auto"/>
                <w:kern w:val="2"/>
                <w:sz w:val="24"/>
                <w:szCs w:val="24"/>
                <w:lang w:val="en-US" w:eastAsia="zh-CN" w:bidi="ar"/>
              </w:rPr>
              <w:t>医院西南角</w:t>
            </w:r>
            <w:r>
              <w:rPr>
                <w:rFonts w:hint="default" w:ascii="Times New Roman" w:hAnsi="Times New Roman" w:eastAsia="宋体" w:cs="Times New Roman"/>
                <w:i w:val="0"/>
                <w:iCs w:val="0"/>
                <w:color w:val="auto"/>
                <w:kern w:val="2"/>
                <w:sz w:val="24"/>
                <w:szCs w:val="24"/>
                <w:lang w:val="en-US" w:eastAsia="zh-CN" w:bidi="ar"/>
              </w:rPr>
              <w:t>，</w:t>
            </w:r>
            <w:r>
              <w:rPr>
                <w:rFonts w:hint="eastAsia" w:ascii="Times New Roman" w:hAnsi="Times New Roman" w:eastAsia="宋体" w:cs="Times New Roman"/>
                <w:i w:val="0"/>
                <w:iCs w:val="0"/>
                <w:color w:val="auto"/>
                <w:kern w:val="2"/>
                <w:sz w:val="24"/>
                <w:szCs w:val="24"/>
                <w:lang w:val="en-US" w:eastAsia="zh-CN" w:bidi="ar"/>
              </w:rPr>
              <w:t>占地面积</w:t>
            </w:r>
            <w:r>
              <w:rPr>
                <w:rFonts w:hint="eastAsia" w:eastAsia="宋体" w:cs="Times New Roman"/>
                <w:i w:val="0"/>
                <w:iCs w:val="0"/>
                <w:color w:val="auto"/>
                <w:kern w:val="2"/>
                <w:sz w:val="24"/>
                <w:szCs w:val="24"/>
                <w:lang w:val="en-US" w:eastAsia="zh-CN" w:bidi="ar"/>
              </w:rPr>
              <w:t>10</w:t>
            </w:r>
            <w:r>
              <w:rPr>
                <w:rFonts w:hint="eastAsia" w:ascii="Times New Roman" w:hAnsi="Times New Roman" w:eastAsia="宋体" w:cs="Times New Roman"/>
                <w:i w:val="0"/>
                <w:iCs w:val="0"/>
                <w:color w:val="auto"/>
                <w:kern w:val="2"/>
                <w:sz w:val="24"/>
                <w:szCs w:val="24"/>
                <w:lang w:val="en-US" w:eastAsia="zh-CN" w:bidi="ar"/>
              </w:rPr>
              <w:t>平方米，</w:t>
            </w:r>
            <w:r>
              <w:rPr>
                <w:rFonts w:hint="default" w:ascii="Times New Roman" w:hAnsi="Times New Roman" w:eastAsia="宋体" w:cs="Times New Roman"/>
                <w:i w:val="0"/>
                <w:iCs w:val="0"/>
                <w:color w:val="auto"/>
                <w:kern w:val="2"/>
                <w:sz w:val="24"/>
                <w:szCs w:val="24"/>
                <w:lang w:val="en-US" w:eastAsia="zh-CN" w:bidi="ar"/>
              </w:rPr>
              <w:t>最大</w:t>
            </w:r>
            <w:r>
              <w:rPr>
                <w:rFonts w:hint="eastAsia" w:cs="Times New Roman"/>
                <w:i w:val="0"/>
                <w:iCs w:val="0"/>
                <w:color w:val="auto"/>
                <w:kern w:val="2"/>
                <w:sz w:val="24"/>
                <w:szCs w:val="24"/>
                <w:lang w:val="en-US" w:eastAsia="zh-CN" w:bidi="ar"/>
              </w:rPr>
              <w:t>贮存能力为5</w:t>
            </w:r>
            <w:r>
              <w:rPr>
                <w:rFonts w:hint="default" w:ascii="Times New Roman" w:hAnsi="Times New Roman" w:eastAsia="宋体" w:cs="Times New Roman"/>
                <w:i w:val="0"/>
                <w:iCs w:val="0"/>
                <w:color w:val="auto"/>
                <w:kern w:val="2"/>
                <w:sz w:val="24"/>
                <w:szCs w:val="24"/>
                <w:lang w:val="en-US" w:eastAsia="zh-CN" w:bidi="ar"/>
              </w:rPr>
              <w:t>t</w:t>
            </w:r>
            <w:r>
              <w:rPr>
                <w:rFonts w:hint="eastAsia" w:cs="Times New Roman"/>
                <w:i w:val="0"/>
                <w:iCs w:val="0"/>
                <w:color w:val="auto"/>
                <w:kern w:val="2"/>
                <w:sz w:val="24"/>
                <w:szCs w:val="24"/>
                <w:lang w:val="en-US" w:eastAsia="zh-CN" w:bidi="ar"/>
              </w:rPr>
              <w:t>，本项目危险废物</w:t>
            </w:r>
            <w:r>
              <w:rPr>
                <w:rFonts w:hint="eastAsia"/>
                <w:bCs/>
                <w:color w:val="auto"/>
                <w:kern w:val="0"/>
                <w:sz w:val="24"/>
                <w:vertAlign w:val="baseline"/>
                <w:lang w:val="en-US" w:eastAsia="zh-CN"/>
              </w:rPr>
              <w:t>产生量为106.7</w:t>
            </w:r>
            <w:r>
              <w:rPr>
                <w:rFonts w:hint="eastAsia"/>
                <w:bCs/>
                <w:color w:val="000000"/>
                <w:kern w:val="0"/>
                <w:sz w:val="24"/>
                <w:vertAlign w:val="baseline"/>
                <w:lang w:val="en-US" w:eastAsia="zh-CN"/>
              </w:rPr>
              <w:t>t/a，扩建后全院危险废物产生量约为256.55t/a，医院</w:t>
            </w:r>
            <w:r>
              <w:rPr>
                <w:rFonts w:hint="eastAsia" w:cs="Times New Roman"/>
                <w:i w:val="0"/>
                <w:iCs w:val="0"/>
                <w:color w:val="auto"/>
                <w:kern w:val="2"/>
                <w:sz w:val="24"/>
                <w:szCs w:val="24"/>
                <w:lang w:val="en-US" w:eastAsia="zh-CN" w:bidi="ar"/>
              </w:rPr>
              <w:t>2天内处置一次危废，则一</w:t>
            </w:r>
            <w:r>
              <w:rPr>
                <w:rFonts w:hint="eastAsia" w:cs="Times New Roman"/>
                <w:i w:val="0"/>
                <w:iCs w:val="0"/>
                <w:color w:val="auto"/>
                <w:kern w:val="2"/>
                <w:sz w:val="24"/>
                <w:szCs w:val="24"/>
                <w:lang w:val="en-US" w:eastAsia="zh-CN" w:bidi="ar"/>
              </w:rPr>
              <w:t>次</w:t>
            </w:r>
            <w:r>
              <w:rPr>
                <w:rFonts w:hint="eastAsia"/>
                <w:color w:val="auto"/>
                <w:sz w:val="24"/>
                <w:szCs w:val="24"/>
                <w:highlight w:val="none"/>
                <w:lang w:val="en-US" w:eastAsia="zh-CN"/>
              </w:rPr>
              <w:t>最大暂存危险废物量不超过1.4t</w:t>
            </w:r>
            <w:r>
              <w:rPr>
                <w:rFonts w:hint="eastAsia" w:cs="Times New Roman"/>
                <w:i w:val="0"/>
                <w:iCs w:val="0"/>
                <w:color w:val="auto"/>
                <w:kern w:val="2"/>
                <w:sz w:val="24"/>
                <w:szCs w:val="24"/>
                <w:lang w:val="en-US" w:eastAsia="zh-CN" w:bidi="ar"/>
              </w:rPr>
              <w:t>，</w:t>
            </w:r>
            <w:r>
              <w:rPr>
                <w:rFonts w:hint="eastAsia"/>
                <w:bCs/>
                <w:color w:val="000000"/>
                <w:kern w:val="0"/>
                <w:sz w:val="24"/>
                <w:vertAlign w:val="baseline"/>
                <w:lang w:val="en-US" w:eastAsia="zh-CN"/>
              </w:rPr>
              <w:t>危废暂存间贮存能力可以满足</w:t>
            </w:r>
            <w:r>
              <w:rPr>
                <w:rFonts w:hint="default" w:ascii="Times New Roman" w:hAnsi="Times New Roman" w:eastAsia="宋体" w:cs="Times New Roman"/>
                <w:i w:val="0"/>
                <w:iCs w:val="0"/>
                <w:color w:val="auto"/>
                <w:kern w:val="2"/>
                <w:sz w:val="24"/>
                <w:szCs w:val="24"/>
                <w:lang w:val="en-US" w:eastAsia="zh-CN" w:bidi="ar"/>
              </w:rPr>
              <w:t>。</w:t>
            </w:r>
          </w:p>
          <w:p w14:paraId="679EDD6D">
            <w:pPr>
              <w:keepNext w:val="0"/>
              <w:keepLines w:val="0"/>
              <w:pageBreakBefore w:val="0"/>
              <w:widowControl w:val="0"/>
              <w:suppressLineNumbers w:val="0"/>
              <w:kinsoku/>
              <w:wordWrap/>
              <w:overflowPunct/>
              <w:topLinePunct w:val="0"/>
              <w:autoSpaceDE/>
              <w:autoSpaceDN/>
              <w:bidi w:val="0"/>
              <w:spacing w:before="0" w:beforeAutospacing="0" w:afterAutospacing="0" w:line="360" w:lineRule="auto"/>
              <w:ind w:left="0" w:leftChars="0" w:right="0" w:firstLine="480" w:firstLineChars="200"/>
              <w:jc w:val="both"/>
              <w:textAlignment w:val="auto"/>
              <w:rPr>
                <w:rFonts w:hint="default" w:ascii="Times New Roman" w:hAnsi="Times New Roman" w:cs="Times New Roman"/>
                <w:i w:val="0"/>
                <w:iCs w:val="0"/>
                <w:color w:val="auto"/>
                <w:sz w:val="24"/>
                <w:szCs w:val="24"/>
                <w:lang w:val="en-US"/>
              </w:rPr>
            </w:pPr>
            <w:r>
              <w:rPr>
                <w:rFonts w:hint="eastAsia" w:cs="Times New Roman"/>
                <w:i w:val="0"/>
                <w:iCs w:val="0"/>
                <w:color w:val="auto"/>
                <w:kern w:val="2"/>
                <w:sz w:val="24"/>
                <w:szCs w:val="24"/>
                <w:lang w:val="en-US" w:eastAsia="zh-CN" w:bidi="ar"/>
              </w:rPr>
              <w:t>危废暂存间需要</w:t>
            </w:r>
            <w:r>
              <w:rPr>
                <w:rFonts w:hint="default" w:ascii="Times New Roman" w:hAnsi="Times New Roman" w:eastAsia="宋体" w:cs="Times New Roman"/>
                <w:i w:val="0"/>
                <w:iCs w:val="0"/>
                <w:color w:val="auto"/>
                <w:kern w:val="2"/>
                <w:sz w:val="24"/>
                <w:szCs w:val="24"/>
                <w:lang w:val="en-US" w:eastAsia="zh-CN" w:bidi="ar"/>
              </w:rPr>
              <w:t>按照</w:t>
            </w:r>
            <w:r>
              <w:rPr>
                <w:rFonts w:hint="default" w:ascii="Times New Roman" w:hAnsi="Times New Roman" w:eastAsia="宋体" w:cs="Times New Roman"/>
                <w:color w:val="auto"/>
                <w:spacing w:val="-4"/>
                <w:sz w:val="24"/>
                <w:szCs w:val="24"/>
              </w:rPr>
              <w:t>《危险废物贮存污染控制标准》（GB18597-20</w:t>
            </w:r>
            <w:r>
              <w:rPr>
                <w:rFonts w:hint="eastAsia"/>
                <w:color w:val="auto"/>
                <w:sz w:val="24"/>
                <w:szCs w:val="24"/>
                <w:lang w:val="en-US" w:eastAsia="zh-CN"/>
              </w:rPr>
              <w:t>23</w:t>
            </w:r>
            <w:r>
              <w:rPr>
                <w:rFonts w:hint="default" w:ascii="Times New Roman" w:hAnsi="Times New Roman" w:eastAsia="宋体" w:cs="Times New Roman"/>
                <w:color w:val="auto"/>
                <w:spacing w:val="-4"/>
                <w:sz w:val="24"/>
                <w:szCs w:val="24"/>
              </w:rPr>
              <w:t>）</w:t>
            </w:r>
            <w:r>
              <w:rPr>
                <w:rFonts w:hint="default" w:ascii="Times New Roman" w:hAnsi="Times New Roman" w:eastAsia="宋体" w:cs="Times New Roman"/>
                <w:i w:val="0"/>
                <w:iCs w:val="0"/>
                <w:color w:val="auto"/>
                <w:kern w:val="2"/>
                <w:sz w:val="24"/>
                <w:szCs w:val="24"/>
                <w:lang w:val="en-US" w:eastAsia="zh-CN" w:bidi="ar"/>
              </w:rPr>
              <w:t>标准要求进行</w:t>
            </w:r>
            <w:r>
              <w:rPr>
                <w:rFonts w:hint="eastAsia" w:cs="Times New Roman"/>
                <w:i w:val="0"/>
                <w:iCs w:val="0"/>
                <w:color w:val="auto"/>
                <w:kern w:val="2"/>
                <w:sz w:val="24"/>
                <w:szCs w:val="24"/>
                <w:lang w:val="en-US" w:eastAsia="zh-CN" w:bidi="ar"/>
              </w:rPr>
              <w:t>，现有危废暂存间已</w:t>
            </w:r>
            <w:r>
              <w:rPr>
                <w:rFonts w:hint="default" w:ascii="Times New Roman" w:hAnsi="Times New Roman" w:eastAsia="宋体" w:cs="Times New Roman"/>
                <w:i w:val="0"/>
                <w:iCs w:val="0"/>
                <w:color w:val="auto"/>
                <w:kern w:val="2"/>
                <w:sz w:val="24"/>
                <w:szCs w:val="24"/>
                <w:lang w:val="en-US" w:eastAsia="zh-CN" w:bidi="ar"/>
              </w:rPr>
              <w:t>采取防雨淋、防腐蚀、防渗漏、防流失等处理</w:t>
            </w:r>
            <w:r>
              <w:rPr>
                <w:rFonts w:hint="eastAsia" w:ascii="Times New Roman" w:hAnsi="Times New Roman" w:cs="Times New Roman"/>
                <w:i w:val="0"/>
                <w:iCs w:val="0"/>
                <w:color w:val="auto"/>
                <w:kern w:val="2"/>
                <w:sz w:val="24"/>
                <w:szCs w:val="24"/>
                <w:lang w:val="en-US" w:eastAsia="zh-CN" w:bidi="ar"/>
              </w:rPr>
              <w:t>，地面采取了防渗措施，危废暂存间墙体采用了坚固建筑材料建造，项目</w:t>
            </w:r>
            <w:r>
              <w:rPr>
                <w:rFonts w:hint="eastAsia" w:cs="Times New Roman"/>
                <w:i w:val="0"/>
                <w:iCs w:val="0"/>
                <w:color w:val="auto"/>
                <w:kern w:val="2"/>
                <w:sz w:val="24"/>
                <w:szCs w:val="24"/>
                <w:lang w:val="en-US" w:eastAsia="zh-CN" w:bidi="ar"/>
              </w:rPr>
              <w:t>危废暂存间</w:t>
            </w:r>
            <w:r>
              <w:rPr>
                <w:rFonts w:hint="eastAsia" w:ascii="Times New Roman" w:hAnsi="Times New Roman" w:cs="Times New Roman"/>
                <w:i w:val="0"/>
                <w:iCs w:val="0"/>
                <w:color w:val="auto"/>
                <w:kern w:val="2"/>
                <w:sz w:val="24"/>
                <w:szCs w:val="24"/>
                <w:lang w:val="en-US" w:eastAsia="zh-CN" w:bidi="ar"/>
              </w:rPr>
              <w:t>日常运营还应注意以下几点</w:t>
            </w:r>
            <w:r>
              <w:rPr>
                <w:rFonts w:hint="eastAsia" w:cs="Times New Roman"/>
                <w:i w:val="0"/>
                <w:iCs w:val="0"/>
                <w:color w:val="auto"/>
                <w:kern w:val="2"/>
                <w:sz w:val="24"/>
                <w:szCs w:val="24"/>
                <w:lang w:val="en-US" w:eastAsia="zh-CN" w:bidi="ar"/>
              </w:rPr>
              <w:t>：</w:t>
            </w:r>
          </w:p>
          <w:p w14:paraId="75E54296">
            <w:pPr>
              <w:keepNext w:val="0"/>
              <w:keepLines w:val="0"/>
              <w:pageBreakBefore w:val="0"/>
              <w:widowControl w:val="0"/>
              <w:suppressLineNumbers w:val="0"/>
              <w:kinsoku/>
              <w:wordWrap/>
              <w:overflowPunct/>
              <w:topLinePunct w:val="0"/>
              <w:autoSpaceDE/>
              <w:autoSpaceDN/>
              <w:bidi w:val="0"/>
              <w:spacing w:before="0" w:beforeAutospacing="0" w:afterAutospacing="0" w:line="360" w:lineRule="auto"/>
              <w:ind w:left="0" w:leftChars="0" w:right="0" w:firstLine="480" w:firstLineChars="200"/>
              <w:jc w:val="both"/>
              <w:textAlignment w:val="auto"/>
              <w:rPr>
                <w:rFonts w:hint="default" w:ascii="Times New Roman" w:hAnsi="Times New Roman" w:cs="Times New Roman"/>
                <w:i w:val="0"/>
                <w:iCs w:val="0"/>
                <w:color w:val="auto"/>
                <w:sz w:val="24"/>
                <w:szCs w:val="24"/>
              </w:rPr>
            </w:pPr>
            <w:r>
              <w:rPr>
                <w:rFonts w:hint="default" w:ascii="Times New Roman" w:hAnsi="Times New Roman" w:eastAsia="宋体" w:cs="Times New Roman"/>
                <w:i w:val="0"/>
                <w:iCs w:val="0"/>
                <w:color w:val="auto"/>
                <w:kern w:val="2"/>
                <w:sz w:val="24"/>
                <w:szCs w:val="24"/>
                <w:lang w:val="en-US" w:eastAsia="zh-CN" w:bidi="ar"/>
              </w:rPr>
              <w:t>①</w:t>
            </w:r>
            <w:r>
              <w:rPr>
                <w:rFonts w:ascii="宋体" w:hAnsi="宋体" w:eastAsia="宋体" w:cs="宋体"/>
                <w:color w:val="auto"/>
                <w:sz w:val="24"/>
                <w:szCs w:val="24"/>
              </w:rPr>
              <w:t>贮存设施应根据危险废物的类别、数量、形态、物理化学性质和污染防治等要求设置必要的贮存分区，避免不相容的危险废物接触、混合</w:t>
            </w:r>
            <w:r>
              <w:rPr>
                <w:rFonts w:hint="default" w:ascii="Times New Roman" w:hAnsi="Times New Roman" w:eastAsia="宋体" w:cs="Times New Roman"/>
                <w:i w:val="0"/>
                <w:iCs w:val="0"/>
                <w:color w:val="auto"/>
                <w:kern w:val="2"/>
                <w:sz w:val="24"/>
                <w:szCs w:val="24"/>
                <w:lang w:val="en-US" w:eastAsia="zh-CN" w:bidi="ar"/>
              </w:rPr>
              <w:t>。</w:t>
            </w:r>
          </w:p>
          <w:p w14:paraId="2EC84E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auto"/>
              <w:ind w:left="0" w:leftChars="0" w:right="0" w:firstLine="480" w:firstLineChars="200"/>
              <w:textAlignment w:val="auto"/>
              <w:rPr>
                <w:rFonts w:hint="eastAsia" w:ascii="Times New Roman" w:hAnsi="Times New Roman" w:eastAsia="宋体" w:cs="Times New Roman"/>
                <w:i w:val="0"/>
                <w:iCs w:val="0"/>
                <w:color w:val="auto"/>
                <w:sz w:val="24"/>
                <w:szCs w:val="24"/>
                <w:lang w:eastAsia="zh-CN"/>
              </w:rPr>
            </w:pPr>
            <w:r>
              <w:rPr>
                <w:rFonts w:hint="eastAsia" w:cs="Times New Roman"/>
                <w:i w:val="0"/>
                <w:iCs w:val="0"/>
                <w:color w:val="auto"/>
                <w:kern w:val="2"/>
                <w:sz w:val="24"/>
                <w:szCs w:val="24"/>
                <w:lang w:val="en-US" w:eastAsia="zh-CN" w:bidi="ar"/>
              </w:rPr>
              <w:t>②</w:t>
            </w:r>
            <w:r>
              <w:rPr>
                <w:rFonts w:ascii="宋体" w:hAnsi="宋体" w:eastAsia="宋体" w:cs="宋体"/>
                <w:color w:val="auto"/>
                <w:sz w:val="24"/>
                <w:szCs w:val="24"/>
              </w:rPr>
              <w:t>贮存设施应采取技术和管理措施防止无关人员进入</w:t>
            </w:r>
            <w:r>
              <w:rPr>
                <w:rFonts w:hint="eastAsia" w:ascii="宋体" w:hAnsi="宋体" w:eastAsia="宋体" w:cs="宋体"/>
                <w:color w:val="auto"/>
                <w:sz w:val="24"/>
                <w:szCs w:val="24"/>
                <w:lang w:eastAsia="zh-CN"/>
              </w:rPr>
              <w:t>。</w:t>
            </w:r>
          </w:p>
          <w:p w14:paraId="7DF34C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auto"/>
              <w:ind w:left="0" w:leftChars="0" w:right="0" w:firstLine="480" w:firstLineChars="200"/>
              <w:textAlignment w:val="auto"/>
              <w:rPr>
                <w:rFonts w:hint="default" w:ascii="Times New Roman" w:hAnsi="Times New Roman" w:cs="Times New Roman"/>
                <w:i w:val="0"/>
                <w:iCs w:val="0"/>
                <w:color w:val="auto"/>
                <w:sz w:val="24"/>
                <w:szCs w:val="24"/>
                <w:lang w:val="en-US"/>
              </w:rPr>
            </w:pPr>
            <w:r>
              <w:rPr>
                <w:rFonts w:hint="eastAsia" w:ascii="Times New Roman" w:hAnsi="Times New Roman" w:cs="Times New Roman"/>
                <w:color w:val="auto"/>
                <w:sz w:val="24"/>
                <w:shd w:val="clear" w:color="auto" w:fill="FFFFFF"/>
                <w:lang w:val="en-US" w:eastAsia="zh-CN"/>
              </w:rPr>
              <w:t>③及时按照最新标准更新危废标识牌</w:t>
            </w:r>
            <w:r>
              <w:rPr>
                <w:rFonts w:hint="default" w:ascii="Times New Roman" w:hAnsi="Times New Roman" w:eastAsia="宋体" w:cs="Times New Roman"/>
                <w:i w:val="0"/>
                <w:iCs w:val="0"/>
                <w:color w:val="auto"/>
                <w:kern w:val="2"/>
                <w:sz w:val="24"/>
                <w:szCs w:val="24"/>
                <w:lang w:val="en-US" w:eastAsia="zh-CN" w:bidi="ar"/>
              </w:rPr>
              <w:t>。</w:t>
            </w:r>
          </w:p>
          <w:p w14:paraId="4F273392">
            <w:pPr>
              <w:keepNext w:val="0"/>
              <w:keepLines w:val="0"/>
              <w:pageBreakBefore w:val="0"/>
              <w:widowControl w:val="0"/>
              <w:suppressLineNumbers w:val="0"/>
              <w:kinsoku/>
              <w:wordWrap/>
              <w:overflowPunct/>
              <w:topLinePunct w:val="0"/>
              <w:autoSpaceDE/>
              <w:autoSpaceDN/>
              <w:bidi w:val="0"/>
              <w:spacing w:before="0" w:beforeAutospacing="0" w:afterAutospacing="0" w:line="360" w:lineRule="auto"/>
              <w:ind w:left="0" w:leftChars="0" w:right="0" w:firstLine="480" w:firstLineChars="200"/>
              <w:jc w:val="both"/>
              <w:textAlignment w:val="auto"/>
              <w:rPr>
                <w:rFonts w:hint="default" w:ascii="Times New Roman" w:hAnsi="Times New Roman" w:cs="Times New Roman"/>
                <w:color w:val="auto"/>
                <w:kern w:val="1"/>
                <w:sz w:val="24"/>
                <w:szCs w:val="24"/>
              </w:rPr>
            </w:pPr>
            <w:r>
              <w:rPr>
                <w:rFonts w:hint="eastAsia" w:cs="Times New Roman"/>
                <w:color w:val="auto"/>
                <w:sz w:val="24"/>
                <w:lang w:eastAsia="zh-CN"/>
              </w:rPr>
              <w:t>综上所述</w:t>
            </w:r>
            <w:r>
              <w:rPr>
                <w:rFonts w:hint="default" w:ascii="Times New Roman" w:hAnsi="Times New Roman" w:cs="Times New Roman"/>
                <w:color w:val="auto"/>
                <w:sz w:val="24"/>
              </w:rPr>
              <w:t>，本项目实施后对固体废物的处置应本着减量化、资源化、无害化的原则，进行妥善处理，预计可以避免对环境造成二次污染，不会对环境造成不利影响</w:t>
            </w:r>
            <w:r>
              <w:rPr>
                <w:rFonts w:hint="default" w:ascii="Times New Roman" w:hAnsi="Times New Roman" w:cs="Times New Roman"/>
                <w:i w:val="0"/>
                <w:iCs w:val="0"/>
                <w:color w:val="auto"/>
                <w:sz w:val="24"/>
                <w:szCs w:val="24"/>
              </w:rPr>
              <w:t>。</w:t>
            </w:r>
          </w:p>
          <w:p w14:paraId="76998D23">
            <w:pPr>
              <w:keepNext w:val="0"/>
              <w:keepLines w:val="0"/>
              <w:pageBreakBefore w:val="0"/>
              <w:widowControl w:val="0"/>
              <w:suppressLineNumbers w:val="0"/>
              <w:kinsoku/>
              <w:wordWrap/>
              <w:overflowPunct/>
              <w:topLinePunct w:val="0"/>
              <w:bidi w:val="0"/>
              <w:adjustRightInd/>
              <w:snapToGrid/>
              <w:spacing w:before="0" w:beforeAutospacing="0" w:afterAutospacing="0" w:line="360" w:lineRule="auto"/>
              <w:ind w:left="0" w:leftChars="0" w:right="0" w:firstLine="482" w:firstLineChars="200"/>
              <w:jc w:val="both"/>
              <w:textAlignment w:val="auto"/>
              <w:rPr>
                <w:rFonts w:hint="default" w:ascii="Times New Roman" w:hAnsi="Times New Roman" w:cs="Times New Roman"/>
                <w:b/>
                <w:color w:val="FF0000"/>
                <w:sz w:val="24"/>
                <w:highlight w:val="none"/>
              </w:rPr>
            </w:pPr>
            <w:r>
              <w:rPr>
                <w:rFonts w:hint="default" w:ascii="Times New Roman" w:hAnsi="Times New Roman" w:cs="Times New Roman"/>
                <w:b/>
                <w:bCs w:val="0"/>
                <w:color w:val="auto"/>
                <w:sz w:val="24"/>
                <w:szCs w:val="24"/>
                <w:lang w:val="en-US" w:eastAsia="zh-CN"/>
              </w:rPr>
              <w:t>五</w:t>
            </w:r>
            <w:r>
              <w:rPr>
                <w:rFonts w:hint="default" w:ascii="Times New Roman" w:hAnsi="Times New Roman" w:eastAsia="宋体" w:cs="Times New Roman"/>
                <w:b/>
                <w:bCs w:val="0"/>
                <w:color w:val="auto"/>
                <w:sz w:val="24"/>
                <w:szCs w:val="24"/>
                <w:highlight w:val="none"/>
                <w:lang w:val="en-US" w:eastAsia="zh-CN"/>
              </w:rPr>
              <w:t>、</w:t>
            </w:r>
            <w:r>
              <w:rPr>
                <w:rFonts w:hint="default" w:ascii="Times New Roman" w:hAnsi="Times New Roman" w:cs="Times New Roman"/>
                <w:b/>
                <w:color w:val="auto"/>
                <w:sz w:val="24"/>
                <w:highlight w:val="none"/>
              </w:rPr>
              <w:t>地下水</w:t>
            </w:r>
            <w:r>
              <w:rPr>
                <w:rFonts w:hint="eastAsia" w:cs="Times New Roman"/>
                <w:b/>
                <w:color w:val="auto"/>
                <w:sz w:val="24"/>
                <w:highlight w:val="none"/>
                <w:lang w:val="en-US" w:eastAsia="zh-CN"/>
              </w:rPr>
              <w:t>和土壤</w:t>
            </w:r>
            <w:r>
              <w:rPr>
                <w:rFonts w:hint="default" w:ascii="Times New Roman" w:hAnsi="Times New Roman" w:cs="Times New Roman"/>
                <w:b/>
                <w:color w:val="auto"/>
                <w:sz w:val="24"/>
                <w:highlight w:val="none"/>
              </w:rPr>
              <w:t>环境影响分析</w:t>
            </w:r>
          </w:p>
          <w:p w14:paraId="434BDFFC">
            <w:pPr>
              <w:spacing w:line="360" w:lineRule="auto"/>
              <w:ind w:firstLine="480" w:firstLineChars="200"/>
              <w:rPr>
                <w:sz w:val="24"/>
                <w:szCs w:val="24"/>
              </w:rPr>
            </w:pPr>
            <w:r>
              <w:rPr>
                <w:sz w:val="24"/>
              </w:rPr>
              <w:t>本项目为</w:t>
            </w:r>
            <w:r>
              <w:rPr>
                <w:rFonts w:hint="eastAsia"/>
                <w:sz w:val="24"/>
                <w:lang w:val="en-US" w:eastAsia="zh-CN"/>
              </w:rPr>
              <w:t>综合医</w:t>
            </w:r>
            <w:r>
              <w:rPr>
                <w:rFonts w:hint="eastAsia"/>
                <w:sz w:val="24"/>
                <w:szCs w:val="24"/>
                <w:lang w:val="en-US" w:eastAsia="zh-CN"/>
              </w:rPr>
              <w:t>院</w:t>
            </w:r>
            <w:r>
              <w:rPr>
                <w:sz w:val="24"/>
                <w:szCs w:val="24"/>
              </w:rPr>
              <w:t>，</w:t>
            </w:r>
            <w:r>
              <w:rPr>
                <w:sz w:val="24"/>
                <w:szCs w:val="24"/>
              </w:rPr>
              <w:t>不开展地下水、土壤环境影响评价，本次仅对防止地下水、土壤污染提出简单的措施</w:t>
            </w:r>
            <w:r>
              <w:rPr>
                <w:rFonts w:hint="eastAsia"/>
                <w:sz w:val="24"/>
                <w:szCs w:val="24"/>
                <w:lang w:eastAsia="zh-CN"/>
              </w:rPr>
              <w:t>。</w:t>
            </w:r>
            <w:r>
              <w:rPr>
                <w:color w:val="auto"/>
                <w:sz w:val="24"/>
                <w:szCs w:val="24"/>
                <w:highlight w:val="none"/>
              </w:rPr>
              <w:t>根据建设项目具体情况，</w:t>
            </w:r>
            <w:r>
              <w:rPr>
                <w:color w:val="auto"/>
                <w:sz w:val="24"/>
                <w:szCs w:val="24"/>
                <w:highlight w:val="none"/>
              </w:rPr>
              <w:t>本项目</w:t>
            </w:r>
            <w:r>
              <w:rPr>
                <w:rFonts w:hint="eastAsia"/>
                <w:color w:val="auto"/>
                <w:sz w:val="24"/>
                <w:szCs w:val="24"/>
                <w:highlight w:val="none"/>
                <w:lang w:eastAsia="zh-CN"/>
              </w:rPr>
              <w:t>危废</w:t>
            </w:r>
            <w:r>
              <w:rPr>
                <w:rFonts w:hint="eastAsia"/>
                <w:color w:val="auto"/>
                <w:sz w:val="24"/>
                <w:szCs w:val="24"/>
                <w:highlight w:val="none"/>
                <w:lang w:val="en-US" w:eastAsia="zh-CN"/>
              </w:rPr>
              <w:t>暂存间、污水处理站</w:t>
            </w:r>
            <w:r>
              <w:rPr>
                <w:color w:val="auto"/>
                <w:sz w:val="24"/>
                <w:szCs w:val="24"/>
                <w:highlight w:val="none"/>
              </w:rPr>
              <w:t>内存放的物料可能使土壤及地下水受到污染</w:t>
            </w:r>
            <w:r>
              <w:rPr>
                <w:sz w:val="24"/>
                <w:szCs w:val="24"/>
              </w:rPr>
              <w:t>。</w:t>
            </w:r>
          </w:p>
          <w:p w14:paraId="63DECFAA">
            <w:pPr>
              <w:spacing w:line="360" w:lineRule="auto"/>
              <w:ind w:firstLine="480" w:firstLineChars="200"/>
              <w:rPr>
                <w:sz w:val="24"/>
              </w:rPr>
            </w:pPr>
            <w:r>
              <w:rPr>
                <w:sz w:val="24"/>
                <w:szCs w:val="24"/>
              </w:rPr>
              <w:t>重点防渗区：主要为</w:t>
            </w:r>
            <w:r>
              <w:rPr>
                <w:rFonts w:hint="eastAsia"/>
                <w:sz w:val="24"/>
                <w:szCs w:val="24"/>
              </w:rPr>
              <w:t>危废</w:t>
            </w:r>
            <w:r>
              <w:rPr>
                <w:rFonts w:hint="eastAsia"/>
                <w:sz w:val="24"/>
                <w:szCs w:val="24"/>
                <w:lang w:eastAsia="zh-CN"/>
              </w:rPr>
              <w:t>暂存</w:t>
            </w:r>
            <w:r>
              <w:rPr>
                <w:rFonts w:hint="eastAsia"/>
                <w:sz w:val="24"/>
                <w:lang w:eastAsia="zh-CN"/>
              </w:rPr>
              <w:t>间、</w:t>
            </w:r>
            <w:r>
              <w:rPr>
                <w:rFonts w:hint="eastAsia"/>
                <w:sz w:val="24"/>
                <w:lang w:val="en-US" w:eastAsia="zh-CN"/>
              </w:rPr>
              <w:t>污水处理站</w:t>
            </w:r>
            <w:r>
              <w:rPr>
                <w:sz w:val="24"/>
              </w:rPr>
              <w:t>，参照</w:t>
            </w:r>
            <w:r>
              <w:rPr>
                <w:rFonts w:hint="default" w:ascii="Times New Roman" w:hAnsi="Times New Roman" w:eastAsia="宋体" w:cs="Times New Roman"/>
                <w:i w:val="0"/>
                <w:iCs w:val="0"/>
                <w:color w:val="auto"/>
                <w:kern w:val="2"/>
                <w:sz w:val="24"/>
                <w:szCs w:val="24"/>
                <w:lang w:val="en-US" w:eastAsia="zh-CN" w:bidi="ar"/>
              </w:rPr>
              <w:t>《危险废物贮存污染控制标准》（GB18597-20</w:t>
            </w:r>
            <w:r>
              <w:rPr>
                <w:rFonts w:hint="eastAsia" w:cs="Times New Roman"/>
                <w:i w:val="0"/>
                <w:iCs w:val="0"/>
                <w:color w:val="auto"/>
                <w:kern w:val="2"/>
                <w:sz w:val="24"/>
                <w:szCs w:val="24"/>
                <w:lang w:val="en-US" w:eastAsia="zh-CN" w:bidi="ar"/>
              </w:rPr>
              <w:t>23</w:t>
            </w:r>
            <w:r>
              <w:rPr>
                <w:rFonts w:hint="default" w:ascii="Times New Roman" w:hAnsi="Times New Roman" w:eastAsia="宋体" w:cs="Times New Roman"/>
                <w:i w:val="0"/>
                <w:iCs w:val="0"/>
                <w:color w:val="auto"/>
                <w:kern w:val="2"/>
                <w:sz w:val="24"/>
                <w:szCs w:val="24"/>
                <w:lang w:val="en-US" w:eastAsia="zh-CN" w:bidi="ar"/>
              </w:rPr>
              <w:t>）</w:t>
            </w:r>
            <w:r>
              <w:rPr>
                <w:sz w:val="24"/>
              </w:rPr>
              <w:t>中相关要求：防渗混凝土+环氧树脂地坪，渗透系数不大于1.0×10</w:t>
            </w:r>
            <w:r>
              <w:rPr>
                <w:sz w:val="24"/>
                <w:vertAlign w:val="superscript"/>
              </w:rPr>
              <w:t>-10</w:t>
            </w:r>
            <w:r>
              <w:rPr>
                <w:sz w:val="24"/>
              </w:rPr>
              <w:t>cm/s，建议建设单位在做了地面硬化的基础上刷涂环氧树脂漆，使其渗透系数不大于1.0×10</w:t>
            </w:r>
            <w:r>
              <w:rPr>
                <w:sz w:val="24"/>
                <w:vertAlign w:val="superscript"/>
              </w:rPr>
              <w:t>-10</w:t>
            </w:r>
            <w:r>
              <w:rPr>
                <w:sz w:val="24"/>
              </w:rPr>
              <w:t>cm/s。</w:t>
            </w:r>
          </w:p>
          <w:p w14:paraId="5FBEF228">
            <w:pPr>
              <w:spacing w:line="360" w:lineRule="auto"/>
              <w:ind w:firstLine="480" w:firstLineChars="200"/>
              <w:rPr>
                <w:sz w:val="24"/>
              </w:rPr>
            </w:pPr>
            <w:r>
              <w:rPr>
                <w:sz w:val="24"/>
              </w:rPr>
              <w:t>一般防渗区：主要为生产车间内其它生产区域。要求等效粘土防渗层Mb≥1.5m，渗透系数K≤10</w:t>
            </w:r>
            <w:r>
              <w:rPr>
                <w:sz w:val="24"/>
                <w:vertAlign w:val="superscript"/>
              </w:rPr>
              <w:t>-7</w:t>
            </w:r>
            <w:r>
              <w:rPr>
                <w:sz w:val="24"/>
              </w:rPr>
              <w:t>cm/s。</w:t>
            </w:r>
          </w:p>
          <w:p w14:paraId="3F26F9F0">
            <w:pPr>
              <w:spacing w:line="360" w:lineRule="auto"/>
              <w:ind w:firstLine="480" w:firstLineChars="200"/>
              <w:rPr>
                <w:sz w:val="24"/>
              </w:rPr>
            </w:pPr>
            <w:r>
              <w:rPr>
                <w:rFonts w:hint="default" w:ascii="Times New Roman" w:hAnsi="Times New Roman" w:eastAsia="宋体" w:cs="Times New Roman"/>
                <w:color w:val="000000"/>
                <w:kern w:val="2"/>
                <w:sz w:val="24"/>
                <w:szCs w:val="24"/>
                <w:highlight w:val="none"/>
                <w:lang w:val="en-US" w:eastAsia="zh-CN" w:bidi="ar-SA"/>
              </w:rPr>
              <w:t>经现场勘察，</w:t>
            </w:r>
            <w:r>
              <w:rPr>
                <w:rFonts w:hint="eastAsia" w:ascii="Times New Roman" w:hAnsi="Times New Roman" w:eastAsia="宋体" w:cs="Times New Roman"/>
                <w:color w:val="000000"/>
                <w:kern w:val="2"/>
                <w:sz w:val="24"/>
                <w:szCs w:val="24"/>
                <w:highlight w:val="none"/>
                <w:lang w:val="en-US" w:eastAsia="zh-CN" w:bidi="ar-SA"/>
              </w:rPr>
              <w:t>医院现有</w:t>
            </w:r>
            <w:r>
              <w:rPr>
                <w:rFonts w:hint="default" w:ascii="Times New Roman" w:hAnsi="Times New Roman" w:eastAsia="宋体" w:cs="Times New Roman"/>
                <w:color w:val="000000"/>
                <w:kern w:val="2"/>
                <w:sz w:val="24"/>
                <w:szCs w:val="24"/>
                <w:highlight w:val="none"/>
                <w:lang w:val="en-US" w:eastAsia="zh-CN" w:bidi="ar-SA"/>
              </w:rPr>
              <w:t>危废</w:t>
            </w:r>
            <w:r>
              <w:rPr>
                <w:rFonts w:hint="eastAsia" w:ascii="Times New Roman" w:hAnsi="Times New Roman" w:eastAsia="宋体" w:cs="Times New Roman"/>
                <w:color w:val="000000"/>
                <w:kern w:val="2"/>
                <w:sz w:val="24"/>
                <w:szCs w:val="24"/>
                <w:highlight w:val="none"/>
                <w:lang w:val="en-US" w:eastAsia="zh-CN" w:bidi="ar-SA"/>
              </w:rPr>
              <w:t>暂存间、污水处理站</w:t>
            </w:r>
            <w:r>
              <w:rPr>
                <w:rFonts w:hint="default" w:ascii="Times New Roman" w:hAnsi="Times New Roman" w:eastAsia="宋体" w:cs="Times New Roman"/>
                <w:color w:val="000000"/>
                <w:kern w:val="2"/>
                <w:sz w:val="24"/>
                <w:szCs w:val="24"/>
                <w:highlight w:val="none"/>
                <w:lang w:val="en-US" w:eastAsia="zh-CN" w:bidi="ar-SA"/>
              </w:rPr>
              <w:t>防渗防漏措施良好，</w:t>
            </w:r>
            <w:r>
              <w:rPr>
                <w:rFonts w:hint="eastAsia" w:ascii="Times New Roman" w:hAnsi="Times New Roman" w:eastAsia="宋体" w:cs="Times New Roman"/>
                <w:color w:val="000000"/>
                <w:kern w:val="2"/>
                <w:sz w:val="24"/>
                <w:szCs w:val="24"/>
                <w:highlight w:val="none"/>
                <w:lang w:val="en-US" w:eastAsia="zh-CN" w:bidi="ar-SA"/>
              </w:rPr>
              <w:t>可</w:t>
            </w:r>
            <w:r>
              <w:rPr>
                <w:rFonts w:hint="default" w:ascii="Times New Roman" w:hAnsi="Times New Roman" w:eastAsia="宋体" w:cs="Times New Roman"/>
                <w:color w:val="000000"/>
                <w:kern w:val="2"/>
                <w:sz w:val="24"/>
                <w:szCs w:val="24"/>
                <w:highlight w:val="none"/>
                <w:lang w:val="en-US" w:eastAsia="zh-CN" w:bidi="ar-SA"/>
              </w:rPr>
              <w:t>以保证不会对项目区的土壤、地下水产生污染影响</w:t>
            </w:r>
            <w:r>
              <w:rPr>
                <w:rFonts w:hint="eastAsia" w:eastAsia="宋体" w:cs="Times New Roman"/>
                <w:color w:val="000000"/>
                <w:kern w:val="2"/>
                <w:sz w:val="24"/>
                <w:szCs w:val="24"/>
                <w:highlight w:val="none"/>
                <w:lang w:val="en-US" w:eastAsia="zh-CN" w:bidi="ar-SA"/>
              </w:rPr>
              <w:t>。</w:t>
            </w:r>
          </w:p>
          <w:p w14:paraId="09187ECF">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60" w:lineRule="auto"/>
              <w:ind w:left="0" w:leftChars="0" w:right="0" w:firstLine="480" w:firstLineChars="200"/>
              <w:textAlignment w:val="auto"/>
              <w:rPr>
                <w:rFonts w:hint="default" w:ascii="Times New Roman" w:hAnsi="Times New Roman" w:eastAsia="宋体" w:cs="Times New Roman"/>
                <w:color w:val="auto"/>
                <w:kern w:val="0"/>
                <w:sz w:val="24"/>
                <w:szCs w:val="20"/>
                <w:lang w:eastAsia="zh-CN"/>
              </w:rPr>
            </w:pPr>
            <w:r>
              <w:rPr>
                <w:sz w:val="24"/>
              </w:rPr>
              <w:t>采取以上防治措施后，能够保证项目产生的污染物对项目区地下水、土壤的影响较小</w:t>
            </w:r>
            <w:r>
              <w:rPr>
                <w:rFonts w:hint="default" w:ascii="Times New Roman" w:hAnsi="Times New Roman" w:cs="Times New Roman"/>
                <w:color w:val="auto"/>
                <w:kern w:val="0"/>
                <w:sz w:val="24"/>
                <w:szCs w:val="20"/>
                <w:lang w:eastAsia="zh-CN"/>
              </w:rPr>
              <w:t>。</w:t>
            </w:r>
          </w:p>
          <w:p w14:paraId="0C325CAD">
            <w:pPr>
              <w:keepNext w:val="0"/>
              <w:keepLines w:val="0"/>
              <w:pageBreakBefore w:val="0"/>
              <w:kinsoku/>
              <w:wordWrap/>
              <w:overflowPunct/>
              <w:bidi w:val="0"/>
              <w:adjustRightInd w:val="0"/>
              <w:snapToGrid w:val="0"/>
              <w:spacing w:line="360" w:lineRule="auto"/>
              <w:ind w:left="0" w:leftChars="0" w:right="0" w:firstLine="482" w:firstLineChars="200"/>
              <w:rPr>
                <w:rFonts w:hint="default" w:ascii="Times New Roman" w:hAnsi="Times New Roman" w:cs="Times New Roman"/>
                <w:b/>
                <w:bCs/>
                <w:color w:val="auto"/>
                <w:sz w:val="24"/>
              </w:rPr>
            </w:pPr>
            <w:r>
              <w:rPr>
                <w:rFonts w:hint="eastAsia" w:cs="Times New Roman"/>
                <w:b/>
                <w:bCs/>
                <w:color w:val="auto"/>
                <w:sz w:val="24"/>
                <w:lang w:eastAsia="zh-CN"/>
              </w:rPr>
              <w:t>六</w:t>
            </w:r>
            <w:r>
              <w:rPr>
                <w:rFonts w:hint="default" w:ascii="Times New Roman" w:hAnsi="Times New Roman" w:cs="Times New Roman"/>
                <w:b/>
                <w:bCs/>
                <w:color w:val="auto"/>
                <w:sz w:val="24"/>
              </w:rPr>
              <w:t>、环境风险</w:t>
            </w:r>
          </w:p>
          <w:p w14:paraId="021C2213">
            <w:pPr>
              <w:keepNext w:val="0"/>
              <w:keepLines w:val="0"/>
              <w:pageBreakBefore w:val="0"/>
              <w:widowControl/>
              <w:kinsoku/>
              <w:wordWrap/>
              <w:overflowPunct/>
              <w:bidi w:val="0"/>
              <w:adjustRightInd w:val="0"/>
              <w:snapToGrid w:val="0"/>
              <w:spacing w:line="360" w:lineRule="auto"/>
              <w:ind w:left="0" w:leftChars="0" w:right="0" w:firstLine="424" w:firstLineChars="177"/>
              <w:rPr>
                <w:rFonts w:hint="default" w:ascii="Times New Roman" w:hAnsi="Times New Roman" w:cs="Times New Roman"/>
                <w:color w:val="auto"/>
                <w:kern w:val="0"/>
                <w:sz w:val="24"/>
              </w:rPr>
            </w:pPr>
            <w:r>
              <w:rPr>
                <w:rFonts w:hint="default" w:ascii="Times New Roman" w:hAnsi="Times New Roman" w:cs="Times New Roman"/>
                <w:color w:val="auto"/>
                <w:kern w:val="0"/>
                <w:sz w:val="24"/>
              </w:rPr>
              <w:t>环境风险评价的目的是分析和预测建设项目存在的潜在危险、有害因素、建设项目的建设和运行期间可能发生的突发性事件或事故（一般不包括人为破坏及自然灾害）引起有毒有害和易燃易爆等物质泄漏所造成的人身安全与环境影响和损害程度，并提出合理可行的防范、应急与减缓措施，以使建设项目事故率、损失和环境影响达到可接受的水平。</w:t>
            </w:r>
          </w:p>
          <w:p w14:paraId="3381B280">
            <w:pPr>
              <w:keepNext w:val="0"/>
              <w:keepLines w:val="0"/>
              <w:pageBreakBefore w:val="0"/>
              <w:widowControl/>
              <w:kinsoku/>
              <w:wordWrap/>
              <w:overflowPunct/>
              <w:bidi w:val="0"/>
              <w:adjustRightInd w:val="0"/>
              <w:snapToGrid w:val="0"/>
              <w:spacing w:line="360" w:lineRule="auto"/>
              <w:ind w:left="0" w:leftChars="0" w:right="0" w:firstLine="426" w:firstLineChars="177"/>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1、评价依据</w:t>
            </w:r>
          </w:p>
          <w:p w14:paraId="7B9ADB34">
            <w:pPr>
              <w:keepNext w:val="0"/>
              <w:keepLines w:val="0"/>
              <w:pageBreakBefore w:val="0"/>
              <w:widowControl/>
              <w:kinsoku/>
              <w:wordWrap/>
              <w:overflowPunct/>
              <w:bidi w:val="0"/>
              <w:adjustRightInd w:val="0"/>
              <w:snapToGrid w:val="0"/>
              <w:spacing w:line="360" w:lineRule="auto"/>
              <w:ind w:left="0" w:leftChars="0" w:right="0" w:firstLine="424" w:firstLineChars="177"/>
              <w:rPr>
                <w:rFonts w:hint="default" w:ascii="Times New Roman" w:hAnsi="Times New Roman" w:cs="Times New Roman"/>
                <w:b/>
                <w:bCs/>
                <w:color w:val="FF0000"/>
                <w:kern w:val="0"/>
                <w:sz w:val="24"/>
              </w:rPr>
            </w:pPr>
            <w:r>
              <w:rPr>
                <w:rFonts w:hint="default" w:ascii="Times New Roman" w:hAnsi="Times New Roman" w:cs="Times New Roman"/>
                <w:color w:val="auto"/>
                <w:kern w:val="0"/>
                <w:sz w:val="24"/>
              </w:rPr>
              <w:t>环境风险评价的目的是分析和预测建设项目存在的潜在危险、有害因素、建设项目的建设和运行期间可能发生的突发性事件或事故（一般不包括人为破坏及自然灾害）引起有毒有害和易燃易爆等物质泄漏所造成的人身安全与环境影响和损害程度，并提出合理可行的防范、应急与减缓措施，以使建设项目事故率、损失和环境影响达到可接受的水平。</w:t>
            </w:r>
          </w:p>
          <w:p w14:paraId="4358D595">
            <w:pPr>
              <w:keepNext w:val="0"/>
              <w:keepLines w:val="0"/>
              <w:pageBreakBefore w:val="0"/>
              <w:widowControl/>
              <w:kinsoku/>
              <w:wordWrap/>
              <w:overflowPunct/>
              <w:bidi w:val="0"/>
              <w:adjustRightInd w:val="0"/>
              <w:snapToGrid w:val="0"/>
              <w:spacing w:line="360" w:lineRule="auto"/>
              <w:ind w:left="0" w:leftChars="0" w:right="0" w:firstLine="426" w:firstLineChars="177"/>
              <w:rPr>
                <w:rFonts w:hint="default" w:ascii="Times New Roman" w:hAnsi="Times New Roman" w:cs="Times New Roman"/>
                <w:b/>
                <w:bCs/>
                <w:color w:val="auto"/>
                <w:kern w:val="0"/>
                <w:sz w:val="24"/>
              </w:rPr>
            </w:pPr>
            <w:r>
              <w:rPr>
                <w:rFonts w:hint="default" w:ascii="Times New Roman" w:hAnsi="Times New Roman" w:cs="Times New Roman"/>
                <w:b/>
                <w:bCs/>
                <w:color w:val="auto"/>
                <w:kern w:val="0"/>
                <w:sz w:val="24"/>
              </w:rPr>
              <w:t>（1）风险调查</w:t>
            </w:r>
          </w:p>
          <w:p w14:paraId="3FDA4D91">
            <w:pPr>
              <w:keepNext w:val="0"/>
              <w:keepLines w:val="0"/>
              <w:pageBreakBefore w:val="0"/>
              <w:widowControl/>
              <w:kinsoku/>
              <w:wordWrap/>
              <w:overflowPunct/>
              <w:bidi w:val="0"/>
              <w:adjustRightInd w:val="0"/>
              <w:snapToGrid w:val="0"/>
              <w:spacing w:line="360" w:lineRule="auto"/>
              <w:ind w:left="0" w:leftChars="0" w:right="0" w:firstLine="424" w:firstLineChars="177"/>
              <w:rPr>
                <w:rFonts w:hint="default" w:ascii="Times New Roman" w:hAnsi="Times New Roman" w:cs="Times New Roman"/>
                <w:color w:val="auto"/>
                <w:kern w:val="0"/>
                <w:sz w:val="24"/>
              </w:rPr>
            </w:pPr>
            <w:r>
              <w:rPr>
                <w:rFonts w:hint="default" w:ascii="Times New Roman" w:hAnsi="Times New Roman" w:cs="Times New Roman"/>
                <w:color w:val="auto"/>
                <w:kern w:val="0"/>
                <w:sz w:val="24"/>
              </w:rPr>
              <w:t>经查询《建设项目环境风险评价技术导则》（HJ169-2018）附录B表B.1、《化学品分类和标签规范 第18部分：急性毒性》（GB 30000.18-2013）及危险化学品重大危险源辨识(GB18218-2018)，</w:t>
            </w:r>
            <w:r>
              <w:rPr>
                <w:rFonts w:hint="eastAsia" w:cs="Times New Roman"/>
                <w:color w:val="auto"/>
                <w:kern w:val="0"/>
                <w:sz w:val="24"/>
                <w:lang w:eastAsia="zh-CN"/>
              </w:rPr>
              <w:t>但</w:t>
            </w:r>
            <w:r>
              <w:rPr>
                <w:rFonts w:hint="default" w:ascii="Times New Roman" w:hAnsi="Times New Roman" w:cs="Times New Roman"/>
                <w:color w:val="auto"/>
                <w:kern w:val="0"/>
                <w:sz w:val="24"/>
              </w:rPr>
              <w:t>本项目</w:t>
            </w:r>
            <w:r>
              <w:rPr>
                <w:rFonts w:hint="eastAsia" w:cs="Times New Roman"/>
                <w:color w:val="auto"/>
                <w:sz w:val="24"/>
                <w:lang w:val="en-US" w:eastAsia="zh-CN"/>
              </w:rPr>
              <w:t>医疗废物、污水处理站污泥等</w:t>
            </w:r>
            <w:r>
              <w:rPr>
                <w:rFonts w:hint="eastAsia" w:cs="Times New Roman"/>
                <w:color w:val="auto"/>
                <w:sz w:val="24"/>
                <w:lang w:eastAsia="zh-CN"/>
              </w:rPr>
              <w:t>属于风险物质</w:t>
            </w:r>
            <w:r>
              <w:rPr>
                <w:rFonts w:hint="default" w:ascii="Times New Roman" w:hAnsi="Times New Roman" w:cs="Times New Roman"/>
                <w:color w:val="auto"/>
                <w:kern w:val="0"/>
                <w:sz w:val="24"/>
              </w:rPr>
              <w:t>。</w:t>
            </w:r>
          </w:p>
          <w:p w14:paraId="7813C878">
            <w:pPr>
              <w:keepNext w:val="0"/>
              <w:keepLines w:val="0"/>
              <w:pageBreakBefore w:val="0"/>
              <w:widowControl/>
              <w:kinsoku/>
              <w:wordWrap/>
              <w:overflowPunct/>
              <w:bidi w:val="0"/>
              <w:adjustRightInd w:val="0"/>
              <w:snapToGrid w:val="0"/>
              <w:spacing w:line="360" w:lineRule="auto"/>
              <w:ind w:left="0" w:leftChars="0" w:right="0" w:firstLine="426" w:firstLineChars="177"/>
              <w:rPr>
                <w:rFonts w:hint="default" w:ascii="Times New Roman" w:hAnsi="Times New Roman" w:cs="Times New Roman"/>
                <w:b/>
                <w:bCs/>
                <w:color w:val="auto"/>
                <w:kern w:val="0"/>
                <w:sz w:val="24"/>
              </w:rPr>
            </w:pPr>
            <w:r>
              <w:rPr>
                <w:rFonts w:hint="default" w:ascii="Times New Roman" w:hAnsi="Times New Roman" w:cs="Times New Roman"/>
                <w:b/>
                <w:bCs/>
                <w:color w:val="auto"/>
                <w:kern w:val="0"/>
                <w:sz w:val="24"/>
              </w:rPr>
              <w:t>（2）风险潜势初判</w:t>
            </w:r>
          </w:p>
          <w:p w14:paraId="5728FA39">
            <w:pPr>
              <w:keepNext w:val="0"/>
              <w:keepLines w:val="0"/>
              <w:pageBreakBefore w:val="0"/>
              <w:widowControl/>
              <w:kinsoku/>
              <w:wordWrap/>
              <w:overflowPunct/>
              <w:bidi w:val="0"/>
              <w:adjustRightInd w:val="0"/>
              <w:snapToGrid w:val="0"/>
              <w:spacing w:line="360" w:lineRule="auto"/>
              <w:ind w:left="0" w:leftChars="0" w:right="0" w:firstLine="424" w:firstLineChars="177"/>
              <w:rPr>
                <w:rFonts w:hint="default" w:ascii="Times New Roman" w:hAnsi="Times New Roman" w:cs="Times New Roman"/>
                <w:b/>
                <w:bCs/>
                <w:color w:val="auto"/>
                <w:kern w:val="0"/>
                <w:sz w:val="24"/>
                <w:szCs w:val="24"/>
              </w:rPr>
            </w:pPr>
            <w:r>
              <w:rPr>
                <w:rFonts w:hint="default" w:ascii="Times New Roman" w:hAnsi="Times New Roman" w:cs="Times New Roman"/>
                <w:color w:val="auto"/>
                <w:kern w:val="0"/>
                <w:sz w:val="24"/>
              </w:rPr>
              <w:t>根据《建设项目环境风险评价技术导则》（HJ169-2018），项目涉及的危险化学品名称、临界量及实际最大储存量见下表。</w:t>
            </w:r>
          </w:p>
          <w:p w14:paraId="03F48EAE">
            <w:pPr>
              <w:keepNext w:val="0"/>
              <w:keepLines w:val="0"/>
              <w:pageBreakBefore w:val="0"/>
              <w:widowControl/>
              <w:kinsoku/>
              <w:wordWrap/>
              <w:overflowPunct/>
              <w:topLinePunct w:val="0"/>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cs="Times New Roman"/>
                <w:b/>
                <w:bCs/>
                <w:color w:val="auto"/>
                <w:kern w:val="0"/>
                <w:sz w:val="24"/>
                <w:szCs w:val="24"/>
              </w:rPr>
            </w:pPr>
            <w:r>
              <w:rPr>
                <w:rFonts w:hint="default" w:ascii="Times New Roman" w:hAnsi="Times New Roman" w:cs="Times New Roman"/>
                <w:b/>
                <w:bCs/>
                <w:color w:val="auto"/>
                <w:kern w:val="0"/>
                <w:sz w:val="24"/>
                <w:szCs w:val="24"/>
              </w:rPr>
              <w:t>表4-</w:t>
            </w:r>
            <w:r>
              <w:rPr>
                <w:rFonts w:hint="eastAsia" w:cs="Times New Roman"/>
                <w:b/>
                <w:bCs/>
                <w:color w:val="auto"/>
                <w:kern w:val="0"/>
                <w:sz w:val="24"/>
                <w:szCs w:val="24"/>
                <w:lang w:val="en-US" w:eastAsia="zh-CN"/>
              </w:rPr>
              <w:t>22</w:t>
            </w:r>
            <w:r>
              <w:rPr>
                <w:rFonts w:hint="default" w:ascii="Times New Roman" w:hAnsi="Times New Roman" w:cs="Times New Roman"/>
                <w:b/>
                <w:bCs/>
                <w:color w:val="auto"/>
                <w:kern w:val="0"/>
                <w:sz w:val="24"/>
                <w:szCs w:val="24"/>
                <w:lang w:val="en-US" w:eastAsia="zh-CN"/>
              </w:rPr>
              <w:t xml:space="preserve"> </w:t>
            </w:r>
            <w:r>
              <w:rPr>
                <w:rFonts w:hint="default" w:ascii="Times New Roman" w:hAnsi="Times New Roman" w:cs="Times New Roman"/>
                <w:b/>
                <w:bCs/>
                <w:color w:val="auto"/>
                <w:kern w:val="0"/>
                <w:sz w:val="24"/>
                <w:szCs w:val="24"/>
              </w:rPr>
              <w:t xml:space="preserve"> 临界量与实际量对比一览表</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805"/>
              <w:gridCol w:w="1770"/>
              <w:gridCol w:w="1593"/>
              <w:gridCol w:w="1401"/>
              <w:gridCol w:w="2396"/>
            </w:tblGrid>
            <w:tr w14:paraId="6E0B7B7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77" w:type="pct"/>
                  <w:tcBorders>
                    <w:tl2br w:val="nil"/>
                    <w:tr2bl w:val="nil"/>
                  </w:tcBorders>
                  <w:noWrap w:val="0"/>
                  <w:vAlign w:val="center"/>
                </w:tcPr>
                <w:p w14:paraId="5E8D580A">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leftChars="0" w:righ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序号</w:t>
                  </w:r>
                </w:p>
              </w:tc>
              <w:tc>
                <w:tcPr>
                  <w:tcW w:w="1494" w:type="pct"/>
                  <w:gridSpan w:val="2"/>
                  <w:tcBorders>
                    <w:tl2br w:val="nil"/>
                    <w:tr2bl w:val="nil"/>
                  </w:tcBorders>
                  <w:noWrap w:val="0"/>
                  <w:vAlign w:val="center"/>
                </w:tcPr>
                <w:p w14:paraId="5D443461">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leftChars="0" w:right="0"/>
                    <w:jc w:val="center"/>
                    <w:textAlignment w:val="auto"/>
                    <w:rPr>
                      <w:rFonts w:hint="default" w:ascii="Times New Roman" w:hAnsi="Times New Roman" w:cs="Times New Roman"/>
                      <w:b/>
                      <w:bCs/>
                      <w:color w:val="auto"/>
                      <w:sz w:val="21"/>
                      <w:szCs w:val="21"/>
                    </w:rPr>
                  </w:pPr>
                  <w:r>
                    <w:rPr>
                      <w:rFonts w:hint="eastAsia" w:cs="Times New Roman"/>
                      <w:b/>
                      <w:bCs/>
                      <w:color w:val="auto"/>
                      <w:sz w:val="21"/>
                      <w:szCs w:val="21"/>
                      <w:lang w:val="en-US" w:eastAsia="zh-CN"/>
                    </w:rPr>
                    <w:t>风险物质</w:t>
                  </w:r>
                  <w:r>
                    <w:rPr>
                      <w:rFonts w:hint="default" w:ascii="Times New Roman" w:hAnsi="Times New Roman" w:cs="Times New Roman"/>
                      <w:b/>
                      <w:bCs/>
                      <w:color w:val="auto"/>
                      <w:sz w:val="21"/>
                      <w:szCs w:val="21"/>
                    </w:rPr>
                    <w:t>名称</w:t>
                  </w:r>
                </w:p>
              </w:tc>
              <w:tc>
                <w:tcPr>
                  <w:tcW w:w="924" w:type="pct"/>
                  <w:tcBorders>
                    <w:tl2br w:val="nil"/>
                    <w:tr2bl w:val="nil"/>
                  </w:tcBorders>
                  <w:noWrap w:val="0"/>
                  <w:vAlign w:val="center"/>
                </w:tcPr>
                <w:p w14:paraId="77D62B34">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leftChars="0" w:righ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一次最大储量t</w:t>
                  </w:r>
                </w:p>
              </w:tc>
              <w:tc>
                <w:tcPr>
                  <w:tcW w:w="813" w:type="pct"/>
                  <w:tcBorders>
                    <w:tl2br w:val="nil"/>
                    <w:tr2bl w:val="nil"/>
                  </w:tcBorders>
                  <w:noWrap w:val="0"/>
                  <w:vAlign w:val="center"/>
                </w:tcPr>
                <w:p w14:paraId="783E8EE9">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leftChars="0" w:righ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color w:val="auto"/>
                      <w:sz w:val="21"/>
                      <w:szCs w:val="21"/>
                    </w:rPr>
                    <w:t>临界量（t）</w:t>
                  </w:r>
                </w:p>
              </w:tc>
              <w:tc>
                <w:tcPr>
                  <w:tcW w:w="1390" w:type="pct"/>
                  <w:tcBorders>
                    <w:tl2br w:val="nil"/>
                    <w:tr2bl w:val="nil"/>
                  </w:tcBorders>
                  <w:noWrap w:val="0"/>
                  <w:vAlign w:val="center"/>
                </w:tcPr>
                <w:p w14:paraId="6283EDE0">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leftChars="0" w:righ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color w:val="auto"/>
                      <w:sz w:val="21"/>
                      <w:szCs w:val="21"/>
                    </w:rPr>
                    <w:t>危险物质数量与临界量比值（Qn）</w:t>
                  </w:r>
                </w:p>
              </w:tc>
            </w:tr>
            <w:tr w14:paraId="07DC7D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77" w:type="pct"/>
                  <w:tcBorders>
                    <w:tl2br w:val="nil"/>
                    <w:tr2bl w:val="nil"/>
                  </w:tcBorders>
                  <w:noWrap w:val="0"/>
                  <w:vAlign w:val="center"/>
                </w:tcPr>
                <w:p w14:paraId="28699ADA">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leftChars="0" w:right="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c>
                <w:tcPr>
                  <w:tcW w:w="467" w:type="pct"/>
                  <w:vMerge w:val="restart"/>
                  <w:tcBorders>
                    <w:tl2br w:val="nil"/>
                    <w:tr2bl w:val="nil"/>
                  </w:tcBorders>
                  <w:noWrap w:val="0"/>
                  <w:vAlign w:val="center"/>
                </w:tcPr>
                <w:p w14:paraId="249159B9">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leftChars="0" w:right="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危险废物</w:t>
                  </w:r>
                </w:p>
              </w:tc>
              <w:tc>
                <w:tcPr>
                  <w:tcW w:w="1027" w:type="pct"/>
                  <w:tcBorders>
                    <w:tl2br w:val="nil"/>
                    <w:tr2bl w:val="nil"/>
                  </w:tcBorders>
                  <w:noWrap w:val="0"/>
                  <w:vAlign w:val="center"/>
                </w:tcPr>
                <w:p w14:paraId="4FFE8BB1">
                  <w:pPr>
                    <w:jc w:val="center"/>
                    <w:rPr>
                      <w:rFonts w:hint="default" w:ascii="Times New Roman" w:hAnsi="Times New Roman" w:eastAsia="宋体" w:cs="Times New Roman"/>
                      <w:color w:val="auto"/>
                      <w:sz w:val="21"/>
                      <w:szCs w:val="21"/>
                      <w:lang w:val="en-US" w:eastAsia="zh-CN"/>
                    </w:rPr>
                  </w:pPr>
                  <w:r>
                    <w:rPr>
                      <w:rFonts w:hint="eastAsia"/>
                      <w:color w:val="auto"/>
                      <w:szCs w:val="21"/>
                      <w:lang w:val="en-US" w:eastAsia="zh-CN"/>
                    </w:rPr>
                    <w:t>医疗废物</w:t>
                  </w:r>
                </w:p>
              </w:tc>
              <w:tc>
                <w:tcPr>
                  <w:tcW w:w="924" w:type="pct"/>
                  <w:vMerge w:val="restart"/>
                  <w:tcBorders>
                    <w:tl2br w:val="nil"/>
                    <w:tr2bl w:val="nil"/>
                  </w:tcBorders>
                  <w:noWrap w:val="0"/>
                  <w:vAlign w:val="center"/>
                </w:tcPr>
                <w:p w14:paraId="04433D5D">
                  <w:pPr>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1.4</w:t>
                  </w:r>
                </w:p>
              </w:tc>
              <w:tc>
                <w:tcPr>
                  <w:tcW w:w="813" w:type="pct"/>
                  <w:vMerge w:val="restart"/>
                  <w:tcBorders>
                    <w:tl2br w:val="nil"/>
                    <w:tr2bl w:val="nil"/>
                  </w:tcBorders>
                  <w:noWrap w:val="0"/>
                  <w:vAlign w:val="center"/>
                </w:tcPr>
                <w:p w14:paraId="703B569B">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leftChars="0" w:right="0" w:righ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50</w:t>
                  </w:r>
                </w:p>
              </w:tc>
              <w:tc>
                <w:tcPr>
                  <w:tcW w:w="1390" w:type="pct"/>
                  <w:vMerge w:val="restart"/>
                  <w:tcBorders>
                    <w:tl2br w:val="nil"/>
                    <w:tr2bl w:val="nil"/>
                  </w:tcBorders>
                  <w:noWrap w:val="0"/>
                  <w:vAlign w:val="center"/>
                </w:tcPr>
                <w:p w14:paraId="7A63785C">
                  <w:pPr>
                    <w:keepNext w:val="0"/>
                    <w:keepLines w:val="0"/>
                    <w:pageBreakBefore w:val="0"/>
                    <w:widowControl/>
                    <w:suppressLineNumbers w:val="0"/>
                    <w:kinsoku/>
                    <w:wordWrap/>
                    <w:overflowPunct/>
                    <w:bidi w:val="0"/>
                    <w:spacing w:before="0" w:beforeAutospacing="0" w:afterAutospacing="0"/>
                    <w:ind w:left="0" w:leftChars="0" w:right="0" w:rightChars="0"/>
                    <w:jc w:val="center"/>
                    <w:textAlignment w:val="center"/>
                    <w:rPr>
                      <w:rFonts w:hint="default"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0.028</w:t>
                  </w:r>
                </w:p>
              </w:tc>
            </w:tr>
            <w:tr w14:paraId="4F1A2D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77" w:type="pct"/>
                  <w:tcBorders>
                    <w:tl2br w:val="nil"/>
                    <w:tr2bl w:val="nil"/>
                  </w:tcBorders>
                  <w:noWrap w:val="0"/>
                  <w:vAlign w:val="center"/>
                </w:tcPr>
                <w:p w14:paraId="745FB15D">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leftChars="0" w:right="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2</w:t>
                  </w:r>
                </w:p>
              </w:tc>
              <w:tc>
                <w:tcPr>
                  <w:tcW w:w="467" w:type="pct"/>
                  <w:vMerge w:val="continue"/>
                  <w:tcBorders>
                    <w:tl2br w:val="nil"/>
                    <w:tr2bl w:val="nil"/>
                  </w:tcBorders>
                  <w:noWrap w:val="0"/>
                  <w:vAlign w:val="center"/>
                </w:tcPr>
                <w:p w14:paraId="679882B0">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leftChars="0" w:right="0"/>
                    <w:jc w:val="center"/>
                    <w:textAlignment w:val="auto"/>
                    <w:rPr>
                      <w:rFonts w:hint="default" w:ascii="Times New Roman" w:hAnsi="Times New Roman" w:eastAsia="宋体" w:cs="Times New Roman"/>
                      <w:color w:val="auto"/>
                      <w:sz w:val="21"/>
                      <w:szCs w:val="21"/>
                      <w:lang w:val="en-US" w:eastAsia="zh-CN"/>
                    </w:rPr>
                  </w:pPr>
                </w:p>
              </w:tc>
              <w:tc>
                <w:tcPr>
                  <w:tcW w:w="1027" w:type="pct"/>
                  <w:tcBorders>
                    <w:tl2br w:val="nil"/>
                    <w:tr2bl w:val="nil"/>
                  </w:tcBorders>
                  <w:noWrap w:val="0"/>
                  <w:vAlign w:val="center"/>
                </w:tcPr>
                <w:p w14:paraId="4BCB1E0D">
                  <w:pPr>
                    <w:jc w:val="center"/>
                    <w:rPr>
                      <w:rFonts w:hint="default" w:ascii="Times New Roman" w:hAnsi="Times New Roman" w:eastAsia="宋体" w:cs="Times New Roman"/>
                      <w:color w:val="auto"/>
                      <w:sz w:val="21"/>
                      <w:szCs w:val="21"/>
                      <w:lang w:val="en-US" w:eastAsia="zh-CN"/>
                    </w:rPr>
                  </w:pPr>
                  <w:r>
                    <w:rPr>
                      <w:rFonts w:hint="eastAsia"/>
                      <w:color w:val="auto"/>
                      <w:szCs w:val="21"/>
                      <w:lang w:val="en-US" w:eastAsia="zh-CN"/>
                    </w:rPr>
                    <w:t>危险废包装物</w:t>
                  </w:r>
                </w:p>
              </w:tc>
              <w:tc>
                <w:tcPr>
                  <w:tcW w:w="924" w:type="pct"/>
                  <w:vMerge w:val="continue"/>
                  <w:tcBorders>
                    <w:tl2br w:val="nil"/>
                    <w:tr2bl w:val="nil"/>
                  </w:tcBorders>
                  <w:noWrap w:val="0"/>
                  <w:vAlign w:val="center"/>
                </w:tcPr>
                <w:p w14:paraId="2AB358E8">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leftChars="0" w:right="0" w:rightChars="0"/>
                    <w:jc w:val="center"/>
                    <w:textAlignment w:val="auto"/>
                    <w:rPr>
                      <w:rFonts w:hint="eastAsia" w:cs="Times New Roman"/>
                      <w:color w:val="auto"/>
                      <w:kern w:val="2"/>
                      <w:sz w:val="21"/>
                      <w:szCs w:val="21"/>
                      <w:highlight w:val="none"/>
                      <w:lang w:val="en-US" w:eastAsia="zh-CN" w:bidi="ar-SA"/>
                    </w:rPr>
                  </w:pPr>
                </w:p>
              </w:tc>
              <w:tc>
                <w:tcPr>
                  <w:tcW w:w="813" w:type="pct"/>
                  <w:vMerge w:val="continue"/>
                  <w:tcBorders>
                    <w:tl2br w:val="nil"/>
                    <w:tr2bl w:val="nil"/>
                  </w:tcBorders>
                  <w:noWrap w:val="0"/>
                  <w:vAlign w:val="center"/>
                </w:tcPr>
                <w:p w14:paraId="35FCD9BD">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leftChars="0" w:right="0" w:rightChars="0"/>
                    <w:jc w:val="center"/>
                    <w:textAlignment w:val="auto"/>
                    <w:rPr>
                      <w:rFonts w:hint="eastAsia" w:cs="Times New Roman"/>
                      <w:color w:val="auto"/>
                      <w:kern w:val="2"/>
                      <w:sz w:val="21"/>
                      <w:szCs w:val="21"/>
                      <w:lang w:val="en-US" w:eastAsia="zh-CN" w:bidi="ar-SA"/>
                    </w:rPr>
                  </w:pPr>
                </w:p>
              </w:tc>
              <w:tc>
                <w:tcPr>
                  <w:tcW w:w="1390" w:type="pct"/>
                  <w:vMerge w:val="continue"/>
                  <w:tcBorders>
                    <w:tl2br w:val="nil"/>
                    <w:tr2bl w:val="nil"/>
                  </w:tcBorders>
                  <w:noWrap w:val="0"/>
                  <w:vAlign w:val="center"/>
                </w:tcPr>
                <w:p w14:paraId="59D481C1">
                  <w:pPr>
                    <w:keepNext w:val="0"/>
                    <w:keepLines w:val="0"/>
                    <w:pageBreakBefore w:val="0"/>
                    <w:widowControl/>
                    <w:suppressLineNumbers w:val="0"/>
                    <w:kinsoku/>
                    <w:wordWrap/>
                    <w:overflowPunct/>
                    <w:bidi w:val="0"/>
                    <w:spacing w:before="0" w:beforeAutospacing="0" w:afterAutospacing="0"/>
                    <w:ind w:left="0" w:leftChars="0" w:right="0" w:rightChars="0"/>
                    <w:jc w:val="center"/>
                    <w:textAlignment w:val="center"/>
                    <w:rPr>
                      <w:rFonts w:hint="eastAsia" w:cs="Times New Roman"/>
                      <w:i w:val="0"/>
                      <w:color w:val="auto"/>
                      <w:kern w:val="0"/>
                      <w:sz w:val="21"/>
                      <w:szCs w:val="21"/>
                      <w:u w:val="none"/>
                      <w:lang w:val="en-US" w:eastAsia="zh-CN" w:bidi="ar"/>
                    </w:rPr>
                  </w:pPr>
                </w:p>
              </w:tc>
            </w:tr>
            <w:tr w14:paraId="23EEEA9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77" w:type="pct"/>
                  <w:tcBorders>
                    <w:tl2br w:val="nil"/>
                    <w:tr2bl w:val="nil"/>
                  </w:tcBorders>
                  <w:noWrap w:val="0"/>
                  <w:vAlign w:val="center"/>
                </w:tcPr>
                <w:p w14:paraId="1880C2DB">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leftChars="0" w:right="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3</w:t>
                  </w:r>
                </w:p>
              </w:tc>
              <w:tc>
                <w:tcPr>
                  <w:tcW w:w="467" w:type="pct"/>
                  <w:vMerge w:val="continue"/>
                  <w:tcBorders>
                    <w:tl2br w:val="nil"/>
                    <w:tr2bl w:val="nil"/>
                  </w:tcBorders>
                  <w:noWrap w:val="0"/>
                  <w:vAlign w:val="center"/>
                </w:tcPr>
                <w:p w14:paraId="2BBF4D44">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leftChars="0" w:right="0"/>
                    <w:jc w:val="center"/>
                    <w:textAlignment w:val="auto"/>
                    <w:rPr>
                      <w:rFonts w:hint="default" w:ascii="Times New Roman" w:hAnsi="Times New Roman" w:eastAsia="宋体" w:cs="Times New Roman"/>
                      <w:color w:val="auto"/>
                      <w:sz w:val="21"/>
                      <w:szCs w:val="21"/>
                      <w:lang w:val="en-US" w:eastAsia="zh-CN"/>
                    </w:rPr>
                  </w:pPr>
                </w:p>
              </w:tc>
              <w:tc>
                <w:tcPr>
                  <w:tcW w:w="1027" w:type="pct"/>
                  <w:tcBorders>
                    <w:tl2br w:val="nil"/>
                    <w:tr2bl w:val="nil"/>
                  </w:tcBorders>
                  <w:noWrap w:val="0"/>
                  <w:vAlign w:val="center"/>
                </w:tcPr>
                <w:p w14:paraId="121D174E">
                  <w:pPr>
                    <w:jc w:val="center"/>
                    <w:rPr>
                      <w:rFonts w:hint="default" w:ascii="Times New Roman" w:hAnsi="Times New Roman" w:eastAsia="宋体" w:cs="Times New Roman"/>
                      <w:color w:val="auto"/>
                      <w:sz w:val="21"/>
                      <w:szCs w:val="21"/>
                      <w:lang w:val="en-US" w:eastAsia="zh-CN"/>
                    </w:rPr>
                  </w:pPr>
                  <w:r>
                    <w:rPr>
                      <w:rFonts w:hint="eastAsia"/>
                      <w:color w:val="auto"/>
                      <w:szCs w:val="21"/>
                      <w:lang w:val="en-US" w:eastAsia="zh-CN"/>
                    </w:rPr>
                    <w:t>废UV灯管</w:t>
                  </w:r>
                </w:p>
              </w:tc>
              <w:tc>
                <w:tcPr>
                  <w:tcW w:w="924" w:type="pct"/>
                  <w:vMerge w:val="continue"/>
                  <w:tcBorders>
                    <w:tl2br w:val="nil"/>
                    <w:tr2bl w:val="nil"/>
                  </w:tcBorders>
                  <w:noWrap w:val="0"/>
                  <w:vAlign w:val="center"/>
                </w:tcPr>
                <w:p w14:paraId="645F0728">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leftChars="0" w:right="0" w:rightChars="0"/>
                    <w:jc w:val="center"/>
                    <w:textAlignment w:val="auto"/>
                    <w:rPr>
                      <w:rFonts w:hint="eastAsia" w:cs="Times New Roman"/>
                      <w:color w:val="auto"/>
                      <w:kern w:val="2"/>
                      <w:sz w:val="21"/>
                      <w:szCs w:val="21"/>
                      <w:highlight w:val="none"/>
                      <w:lang w:val="en-US" w:eastAsia="zh-CN" w:bidi="ar-SA"/>
                    </w:rPr>
                  </w:pPr>
                </w:p>
              </w:tc>
              <w:tc>
                <w:tcPr>
                  <w:tcW w:w="813" w:type="pct"/>
                  <w:vMerge w:val="continue"/>
                  <w:tcBorders>
                    <w:tl2br w:val="nil"/>
                    <w:tr2bl w:val="nil"/>
                  </w:tcBorders>
                  <w:noWrap w:val="0"/>
                  <w:vAlign w:val="center"/>
                </w:tcPr>
                <w:p w14:paraId="12A7E3A8">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leftChars="0" w:right="0" w:rightChars="0"/>
                    <w:jc w:val="center"/>
                    <w:textAlignment w:val="auto"/>
                    <w:rPr>
                      <w:rFonts w:hint="eastAsia" w:cs="Times New Roman"/>
                      <w:color w:val="auto"/>
                      <w:kern w:val="2"/>
                      <w:sz w:val="21"/>
                      <w:szCs w:val="21"/>
                      <w:lang w:val="en-US" w:eastAsia="zh-CN" w:bidi="ar-SA"/>
                    </w:rPr>
                  </w:pPr>
                </w:p>
              </w:tc>
              <w:tc>
                <w:tcPr>
                  <w:tcW w:w="1390" w:type="pct"/>
                  <w:vMerge w:val="continue"/>
                  <w:tcBorders>
                    <w:tl2br w:val="nil"/>
                    <w:tr2bl w:val="nil"/>
                  </w:tcBorders>
                  <w:noWrap w:val="0"/>
                  <w:vAlign w:val="center"/>
                </w:tcPr>
                <w:p w14:paraId="127B2D57">
                  <w:pPr>
                    <w:keepNext w:val="0"/>
                    <w:keepLines w:val="0"/>
                    <w:pageBreakBefore w:val="0"/>
                    <w:widowControl/>
                    <w:suppressLineNumbers w:val="0"/>
                    <w:kinsoku/>
                    <w:wordWrap/>
                    <w:overflowPunct/>
                    <w:bidi w:val="0"/>
                    <w:spacing w:before="0" w:beforeAutospacing="0" w:afterAutospacing="0"/>
                    <w:ind w:left="0" w:leftChars="0" w:right="0" w:rightChars="0"/>
                    <w:jc w:val="center"/>
                    <w:textAlignment w:val="center"/>
                    <w:rPr>
                      <w:rFonts w:hint="eastAsia" w:cs="Times New Roman"/>
                      <w:i w:val="0"/>
                      <w:color w:val="auto"/>
                      <w:kern w:val="0"/>
                      <w:sz w:val="21"/>
                      <w:szCs w:val="21"/>
                      <w:u w:val="none"/>
                      <w:lang w:val="en-US" w:eastAsia="zh-CN" w:bidi="ar"/>
                    </w:rPr>
                  </w:pPr>
                </w:p>
              </w:tc>
            </w:tr>
            <w:tr w14:paraId="4413681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77" w:type="pct"/>
                  <w:tcBorders>
                    <w:tl2br w:val="nil"/>
                    <w:tr2bl w:val="nil"/>
                  </w:tcBorders>
                  <w:noWrap w:val="0"/>
                  <w:vAlign w:val="center"/>
                </w:tcPr>
                <w:p w14:paraId="5DF9F041">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leftChars="0" w:right="0" w:right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4</w:t>
                  </w:r>
                </w:p>
              </w:tc>
              <w:tc>
                <w:tcPr>
                  <w:tcW w:w="467" w:type="pct"/>
                  <w:vMerge w:val="continue"/>
                  <w:tcBorders>
                    <w:tl2br w:val="nil"/>
                    <w:tr2bl w:val="nil"/>
                  </w:tcBorders>
                  <w:noWrap w:val="0"/>
                  <w:vAlign w:val="center"/>
                </w:tcPr>
                <w:p w14:paraId="1E23DCCB">
                  <w:pPr>
                    <w:jc w:val="center"/>
                    <w:rPr>
                      <w:rFonts w:hint="eastAsia" w:cs="Times New Roman"/>
                      <w:color w:val="auto"/>
                      <w:sz w:val="21"/>
                      <w:szCs w:val="21"/>
                      <w:lang w:val="en-US" w:eastAsia="zh-CN"/>
                    </w:rPr>
                  </w:pPr>
                </w:p>
              </w:tc>
              <w:tc>
                <w:tcPr>
                  <w:tcW w:w="1027" w:type="pct"/>
                  <w:tcBorders>
                    <w:tl2br w:val="nil"/>
                    <w:tr2bl w:val="nil"/>
                  </w:tcBorders>
                  <w:noWrap w:val="0"/>
                  <w:vAlign w:val="center"/>
                </w:tcPr>
                <w:p w14:paraId="79DF576C">
                  <w:pPr>
                    <w:jc w:val="center"/>
                    <w:rPr>
                      <w:rFonts w:hint="eastAsia" w:cs="Times New Roman"/>
                      <w:color w:val="auto"/>
                      <w:sz w:val="21"/>
                      <w:szCs w:val="21"/>
                      <w:lang w:val="en-US" w:eastAsia="zh-CN"/>
                    </w:rPr>
                  </w:pPr>
                  <w:r>
                    <w:rPr>
                      <w:rFonts w:hint="eastAsia"/>
                      <w:color w:val="auto"/>
                      <w:szCs w:val="21"/>
                      <w:lang w:val="en-US" w:eastAsia="zh-CN"/>
                    </w:rPr>
                    <w:t>废紫外灯</w:t>
                  </w:r>
                </w:p>
              </w:tc>
              <w:tc>
                <w:tcPr>
                  <w:tcW w:w="924" w:type="pct"/>
                  <w:vMerge w:val="continue"/>
                  <w:tcBorders>
                    <w:tl2br w:val="nil"/>
                    <w:tr2bl w:val="nil"/>
                  </w:tcBorders>
                  <w:noWrap w:val="0"/>
                  <w:vAlign w:val="center"/>
                </w:tcPr>
                <w:p w14:paraId="2A9E96EC">
                  <w:pPr>
                    <w:jc w:val="center"/>
                    <w:rPr>
                      <w:rFonts w:hint="default" w:cs="Times New Roman"/>
                      <w:color w:val="auto"/>
                      <w:kern w:val="2"/>
                      <w:sz w:val="21"/>
                      <w:szCs w:val="21"/>
                      <w:highlight w:val="none"/>
                      <w:lang w:val="en-US" w:eastAsia="zh-CN" w:bidi="ar-SA"/>
                    </w:rPr>
                  </w:pPr>
                </w:p>
              </w:tc>
              <w:tc>
                <w:tcPr>
                  <w:tcW w:w="813" w:type="pct"/>
                  <w:vMerge w:val="continue"/>
                  <w:tcBorders>
                    <w:tl2br w:val="nil"/>
                    <w:tr2bl w:val="nil"/>
                  </w:tcBorders>
                  <w:noWrap w:val="0"/>
                  <w:vAlign w:val="center"/>
                </w:tcPr>
                <w:p w14:paraId="743655FB">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leftChars="0" w:right="0" w:rightChars="0"/>
                    <w:jc w:val="center"/>
                    <w:textAlignment w:val="auto"/>
                    <w:rPr>
                      <w:rFonts w:hint="default" w:cs="Times New Roman"/>
                      <w:color w:val="auto"/>
                      <w:kern w:val="2"/>
                      <w:sz w:val="21"/>
                      <w:szCs w:val="21"/>
                      <w:lang w:val="en-US" w:eastAsia="zh-CN" w:bidi="ar-SA"/>
                    </w:rPr>
                  </w:pPr>
                </w:p>
              </w:tc>
              <w:tc>
                <w:tcPr>
                  <w:tcW w:w="1390" w:type="pct"/>
                  <w:vMerge w:val="continue"/>
                  <w:tcBorders>
                    <w:tl2br w:val="nil"/>
                    <w:tr2bl w:val="nil"/>
                  </w:tcBorders>
                  <w:noWrap w:val="0"/>
                  <w:vAlign w:val="center"/>
                </w:tcPr>
                <w:p w14:paraId="63921E32">
                  <w:pPr>
                    <w:keepNext w:val="0"/>
                    <w:keepLines w:val="0"/>
                    <w:pageBreakBefore w:val="0"/>
                    <w:widowControl/>
                    <w:suppressLineNumbers w:val="0"/>
                    <w:kinsoku/>
                    <w:wordWrap/>
                    <w:overflowPunct/>
                    <w:bidi w:val="0"/>
                    <w:spacing w:before="0" w:beforeAutospacing="0" w:afterAutospacing="0"/>
                    <w:ind w:left="0" w:leftChars="0" w:right="0" w:rightChars="0"/>
                    <w:jc w:val="center"/>
                    <w:textAlignment w:val="center"/>
                    <w:rPr>
                      <w:rFonts w:hint="default" w:cs="Times New Roman"/>
                      <w:i w:val="0"/>
                      <w:color w:val="auto"/>
                      <w:kern w:val="0"/>
                      <w:sz w:val="21"/>
                      <w:szCs w:val="21"/>
                      <w:u w:val="none"/>
                      <w:lang w:val="en-US" w:eastAsia="zh-CN" w:bidi="ar"/>
                    </w:rPr>
                  </w:pPr>
                </w:p>
              </w:tc>
            </w:tr>
            <w:tr w14:paraId="7E7A79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77" w:type="pct"/>
                  <w:tcBorders>
                    <w:tl2br w:val="nil"/>
                    <w:tr2bl w:val="nil"/>
                  </w:tcBorders>
                  <w:noWrap w:val="0"/>
                  <w:vAlign w:val="center"/>
                </w:tcPr>
                <w:p w14:paraId="23899F07">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leftChars="0" w:right="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5</w:t>
                  </w:r>
                </w:p>
              </w:tc>
              <w:tc>
                <w:tcPr>
                  <w:tcW w:w="467" w:type="pct"/>
                  <w:vMerge w:val="continue"/>
                  <w:tcBorders>
                    <w:tl2br w:val="nil"/>
                    <w:tr2bl w:val="nil"/>
                  </w:tcBorders>
                  <w:noWrap w:val="0"/>
                  <w:vAlign w:val="center"/>
                </w:tcPr>
                <w:p w14:paraId="0839DE7D">
                  <w:pPr>
                    <w:jc w:val="center"/>
                    <w:rPr>
                      <w:rFonts w:hint="eastAsia" w:cs="Times New Roman"/>
                      <w:color w:val="auto"/>
                      <w:sz w:val="21"/>
                      <w:szCs w:val="21"/>
                      <w:lang w:val="en-US" w:eastAsia="zh-CN"/>
                    </w:rPr>
                  </w:pPr>
                </w:p>
              </w:tc>
              <w:tc>
                <w:tcPr>
                  <w:tcW w:w="1027" w:type="pct"/>
                  <w:tcBorders>
                    <w:tl2br w:val="nil"/>
                    <w:tr2bl w:val="nil"/>
                  </w:tcBorders>
                  <w:noWrap w:val="0"/>
                  <w:vAlign w:val="center"/>
                </w:tcPr>
                <w:p w14:paraId="65D06247">
                  <w:pPr>
                    <w:jc w:val="center"/>
                    <w:rPr>
                      <w:rFonts w:hint="eastAsia" w:cs="Times New Roman"/>
                      <w:color w:val="auto"/>
                      <w:sz w:val="21"/>
                      <w:szCs w:val="21"/>
                      <w:lang w:val="en-US" w:eastAsia="zh-CN"/>
                    </w:rPr>
                  </w:pPr>
                  <w:r>
                    <w:rPr>
                      <w:rFonts w:hint="eastAsia"/>
                      <w:color w:val="auto"/>
                      <w:szCs w:val="21"/>
                      <w:lang w:val="en-US" w:eastAsia="zh-CN"/>
                    </w:rPr>
                    <w:t>污水处理站污泥</w:t>
                  </w:r>
                </w:p>
              </w:tc>
              <w:tc>
                <w:tcPr>
                  <w:tcW w:w="924" w:type="pct"/>
                  <w:vMerge w:val="continue"/>
                  <w:tcBorders>
                    <w:tl2br w:val="nil"/>
                    <w:tr2bl w:val="nil"/>
                  </w:tcBorders>
                  <w:noWrap w:val="0"/>
                  <w:vAlign w:val="center"/>
                </w:tcPr>
                <w:p w14:paraId="3ABFF68E">
                  <w:pPr>
                    <w:jc w:val="center"/>
                    <w:rPr>
                      <w:rFonts w:hint="eastAsia" w:cs="Times New Roman"/>
                      <w:color w:val="auto"/>
                      <w:kern w:val="2"/>
                      <w:sz w:val="21"/>
                      <w:szCs w:val="21"/>
                      <w:highlight w:val="none"/>
                      <w:lang w:val="en-US" w:eastAsia="zh-CN" w:bidi="ar-SA"/>
                    </w:rPr>
                  </w:pPr>
                </w:p>
              </w:tc>
              <w:tc>
                <w:tcPr>
                  <w:tcW w:w="813" w:type="pct"/>
                  <w:vMerge w:val="continue"/>
                  <w:tcBorders>
                    <w:tl2br w:val="nil"/>
                    <w:tr2bl w:val="nil"/>
                  </w:tcBorders>
                  <w:noWrap w:val="0"/>
                  <w:vAlign w:val="center"/>
                </w:tcPr>
                <w:p w14:paraId="19ED6695">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leftChars="0" w:right="0" w:rightChars="0"/>
                    <w:jc w:val="center"/>
                    <w:textAlignment w:val="auto"/>
                    <w:rPr>
                      <w:rFonts w:hint="default" w:cs="Times New Roman"/>
                      <w:color w:val="auto"/>
                      <w:kern w:val="2"/>
                      <w:sz w:val="21"/>
                      <w:szCs w:val="21"/>
                      <w:lang w:val="en-US" w:eastAsia="zh-CN" w:bidi="ar-SA"/>
                    </w:rPr>
                  </w:pPr>
                </w:p>
              </w:tc>
              <w:tc>
                <w:tcPr>
                  <w:tcW w:w="1390" w:type="pct"/>
                  <w:vMerge w:val="continue"/>
                  <w:tcBorders>
                    <w:tl2br w:val="nil"/>
                    <w:tr2bl w:val="nil"/>
                  </w:tcBorders>
                  <w:noWrap w:val="0"/>
                  <w:vAlign w:val="center"/>
                </w:tcPr>
                <w:p w14:paraId="253B2EF8">
                  <w:pPr>
                    <w:keepNext w:val="0"/>
                    <w:keepLines w:val="0"/>
                    <w:pageBreakBefore w:val="0"/>
                    <w:widowControl/>
                    <w:suppressLineNumbers w:val="0"/>
                    <w:kinsoku/>
                    <w:wordWrap/>
                    <w:overflowPunct/>
                    <w:bidi w:val="0"/>
                    <w:spacing w:before="0" w:beforeAutospacing="0" w:afterAutospacing="0"/>
                    <w:ind w:left="0" w:leftChars="0" w:right="0" w:rightChars="0"/>
                    <w:jc w:val="center"/>
                    <w:textAlignment w:val="center"/>
                    <w:rPr>
                      <w:rFonts w:hint="default" w:cs="Times New Roman"/>
                      <w:i w:val="0"/>
                      <w:color w:val="auto"/>
                      <w:kern w:val="0"/>
                      <w:sz w:val="21"/>
                      <w:szCs w:val="21"/>
                      <w:u w:val="none"/>
                      <w:lang w:val="en-US" w:eastAsia="zh-CN" w:bidi="ar"/>
                    </w:rPr>
                  </w:pPr>
                </w:p>
              </w:tc>
            </w:tr>
            <w:tr w14:paraId="5E49611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609" w:type="pct"/>
                  <w:gridSpan w:val="5"/>
                  <w:tcBorders>
                    <w:tl2br w:val="nil"/>
                    <w:tr2bl w:val="nil"/>
                  </w:tcBorders>
                  <w:noWrap w:val="0"/>
                  <w:vAlign w:val="center"/>
                </w:tcPr>
                <w:p w14:paraId="24C112AF">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leftChars="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合计</w:t>
                  </w:r>
                </w:p>
              </w:tc>
              <w:tc>
                <w:tcPr>
                  <w:tcW w:w="1390" w:type="pct"/>
                  <w:tcBorders>
                    <w:tl2br w:val="nil"/>
                    <w:tr2bl w:val="nil"/>
                  </w:tcBorders>
                  <w:noWrap w:val="0"/>
                  <w:vAlign w:val="center"/>
                </w:tcPr>
                <w:p w14:paraId="4C7C9E96">
                  <w:pPr>
                    <w:keepNext w:val="0"/>
                    <w:keepLines w:val="0"/>
                    <w:pageBreakBefore w:val="0"/>
                    <w:widowControl/>
                    <w:suppressLineNumbers w:val="0"/>
                    <w:kinsoku/>
                    <w:wordWrap/>
                    <w:overflowPunct/>
                    <w:bidi w:val="0"/>
                    <w:spacing w:before="0" w:beforeAutospacing="0" w:afterAutospacing="0"/>
                    <w:ind w:left="0" w:leftChars="0" w:right="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0.028</w:t>
                  </w:r>
                </w:p>
              </w:tc>
            </w:tr>
          </w:tbl>
          <w:p w14:paraId="7D3CFBB4">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cs="Times New Roman"/>
                <w:b/>
                <w:bCs w:val="0"/>
                <w:color w:val="auto"/>
                <w:sz w:val="24"/>
                <w:szCs w:val="24"/>
                <w:lang w:val="en-US" w:eastAsia="zh-CN"/>
              </w:rPr>
            </w:pPr>
            <w:r>
              <w:rPr>
                <w:rFonts w:hint="default" w:ascii="Times New Roman" w:hAnsi="Times New Roman" w:cs="Times New Roman"/>
                <w:sz w:val="24"/>
              </w:rPr>
              <w:t>根据</w:t>
            </w:r>
            <w:r>
              <w:rPr>
                <w:rFonts w:hint="eastAsia" w:ascii="Times New Roman" w:hAnsi="Times New Roman" w:cs="Times New Roman"/>
                <w:sz w:val="24"/>
                <w:lang w:eastAsia="zh-CN"/>
              </w:rPr>
              <w:t>上表</w:t>
            </w:r>
            <w:r>
              <w:rPr>
                <w:rFonts w:hint="default" w:ascii="Times New Roman" w:hAnsi="Times New Roman" w:cs="Times New Roman"/>
                <w:sz w:val="24"/>
              </w:rPr>
              <w:t>，本项目Q</w:t>
            </w:r>
            <w:r>
              <w:rPr>
                <w:rFonts w:hint="eastAsia" w:ascii="Times New Roman" w:hAnsi="Times New Roman" w:cs="Times New Roman"/>
                <w:sz w:val="24"/>
                <w:lang w:eastAsia="zh-CN"/>
              </w:rPr>
              <w:t>值</w:t>
            </w:r>
            <w:r>
              <w:rPr>
                <w:rFonts w:hint="default" w:ascii="Times New Roman" w:hAnsi="Times New Roman" w:cs="Times New Roman"/>
                <w:sz w:val="24"/>
              </w:rPr>
              <w:t>小于1，环境风险潜势为I</w:t>
            </w:r>
            <w:r>
              <w:rPr>
                <w:rFonts w:hint="eastAsia" w:cs="Times New Roman"/>
                <w:sz w:val="24"/>
                <w:lang w:eastAsia="zh-CN"/>
              </w:rPr>
              <w:t>。</w:t>
            </w:r>
          </w:p>
          <w:p w14:paraId="5DA3FB95">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i w:val="0"/>
                <w:iCs w:val="0"/>
                <w:color w:val="auto"/>
                <w:kern w:val="2"/>
                <w:sz w:val="24"/>
                <w:szCs w:val="24"/>
                <w:lang w:val="en-US" w:eastAsia="zh-CN" w:bidi="ar"/>
              </w:rPr>
            </w:pPr>
            <w:r>
              <w:rPr>
                <w:rFonts w:hint="eastAsia" w:ascii="Times New Roman" w:hAnsi="Times New Roman" w:eastAsia="宋体" w:cs="Times New Roman"/>
                <w:b/>
                <w:bCs/>
                <w:i w:val="0"/>
                <w:iCs w:val="0"/>
                <w:color w:val="auto"/>
                <w:kern w:val="2"/>
                <w:sz w:val="24"/>
                <w:szCs w:val="24"/>
                <w:lang w:val="en-US" w:eastAsia="zh-CN" w:bidi="ar"/>
              </w:rPr>
              <w:t>2、生产过程风险识别</w:t>
            </w:r>
          </w:p>
          <w:p w14:paraId="7D964364">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i w:val="0"/>
                <w:iCs w:val="0"/>
                <w:color w:val="auto"/>
                <w:kern w:val="2"/>
                <w:sz w:val="24"/>
                <w:szCs w:val="24"/>
                <w:lang w:val="en-US" w:eastAsia="zh-CN" w:bidi="ar"/>
              </w:rPr>
            </w:pPr>
            <w:r>
              <w:rPr>
                <w:rFonts w:hint="default" w:ascii="Times New Roman" w:hAnsi="Times New Roman" w:cs="Times New Roman"/>
                <w:bCs/>
                <w:color w:val="auto"/>
                <w:sz w:val="24"/>
              </w:rPr>
              <w:t>项目运营过程中</w:t>
            </w:r>
            <w:r>
              <w:rPr>
                <w:rFonts w:hint="default" w:ascii="Times New Roman" w:hAnsi="Times New Roman" w:eastAsia="宋体" w:cs="Times New Roman"/>
                <w:i w:val="0"/>
                <w:iCs w:val="0"/>
                <w:color w:val="auto"/>
                <w:kern w:val="2"/>
                <w:sz w:val="24"/>
                <w:szCs w:val="24"/>
                <w:lang w:val="en-US" w:eastAsia="zh-CN" w:bidi="ar"/>
              </w:rPr>
              <w:t>由于自然或人为的原因造成的爆炸、火灾和机械损伤等后果十分严重的且会造成人身伤害或财产损失的风险事故。</w:t>
            </w:r>
            <w:r>
              <w:rPr>
                <w:rFonts w:hint="eastAsia" w:cs="Times New Roman"/>
                <w:i w:val="0"/>
                <w:iCs w:val="0"/>
                <w:color w:val="auto"/>
                <w:kern w:val="2"/>
                <w:sz w:val="24"/>
                <w:szCs w:val="24"/>
                <w:lang w:val="en-US" w:eastAsia="zh-CN" w:bidi="ar"/>
              </w:rPr>
              <w:t>根据分析，</w:t>
            </w:r>
            <w:r>
              <w:rPr>
                <w:rFonts w:hint="default" w:ascii="Times New Roman" w:hAnsi="Times New Roman" w:eastAsia="宋体" w:cs="Times New Roman"/>
                <w:i w:val="0"/>
                <w:iCs w:val="0"/>
                <w:color w:val="auto"/>
                <w:kern w:val="2"/>
                <w:sz w:val="24"/>
                <w:szCs w:val="24"/>
                <w:lang w:val="en-US" w:eastAsia="zh-CN" w:bidi="ar"/>
              </w:rPr>
              <w:t>本项目的风险因素归纳如下：</w:t>
            </w:r>
          </w:p>
          <w:p w14:paraId="4862E007">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bCs/>
                <w:sz w:val="24"/>
                <w:lang w:val="en-US" w:eastAsia="zh-CN"/>
              </w:rPr>
            </w:pPr>
            <w:r>
              <w:rPr>
                <w:rFonts w:hint="default" w:ascii="Times New Roman" w:hAnsi="Times New Roman" w:eastAsia="宋体" w:cs="Times New Roman"/>
                <w:bCs/>
                <w:sz w:val="24"/>
              </w:rPr>
              <w:t>（</w:t>
            </w:r>
            <w:r>
              <w:rPr>
                <w:rFonts w:hint="eastAsia" w:cs="Times New Roman"/>
                <w:bCs/>
                <w:sz w:val="24"/>
                <w:lang w:val="en-US" w:eastAsia="zh-CN"/>
              </w:rPr>
              <w:t>1</w:t>
            </w:r>
            <w:r>
              <w:rPr>
                <w:rFonts w:hint="default" w:ascii="Times New Roman" w:hAnsi="Times New Roman" w:eastAsia="宋体" w:cs="Times New Roman"/>
                <w:bCs/>
                <w:sz w:val="24"/>
              </w:rPr>
              <w:t>）</w:t>
            </w:r>
            <w:r>
              <w:rPr>
                <w:rFonts w:hint="default" w:ascii="Times New Roman" w:hAnsi="Times New Roman" w:eastAsia="宋体" w:cs="Times New Roman"/>
                <w:bCs/>
                <w:sz w:val="24"/>
                <w:lang w:val="en-US" w:eastAsia="zh-CN"/>
              </w:rPr>
              <w:t>废</w:t>
            </w:r>
            <w:r>
              <w:rPr>
                <w:rFonts w:hint="eastAsia" w:ascii="Times New Roman" w:hAnsi="Times New Roman" w:eastAsia="宋体" w:cs="Times New Roman"/>
                <w:bCs/>
                <w:sz w:val="24"/>
                <w:lang w:val="en-US" w:eastAsia="zh-CN"/>
              </w:rPr>
              <w:t>气</w:t>
            </w:r>
            <w:r>
              <w:rPr>
                <w:rFonts w:hint="default" w:ascii="Times New Roman" w:hAnsi="Times New Roman" w:eastAsia="宋体" w:cs="Times New Roman"/>
                <w:bCs/>
                <w:sz w:val="24"/>
                <w:lang w:val="en-US" w:eastAsia="zh-CN"/>
              </w:rPr>
              <w:t>非正常排放；</w:t>
            </w:r>
          </w:p>
          <w:p w14:paraId="0A6E81CE">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bCs/>
                <w:sz w:val="24"/>
                <w:lang w:eastAsia="zh-CN"/>
              </w:rPr>
            </w:pPr>
            <w:r>
              <w:rPr>
                <w:rFonts w:hint="default" w:ascii="Times New Roman" w:hAnsi="Times New Roman" w:eastAsia="宋体" w:cs="Times New Roman"/>
                <w:bCs/>
                <w:sz w:val="24"/>
                <w:lang w:eastAsia="zh-CN"/>
              </w:rPr>
              <w:t>（</w:t>
            </w:r>
            <w:r>
              <w:rPr>
                <w:rFonts w:hint="eastAsia" w:cs="Times New Roman"/>
                <w:bCs/>
                <w:sz w:val="24"/>
                <w:lang w:val="en-US" w:eastAsia="zh-CN"/>
              </w:rPr>
              <w:t>2</w:t>
            </w:r>
            <w:r>
              <w:rPr>
                <w:rFonts w:hint="default" w:ascii="Times New Roman" w:hAnsi="Times New Roman" w:eastAsia="宋体" w:cs="Times New Roman"/>
                <w:bCs/>
                <w:sz w:val="24"/>
                <w:lang w:eastAsia="zh-CN"/>
              </w:rPr>
              <w:t>）</w:t>
            </w:r>
            <w:r>
              <w:rPr>
                <w:rFonts w:hint="eastAsia" w:cs="Times New Roman"/>
                <w:bCs/>
                <w:sz w:val="24"/>
                <w:lang w:eastAsia="zh-CN"/>
              </w:rPr>
              <w:t>废水非正常排放；</w:t>
            </w:r>
          </w:p>
          <w:p w14:paraId="467A08C9">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Times New Roman" w:hAnsi="Times New Roman" w:eastAsia="宋体" w:cs="Times New Roman"/>
                <w:bCs/>
                <w:sz w:val="24"/>
                <w:lang w:val="en-US" w:eastAsia="zh-CN"/>
              </w:rPr>
            </w:pPr>
            <w:r>
              <w:rPr>
                <w:rFonts w:hint="eastAsia" w:cs="Times New Roman"/>
                <w:bCs/>
                <w:sz w:val="24"/>
                <w:lang w:val="en-US" w:eastAsia="zh-CN"/>
              </w:rPr>
              <w:t>（3）</w:t>
            </w:r>
            <w:r>
              <w:rPr>
                <w:rFonts w:hint="default" w:ascii="Times New Roman" w:hAnsi="Times New Roman" w:eastAsia="宋体" w:cs="Times New Roman"/>
                <w:bCs/>
                <w:sz w:val="24"/>
                <w:lang w:val="en-US" w:eastAsia="zh-CN"/>
              </w:rPr>
              <w:t>火灾事故</w:t>
            </w:r>
            <w:r>
              <w:rPr>
                <w:rFonts w:hint="eastAsia" w:ascii="Times New Roman" w:hAnsi="Times New Roman" w:eastAsia="宋体" w:cs="Times New Roman"/>
                <w:bCs/>
                <w:sz w:val="24"/>
                <w:lang w:val="en-US" w:eastAsia="zh-CN"/>
              </w:rPr>
              <w:t>；</w:t>
            </w:r>
          </w:p>
          <w:p w14:paraId="424A0E8F">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Cs/>
                <w:sz w:val="24"/>
                <w:lang w:val="en-US" w:eastAsia="zh-CN"/>
              </w:rPr>
            </w:pPr>
            <w:r>
              <w:rPr>
                <w:rFonts w:hint="eastAsia" w:ascii="Times New Roman" w:hAnsi="Times New Roman" w:eastAsia="宋体" w:cs="Times New Roman"/>
                <w:bCs/>
                <w:sz w:val="24"/>
                <w:lang w:val="en-US" w:eastAsia="zh-CN"/>
              </w:rPr>
              <w:t>（</w:t>
            </w:r>
            <w:r>
              <w:rPr>
                <w:rFonts w:hint="eastAsia" w:eastAsia="宋体" w:cs="Times New Roman"/>
                <w:bCs/>
                <w:sz w:val="24"/>
                <w:lang w:val="en-US" w:eastAsia="zh-CN"/>
              </w:rPr>
              <w:t>4</w:t>
            </w:r>
            <w:r>
              <w:rPr>
                <w:rFonts w:hint="eastAsia" w:ascii="Times New Roman" w:hAnsi="Times New Roman" w:eastAsia="宋体" w:cs="Times New Roman"/>
                <w:bCs/>
                <w:sz w:val="24"/>
                <w:lang w:val="en-US" w:eastAsia="zh-CN"/>
              </w:rPr>
              <w:t>）危废流失</w:t>
            </w:r>
            <w:r>
              <w:rPr>
                <w:rFonts w:hint="eastAsia" w:ascii="Times New Roman" w:hAnsi="Times New Roman" w:eastAsia="宋体" w:cs="Times New Roman"/>
                <w:bCs/>
                <w:sz w:val="24"/>
                <w:lang w:val="en-US" w:eastAsia="zh-CN"/>
              </w:rPr>
              <w:t>。</w:t>
            </w:r>
          </w:p>
          <w:p w14:paraId="4EAEE3C3">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sz w:val="24"/>
              </w:rPr>
            </w:pPr>
            <w:r>
              <w:rPr>
                <w:rFonts w:hint="default" w:ascii="Times New Roman" w:hAnsi="Times New Roman" w:eastAsia="宋体" w:cs="Times New Roman"/>
                <w:bCs/>
                <w:sz w:val="24"/>
              </w:rPr>
              <w:t>因此，本评价主要对</w:t>
            </w:r>
            <w:r>
              <w:rPr>
                <w:rFonts w:hint="eastAsia" w:ascii="Times New Roman" w:hAnsi="Times New Roman" w:eastAsia="宋体" w:cs="Times New Roman"/>
                <w:bCs/>
                <w:sz w:val="24"/>
                <w:lang w:eastAsia="zh-CN"/>
              </w:rPr>
              <w:t>建设项目</w:t>
            </w:r>
            <w:r>
              <w:rPr>
                <w:rFonts w:hint="default" w:ascii="Times New Roman" w:hAnsi="Times New Roman" w:eastAsia="宋体" w:cs="Times New Roman"/>
                <w:bCs/>
                <w:sz w:val="24"/>
              </w:rPr>
              <w:t>营运期间可能存在的危险、有害因素进行分析，并对可能发生的突发性事件及事故所造成的人身安全与环境影响和损</w:t>
            </w:r>
            <w:r>
              <w:rPr>
                <w:rFonts w:hint="default" w:ascii="Times New Roman" w:hAnsi="Times New Roman" w:eastAsia="宋体" w:cs="Times New Roman"/>
                <w:b w:val="0"/>
                <w:bCs/>
                <w:sz w:val="24"/>
              </w:rPr>
              <w:t>害程度，提出合理的可行的防范、应急与减缓措施。</w:t>
            </w:r>
          </w:p>
          <w:p w14:paraId="3BEEC2E3">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2" w:firstLineChars="200"/>
              <w:textAlignment w:val="auto"/>
              <w:rPr>
                <w:rFonts w:hint="default" w:ascii="Times New Roman" w:hAnsi="Times New Roman" w:eastAsia="宋体" w:cs="Times New Roman"/>
                <w:b/>
                <w:bCs w:val="0"/>
                <w:color w:val="000000"/>
                <w:kern w:val="0"/>
                <w:sz w:val="24"/>
              </w:rPr>
            </w:pPr>
            <w:r>
              <w:rPr>
                <w:rFonts w:hint="eastAsia" w:ascii="Times New Roman" w:hAnsi="Times New Roman" w:eastAsia="宋体" w:cs="Times New Roman"/>
                <w:b/>
                <w:bCs w:val="0"/>
                <w:color w:val="000000"/>
                <w:kern w:val="0"/>
                <w:sz w:val="24"/>
                <w:lang w:val="en-US" w:eastAsia="zh-CN"/>
              </w:rPr>
              <w:t>3</w:t>
            </w:r>
            <w:r>
              <w:rPr>
                <w:rFonts w:hint="default" w:ascii="Times New Roman" w:hAnsi="Times New Roman" w:eastAsia="宋体" w:cs="Times New Roman"/>
                <w:b/>
                <w:bCs w:val="0"/>
                <w:color w:val="000000"/>
                <w:kern w:val="0"/>
                <w:sz w:val="24"/>
              </w:rPr>
              <w:t>、环境风险防范措施及应急要求</w:t>
            </w:r>
          </w:p>
          <w:p w14:paraId="57C8F705">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Cs/>
                <w:sz w:val="24"/>
                <w:lang w:val="en-US" w:eastAsia="zh-CN"/>
              </w:rPr>
            </w:pPr>
            <w:r>
              <w:rPr>
                <w:rFonts w:hint="default" w:ascii="Times New Roman" w:hAnsi="Times New Roman" w:eastAsia="宋体" w:cs="Times New Roman"/>
                <w:bCs/>
                <w:sz w:val="24"/>
                <w:lang w:eastAsia="zh-CN"/>
              </w:rPr>
              <w:t>（</w:t>
            </w:r>
            <w:r>
              <w:rPr>
                <w:rFonts w:hint="eastAsia" w:cs="Times New Roman"/>
                <w:bCs/>
                <w:sz w:val="24"/>
                <w:lang w:val="en-US" w:eastAsia="zh-CN"/>
              </w:rPr>
              <w:t>1</w:t>
            </w:r>
            <w:r>
              <w:rPr>
                <w:rFonts w:hint="default" w:ascii="Times New Roman" w:hAnsi="Times New Roman" w:eastAsia="宋体" w:cs="Times New Roman"/>
                <w:bCs/>
                <w:sz w:val="24"/>
                <w:lang w:eastAsia="zh-CN"/>
              </w:rPr>
              <w:t>）</w:t>
            </w:r>
            <w:r>
              <w:rPr>
                <w:rFonts w:hint="default" w:ascii="Times New Roman" w:hAnsi="Times New Roman" w:eastAsia="宋体" w:cs="Times New Roman"/>
                <w:bCs/>
                <w:sz w:val="24"/>
                <w:lang w:val="en-US" w:eastAsia="zh-CN"/>
              </w:rPr>
              <w:t>废气非正常排放</w:t>
            </w:r>
          </w:p>
          <w:p w14:paraId="65E17609">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Cs/>
                <w:sz w:val="24"/>
                <w:lang w:eastAsia="zh-CN"/>
              </w:rPr>
            </w:pPr>
            <w:r>
              <w:rPr>
                <w:rFonts w:hint="default" w:ascii="Times New Roman" w:hAnsi="Times New Roman" w:eastAsia="宋体" w:cs="Times New Roman"/>
                <w:bCs/>
                <w:sz w:val="24"/>
                <w:lang w:eastAsia="zh-CN"/>
              </w:rPr>
              <w:t>项目采用市政电网供电系统，系统停电概率较小，一旦停电，生产设备及配套设置的废气处理设备（</w:t>
            </w:r>
            <w:r>
              <w:rPr>
                <w:rFonts w:hint="eastAsia" w:cs="Times New Roman"/>
                <w:bCs/>
                <w:sz w:val="24"/>
                <w:lang w:val="en-US" w:eastAsia="zh-CN"/>
              </w:rPr>
              <w:t>“UV光氧装置”</w:t>
            </w:r>
            <w:r>
              <w:rPr>
                <w:rFonts w:hint="default" w:ascii="Times New Roman" w:hAnsi="Times New Roman" w:eastAsia="宋体" w:cs="Times New Roman"/>
                <w:bCs/>
                <w:sz w:val="24"/>
                <w:lang w:eastAsia="zh-CN"/>
              </w:rPr>
              <w:t>）将立即停止运转，造成工艺废气无法处理直接超标排放，但这种事故排放的影响时间较短，随着设备停止工作，废气超标排放或无组织排放的现象将逐渐减少。针对</w:t>
            </w:r>
            <w:r>
              <w:rPr>
                <w:rFonts w:hint="default" w:ascii="Times New Roman" w:hAnsi="Times New Roman" w:eastAsia="宋体" w:cs="Times New Roman"/>
                <w:bCs/>
                <w:sz w:val="24"/>
                <w:lang w:val="en-US" w:eastAsia="zh-CN"/>
              </w:rPr>
              <w:t>废气非正常排放</w:t>
            </w:r>
            <w:r>
              <w:rPr>
                <w:rFonts w:hint="default" w:ascii="Times New Roman" w:hAnsi="Times New Roman" w:eastAsia="宋体" w:cs="Times New Roman"/>
                <w:bCs/>
                <w:sz w:val="24"/>
                <w:lang w:eastAsia="zh-CN"/>
              </w:rPr>
              <w:t>所产生的风险，提出如下事故应急措施：</w:t>
            </w:r>
          </w:p>
          <w:p w14:paraId="2B36AD71">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Cs/>
                <w:sz w:val="24"/>
                <w:lang w:eastAsia="zh-CN"/>
              </w:rPr>
            </w:pPr>
            <w:r>
              <w:rPr>
                <w:rFonts w:hint="default" w:ascii="Times New Roman" w:hAnsi="Times New Roman" w:eastAsia="宋体" w:cs="Times New Roman"/>
                <w:bCs/>
                <w:sz w:val="24"/>
                <w:lang w:eastAsia="zh-CN"/>
              </w:rPr>
              <w:t>①废气净化系统必须由有资质的单位进行设计，确保其处理效率和稳定运行。</w:t>
            </w:r>
          </w:p>
          <w:p w14:paraId="4B76F749">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Cs/>
                <w:sz w:val="24"/>
                <w:lang w:eastAsia="zh-CN"/>
              </w:rPr>
            </w:pPr>
            <w:r>
              <w:rPr>
                <w:rFonts w:hint="default" w:ascii="Times New Roman" w:hAnsi="Times New Roman" w:eastAsia="宋体" w:cs="Times New Roman"/>
                <w:bCs/>
                <w:sz w:val="24"/>
                <w:lang w:eastAsia="zh-CN"/>
              </w:rPr>
              <w:t>②在定期检修主体设备时，同步检查和维护主要废气净化系统，以确保其正常运行。</w:t>
            </w:r>
          </w:p>
          <w:p w14:paraId="7C06ABC0">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Cs/>
                <w:sz w:val="24"/>
                <w:lang w:eastAsia="zh-CN"/>
              </w:rPr>
            </w:pPr>
            <w:r>
              <w:rPr>
                <w:rFonts w:hint="default" w:ascii="Times New Roman" w:hAnsi="Times New Roman" w:eastAsia="宋体" w:cs="Times New Roman"/>
                <w:bCs/>
                <w:sz w:val="24"/>
                <w:lang w:eastAsia="zh-CN"/>
              </w:rPr>
              <w:t>③一旦发现废气净化系统设施运行不正常，应立即对废气净化设施进行检修，若该设施一时难以修复，应立即采取紧急措施使主体设备停止生产，待净化设施检修完毕能够正常投入使用时，再共同投入使用。</w:t>
            </w:r>
          </w:p>
          <w:p w14:paraId="26724855">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eastAsia" w:ascii="宋体" w:hAnsi="宋体" w:eastAsia="宋体" w:cs="宋体"/>
                <w:bCs/>
                <w:sz w:val="24"/>
                <w:lang w:eastAsia="zh-CN"/>
              </w:rPr>
            </w:pPr>
            <w:r>
              <w:rPr>
                <w:rFonts w:hint="eastAsia" w:ascii="宋体" w:hAnsi="宋体" w:eastAsia="宋体" w:cs="宋体"/>
                <w:bCs/>
                <w:sz w:val="24"/>
                <w:lang w:eastAsia="zh-CN"/>
              </w:rPr>
              <w:t>④加强对易损易耗件的备用，确保设备发生故障时能够及时更换，减少事故</w:t>
            </w:r>
            <w:r>
              <w:rPr>
                <w:rFonts w:hint="eastAsia" w:ascii="宋体" w:hAnsi="宋体" w:cs="宋体"/>
                <w:bCs/>
                <w:sz w:val="24"/>
                <w:lang w:eastAsia="zh-CN"/>
              </w:rPr>
              <w:t>发生</w:t>
            </w:r>
            <w:r>
              <w:rPr>
                <w:rFonts w:hint="eastAsia" w:ascii="宋体" w:hAnsi="宋体" w:eastAsia="宋体" w:cs="宋体"/>
                <w:bCs/>
                <w:sz w:val="24"/>
                <w:lang w:eastAsia="zh-CN"/>
              </w:rPr>
              <w:t>。</w:t>
            </w:r>
          </w:p>
          <w:p w14:paraId="37E68A57">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color w:val="000000"/>
                <w:kern w:val="0"/>
                <w:sz w:val="24"/>
                <w:lang w:val="en-US" w:eastAsia="zh-CN"/>
              </w:rPr>
            </w:pPr>
            <w:r>
              <w:rPr>
                <w:rFonts w:hint="eastAsia" w:cs="Times New Roman"/>
                <w:b w:val="0"/>
                <w:bCs/>
                <w:color w:val="000000"/>
                <w:kern w:val="0"/>
                <w:sz w:val="24"/>
                <w:lang w:eastAsia="zh-CN"/>
              </w:rPr>
              <w:t>（</w:t>
            </w:r>
            <w:r>
              <w:rPr>
                <w:rFonts w:hint="eastAsia" w:cs="Times New Roman"/>
                <w:b w:val="0"/>
                <w:bCs/>
                <w:color w:val="000000"/>
                <w:kern w:val="0"/>
                <w:sz w:val="24"/>
                <w:lang w:val="en-US" w:eastAsia="zh-CN"/>
              </w:rPr>
              <w:t>2</w:t>
            </w:r>
            <w:r>
              <w:rPr>
                <w:rFonts w:hint="eastAsia" w:cs="Times New Roman"/>
                <w:b w:val="0"/>
                <w:bCs/>
                <w:color w:val="000000"/>
                <w:kern w:val="0"/>
                <w:sz w:val="24"/>
                <w:lang w:eastAsia="zh-CN"/>
              </w:rPr>
              <w:t>）</w:t>
            </w:r>
            <w:r>
              <w:rPr>
                <w:rFonts w:hint="eastAsia" w:cs="Times New Roman"/>
                <w:b w:val="0"/>
                <w:bCs/>
                <w:color w:val="000000"/>
                <w:kern w:val="0"/>
                <w:sz w:val="24"/>
                <w:lang w:val="en-US" w:eastAsia="zh-CN"/>
              </w:rPr>
              <w:t>废水非正常排放</w:t>
            </w:r>
          </w:p>
          <w:p w14:paraId="778627C7">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Cs/>
                <w:sz w:val="24"/>
              </w:rPr>
            </w:pPr>
            <w:r>
              <w:rPr>
                <w:rFonts w:hint="default" w:ascii="Times New Roman" w:hAnsi="Times New Roman" w:eastAsia="宋体" w:cs="Times New Roman"/>
                <w:bCs/>
                <w:sz w:val="24"/>
              </w:rPr>
              <w:t>项目因污染物防治设施非正常使用，如：管道破裂、人为操作失误等，导致废水</w:t>
            </w:r>
            <w:r>
              <w:rPr>
                <w:rFonts w:hint="eastAsia" w:ascii="Times New Roman" w:hAnsi="Times New Roman" w:eastAsia="宋体" w:cs="Times New Roman"/>
                <w:bCs/>
                <w:sz w:val="24"/>
                <w:lang w:eastAsia="zh-CN"/>
              </w:rPr>
              <w:t>泄漏，未经处理的废</w:t>
            </w:r>
            <w:r>
              <w:rPr>
                <w:rFonts w:hint="eastAsia" w:cs="Times New Roman"/>
                <w:bCs/>
                <w:sz w:val="24"/>
                <w:lang w:eastAsia="zh-CN"/>
              </w:rPr>
              <w:t>水</w:t>
            </w:r>
            <w:r>
              <w:rPr>
                <w:rFonts w:hint="eastAsia" w:ascii="Times New Roman" w:hAnsi="Times New Roman" w:eastAsia="宋体" w:cs="Times New Roman"/>
                <w:bCs/>
                <w:sz w:val="24"/>
                <w:lang w:eastAsia="zh-CN"/>
              </w:rPr>
              <w:t>直接外流会对地表水环境产生一定的危害</w:t>
            </w:r>
            <w:r>
              <w:rPr>
                <w:rFonts w:hint="default" w:ascii="Times New Roman" w:hAnsi="Times New Roman" w:eastAsia="宋体" w:cs="Times New Roman"/>
                <w:bCs/>
                <w:sz w:val="24"/>
              </w:rPr>
              <w:t>。针对</w:t>
            </w:r>
            <w:r>
              <w:rPr>
                <w:rFonts w:hint="eastAsia" w:eastAsia="宋体" w:cs="Times New Roman"/>
                <w:bCs/>
                <w:sz w:val="24"/>
                <w:lang w:val="en-US" w:eastAsia="zh-CN"/>
              </w:rPr>
              <w:t>医疗</w:t>
            </w:r>
            <w:r>
              <w:rPr>
                <w:rFonts w:hint="default" w:ascii="Times New Roman" w:hAnsi="Times New Roman" w:eastAsia="宋体" w:cs="Times New Roman"/>
                <w:bCs/>
                <w:sz w:val="24"/>
              </w:rPr>
              <w:t>废水事故排放所产生的风险，</w:t>
            </w:r>
            <w:r>
              <w:rPr>
                <w:rFonts w:hint="eastAsia" w:cs="Times New Roman"/>
                <w:bCs/>
                <w:sz w:val="24"/>
                <w:lang w:eastAsia="zh-CN"/>
              </w:rPr>
              <w:t>建设单位现有</w:t>
            </w:r>
            <w:r>
              <w:rPr>
                <w:rFonts w:hint="default" w:ascii="Times New Roman" w:hAnsi="Times New Roman" w:eastAsia="宋体" w:cs="Times New Roman"/>
                <w:bCs/>
                <w:sz w:val="24"/>
              </w:rPr>
              <w:t>事故应急措施</w:t>
            </w:r>
            <w:r>
              <w:rPr>
                <w:rFonts w:hint="eastAsia" w:cs="Times New Roman"/>
                <w:bCs/>
                <w:sz w:val="24"/>
                <w:lang w:eastAsia="zh-CN"/>
              </w:rPr>
              <w:t>如下</w:t>
            </w:r>
            <w:r>
              <w:rPr>
                <w:rFonts w:hint="default" w:ascii="Times New Roman" w:hAnsi="Times New Roman" w:eastAsia="宋体" w:cs="Times New Roman"/>
                <w:bCs/>
                <w:sz w:val="24"/>
              </w:rPr>
              <w:t>：</w:t>
            </w:r>
          </w:p>
          <w:p w14:paraId="01B96CF7">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color w:val="000000"/>
                <w:kern w:val="0"/>
                <w:sz w:val="24"/>
                <w:lang w:eastAsia="zh-CN"/>
              </w:rPr>
            </w:pPr>
            <w:r>
              <w:rPr>
                <w:rFonts w:hint="eastAsia" w:cs="Times New Roman"/>
                <w:bCs/>
                <w:sz w:val="24"/>
                <w:lang w:eastAsia="zh-CN"/>
              </w:rPr>
              <w:t>建设单位已编制完成</w:t>
            </w:r>
            <w:r>
              <w:rPr>
                <w:rFonts w:hint="eastAsia" w:ascii="Times New Roman" w:hAnsi="Times New Roman" w:eastAsia="宋体" w:cs="Times New Roman"/>
                <w:b w:val="0"/>
                <w:bCs/>
                <w:color w:val="auto"/>
                <w:sz w:val="24"/>
                <w:szCs w:val="24"/>
                <w:lang w:val="en-US" w:eastAsia="zh-CN"/>
              </w:rPr>
              <w:t>突发环境事件应急预案并在环保部门备案</w:t>
            </w:r>
            <w:r>
              <w:rPr>
                <w:rFonts w:hint="eastAsia" w:cs="Times New Roman"/>
                <w:bCs/>
                <w:sz w:val="24"/>
                <w:lang w:eastAsia="zh-CN"/>
              </w:rPr>
              <w:t>，污水处理设施设有专门人员定时巡查</w:t>
            </w:r>
            <w:r>
              <w:rPr>
                <w:rFonts w:hint="default" w:ascii="Times New Roman" w:hAnsi="Times New Roman" w:eastAsia="宋体" w:cs="Times New Roman"/>
                <w:bCs/>
                <w:sz w:val="24"/>
              </w:rPr>
              <w:t>，一旦</w:t>
            </w:r>
            <w:r>
              <w:rPr>
                <w:rFonts w:hint="eastAsia" w:cs="Times New Roman"/>
                <w:bCs/>
                <w:sz w:val="24"/>
                <w:lang w:eastAsia="zh-CN"/>
              </w:rPr>
              <w:t>发生</w:t>
            </w:r>
            <w:r>
              <w:rPr>
                <w:rFonts w:hint="default" w:ascii="Times New Roman" w:hAnsi="Times New Roman" w:eastAsia="宋体" w:cs="Times New Roman"/>
                <w:bCs/>
                <w:sz w:val="24"/>
              </w:rPr>
              <w:t>事故立即启动应急预案。</w:t>
            </w:r>
            <w:r>
              <w:rPr>
                <w:rFonts w:hint="eastAsia" w:cs="Times New Roman"/>
                <w:bCs/>
                <w:sz w:val="24"/>
                <w:lang w:eastAsia="zh-CN"/>
              </w:rPr>
              <w:t>定期培训员工掌握污水处理站管道、阀门的维护保养技能，制定了相关管理制度，明确要求严禁超负荷运行，定期开启应急演练，培养员工风险防范意识。</w:t>
            </w:r>
          </w:p>
          <w:p w14:paraId="2300CF5D">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color w:val="000000"/>
                <w:kern w:val="0"/>
                <w:sz w:val="24"/>
                <w:lang w:val="en-US" w:eastAsia="zh-CN"/>
              </w:rPr>
            </w:pPr>
            <w:r>
              <w:rPr>
                <w:rFonts w:hint="default" w:ascii="Times New Roman" w:hAnsi="Times New Roman" w:eastAsia="宋体" w:cs="Times New Roman"/>
                <w:b w:val="0"/>
                <w:bCs/>
                <w:color w:val="000000"/>
                <w:kern w:val="0"/>
                <w:sz w:val="24"/>
                <w:lang w:eastAsia="zh-CN"/>
              </w:rPr>
              <w:t>（</w:t>
            </w:r>
            <w:r>
              <w:rPr>
                <w:rFonts w:hint="eastAsia" w:cs="Times New Roman"/>
                <w:b w:val="0"/>
                <w:bCs/>
                <w:color w:val="000000"/>
                <w:kern w:val="0"/>
                <w:sz w:val="24"/>
                <w:lang w:val="en-US" w:eastAsia="zh-CN"/>
              </w:rPr>
              <w:t>3</w:t>
            </w:r>
            <w:r>
              <w:rPr>
                <w:rFonts w:hint="default" w:ascii="Times New Roman" w:hAnsi="Times New Roman" w:eastAsia="宋体" w:cs="Times New Roman"/>
                <w:b w:val="0"/>
                <w:bCs/>
                <w:color w:val="000000"/>
                <w:kern w:val="0"/>
                <w:sz w:val="24"/>
                <w:lang w:eastAsia="zh-CN"/>
              </w:rPr>
              <w:t>）</w:t>
            </w:r>
            <w:r>
              <w:rPr>
                <w:rFonts w:hint="default" w:ascii="Times New Roman" w:hAnsi="Times New Roman" w:eastAsia="宋体" w:cs="Times New Roman"/>
                <w:b w:val="0"/>
                <w:bCs/>
                <w:color w:val="000000"/>
                <w:kern w:val="0"/>
                <w:sz w:val="24"/>
                <w:lang w:val="en-US" w:eastAsia="zh-CN"/>
              </w:rPr>
              <w:t>火灾事故</w:t>
            </w:r>
          </w:p>
          <w:p w14:paraId="22090DD7">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color w:val="000000"/>
                <w:kern w:val="0"/>
                <w:sz w:val="24"/>
              </w:rPr>
            </w:pPr>
            <w:r>
              <w:rPr>
                <w:rFonts w:hint="eastAsia" w:cs="Times New Roman"/>
                <w:b w:val="0"/>
                <w:bCs/>
                <w:color w:val="000000"/>
                <w:kern w:val="0"/>
                <w:sz w:val="24"/>
                <w:lang w:eastAsia="zh-CN"/>
              </w:rPr>
              <w:t>本项目使用的</w:t>
            </w:r>
            <w:r>
              <w:rPr>
                <w:rFonts w:hint="eastAsia" w:cs="Times New Roman"/>
                <w:b w:val="0"/>
                <w:bCs/>
                <w:color w:val="000000"/>
                <w:kern w:val="0"/>
                <w:sz w:val="24"/>
                <w:lang w:val="en-US" w:eastAsia="zh-CN"/>
              </w:rPr>
              <w:t>原料涉及</w:t>
            </w:r>
            <w:r>
              <w:rPr>
                <w:rFonts w:hint="eastAsia" w:cs="Times New Roman"/>
                <w:b w:val="0"/>
                <w:bCs/>
                <w:color w:val="000000"/>
                <w:kern w:val="0"/>
                <w:sz w:val="24"/>
                <w:lang w:eastAsia="zh-CN"/>
              </w:rPr>
              <w:t>可燃物质</w:t>
            </w:r>
            <w:r>
              <w:rPr>
                <w:rFonts w:hint="default" w:ascii="Times New Roman" w:hAnsi="Times New Roman" w:eastAsia="宋体" w:cs="Times New Roman"/>
                <w:b w:val="0"/>
                <w:bCs/>
                <w:color w:val="000000"/>
                <w:kern w:val="0"/>
                <w:sz w:val="24"/>
              </w:rPr>
              <w:t>，</w:t>
            </w:r>
            <w:r>
              <w:rPr>
                <w:sz w:val="24"/>
              </w:rPr>
              <w:t>在</w:t>
            </w:r>
            <w:r>
              <w:rPr>
                <w:rFonts w:hint="eastAsia"/>
                <w:sz w:val="24"/>
                <w:lang w:eastAsia="zh-CN"/>
              </w:rPr>
              <w:t>运输</w:t>
            </w:r>
            <w:r>
              <w:rPr>
                <w:sz w:val="24"/>
              </w:rPr>
              <w:t>、储存过程中操作不当</w:t>
            </w:r>
            <w:r>
              <w:rPr>
                <w:rFonts w:hint="eastAsia"/>
                <w:sz w:val="24"/>
                <w:lang w:eastAsia="zh-CN"/>
              </w:rPr>
              <w:t>可能</w:t>
            </w:r>
            <w:r>
              <w:rPr>
                <w:sz w:val="24"/>
              </w:rPr>
              <w:t>会导致火灾发生。一旦发生火灾</w:t>
            </w:r>
            <w:r>
              <w:rPr>
                <w:rFonts w:hint="default" w:ascii="Times New Roman" w:hAnsi="Times New Roman" w:eastAsia="宋体" w:cs="Times New Roman"/>
                <w:b w:val="0"/>
                <w:bCs/>
                <w:color w:val="000000"/>
                <w:kern w:val="0"/>
                <w:sz w:val="24"/>
              </w:rPr>
              <w:t>，</w:t>
            </w:r>
            <w:r>
              <w:rPr>
                <w:sz w:val="24"/>
              </w:rPr>
              <w:t>将放出大量的辐射热，危及火灾周围人员的生命及毗邻建筑物和设备的安全，如果产生的热量和气体在短时间内无法扩散，则可能引发爆炸</w:t>
            </w:r>
            <w:r>
              <w:rPr>
                <w:rFonts w:hint="default" w:ascii="Times New Roman" w:hAnsi="Times New Roman" w:eastAsia="宋体" w:cs="Times New Roman"/>
                <w:b w:val="0"/>
                <w:bCs/>
                <w:color w:val="000000"/>
                <w:kern w:val="0"/>
                <w:sz w:val="24"/>
              </w:rPr>
              <w:t>。要减少事故发生的概率，最主要的手段是从管理入手，制定应急预案，加强风险防范措施。</w:t>
            </w:r>
          </w:p>
          <w:p w14:paraId="67F89A27">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color w:val="000000"/>
                <w:kern w:val="0"/>
                <w:sz w:val="24"/>
              </w:rPr>
            </w:pPr>
            <w:r>
              <w:rPr>
                <w:rFonts w:hint="default" w:ascii="Times New Roman" w:hAnsi="Times New Roman" w:eastAsia="宋体" w:cs="Times New Roman"/>
                <w:b w:val="0"/>
                <w:bCs/>
                <w:color w:val="000000"/>
                <w:kern w:val="0"/>
                <w:sz w:val="24"/>
              </w:rPr>
              <w:t>①总图布置和建筑安全防范措施</w:t>
            </w:r>
          </w:p>
          <w:p w14:paraId="233611C7">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color w:val="000000"/>
                <w:kern w:val="0"/>
                <w:sz w:val="24"/>
              </w:rPr>
            </w:pPr>
            <w:r>
              <w:rPr>
                <w:rFonts w:hint="default" w:ascii="Times New Roman" w:hAnsi="Times New Roman" w:eastAsia="宋体" w:cs="Times New Roman"/>
                <w:b w:val="0"/>
                <w:bCs/>
                <w:color w:val="000000"/>
                <w:kern w:val="0"/>
                <w:sz w:val="24"/>
              </w:rPr>
              <w:t>在厂区总平面布置方面，严格执行相关规范要求，合理布置生产车间设备平面布局，生产区、储存区、办公区进行严格区分。所有建、构筑物之间或与</w:t>
            </w:r>
            <w:r>
              <w:rPr>
                <w:rFonts w:hint="eastAsia" w:cs="Times New Roman"/>
                <w:b w:val="0"/>
                <w:bCs/>
                <w:color w:val="000000"/>
                <w:kern w:val="0"/>
                <w:sz w:val="24"/>
                <w:lang w:eastAsia="zh-CN"/>
              </w:rPr>
              <w:t>其他</w:t>
            </w:r>
            <w:r>
              <w:rPr>
                <w:rFonts w:hint="default" w:ascii="Times New Roman" w:hAnsi="Times New Roman" w:eastAsia="宋体" w:cs="Times New Roman"/>
                <w:b w:val="0"/>
                <w:bCs/>
                <w:color w:val="000000"/>
                <w:kern w:val="0"/>
                <w:sz w:val="24"/>
              </w:rPr>
              <w:t>场所之间留有足够的防火间距，防止在火灾时相互影响。严格按工艺处理物料特性，对厂区进行危险区域划分；按《安全标志》规定在装置区设置有关的安全标志。另外厂区按规范设置消防通道，在易发生火灾地点附近设置消防栓及一定数量的抢修器材。</w:t>
            </w:r>
          </w:p>
          <w:p w14:paraId="16D16B0C">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color w:val="000000"/>
                <w:kern w:val="0"/>
                <w:sz w:val="24"/>
              </w:rPr>
            </w:pPr>
            <w:r>
              <w:rPr>
                <w:rFonts w:hint="default" w:ascii="Times New Roman" w:hAnsi="Times New Roman" w:eastAsia="宋体" w:cs="Times New Roman"/>
                <w:b w:val="0"/>
                <w:bCs/>
                <w:color w:val="000000"/>
                <w:kern w:val="0"/>
                <w:sz w:val="24"/>
              </w:rPr>
              <w:t>②贮运系统事故风险防范措施</w:t>
            </w:r>
          </w:p>
          <w:p w14:paraId="48323DBD">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color w:val="000000"/>
                <w:kern w:val="0"/>
                <w:sz w:val="24"/>
              </w:rPr>
            </w:pPr>
            <w:r>
              <w:rPr>
                <w:rFonts w:hint="default" w:ascii="Times New Roman" w:hAnsi="Times New Roman" w:eastAsia="宋体" w:cs="Times New Roman"/>
                <w:b w:val="0"/>
                <w:bCs/>
                <w:color w:val="000000"/>
                <w:kern w:val="0"/>
                <w:sz w:val="24"/>
              </w:rPr>
              <w:t>根据贮存区（仓库）的火灾危险性，为保障其的防火安全，仓库建筑物在火灾高温作用下要求其基本构件能在一定时间内不被破坏、不传播火灾、延缓和阻止火势蔓延，为疏散人员、物资和扑灭火灾赢得时间。建筑物的耐火等级应按二级考虑，所用建筑材料应为非燃烧体</w:t>
            </w:r>
            <w:r>
              <w:rPr>
                <w:rFonts w:hint="default" w:ascii="Times New Roman" w:hAnsi="Times New Roman" w:eastAsia="宋体" w:cs="Times New Roman"/>
                <w:b w:val="0"/>
                <w:bCs/>
                <w:color w:val="000000"/>
                <w:kern w:val="0"/>
                <w:sz w:val="24"/>
                <w:lang w:eastAsia="zh-CN"/>
              </w:rPr>
              <w:t>；</w:t>
            </w:r>
            <w:r>
              <w:rPr>
                <w:rFonts w:hint="eastAsia" w:cs="Times New Roman"/>
                <w:b w:val="0"/>
                <w:bCs/>
                <w:color w:val="000000"/>
                <w:kern w:val="0"/>
                <w:sz w:val="24"/>
                <w:lang w:eastAsia="zh-CN"/>
              </w:rPr>
              <w:t>原辅料</w:t>
            </w:r>
            <w:r>
              <w:rPr>
                <w:rFonts w:hint="default" w:ascii="Times New Roman" w:hAnsi="Times New Roman" w:eastAsia="宋体" w:cs="Times New Roman"/>
                <w:b w:val="0"/>
                <w:bCs/>
                <w:color w:val="000000"/>
                <w:kern w:val="0"/>
                <w:sz w:val="24"/>
              </w:rPr>
              <w:t>贮存在专门贮存场所内；贮存场所为封闭设施，必须有防雨、防晒、防渗、防尘、防扬散和防火措施，并有足够的疏散通道</w:t>
            </w:r>
            <w:r>
              <w:rPr>
                <w:rFonts w:hint="default" w:ascii="Times New Roman" w:hAnsi="Times New Roman" w:eastAsia="宋体" w:cs="Times New Roman"/>
                <w:b w:val="0"/>
                <w:bCs/>
                <w:color w:val="000000"/>
                <w:kern w:val="0"/>
                <w:sz w:val="24"/>
                <w:lang w:eastAsia="zh-CN"/>
              </w:rPr>
              <w:t>；</w:t>
            </w:r>
            <w:r>
              <w:rPr>
                <w:rFonts w:hint="default" w:ascii="Times New Roman" w:hAnsi="Times New Roman" w:eastAsia="宋体" w:cs="Times New Roman"/>
                <w:b w:val="0"/>
                <w:bCs/>
                <w:color w:val="000000"/>
                <w:kern w:val="0"/>
                <w:sz w:val="24"/>
              </w:rPr>
              <w:t>严格制定和执行管理制度，注重操作人员的素质，加强对设施的维护保养和巡检。</w:t>
            </w:r>
          </w:p>
          <w:p w14:paraId="6DEDF2F1">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color w:val="000000"/>
                <w:kern w:val="0"/>
                <w:sz w:val="24"/>
              </w:rPr>
            </w:pPr>
            <w:r>
              <w:rPr>
                <w:rFonts w:hint="default" w:ascii="Times New Roman" w:hAnsi="Times New Roman" w:eastAsia="宋体" w:cs="Times New Roman"/>
                <w:b w:val="0"/>
                <w:bCs/>
                <w:color w:val="000000"/>
                <w:kern w:val="0"/>
                <w:sz w:val="24"/>
              </w:rPr>
              <w:t>③工艺技术设计安全防范措施</w:t>
            </w:r>
          </w:p>
          <w:p w14:paraId="6F447E04">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color w:val="000000"/>
                <w:kern w:val="0"/>
                <w:sz w:val="24"/>
              </w:rPr>
            </w:pPr>
            <w:r>
              <w:rPr>
                <w:rFonts w:hint="default" w:ascii="Times New Roman" w:hAnsi="Times New Roman" w:eastAsia="宋体" w:cs="Times New Roman"/>
                <w:b w:val="0"/>
                <w:bCs/>
                <w:color w:val="000000"/>
                <w:kern w:val="0"/>
                <w:sz w:val="24"/>
              </w:rPr>
              <w:t>各类设备和管道从设计、安装，制造严格按照安全规定要求进行，车间加强通风。所有设施必须由当地有关质检部门进行验收并通过后方能投入使用。高温设备和管道应设立隔离栏，并有警示标志。</w:t>
            </w:r>
          </w:p>
          <w:p w14:paraId="043A3D47">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color w:val="000000"/>
                <w:kern w:val="0"/>
                <w:sz w:val="24"/>
              </w:rPr>
            </w:pPr>
            <w:r>
              <w:rPr>
                <w:rFonts w:hint="default" w:ascii="Times New Roman" w:hAnsi="Times New Roman" w:eastAsia="宋体" w:cs="Times New Roman"/>
                <w:b w:val="0"/>
                <w:bCs/>
                <w:color w:val="000000"/>
                <w:kern w:val="0"/>
                <w:sz w:val="24"/>
              </w:rPr>
              <w:t>④自动控制设计安全防范措施</w:t>
            </w:r>
          </w:p>
          <w:p w14:paraId="58E5ED37">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color w:val="000000"/>
                <w:kern w:val="0"/>
                <w:sz w:val="24"/>
              </w:rPr>
            </w:pPr>
            <w:r>
              <w:rPr>
                <w:rFonts w:hint="default" w:ascii="Times New Roman" w:hAnsi="Times New Roman" w:eastAsia="宋体" w:cs="Times New Roman"/>
                <w:b w:val="0"/>
                <w:bCs/>
                <w:color w:val="000000"/>
                <w:kern w:val="0"/>
                <w:sz w:val="24"/>
              </w:rPr>
              <w:t>对装置生产过程中采取集中检测、显示、连锁、控制和报警。设置火灾自动报警系统。</w:t>
            </w:r>
          </w:p>
          <w:p w14:paraId="6689CA39">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color w:val="000000"/>
                <w:kern w:val="0"/>
                <w:sz w:val="24"/>
              </w:rPr>
            </w:pPr>
            <w:r>
              <w:rPr>
                <w:rFonts w:hint="default" w:ascii="Times New Roman" w:hAnsi="Times New Roman" w:eastAsia="宋体" w:cs="Times New Roman"/>
                <w:b w:val="0"/>
                <w:bCs/>
                <w:color w:val="000000"/>
                <w:kern w:val="0"/>
                <w:sz w:val="24"/>
              </w:rPr>
              <w:t>⑤电气、电讯安全防范措施</w:t>
            </w:r>
          </w:p>
          <w:p w14:paraId="30E93D74">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color w:val="000000"/>
                <w:kern w:val="0"/>
                <w:sz w:val="24"/>
              </w:rPr>
            </w:pPr>
            <w:r>
              <w:rPr>
                <w:rFonts w:hint="default" w:ascii="Times New Roman" w:hAnsi="Times New Roman" w:eastAsia="宋体" w:cs="Times New Roman"/>
                <w:b w:val="0"/>
                <w:bCs/>
                <w:color w:val="000000"/>
                <w:kern w:val="0"/>
                <w:sz w:val="24"/>
              </w:rPr>
              <w:t>本项目防爆、防火电缆，电气设施采用触电保护，爆炸危险区域的划分、防爆电器(气)的安装和布防符合《爆炸</w:t>
            </w:r>
            <w:r>
              <w:rPr>
                <w:rFonts w:hint="eastAsia" w:cs="Times New Roman"/>
                <w:b w:val="0"/>
                <w:bCs/>
                <w:color w:val="000000"/>
                <w:kern w:val="0"/>
                <w:sz w:val="24"/>
                <w:lang w:eastAsia="zh-CN"/>
              </w:rPr>
              <w:t>危险</w:t>
            </w:r>
            <w:r>
              <w:rPr>
                <w:rFonts w:hint="default" w:ascii="Times New Roman" w:hAnsi="Times New Roman" w:eastAsia="宋体" w:cs="Times New Roman"/>
                <w:b w:val="0"/>
                <w:bCs/>
                <w:color w:val="000000"/>
                <w:kern w:val="0"/>
                <w:sz w:val="24"/>
              </w:rPr>
              <w:t>环境电力装置设计规范(GB50058-</w:t>
            </w:r>
            <w:r>
              <w:rPr>
                <w:rFonts w:hint="eastAsia" w:cs="Times New Roman"/>
                <w:b w:val="0"/>
                <w:bCs/>
                <w:color w:val="000000"/>
                <w:kern w:val="0"/>
                <w:sz w:val="24"/>
                <w:lang w:val="en-US" w:eastAsia="zh-CN"/>
              </w:rPr>
              <w:t>2014</w:t>
            </w:r>
            <w:r>
              <w:rPr>
                <w:rFonts w:hint="default" w:ascii="Times New Roman" w:hAnsi="Times New Roman" w:eastAsia="宋体" w:cs="Times New Roman"/>
                <w:b w:val="0"/>
                <w:bCs/>
                <w:color w:val="000000"/>
                <w:kern w:val="0"/>
                <w:sz w:val="24"/>
              </w:rPr>
              <w:t>)》要求。</w:t>
            </w:r>
          </w:p>
          <w:p w14:paraId="3E507855">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color w:val="000000"/>
                <w:kern w:val="0"/>
                <w:sz w:val="24"/>
              </w:rPr>
            </w:pPr>
            <w:r>
              <w:rPr>
                <w:rFonts w:hint="default" w:ascii="Times New Roman" w:hAnsi="Times New Roman" w:eastAsia="宋体" w:cs="Times New Roman"/>
                <w:b w:val="0"/>
                <w:bCs/>
                <w:color w:val="000000"/>
                <w:kern w:val="0"/>
                <w:sz w:val="24"/>
              </w:rPr>
              <w:t>根据车间的不同环境特性，选用不同的电气设备，设置防雷、防静电设施和接地保护。执行《电气装置安装工程</w:t>
            </w:r>
            <w:r>
              <w:rPr>
                <w:rFonts w:hint="eastAsia" w:cs="Times New Roman"/>
                <w:b w:val="0"/>
                <w:bCs/>
                <w:color w:val="000000"/>
                <w:kern w:val="0"/>
                <w:sz w:val="24"/>
                <w:lang w:val="en-US" w:eastAsia="zh-CN"/>
              </w:rPr>
              <w:t xml:space="preserve"> 低压电器</w:t>
            </w:r>
            <w:r>
              <w:rPr>
                <w:rFonts w:hint="default" w:ascii="Times New Roman" w:hAnsi="Times New Roman" w:eastAsia="宋体" w:cs="Times New Roman"/>
                <w:b w:val="0"/>
                <w:bCs/>
                <w:color w:val="000000"/>
                <w:kern w:val="0"/>
                <w:sz w:val="24"/>
              </w:rPr>
              <w:t>施工</w:t>
            </w:r>
            <w:r>
              <w:rPr>
                <w:rFonts w:hint="eastAsia" w:cs="Times New Roman"/>
                <w:b w:val="0"/>
                <w:bCs/>
                <w:color w:val="000000"/>
                <w:kern w:val="0"/>
                <w:sz w:val="24"/>
                <w:lang w:eastAsia="zh-CN"/>
              </w:rPr>
              <w:t>及</w:t>
            </w:r>
            <w:r>
              <w:rPr>
                <w:rFonts w:hint="default" w:ascii="Times New Roman" w:hAnsi="Times New Roman" w:eastAsia="宋体" w:cs="Times New Roman"/>
                <w:b w:val="0"/>
                <w:bCs/>
                <w:color w:val="000000"/>
                <w:kern w:val="0"/>
                <w:sz w:val="24"/>
              </w:rPr>
              <w:t>验收规范》（GB50254-</w:t>
            </w:r>
            <w:r>
              <w:rPr>
                <w:rFonts w:hint="eastAsia" w:cs="Times New Roman"/>
                <w:b w:val="0"/>
                <w:bCs/>
                <w:color w:val="000000"/>
                <w:kern w:val="0"/>
                <w:sz w:val="24"/>
                <w:lang w:val="en-US" w:eastAsia="zh-CN"/>
              </w:rPr>
              <w:t>2014</w:t>
            </w:r>
            <w:r>
              <w:rPr>
                <w:rFonts w:hint="default" w:ascii="Times New Roman" w:hAnsi="Times New Roman" w:eastAsia="宋体" w:cs="Times New Roman"/>
                <w:b w:val="0"/>
                <w:bCs/>
                <w:color w:val="000000"/>
                <w:kern w:val="0"/>
                <w:sz w:val="24"/>
              </w:rPr>
              <w:t>）等的要求，确保工程建成后电气安全符合要求。</w:t>
            </w:r>
          </w:p>
          <w:p w14:paraId="32949BBC">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color w:val="000000"/>
                <w:kern w:val="0"/>
                <w:sz w:val="24"/>
              </w:rPr>
            </w:pPr>
            <w:r>
              <w:rPr>
                <w:rFonts w:hint="default" w:ascii="Times New Roman" w:hAnsi="Times New Roman" w:eastAsia="宋体" w:cs="Times New Roman"/>
                <w:b w:val="0"/>
                <w:bCs/>
                <w:color w:val="000000"/>
                <w:kern w:val="0"/>
                <w:sz w:val="24"/>
              </w:rPr>
              <w:t>⑥消防及火灾报警系统</w:t>
            </w:r>
          </w:p>
          <w:p w14:paraId="6A1016DE">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color w:val="000000"/>
                <w:kern w:val="0"/>
                <w:sz w:val="24"/>
              </w:rPr>
            </w:pPr>
            <w:r>
              <w:rPr>
                <w:rFonts w:hint="default" w:ascii="Times New Roman" w:hAnsi="Times New Roman" w:eastAsia="宋体" w:cs="Times New Roman"/>
                <w:b w:val="0"/>
                <w:bCs/>
                <w:color w:val="000000"/>
                <w:kern w:val="0"/>
                <w:sz w:val="24"/>
              </w:rPr>
              <w:t>根据火灾危险性等级和防火，防爆要求，建筑物的防火等级均应采用国家现行规范要求。凡禁火区均设置明显标志牌。安全出口及安全疏散距离应符合《建筑设计防火规范》(</w:t>
            </w:r>
            <w:r>
              <w:rPr>
                <w:rFonts w:hint="eastAsia" w:cs="Times New Roman"/>
                <w:b w:val="0"/>
                <w:bCs/>
                <w:color w:val="000000"/>
                <w:kern w:val="0"/>
                <w:sz w:val="24"/>
                <w:lang w:val="en-US" w:eastAsia="zh-CN"/>
              </w:rPr>
              <w:t>GB50016-2014</w:t>
            </w:r>
            <w:r>
              <w:rPr>
                <w:rFonts w:hint="default" w:ascii="Times New Roman" w:hAnsi="Times New Roman" w:eastAsia="宋体" w:cs="Times New Roman"/>
                <w:b w:val="0"/>
                <w:bCs/>
                <w:color w:val="000000"/>
                <w:kern w:val="0"/>
                <w:sz w:val="24"/>
              </w:rPr>
              <w:t>)的要求。</w:t>
            </w:r>
          </w:p>
          <w:p w14:paraId="1BFD9A5B">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color w:val="000000"/>
                <w:kern w:val="0"/>
                <w:sz w:val="24"/>
              </w:rPr>
            </w:pPr>
            <w:r>
              <w:rPr>
                <w:rFonts w:hint="default" w:ascii="Times New Roman" w:hAnsi="Times New Roman" w:eastAsia="宋体" w:cs="Times New Roman"/>
                <w:b w:val="0"/>
                <w:bCs/>
                <w:color w:val="000000"/>
                <w:kern w:val="0"/>
                <w:sz w:val="24"/>
              </w:rPr>
              <w:t>厂区消防用水与厂内生产、生活用水管网系统合并，在厂内按照规范要求配置消火栓及消防水炮。</w:t>
            </w:r>
          </w:p>
          <w:p w14:paraId="5AAFA5E4">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color w:val="000000"/>
                <w:kern w:val="0"/>
                <w:sz w:val="24"/>
              </w:rPr>
            </w:pPr>
            <w:r>
              <w:rPr>
                <w:rFonts w:hint="default" w:ascii="Times New Roman" w:hAnsi="Times New Roman" w:eastAsia="宋体" w:cs="Times New Roman"/>
                <w:b w:val="0"/>
                <w:bCs/>
                <w:color w:val="000000"/>
                <w:kern w:val="0"/>
                <w:sz w:val="24"/>
              </w:rPr>
              <w:t>厂内不设消防站，由当地消防中队负责消防工作。</w:t>
            </w:r>
          </w:p>
          <w:p w14:paraId="30D979E3">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color w:val="000000"/>
                <w:kern w:val="0"/>
                <w:sz w:val="24"/>
              </w:rPr>
            </w:pPr>
            <w:r>
              <w:rPr>
                <w:rFonts w:hint="default" w:ascii="Times New Roman" w:hAnsi="Times New Roman" w:eastAsia="宋体" w:cs="Times New Roman"/>
                <w:b w:val="0"/>
                <w:bCs/>
                <w:color w:val="000000"/>
                <w:kern w:val="0"/>
                <w:sz w:val="24"/>
              </w:rPr>
              <w:t>火灾报警系统：</w:t>
            </w:r>
            <w:r>
              <w:rPr>
                <w:rFonts w:hint="eastAsia" w:cs="Times New Roman"/>
                <w:b w:val="0"/>
                <w:bCs/>
                <w:color w:val="000000"/>
                <w:kern w:val="0"/>
                <w:sz w:val="24"/>
                <w:lang w:eastAsia="zh-CN"/>
              </w:rPr>
              <w:t>全院</w:t>
            </w:r>
            <w:r>
              <w:rPr>
                <w:rFonts w:hint="default" w:ascii="Times New Roman" w:hAnsi="Times New Roman" w:eastAsia="宋体" w:cs="Times New Roman"/>
                <w:b w:val="0"/>
                <w:bCs/>
                <w:color w:val="000000"/>
                <w:kern w:val="0"/>
                <w:sz w:val="24"/>
              </w:rPr>
              <w:t>采用电话报警，报警至当地消防中队。</w:t>
            </w:r>
          </w:p>
          <w:p w14:paraId="460478B9">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color w:val="000000"/>
                <w:kern w:val="0"/>
                <w:sz w:val="24"/>
              </w:rPr>
            </w:pPr>
            <w:r>
              <w:rPr>
                <w:rFonts w:hint="default" w:ascii="Times New Roman" w:hAnsi="Times New Roman" w:eastAsia="宋体" w:cs="Times New Roman"/>
                <w:b w:val="0"/>
                <w:bCs/>
                <w:color w:val="000000"/>
                <w:kern w:val="0"/>
                <w:sz w:val="24"/>
              </w:rPr>
              <w:t>⑦防火、防爆管理措施</w:t>
            </w:r>
          </w:p>
          <w:p w14:paraId="431BCB2A">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 w:val="0"/>
                <w:bCs/>
                <w:color w:val="auto"/>
                <w:kern w:val="0"/>
                <w:sz w:val="24"/>
              </w:rPr>
            </w:pPr>
            <w:r>
              <w:rPr>
                <w:rFonts w:hint="default" w:ascii="Times New Roman" w:hAnsi="Times New Roman" w:eastAsia="宋体" w:cs="Times New Roman"/>
                <w:b w:val="0"/>
                <w:bCs/>
                <w:color w:val="000000"/>
                <w:kern w:val="0"/>
                <w:sz w:val="24"/>
              </w:rPr>
              <w:t>工程可能遇到的火源主要是施工明火、吸烟、维修用火、电器火灾、静电火花、雷击、撞击火星等，应采取的安全管理措施包括：严禁吸烟、严禁携带火种。局部设备维修时，应和非检修设备、管线断开火加盲板，盲板应挂牌登记，防止串油、串气引发事故。根据《建筑灭火器配置设计规范》（GB50140-2005），重点部位应设置一定数量的</w:t>
            </w:r>
            <w:r>
              <w:rPr>
                <w:rFonts w:hint="default" w:ascii="Times New Roman" w:hAnsi="Times New Roman" w:eastAsia="宋体" w:cs="Times New Roman"/>
                <w:b w:val="0"/>
                <w:bCs/>
                <w:color w:val="auto"/>
                <w:kern w:val="0"/>
                <w:sz w:val="24"/>
              </w:rPr>
              <w:t>手提式干粉灭火剂、二氧化碳灭火器，并定期检查，保持有效状态；建议设置火灾自动报警装置。</w:t>
            </w:r>
          </w:p>
          <w:p w14:paraId="0613307E">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auto"/>
              </w:rPr>
            </w:pPr>
            <w:r>
              <w:rPr>
                <w:rFonts w:hint="eastAsia" w:cs="Times New Roman"/>
                <w:bCs/>
                <w:sz w:val="24"/>
                <w:lang w:eastAsia="zh-CN"/>
              </w:rPr>
              <w:t>建设单位已编制完成</w:t>
            </w:r>
            <w:r>
              <w:rPr>
                <w:rFonts w:hint="eastAsia" w:ascii="Times New Roman" w:hAnsi="Times New Roman" w:eastAsia="宋体" w:cs="Times New Roman"/>
                <w:b w:val="0"/>
                <w:bCs/>
                <w:color w:val="auto"/>
                <w:sz w:val="24"/>
                <w:szCs w:val="24"/>
                <w:lang w:val="en-US" w:eastAsia="zh-CN"/>
              </w:rPr>
              <w:t>突发环境事件应急预案并在环保部门备案</w:t>
            </w:r>
            <w:r>
              <w:rPr>
                <w:rFonts w:hint="eastAsia" w:cs="Times New Roman"/>
                <w:bCs/>
                <w:sz w:val="24"/>
                <w:lang w:eastAsia="zh-CN"/>
              </w:rPr>
              <w:t>，定期开展火灾事故应急演练，加强员工防火灾意识，培养人员火灾逃生、疏散技能</w:t>
            </w:r>
            <w:r>
              <w:rPr>
                <w:rFonts w:hint="eastAsia" w:cs="Times New Roman"/>
                <w:color w:val="auto"/>
                <w:lang w:val="en-US" w:eastAsia="zh-CN"/>
              </w:rPr>
              <w:t>。</w:t>
            </w:r>
          </w:p>
          <w:p w14:paraId="6C97A1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Cs/>
                <w:color w:val="auto"/>
                <w:sz w:val="24"/>
                <w:lang w:eastAsia="zh-CN"/>
              </w:rPr>
            </w:pPr>
            <w:r>
              <w:rPr>
                <w:rFonts w:hint="eastAsia" w:ascii="Times New Roman" w:hAnsi="Times New Roman" w:cs="Times New Roman"/>
                <w:bCs/>
                <w:color w:val="auto"/>
                <w:sz w:val="24"/>
                <w:lang w:eastAsia="zh-CN"/>
              </w:rPr>
              <w:t>（</w:t>
            </w:r>
            <w:r>
              <w:rPr>
                <w:rFonts w:hint="eastAsia" w:cs="Times New Roman"/>
                <w:bCs/>
                <w:color w:val="auto"/>
                <w:sz w:val="24"/>
                <w:lang w:val="en-US" w:eastAsia="zh-CN"/>
              </w:rPr>
              <w:t>4</w:t>
            </w:r>
            <w:r>
              <w:rPr>
                <w:rFonts w:hint="eastAsia" w:ascii="Times New Roman" w:hAnsi="Times New Roman" w:cs="Times New Roman"/>
                <w:bCs/>
                <w:color w:val="auto"/>
                <w:sz w:val="24"/>
                <w:lang w:eastAsia="zh-CN"/>
              </w:rPr>
              <w:t>）</w:t>
            </w:r>
            <w:r>
              <w:rPr>
                <w:rFonts w:hint="default" w:ascii="Times New Roman" w:hAnsi="Times New Roman" w:eastAsia="宋体" w:cs="Times New Roman"/>
                <w:bCs/>
                <w:color w:val="auto"/>
                <w:sz w:val="24"/>
              </w:rPr>
              <w:t>危险废物</w:t>
            </w:r>
            <w:r>
              <w:rPr>
                <w:rFonts w:hint="eastAsia" w:ascii="Times New Roman" w:hAnsi="Times New Roman" w:eastAsia="宋体" w:cs="Times New Roman"/>
                <w:bCs/>
                <w:color w:val="auto"/>
                <w:sz w:val="24"/>
                <w:lang w:val="en-US" w:eastAsia="zh-CN"/>
              </w:rPr>
              <w:t>流失</w:t>
            </w:r>
          </w:p>
          <w:p w14:paraId="78F4FD15">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本项目的主要危险废物主要为</w:t>
            </w:r>
            <w:r>
              <w:rPr>
                <w:rFonts w:hint="eastAsia" w:cs="Times New Roman"/>
                <w:color w:val="auto"/>
                <w:kern w:val="0"/>
                <w:sz w:val="24"/>
                <w:lang w:val="en-US" w:eastAsia="zh-CN"/>
              </w:rPr>
              <w:t>医疗废物、危险废包装物、废UV灯管、废紫外灯、污水处理站污泥</w:t>
            </w:r>
            <w:r>
              <w:rPr>
                <w:rFonts w:hint="default" w:ascii="Times New Roman" w:hAnsi="Times New Roman" w:eastAsia="宋体" w:cs="Times New Roman"/>
                <w:bCs/>
                <w:color w:val="auto"/>
                <w:sz w:val="24"/>
                <w:lang w:val="en-US" w:eastAsia="zh-CN"/>
              </w:rPr>
              <w:t>，</w:t>
            </w:r>
            <w:r>
              <w:rPr>
                <w:rFonts w:hint="default" w:ascii="Times New Roman" w:hAnsi="Times New Roman" w:eastAsia="宋体" w:cs="Times New Roman"/>
                <w:bCs/>
                <w:color w:val="auto"/>
                <w:sz w:val="24"/>
              </w:rPr>
              <w:t>经收集、贮存运送后委托有资质单位处理，</w:t>
            </w:r>
            <w:r>
              <w:rPr>
                <w:rFonts w:hint="eastAsia" w:cs="Times New Roman"/>
                <w:bCs/>
                <w:color w:val="auto"/>
                <w:sz w:val="24"/>
                <w:lang w:eastAsia="zh-CN"/>
              </w:rPr>
              <w:t>建设单位现有</w:t>
            </w:r>
            <w:r>
              <w:rPr>
                <w:rFonts w:hint="default" w:ascii="Times New Roman" w:hAnsi="Times New Roman" w:eastAsia="宋体" w:cs="Times New Roman"/>
                <w:bCs/>
                <w:color w:val="auto"/>
                <w:sz w:val="24"/>
                <w:lang w:val="en-US" w:eastAsia="zh-CN"/>
              </w:rPr>
              <w:t>危废暂存间</w:t>
            </w:r>
            <w:r>
              <w:rPr>
                <w:rFonts w:hint="eastAsia" w:cs="Times New Roman"/>
                <w:bCs/>
                <w:color w:val="auto"/>
                <w:sz w:val="24"/>
                <w:lang w:val="en-US" w:eastAsia="zh-CN"/>
              </w:rPr>
              <w:t>已</w:t>
            </w:r>
            <w:r>
              <w:rPr>
                <w:rFonts w:hint="default" w:ascii="Times New Roman" w:hAnsi="Times New Roman" w:eastAsia="宋体" w:cs="Times New Roman"/>
                <w:bCs/>
                <w:color w:val="auto"/>
                <w:sz w:val="24"/>
              </w:rPr>
              <w:t>按照《危险废物贮存污染控制标准》（GB1859</w:t>
            </w:r>
            <w:r>
              <w:rPr>
                <w:rFonts w:hint="eastAsia" w:cs="Times New Roman"/>
                <w:bCs/>
                <w:color w:val="auto"/>
                <w:sz w:val="24"/>
                <w:lang w:val="en-US" w:eastAsia="zh-CN"/>
              </w:rPr>
              <w:t>7</w:t>
            </w:r>
            <w:r>
              <w:rPr>
                <w:rFonts w:hint="default" w:ascii="Times New Roman" w:hAnsi="Times New Roman" w:eastAsia="宋体" w:cs="Times New Roman"/>
                <w:bCs/>
                <w:color w:val="auto"/>
                <w:sz w:val="24"/>
              </w:rPr>
              <w:t>-20</w:t>
            </w:r>
            <w:r>
              <w:rPr>
                <w:rFonts w:hint="eastAsia" w:cs="Times New Roman"/>
                <w:bCs/>
                <w:color w:val="auto"/>
                <w:sz w:val="24"/>
                <w:lang w:val="en-US" w:eastAsia="zh-CN"/>
              </w:rPr>
              <w:t>23</w:t>
            </w:r>
            <w:r>
              <w:rPr>
                <w:rFonts w:hint="default" w:ascii="Times New Roman" w:hAnsi="Times New Roman" w:eastAsia="宋体" w:cs="Times New Roman"/>
                <w:bCs/>
                <w:color w:val="auto"/>
                <w:sz w:val="24"/>
              </w:rPr>
              <w:t>）的设计要求建设，</w:t>
            </w:r>
            <w:r>
              <w:rPr>
                <w:rFonts w:hint="default" w:ascii="Times New Roman" w:hAnsi="Times New Roman" w:eastAsia="宋体" w:cs="Times New Roman"/>
                <w:i w:val="0"/>
                <w:iCs w:val="0"/>
                <w:color w:val="auto"/>
                <w:kern w:val="2"/>
                <w:sz w:val="24"/>
                <w:szCs w:val="24"/>
                <w:lang w:val="en-US" w:eastAsia="zh-CN" w:bidi="ar"/>
              </w:rPr>
              <w:t>采取</w:t>
            </w:r>
            <w:r>
              <w:rPr>
                <w:rFonts w:hint="eastAsia" w:ascii="Times New Roman" w:hAnsi="Times New Roman" w:eastAsia="宋体" w:cs="Times New Roman"/>
                <w:i w:val="0"/>
                <w:iCs w:val="0"/>
                <w:color w:val="auto"/>
                <w:kern w:val="2"/>
                <w:sz w:val="24"/>
                <w:szCs w:val="24"/>
                <w:lang w:val="en-US" w:eastAsia="zh-CN" w:bidi="ar"/>
              </w:rPr>
              <w:t>了</w:t>
            </w:r>
            <w:r>
              <w:rPr>
                <w:rFonts w:hint="default" w:ascii="Times New Roman" w:hAnsi="Times New Roman" w:eastAsia="宋体" w:cs="Times New Roman"/>
                <w:i w:val="0"/>
                <w:iCs w:val="0"/>
                <w:color w:val="auto"/>
                <w:kern w:val="2"/>
                <w:sz w:val="24"/>
                <w:szCs w:val="24"/>
                <w:lang w:val="en-US" w:eastAsia="zh-CN" w:bidi="ar"/>
              </w:rPr>
              <w:t>防雨淋、防腐蚀、防渗漏、防流失等处理</w:t>
            </w:r>
            <w:r>
              <w:rPr>
                <w:rFonts w:hint="eastAsia" w:ascii="Times New Roman" w:hAnsi="Times New Roman" w:cs="Times New Roman"/>
                <w:i w:val="0"/>
                <w:iCs w:val="0"/>
                <w:color w:val="auto"/>
                <w:kern w:val="2"/>
                <w:sz w:val="24"/>
                <w:szCs w:val="24"/>
                <w:lang w:val="en-US" w:eastAsia="zh-CN" w:bidi="ar"/>
              </w:rPr>
              <w:t>，地面采取了防渗措施，危废暂存间墙体采用了坚固建筑材料建造</w:t>
            </w:r>
            <w:r>
              <w:rPr>
                <w:rFonts w:hint="default" w:ascii="Times New Roman" w:hAnsi="Times New Roman" w:eastAsia="宋体" w:cs="Times New Roman"/>
                <w:bCs/>
                <w:color w:val="auto"/>
                <w:sz w:val="24"/>
              </w:rPr>
              <w:t>。</w:t>
            </w:r>
            <w:r>
              <w:rPr>
                <w:rFonts w:hint="eastAsia" w:cs="Times New Roman"/>
                <w:bCs/>
                <w:color w:val="auto"/>
                <w:sz w:val="24"/>
                <w:lang w:eastAsia="zh-CN"/>
              </w:rPr>
              <w:t>制定了危险废物管理制度，制度张贴上墙，一旦发生危废流失，可及时追查源头，沿线追回</w:t>
            </w:r>
            <w:r>
              <w:rPr>
                <w:rFonts w:hint="default" w:ascii="Times New Roman" w:hAnsi="Times New Roman" w:eastAsia="宋体" w:cs="Times New Roman"/>
                <w:bCs/>
                <w:color w:val="auto"/>
                <w:sz w:val="24"/>
              </w:rPr>
              <w:t>。</w:t>
            </w:r>
          </w:p>
          <w:p w14:paraId="6F6FA5C7">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auto"/>
              <w:rPr>
                <w:rFonts w:hint="eastAsia" w:ascii="Times New Roman" w:hAnsi="Times New Roman" w:eastAsia="宋体" w:cs="Times New Roman"/>
                <w:bCs/>
                <w:color w:val="auto"/>
                <w:sz w:val="24"/>
                <w:lang w:eastAsia="zh-CN"/>
              </w:rPr>
            </w:pPr>
            <w:r>
              <w:rPr>
                <w:rFonts w:hint="eastAsia" w:cs="Times New Roman"/>
                <w:b w:val="0"/>
                <w:bCs w:val="0"/>
                <w:sz w:val="24"/>
                <w:szCs w:val="24"/>
                <w:lang w:eastAsia="zh-CN"/>
              </w:rPr>
              <w:t>综上所述，建设单位厂区风险防范措施基本完善，已编制</w:t>
            </w:r>
            <w:r>
              <w:rPr>
                <w:rFonts w:hint="eastAsia" w:cs="Times New Roman"/>
                <w:bCs/>
                <w:sz w:val="24"/>
                <w:lang w:eastAsia="zh-CN"/>
              </w:rPr>
              <w:t>完成</w:t>
            </w:r>
            <w:r>
              <w:rPr>
                <w:rFonts w:hint="eastAsia" w:ascii="Times New Roman" w:hAnsi="Times New Roman" w:eastAsia="宋体" w:cs="Times New Roman"/>
                <w:b w:val="0"/>
                <w:bCs/>
                <w:color w:val="auto"/>
                <w:sz w:val="24"/>
                <w:szCs w:val="24"/>
                <w:lang w:val="en-US" w:eastAsia="zh-CN"/>
              </w:rPr>
              <w:t>突发环境事件应急预案并在环保部门备案，定期开展了应急演练，加强人员风险防范意识，制定了相关管理制度，定期组织人员培训</w:t>
            </w:r>
            <w:r>
              <w:rPr>
                <w:rFonts w:hint="eastAsia" w:cs="Times New Roman"/>
                <w:b w:val="0"/>
                <w:bCs w:val="0"/>
                <w:sz w:val="24"/>
                <w:szCs w:val="24"/>
                <w:lang w:eastAsia="zh-CN"/>
              </w:rPr>
              <w:t>。本次扩建项目可</w:t>
            </w:r>
            <w:r>
              <w:rPr>
                <w:rFonts w:hint="eastAsia" w:cs="Times New Roman"/>
                <w:bCs/>
                <w:sz w:val="24"/>
                <w:lang w:eastAsia="zh-CN"/>
              </w:rPr>
              <w:t>纳入现有相关管理制度统一管理，因此本项目依托现有风险防范措施可行</w:t>
            </w:r>
            <w:r>
              <w:rPr>
                <w:rFonts w:hint="eastAsia" w:cs="Times New Roman"/>
                <w:bCs/>
                <w:color w:val="auto"/>
                <w:sz w:val="24"/>
                <w:lang w:eastAsia="zh-CN"/>
              </w:rPr>
              <w:t>。</w:t>
            </w:r>
          </w:p>
          <w:p w14:paraId="462EFEFD">
            <w:pPr>
              <w:keepNext w:val="0"/>
              <w:keepLines w:val="0"/>
              <w:pageBreakBefore w:val="0"/>
              <w:widowControl/>
              <w:kinsoku/>
              <w:wordWrap/>
              <w:overflowPunct/>
              <w:topLinePunct w:val="0"/>
              <w:autoSpaceDE/>
              <w:autoSpaceDN/>
              <w:bidi w:val="0"/>
              <w:adjustRightInd w:val="0"/>
              <w:snapToGrid w:val="0"/>
              <w:spacing w:line="360" w:lineRule="auto"/>
              <w:ind w:left="0" w:leftChars="0" w:right="0" w:firstLine="482" w:firstLineChars="200"/>
              <w:textAlignment w:val="auto"/>
              <w:rPr>
                <w:rFonts w:hint="default" w:ascii="Times New Roman" w:hAnsi="Times New Roman" w:eastAsia="宋体" w:cs="Times New Roman"/>
                <w:b/>
                <w:bCs w:val="0"/>
                <w:color w:val="000000"/>
                <w:kern w:val="0"/>
                <w:sz w:val="24"/>
              </w:rPr>
            </w:pPr>
            <w:r>
              <w:rPr>
                <w:rFonts w:hint="eastAsia" w:ascii="Times New Roman" w:hAnsi="Times New Roman" w:eastAsia="宋体" w:cs="Times New Roman"/>
                <w:b/>
                <w:bCs w:val="0"/>
                <w:color w:val="auto"/>
                <w:sz w:val="24"/>
                <w:lang w:val="en-US" w:eastAsia="zh-CN"/>
              </w:rPr>
              <w:t>4</w:t>
            </w:r>
            <w:r>
              <w:rPr>
                <w:rFonts w:hint="default" w:ascii="Times New Roman" w:hAnsi="Times New Roman" w:eastAsia="宋体" w:cs="Times New Roman"/>
                <w:b/>
                <w:bCs w:val="0"/>
                <w:color w:val="000000"/>
                <w:kern w:val="0"/>
                <w:sz w:val="24"/>
              </w:rPr>
              <w:t>、环境风险分析结论</w:t>
            </w:r>
          </w:p>
          <w:p w14:paraId="1FB91FA9">
            <w:pPr>
              <w:pStyle w:val="93"/>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Times New Roman" w:hAnsi="Times New Roman" w:cs="Times New Roman"/>
                <w:b/>
                <w:bCs/>
                <w:i w:val="0"/>
                <w:iCs w:val="0"/>
                <w:color w:val="auto"/>
                <w:kern w:val="2"/>
                <w:sz w:val="24"/>
                <w:szCs w:val="24"/>
                <w:lang w:val="en-US" w:eastAsia="zh-CN" w:bidi="ar"/>
              </w:rPr>
            </w:pPr>
            <w:r>
              <w:rPr>
                <w:rFonts w:hint="default" w:ascii="Times New Roman" w:hAnsi="Times New Roman" w:eastAsia="宋体" w:cs="Times New Roman"/>
                <w:bCs/>
                <w:sz w:val="24"/>
              </w:rPr>
              <w:t>通过简单风险分析，在采取相应的风险事故防范措施，项目的环境风险发生率可以降到最低水平，并能减少或者避免风险事故的发生。本项目环境风险防范措施有效，环境风险在可接受的范围内</w:t>
            </w:r>
            <w:r>
              <w:rPr>
                <w:rFonts w:hint="default" w:ascii="Times New Roman" w:hAnsi="Times New Roman" w:eastAsia="宋体" w:cs="Times New Roman"/>
                <w:color w:val="auto"/>
                <w:kern w:val="2"/>
                <w:sz w:val="24"/>
                <w:szCs w:val="32"/>
                <w:lang w:val="en-US" w:eastAsia="zh-CN" w:bidi="ar"/>
              </w:rPr>
              <w:t>。</w:t>
            </w:r>
          </w:p>
          <w:p w14:paraId="76E24E06">
            <w:pPr>
              <w:pStyle w:val="26"/>
              <w:keepNext w:val="0"/>
              <w:keepLines w:val="0"/>
              <w:pageBreakBefore w:val="0"/>
              <w:kinsoku/>
              <w:wordWrap/>
              <w:overflowPunct/>
              <w:bidi w:val="0"/>
              <w:spacing w:after="0"/>
              <w:ind w:left="0" w:leftChars="0" w:right="0" w:firstLine="0" w:firstLineChars="0"/>
              <w:rPr>
                <w:rFonts w:hint="eastAsia"/>
                <w:color w:val="FF0000"/>
                <w:vertAlign w:val="baseline"/>
                <w:lang w:val="en-US" w:eastAsia="zh-CN"/>
              </w:rPr>
            </w:pPr>
          </w:p>
          <w:p w14:paraId="1641C163">
            <w:pPr>
              <w:pStyle w:val="26"/>
              <w:keepNext w:val="0"/>
              <w:keepLines w:val="0"/>
              <w:pageBreakBefore w:val="0"/>
              <w:kinsoku/>
              <w:wordWrap/>
              <w:overflowPunct/>
              <w:bidi w:val="0"/>
              <w:spacing w:after="0"/>
              <w:ind w:left="0" w:leftChars="0" w:right="0" w:firstLine="0" w:firstLineChars="0"/>
              <w:rPr>
                <w:rFonts w:hint="eastAsia"/>
                <w:color w:val="FF0000"/>
                <w:vertAlign w:val="baseline"/>
                <w:lang w:val="en-US" w:eastAsia="zh-CN"/>
              </w:rPr>
            </w:pPr>
          </w:p>
          <w:p w14:paraId="6D52230D">
            <w:pPr>
              <w:pStyle w:val="26"/>
              <w:keepNext w:val="0"/>
              <w:keepLines w:val="0"/>
              <w:pageBreakBefore w:val="0"/>
              <w:kinsoku/>
              <w:wordWrap/>
              <w:overflowPunct/>
              <w:bidi w:val="0"/>
              <w:spacing w:after="0"/>
              <w:ind w:left="0" w:leftChars="0" w:right="0" w:firstLine="0" w:firstLineChars="0"/>
              <w:rPr>
                <w:rFonts w:hint="eastAsia"/>
                <w:color w:val="FF0000"/>
                <w:vertAlign w:val="baseline"/>
                <w:lang w:val="en-US" w:eastAsia="zh-CN"/>
              </w:rPr>
            </w:pPr>
          </w:p>
          <w:p w14:paraId="45E0F911">
            <w:pPr>
              <w:pStyle w:val="26"/>
              <w:keepNext w:val="0"/>
              <w:keepLines w:val="0"/>
              <w:pageBreakBefore w:val="0"/>
              <w:kinsoku/>
              <w:wordWrap/>
              <w:overflowPunct/>
              <w:bidi w:val="0"/>
              <w:spacing w:after="0"/>
              <w:ind w:left="0" w:leftChars="0" w:right="0" w:firstLine="0" w:firstLineChars="0"/>
              <w:rPr>
                <w:rFonts w:hint="eastAsia"/>
                <w:color w:val="FF0000"/>
                <w:vertAlign w:val="baseline"/>
                <w:lang w:val="en-US" w:eastAsia="zh-CN"/>
              </w:rPr>
            </w:pPr>
          </w:p>
          <w:p w14:paraId="0DDE7810">
            <w:pPr>
              <w:pStyle w:val="26"/>
              <w:keepNext w:val="0"/>
              <w:keepLines w:val="0"/>
              <w:pageBreakBefore w:val="0"/>
              <w:kinsoku/>
              <w:wordWrap/>
              <w:overflowPunct/>
              <w:bidi w:val="0"/>
              <w:spacing w:after="0"/>
              <w:ind w:left="0" w:leftChars="0" w:right="0" w:firstLine="0" w:firstLineChars="0"/>
              <w:rPr>
                <w:rFonts w:hint="default" w:eastAsia="宋体"/>
                <w:color w:val="FF0000"/>
                <w:vertAlign w:val="baseline"/>
                <w:lang w:val="en-US" w:eastAsia="zh-CN"/>
              </w:rPr>
            </w:pPr>
          </w:p>
        </w:tc>
      </w:tr>
    </w:tbl>
    <w:p w14:paraId="4F62B96D">
      <w:pPr>
        <w:rPr>
          <w:rFonts w:hint="default" w:ascii="Times New Roman" w:hAnsi="Times New Roman" w:eastAsia="黑体" w:cs="Times New Roman"/>
          <w:snapToGrid w:val="0"/>
          <w:color w:val="FF0000"/>
          <w:sz w:val="30"/>
          <w:szCs w:val="30"/>
        </w:rPr>
      </w:pPr>
      <w:r>
        <w:rPr>
          <w:rFonts w:hint="default" w:ascii="Times New Roman" w:hAnsi="Times New Roman" w:eastAsia="黑体" w:cs="Times New Roman"/>
          <w:snapToGrid w:val="0"/>
          <w:color w:val="FF0000"/>
          <w:sz w:val="30"/>
          <w:szCs w:val="30"/>
        </w:rPr>
        <w:br w:type="page"/>
      </w:r>
    </w:p>
    <w:p w14:paraId="1317855B">
      <w:pPr>
        <w:pStyle w:val="2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default" w:ascii="Times New Roman" w:hAnsi="Times New Roman" w:eastAsia="宋体" w:cs="Times New Roman"/>
          <w:b/>
          <w:bCs/>
          <w:snapToGrid w:val="0"/>
          <w:color w:val="auto"/>
          <w:sz w:val="30"/>
          <w:szCs w:val="30"/>
        </w:rPr>
      </w:pPr>
      <w:r>
        <w:rPr>
          <w:rFonts w:hint="default" w:ascii="Times New Roman" w:hAnsi="Times New Roman" w:eastAsia="宋体" w:cs="Times New Roman"/>
          <w:b/>
          <w:bCs/>
          <w:snapToGrid w:val="0"/>
          <w:color w:val="auto"/>
          <w:sz w:val="30"/>
          <w:szCs w:val="30"/>
        </w:rPr>
        <w:t>五、</w:t>
      </w:r>
      <w:bookmarkStart w:id="8" w:name="_Hlk54167917"/>
      <w:r>
        <w:rPr>
          <w:rFonts w:hint="default" w:ascii="Times New Roman" w:hAnsi="Times New Roman" w:eastAsia="宋体" w:cs="Times New Roman"/>
          <w:b/>
          <w:bCs/>
          <w:snapToGrid w:val="0"/>
          <w:color w:val="auto"/>
          <w:sz w:val="30"/>
          <w:szCs w:val="30"/>
        </w:rPr>
        <w:t>环境保护措施监督检查清单</w:t>
      </w:r>
      <w:bookmarkEnd w:id="8"/>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1925"/>
        <w:gridCol w:w="1304"/>
        <w:gridCol w:w="2549"/>
        <w:gridCol w:w="2554"/>
      </w:tblGrid>
      <w:tr w14:paraId="03FF6A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4" w:type="pct"/>
            <w:tcBorders>
              <w:tl2br w:val="single" w:color="auto" w:sz="4" w:space="0"/>
            </w:tcBorders>
            <w:noWrap w:val="0"/>
            <w:vAlign w:val="top"/>
          </w:tcPr>
          <w:p w14:paraId="10325A69">
            <w:pPr>
              <w:keepNext w:val="0"/>
              <w:keepLines w:val="0"/>
              <w:pageBreakBefore w:val="0"/>
              <w:kinsoku/>
              <w:wordWrap/>
              <w:overflowPunct/>
              <w:topLinePunct w:val="0"/>
              <w:autoSpaceDE/>
              <w:autoSpaceDN/>
              <w:bidi w:val="0"/>
              <w:adjustRightInd w:val="0"/>
              <w:snapToGrid w:val="0"/>
              <w:ind w:firstLine="210" w:firstLineChars="100"/>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内容</w:t>
            </w:r>
          </w:p>
          <w:p w14:paraId="43FB3748">
            <w:pPr>
              <w:keepNext w:val="0"/>
              <w:keepLines w:val="0"/>
              <w:pageBreakBefore w:val="0"/>
              <w:kinsoku/>
              <w:wordWrap/>
              <w:overflowPunct/>
              <w:topLinePunct w:val="0"/>
              <w:autoSpaceDE/>
              <w:autoSpaceDN/>
              <w:bidi w:val="0"/>
              <w:adjustRightInd w:val="0"/>
              <w:snapToGrid w:val="0"/>
              <w:ind w:firstLine="0"/>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要素</w:t>
            </w:r>
          </w:p>
        </w:tc>
        <w:tc>
          <w:tcPr>
            <w:tcW w:w="1036" w:type="pct"/>
            <w:noWrap w:val="0"/>
            <w:vAlign w:val="center"/>
          </w:tcPr>
          <w:p w14:paraId="2C4F5916">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排放口(编号、名称)/污染源</w:t>
            </w:r>
          </w:p>
        </w:tc>
        <w:tc>
          <w:tcPr>
            <w:tcW w:w="702" w:type="pct"/>
            <w:noWrap w:val="0"/>
            <w:vAlign w:val="center"/>
          </w:tcPr>
          <w:p w14:paraId="42920975">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污染物项目</w:t>
            </w:r>
          </w:p>
        </w:tc>
        <w:tc>
          <w:tcPr>
            <w:tcW w:w="1372" w:type="pct"/>
            <w:noWrap w:val="0"/>
            <w:vAlign w:val="center"/>
          </w:tcPr>
          <w:p w14:paraId="446E2538">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环境保护措施</w:t>
            </w:r>
          </w:p>
        </w:tc>
        <w:tc>
          <w:tcPr>
            <w:tcW w:w="1374" w:type="pct"/>
            <w:noWrap w:val="0"/>
            <w:vAlign w:val="center"/>
          </w:tcPr>
          <w:p w14:paraId="6D5C856D">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执行标准</w:t>
            </w:r>
          </w:p>
        </w:tc>
      </w:tr>
      <w:tr w14:paraId="3A93A7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2" w:hRule="atLeast"/>
          <w:jc w:val="center"/>
        </w:trPr>
        <w:tc>
          <w:tcPr>
            <w:tcW w:w="514" w:type="pct"/>
            <w:vMerge w:val="restart"/>
            <w:noWrap w:val="0"/>
            <w:vAlign w:val="center"/>
          </w:tcPr>
          <w:p w14:paraId="37B1B222">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大气环境</w:t>
            </w:r>
          </w:p>
        </w:tc>
        <w:tc>
          <w:tcPr>
            <w:tcW w:w="1036" w:type="pct"/>
            <w:noWrap w:val="0"/>
            <w:vAlign w:val="center"/>
          </w:tcPr>
          <w:p w14:paraId="5E4DC584">
            <w:pPr>
              <w:keepNext w:val="0"/>
              <w:keepLines w:val="0"/>
              <w:pageBreakBefore w:val="0"/>
              <w:widowControl w:val="0"/>
              <w:kinsoku/>
              <w:wordWrap/>
              <w:overflowPunct/>
              <w:topLinePunct w:val="0"/>
              <w:autoSpaceDE/>
              <w:autoSpaceDN/>
              <w:bidi w:val="0"/>
              <w:spacing w:beforeAutospacing="0" w:afterAutospacing="0" w:line="340" w:lineRule="exact"/>
              <w:ind w:left="0" w:leftChars="0" w:right="0" w:rightChars="0"/>
              <w:jc w:val="center"/>
              <w:textAlignment w:val="auto"/>
              <w:rPr>
                <w:rFonts w:hint="default" w:ascii="Times New Roman" w:hAnsi="Times New Roman" w:cs="Times New Roman"/>
                <w:b w:val="0"/>
                <w:bCs w:val="0"/>
                <w:color w:val="auto"/>
                <w:kern w:val="0"/>
                <w:sz w:val="21"/>
                <w:szCs w:val="21"/>
              </w:rPr>
            </w:pPr>
            <w:r>
              <w:rPr>
                <w:rFonts w:hint="eastAsia" w:cs="Times New Roman"/>
                <w:color w:val="auto"/>
                <w:kern w:val="0"/>
                <w:szCs w:val="21"/>
                <w:lang w:val="en-US" w:eastAsia="zh-CN"/>
              </w:rPr>
              <w:t>DA001排气筒</w:t>
            </w:r>
          </w:p>
        </w:tc>
        <w:tc>
          <w:tcPr>
            <w:tcW w:w="702" w:type="pct"/>
            <w:tcBorders>
              <w:bottom w:val="single" w:color="auto" w:sz="4" w:space="0"/>
            </w:tcBorders>
            <w:noWrap w:val="0"/>
            <w:vAlign w:val="center"/>
          </w:tcPr>
          <w:p w14:paraId="5B120633">
            <w:pPr>
              <w:keepNext w:val="0"/>
              <w:keepLines w:val="0"/>
              <w:pageBreakBefore w:val="0"/>
              <w:widowControl w:val="0"/>
              <w:bidi w:val="0"/>
              <w:adjustRightInd w:val="0"/>
              <w:snapToGrid w:val="0"/>
              <w:spacing w:beforeAutospacing="0" w:afterAutospacing="0"/>
              <w:ind w:left="0" w:leftChars="0" w:right="0" w:rightChars="0"/>
              <w:jc w:val="center"/>
              <w:rPr>
                <w:rFonts w:hint="default" w:ascii="Times New Roman" w:hAnsi="Times New Roman" w:eastAsia="宋体" w:cs="Times New Roman"/>
                <w:b w:val="0"/>
                <w:bCs w:val="0"/>
                <w:color w:val="auto"/>
                <w:kern w:val="0"/>
                <w:sz w:val="21"/>
                <w:szCs w:val="21"/>
                <w:lang w:val="en-US" w:eastAsia="zh-CN"/>
              </w:rPr>
            </w:pPr>
            <w:r>
              <w:rPr>
                <w:rFonts w:hint="eastAsia" w:cs="Times New Roman"/>
                <w:b w:val="0"/>
                <w:bCs w:val="0"/>
                <w:color w:val="auto"/>
                <w:sz w:val="21"/>
                <w:szCs w:val="21"/>
                <w:u w:val="none"/>
                <w:lang w:val="en-US" w:eastAsia="zh-CN"/>
              </w:rPr>
              <w:t>氨、</w:t>
            </w:r>
            <w:r>
              <w:rPr>
                <w:rFonts w:hint="eastAsia" w:ascii="宋体" w:hAnsi="宋体" w:cs="宋体"/>
                <w:color w:val="auto"/>
                <w:kern w:val="0"/>
                <w:sz w:val="21"/>
                <w:szCs w:val="21"/>
                <w:lang w:val="en-US" w:eastAsia="zh-CN" w:bidi="ar"/>
              </w:rPr>
              <w:t>硫化氢和臭气浓度</w:t>
            </w:r>
          </w:p>
        </w:tc>
        <w:tc>
          <w:tcPr>
            <w:tcW w:w="1372" w:type="pct"/>
            <w:noWrap w:val="0"/>
            <w:vAlign w:val="center"/>
          </w:tcPr>
          <w:p w14:paraId="372318D8">
            <w:pPr>
              <w:keepNext w:val="0"/>
              <w:keepLines w:val="0"/>
              <w:pageBreakBefore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cs="Times New Roman"/>
                <w:color w:val="auto"/>
                <w:lang w:val="en-US" w:eastAsia="zh-CN"/>
              </w:rPr>
              <w:t>污水处理站产生的恶臭气体经收集后通过一套UV光氧装置处理后由一根15m高排气筒（DA001）排放。</w:t>
            </w:r>
          </w:p>
        </w:tc>
        <w:tc>
          <w:tcPr>
            <w:tcW w:w="1374" w:type="pct"/>
            <w:noWrap w:val="0"/>
            <w:vAlign w:val="center"/>
          </w:tcPr>
          <w:p w14:paraId="559CF9B8">
            <w:pPr>
              <w:keepNext w:val="0"/>
              <w:keepLines w:val="0"/>
              <w:pageBreakBefore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val="0"/>
                <w:color w:val="auto"/>
                <w:kern w:val="0"/>
                <w:sz w:val="21"/>
                <w:szCs w:val="21"/>
              </w:rPr>
            </w:pPr>
            <w:r>
              <w:rPr>
                <w:rFonts w:hint="default" w:ascii="Times New Roman" w:hAnsi="Times New Roman" w:eastAsia="宋体" w:cs="Times New Roman"/>
                <w:color w:val="auto"/>
                <w:sz w:val="21"/>
                <w:szCs w:val="21"/>
              </w:rPr>
              <w:t>《恶臭污染物排放标准》（GB14554-93）</w:t>
            </w:r>
          </w:p>
        </w:tc>
      </w:tr>
      <w:tr w14:paraId="7D910E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2" w:hRule="atLeast"/>
          <w:jc w:val="center"/>
        </w:trPr>
        <w:tc>
          <w:tcPr>
            <w:tcW w:w="514" w:type="pct"/>
            <w:vMerge w:val="continue"/>
            <w:tcBorders/>
            <w:noWrap w:val="0"/>
            <w:vAlign w:val="center"/>
          </w:tcPr>
          <w:p w14:paraId="6FEC4C28">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sz w:val="21"/>
                <w:szCs w:val="21"/>
              </w:rPr>
            </w:pPr>
          </w:p>
        </w:tc>
        <w:tc>
          <w:tcPr>
            <w:tcW w:w="1036" w:type="pct"/>
            <w:noWrap w:val="0"/>
            <w:vAlign w:val="center"/>
          </w:tcPr>
          <w:p w14:paraId="0D659CCB">
            <w:pPr>
              <w:keepNext w:val="0"/>
              <w:keepLines w:val="0"/>
              <w:pageBreakBefore w:val="0"/>
              <w:kinsoku/>
              <w:wordWrap/>
              <w:overflowPunct/>
              <w:topLinePunct w:val="0"/>
              <w:autoSpaceDE/>
              <w:autoSpaceDN/>
              <w:bidi w:val="0"/>
              <w:adjustRightInd w:val="0"/>
              <w:snapToGrid w:val="0"/>
              <w:ind w:firstLine="0" w:firstLineChars="0"/>
              <w:jc w:val="center"/>
              <w:textAlignment w:val="auto"/>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厂界</w:t>
            </w:r>
          </w:p>
        </w:tc>
        <w:tc>
          <w:tcPr>
            <w:tcW w:w="702" w:type="pct"/>
            <w:tcBorders>
              <w:bottom w:val="single" w:color="auto" w:sz="4" w:space="0"/>
            </w:tcBorders>
            <w:noWrap w:val="0"/>
            <w:vAlign w:val="center"/>
          </w:tcPr>
          <w:p w14:paraId="36570911">
            <w:pPr>
              <w:keepNext w:val="0"/>
              <w:keepLines w:val="0"/>
              <w:pageBreakBefore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val="0"/>
                <w:color w:val="auto"/>
                <w:kern w:val="0"/>
                <w:sz w:val="21"/>
                <w:szCs w:val="21"/>
                <w:lang w:val="en-US" w:eastAsia="zh-CN"/>
              </w:rPr>
            </w:pPr>
            <w:r>
              <w:rPr>
                <w:rFonts w:hint="eastAsia" w:cs="Times New Roman"/>
                <w:b w:val="0"/>
                <w:bCs w:val="0"/>
                <w:color w:val="auto"/>
                <w:sz w:val="21"/>
                <w:szCs w:val="21"/>
                <w:u w:val="none"/>
                <w:lang w:val="en-US" w:eastAsia="zh-CN"/>
              </w:rPr>
              <w:t>氨、</w:t>
            </w:r>
            <w:r>
              <w:rPr>
                <w:rFonts w:hint="eastAsia" w:ascii="宋体" w:hAnsi="宋体" w:cs="宋体"/>
                <w:color w:val="auto"/>
                <w:kern w:val="0"/>
                <w:sz w:val="21"/>
                <w:szCs w:val="21"/>
                <w:lang w:val="en-US" w:eastAsia="zh-CN" w:bidi="ar"/>
              </w:rPr>
              <w:t>硫化氢和臭气浓度</w:t>
            </w:r>
          </w:p>
        </w:tc>
        <w:tc>
          <w:tcPr>
            <w:tcW w:w="1372" w:type="pct"/>
            <w:noWrap w:val="0"/>
            <w:vAlign w:val="center"/>
          </w:tcPr>
          <w:p w14:paraId="71C1D64B">
            <w:pPr>
              <w:keepNext w:val="0"/>
              <w:keepLines w:val="0"/>
              <w:pageBreakBefore w:val="0"/>
              <w:kinsoku/>
              <w:wordWrap/>
              <w:overflowPunct/>
              <w:topLinePunct w:val="0"/>
              <w:autoSpaceDE/>
              <w:autoSpaceDN/>
              <w:bidi w:val="0"/>
              <w:adjustRightInd w:val="0"/>
              <w:snapToGrid w:val="0"/>
              <w:ind w:firstLine="0" w:firstLineChars="0"/>
              <w:jc w:val="center"/>
              <w:textAlignment w:val="auto"/>
              <w:rPr>
                <w:rFonts w:hint="eastAsia"/>
                <w:color w:val="auto"/>
                <w:sz w:val="21"/>
                <w:szCs w:val="21"/>
                <w:lang w:eastAsia="zh-CN"/>
              </w:rPr>
            </w:pPr>
            <w:r>
              <w:rPr>
                <w:rFonts w:hint="eastAsia" w:cs="Times New Roman"/>
                <w:color w:val="auto"/>
                <w:lang w:val="en-US" w:eastAsia="zh-CN"/>
              </w:rPr>
              <w:t>通过地埋式污水处理站密闭掩盖、加强绿化。</w:t>
            </w:r>
          </w:p>
        </w:tc>
        <w:tc>
          <w:tcPr>
            <w:tcW w:w="1374" w:type="pct"/>
            <w:noWrap w:val="0"/>
            <w:vAlign w:val="center"/>
          </w:tcPr>
          <w:p w14:paraId="09540E16">
            <w:pPr>
              <w:keepNext w:val="0"/>
              <w:keepLines w:val="0"/>
              <w:pageBreakBefore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auto"/>
                <w:sz w:val="21"/>
                <w:szCs w:val="21"/>
              </w:rPr>
            </w:pPr>
            <w:r>
              <w:rPr>
                <w:rFonts w:hint="eastAsia"/>
                <w:color w:val="auto"/>
                <w:sz w:val="21"/>
                <w:szCs w:val="21"/>
                <w:highlight w:val="none"/>
                <w:lang w:val="en-US" w:eastAsia="zh-CN"/>
              </w:rPr>
              <w:t>《医疗机构水污染物排放标准》（GB18466-2005）</w:t>
            </w:r>
          </w:p>
        </w:tc>
      </w:tr>
      <w:tr w14:paraId="7B05CE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4" w:type="pct"/>
            <w:vMerge w:val="restart"/>
            <w:noWrap w:val="0"/>
            <w:vAlign w:val="center"/>
          </w:tcPr>
          <w:p w14:paraId="0A99095E">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地表水环境</w:t>
            </w:r>
          </w:p>
        </w:tc>
        <w:tc>
          <w:tcPr>
            <w:tcW w:w="1036" w:type="pct"/>
            <w:tcBorders>
              <w:bottom w:val="single" w:color="auto" w:sz="4" w:space="0"/>
            </w:tcBorders>
            <w:noWrap w:val="0"/>
            <w:vAlign w:val="center"/>
          </w:tcPr>
          <w:p w14:paraId="7247DE12">
            <w:pPr>
              <w:jc w:val="center"/>
              <w:rPr>
                <w:rFonts w:hint="default" w:ascii="Times New Roman" w:hAnsi="Times New Roman" w:cs="Times New Roman"/>
                <w:b w:val="0"/>
                <w:bCs w:val="0"/>
                <w:color w:val="auto"/>
                <w:kern w:val="0"/>
                <w:sz w:val="21"/>
                <w:szCs w:val="21"/>
              </w:rPr>
            </w:pPr>
            <w:r>
              <w:rPr>
                <w:rFonts w:hint="eastAsia" w:cs="Times New Roman"/>
                <w:color w:val="auto"/>
                <w:szCs w:val="21"/>
                <w:lang w:val="en-US" w:eastAsia="zh-CN"/>
              </w:rPr>
              <w:t>医护人员生活废水</w:t>
            </w:r>
          </w:p>
        </w:tc>
        <w:tc>
          <w:tcPr>
            <w:tcW w:w="702" w:type="pct"/>
            <w:vMerge w:val="restart"/>
            <w:noWrap w:val="0"/>
            <w:vAlign w:val="center"/>
          </w:tcPr>
          <w:p w14:paraId="73E9AB3D">
            <w:pPr>
              <w:jc w:val="center"/>
              <w:rPr>
                <w:rFonts w:hint="default" w:cs="Times New Roman"/>
                <w:b w:val="0"/>
                <w:bCs w:val="0"/>
                <w:color w:val="auto"/>
                <w:sz w:val="21"/>
                <w:szCs w:val="21"/>
                <w:lang w:val="en-US" w:eastAsia="zh-CN"/>
              </w:rPr>
            </w:pPr>
            <w:r>
              <w:rPr>
                <w:rFonts w:hint="default" w:ascii="Times New Roman" w:hAnsi="Times New Roman" w:eastAsia="宋体" w:cs="Times New Roman"/>
                <w:color w:val="auto"/>
                <w:sz w:val="21"/>
                <w:szCs w:val="21"/>
                <w:highlight w:val="none"/>
                <w:vertAlign w:val="baseline"/>
                <w:lang w:val="en-US" w:eastAsia="zh-CN"/>
              </w:rPr>
              <w:t>pH、COD、BOD</w:t>
            </w:r>
            <w:r>
              <w:rPr>
                <w:rFonts w:hint="default" w:ascii="Times New Roman" w:hAnsi="Times New Roman" w:eastAsia="宋体" w:cs="Times New Roman"/>
                <w:color w:val="auto"/>
                <w:sz w:val="21"/>
                <w:szCs w:val="21"/>
                <w:highlight w:val="none"/>
                <w:vertAlign w:val="subscript"/>
                <w:lang w:val="en-US" w:eastAsia="zh-CN"/>
              </w:rPr>
              <w:t>5</w:t>
            </w:r>
            <w:r>
              <w:rPr>
                <w:rFonts w:hint="default" w:ascii="Times New Roman" w:hAnsi="Times New Roman" w:eastAsia="宋体" w:cs="Times New Roman"/>
                <w:color w:val="auto"/>
                <w:sz w:val="21"/>
                <w:szCs w:val="21"/>
                <w:highlight w:val="none"/>
                <w:vertAlign w:val="baseline"/>
                <w:lang w:val="en-US" w:eastAsia="zh-CN"/>
              </w:rPr>
              <w:t>、SS、NH</w:t>
            </w:r>
            <w:r>
              <w:rPr>
                <w:rFonts w:hint="default" w:ascii="Times New Roman" w:hAnsi="Times New Roman" w:eastAsia="宋体" w:cs="Times New Roman"/>
                <w:color w:val="auto"/>
                <w:sz w:val="21"/>
                <w:szCs w:val="21"/>
                <w:highlight w:val="none"/>
                <w:vertAlign w:val="subscript"/>
                <w:lang w:val="en-US" w:eastAsia="zh-CN"/>
              </w:rPr>
              <w:t>3</w:t>
            </w:r>
            <w:r>
              <w:rPr>
                <w:rFonts w:hint="default" w:ascii="Times New Roman" w:hAnsi="Times New Roman" w:eastAsia="宋体" w:cs="Times New Roman"/>
                <w:color w:val="auto"/>
                <w:sz w:val="21"/>
                <w:szCs w:val="21"/>
                <w:highlight w:val="none"/>
                <w:vertAlign w:val="baseline"/>
                <w:lang w:val="en-US" w:eastAsia="zh-CN"/>
              </w:rPr>
              <w:t>-N</w:t>
            </w:r>
            <w:r>
              <w:rPr>
                <w:rFonts w:hint="eastAsia" w:ascii="Times New Roman" w:cs="Times New Roman"/>
                <w:color w:val="auto"/>
                <w:sz w:val="21"/>
                <w:szCs w:val="21"/>
                <w:highlight w:val="none"/>
                <w:vertAlign w:val="baseline"/>
                <w:lang w:val="en-US" w:eastAsia="zh-CN"/>
              </w:rPr>
              <w:t>、LAS、动植物油、粪大肠菌群等</w:t>
            </w:r>
          </w:p>
        </w:tc>
        <w:tc>
          <w:tcPr>
            <w:tcW w:w="1372" w:type="pct"/>
            <w:vMerge w:val="restart"/>
            <w:noWrap w:val="0"/>
            <w:vAlign w:val="center"/>
          </w:tcPr>
          <w:p w14:paraId="1F3C19AB">
            <w:pPr>
              <w:pStyle w:val="69"/>
              <w:keepNext w:val="0"/>
              <w:keepLines w:val="0"/>
              <w:pageBreakBefore w:val="0"/>
              <w:kinsoku/>
              <w:wordWrap/>
              <w:overflowPunct/>
              <w:topLinePunct w:val="0"/>
              <w:autoSpaceDE/>
              <w:autoSpaceDN/>
              <w:bidi w:val="0"/>
              <w:spacing w:line="240" w:lineRule="auto"/>
              <w:ind w:firstLine="0"/>
              <w:jc w:val="center"/>
              <w:textAlignment w:val="auto"/>
              <w:rPr>
                <w:rFonts w:hint="eastAsia" w:cs="Times New Roman"/>
                <w:b w:val="0"/>
                <w:bCs w:val="0"/>
                <w:color w:val="auto"/>
                <w:sz w:val="21"/>
                <w:szCs w:val="21"/>
                <w:lang w:val="en-US" w:eastAsia="zh-CN"/>
              </w:rPr>
            </w:pPr>
            <w:r>
              <w:rPr>
                <w:rFonts w:hint="eastAsia" w:cs="Times New Roman"/>
                <w:color w:val="auto"/>
                <w:kern w:val="1"/>
                <w:sz w:val="21"/>
                <w:szCs w:val="21"/>
                <w:lang w:eastAsia="zh-CN"/>
              </w:rPr>
              <w:t>项目</w:t>
            </w:r>
            <w:r>
              <w:rPr>
                <w:rFonts w:hint="eastAsia" w:ascii="Times New Roman" w:hAnsi="Times New Roman" w:eastAsia="宋体" w:cs="Times New Roman"/>
                <w:color w:val="auto"/>
                <w:kern w:val="0"/>
                <w:sz w:val="21"/>
                <w:szCs w:val="21"/>
                <w:lang w:val="en-US" w:eastAsia="zh-CN" w:bidi="ar-SA"/>
              </w:rPr>
              <w:t>食堂废水</w:t>
            </w:r>
            <w:r>
              <w:rPr>
                <w:rFonts w:hint="eastAsia" w:cs="Times New Roman"/>
                <w:color w:val="auto"/>
                <w:kern w:val="0"/>
                <w:sz w:val="21"/>
                <w:szCs w:val="21"/>
                <w:lang w:val="en-US" w:eastAsia="zh-CN" w:bidi="ar-SA"/>
              </w:rPr>
              <w:t>经隔油池预处理后汇同</w:t>
            </w:r>
            <w:r>
              <w:rPr>
                <w:rFonts w:hint="eastAsia" w:ascii="Times New Roman" w:hAnsi="Times New Roman" w:eastAsia="宋体" w:cs="Times New Roman"/>
                <w:color w:val="auto"/>
                <w:kern w:val="0"/>
                <w:sz w:val="21"/>
                <w:szCs w:val="21"/>
                <w:lang w:val="en-US" w:eastAsia="zh-CN" w:bidi="ar-SA"/>
              </w:rPr>
              <w:t>生活污水</w:t>
            </w:r>
            <w:r>
              <w:rPr>
                <w:rFonts w:hint="eastAsia" w:cs="Times New Roman"/>
                <w:color w:val="auto"/>
                <w:kern w:val="0"/>
                <w:sz w:val="21"/>
                <w:szCs w:val="21"/>
                <w:lang w:val="en-US" w:eastAsia="zh-CN" w:bidi="ar-SA"/>
              </w:rPr>
              <w:t>一起</w:t>
            </w:r>
            <w:r>
              <w:rPr>
                <w:rFonts w:hint="eastAsia" w:ascii="Times New Roman" w:hAnsi="Times New Roman" w:eastAsia="宋体" w:cs="Times New Roman"/>
                <w:color w:val="auto"/>
                <w:kern w:val="0"/>
                <w:sz w:val="21"/>
                <w:szCs w:val="21"/>
                <w:lang w:val="en-US" w:eastAsia="zh-CN" w:bidi="ar-SA"/>
              </w:rPr>
              <w:t>经化粪池处理后进入厂区</w:t>
            </w:r>
            <w:r>
              <w:rPr>
                <w:rFonts w:hint="eastAsia" w:cs="Times New Roman"/>
                <w:color w:val="auto"/>
                <w:kern w:val="0"/>
                <w:sz w:val="21"/>
                <w:szCs w:val="21"/>
                <w:lang w:val="en-US" w:eastAsia="zh-CN" w:bidi="ar-SA"/>
              </w:rPr>
              <w:t>污水处理站</w:t>
            </w:r>
            <w:r>
              <w:rPr>
                <w:rFonts w:hint="eastAsia" w:ascii="Times New Roman" w:hAnsi="Times New Roman" w:eastAsia="宋体" w:cs="Times New Roman"/>
                <w:color w:val="auto"/>
                <w:kern w:val="0"/>
                <w:sz w:val="21"/>
                <w:szCs w:val="21"/>
                <w:lang w:val="en-US" w:eastAsia="zh-CN" w:bidi="ar-SA"/>
              </w:rPr>
              <w:t>处理后，排入市政污水管网进入</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处理；</w:t>
            </w:r>
            <w:r>
              <w:rPr>
                <w:rFonts w:hint="eastAsia" w:cs="Times New Roman"/>
                <w:color w:val="auto"/>
                <w:kern w:val="0"/>
                <w:sz w:val="21"/>
                <w:szCs w:val="21"/>
                <w:lang w:val="en-US" w:eastAsia="zh-CN" w:bidi="ar-SA"/>
              </w:rPr>
              <w:t>住院病床废水、医疗器械洗消废水直接进入</w:t>
            </w:r>
            <w:r>
              <w:rPr>
                <w:rFonts w:hint="eastAsia" w:ascii="Times New Roman" w:hAnsi="Times New Roman" w:eastAsia="宋体" w:cs="Times New Roman"/>
                <w:color w:val="auto"/>
                <w:kern w:val="0"/>
                <w:sz w:val="21"/>
                <w:szCs w:val="21"/>
                <w:lang w:val="en-US" w:eastAsia="zh-CN" w:bidi="ar-SA"/>
              </w:rPr>
              <w:t>厂区</w:t>
            </w:r>
            <w:r>
              <w:rPr>
                <w:rFonts w:hint="eastAsia" w:cs="Times New Roman"/>
                <w:color w:val="auto"/>
                <w:kern w:val="0"/>
                <w:sz w:val="21"/>
                <w:szCs w:val="21"/>
                <w:lang w:val="en-US" w:eastAsia="zh-CN" w:bidi="ar-SA"/>
              </w:rPr>
              <w:t>污水处理站</w:t>
            </w:r>
            <w:r>
              <w:rPr>
                <w:rFonts w:hint="eastAsia" w:ascii="Times New Roman" w:hAnsi="Times New Roman" w:eastAsia="宋体" w:cs="Times New Roman"/>
                <w:color w:val="auto"/>
                <w:kern w:val="0"/>
                <w:sz w:val="21"/>
                <w:szCs w:val="21"/>
                <w:lang w:val="en-US" w:eastAsia="zh-CN" w:bidi="ar-SA"/>
              </w:rPr>
              <w:t>处理后，排入市政污水管网进入</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处理</w:t>
            </w:r>
            <w:r>
              <w:rPr>
                <w:rFonts w:hint="eastAsia" w:cs="Times New Roman"/>
                <w:color w:val="auto"/>
                <w:kern w:val="0"/>
                <w:sz w:val="21"/>
                <w:szCs w:val="21"/>
                <w:lang w:val="en-US" w:eastAsia="zh-CN" w:bidi="ar-SA"/>
              </w:rPr>
              <w:t>；蒸汽发生器浓水和纯水制备浓水直接由厂区污水总排口</w:t>
            </w:r>
            <w:r>
              <w:rPr>
                <w:rFonts w:hint="eastAsia" w:ascii="Times New Roman" w:hAnsi="Times New Roman" w:eastAsia="宋体" w:cs="Times New Roman"/>
                <w:color w:val="auto"/>
                <w:kern w:val="0"/>
                <w:sz w:val="21"/>
                <w:szCs w:val="21"/>
                <w:lang w:val="en-US" w:eastAsia="zh-CN" w:bidi="ar-SA"/>
              </w:rPr>
              <w:t>排入市政污水管网进入</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处理。</w:t>
            </w:r>
          </w:p>
        </w:tc>
        <w:tc>
          <w:tcPr>
            <w:tcW w:w="1374" w:type="pct"/>
            <w:vMerge w:val="restart"/>
            <w:noWrap w:val="0"/>
            <w:vAlign w:val="center"/>
          </w:tcPr>
          <w:p w14:paraId="59C35944">
            <w:pPr>
              <w:pStyle w:val="69"/>
              <w:keepNext w:val="0"/>
              <w:keepLines w:val="0"/>
              <w:pageBreakBefore w:val="0"/>
              <w:kinsoku/>
              <w:wordWrap/>
              <w:overflowPunct/>
              <w:topLinePunct w:val="0"/>
              <w:autoSpaceDE/>
              <w:autoSpaceDN/>
              <w:bidi w:val="0"/>
              <w:spacing w:line="240" w:lineRule="auto"/>
              <w:ind w:firstLine="0"/>
              <w:jc w:val="center"/>
              <w:textAlignment w:val="auto"/>
              <w:rPr>
                <w:rFonts w:hint="default" w:cs="Times New Roman"/>
                <w:b w:val="0"/>
                <w:bCs w:val="0"/>
                <w:color w:val="auto"/>
                <w:sz w:val="21"/>
                <w:szCs w:val="21"/>
                <w:lang w:val="en-US" w:eastAsia="zh-CN"/>
              </w:rPr>
            </w:pPr>
            <w:r>
              <w:rPr>
                <w:rFonts w:hint="default" w:ascii="Times New Roman" w:hAnsi="Times New Roman" w:cs="Times New Roman"/>
                <w:color w:val="auto"/>
                <w:sz w:val="21"/>
                <w:szCs w:val="21"/>
                <w:highlight w:val="none"/>
              </w:rPr>
              <w:t>《医疗机构水污染物排放标准》（GB18466</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2005）表</w:t>
            </w:r>
            <w:r>
              <w:rPr>
                <w:rFonts w:hint="eastAsia"/>
                <w:color w:val="auto"/>
                <w:sz w:val="21"/>
                <w:szCs w:val="21"/>
                <w:highlight w:val="none"/>
              </w:rPr>
              <w:t>2中预处理标准</w:t>
            </w:r>
            <w:r>
              <w:rPr>
                <w:rFonts w:hint="eastAsia"/>
                <w:color w:val="auto"/>
                <w:sz w:val="21"/>
                <w:szCs w:val="21"/>
                <w:highlight w:val="none"/>
                <w:lang w:val="en-US" w:eastAsia="zh-CN"/>
              </w:rPr>
              <w:t>及</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接管标准</w:t>
            </w:r>
          </w:p>
        </w:tc>
      </w:tr>
      <w:tr w14:paraId="2D7466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4" w:type="pct"/>
            <w:vMerge w:val="continue"/>
            <w:noWrap w:val="0"/>
            <w:vAlign w:val="center"/>
          </w:tcPr>
          <w:p w14:paraId="4B10272D">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sz w:val="21"/>
                <w:szCs w:val="21"/>
              </w:rPr>
            </w:pPr>
          </w:p>
        </w:tc>
        <w:tc>
          <w:tcPr>
            <w:tcW w:w="1036" w:type="pct"/>
            <w:tcBorders>
              <w:bottom w:val="single" w:color="auto" w:sz="4" w:space="0"/>
            </w:tcBorders>
            <w:noWrap w:val="0"/>
            <w:vAlign w:val="center"/>
          </w:tcPr>
          <w:p w14:paraId="556997AE">
            <w:pPr>
              <w:jc w:val="center"/>
              <w:rPr>
                <w:rFonts w:hint="default" w:ascii="Times New Roman" w:hAnsi="Times New Roman" w:eastAsia="宋体" w:cs="Times New Roman"/>
                <w:b w:val="0"/>
                <w:bCs w:val="0"/>
                <w:color w:val="auto"/>
                <w:sz w:val="21"/>
                <w:szCs w:val="21"/>
              </w:rPr>
            </w:pPr>
            <w:r>
              <w:rPr>
                <w:rFonts w:hint="eastAsia" w:cs="Times New Roman"/>
                <w:color w:val="auto"/>
                <w:szCs w:val="21"/>
                <w:lang w:val="en-US" w:eastAsia="zh-CN"/>
              </w:rPr>
              <w:t>后勤人员生活废水</w:t>
            </w:r>
          </w:p>
        </w:tc>
        <w:tc>
          <w:tcPr>
            <w:tcW w:w="702" w:type="pct"/>
            <w:vMerge w:val="continue"/>
            <w:tcBorders/>
            <w:noWrap w:val="0"/>
            <w:vAlign w:val="center"/>
          </w:tcPr>
          <w:p w14:paraId="5FF672BA">
            <w:pPr>
              <w:jc w:val="center"/>
              <w:rPr>
                <w:rFonts w:hint="default" w:ascii="Times New Roman" w:hAnsi="Times New Roman" w:eastAsia="宋体" w:cs="Times New Roman"/>
                <w:b w:val="0"/>
                <w:bCs w:val="0"/>
                <w:color w:val="auto"/>
                <w:sz w:val="21"/>
                <w:szCs w:val="21"/>
              </w:rPr>
            </w:pPr>
          </w:p>
        </w:tc>
        <w:tc>
          <w:tcPr>
            <w:tcW w:w="1372" w:type="pct"/>
            <w:vMerge w:val="continue"/>
            <w:noWrap w:val="0"/>
            <w:vAlign w:val="center"/>
          </w:tcPr>
          <w:p w14:paraId="730E3933">
            <w:pPr>
              <w:pStyle w:val="69"/>
              <w:keepNext w:val="0"/>
              <w:keepLines w:val="0"/>
              <w:pageBreakBefore w:val="0"/>
              <w:kinsoku/>
              <w:wordWrap/>
              <w:overflowPunct/>
              <w:topLinePunct w:val="0"/>
              <w:autoSpaceDE/>
              <w:autoSpaceDN/>
              <w:bidi w:val="0"/>
              <w:spacing w:line="240" w:lineRule="auto"/>
              <w:ind w:firstLine="0"/>
              <w:jc w:val="center"/>
              <w:textAlignment w:val="auto"/>
              <w:rPr>
                <w:rFonts w:hint="eastAsia" w:cs="Times New Roman"/>
                <w:b w:val="0"/>
                <w:bCs w:val="0"/>
                <w:color w:val="auto"/>
                <w:sz w:val="21"/>
                <w:szCs w:val="21"/>
                <w:lang w:val="en-US" w:eastAsia="zh-CN"/>
              </w:rPr>
            </w:pPr>
          </w:p>
        </w:tc>
        <w:tc>
          <w:tcPr>
            <w:tcW w:w="1374" w:type="pct"/>
            <w:vMerge w:val="continue"/>
            <w:noWrap w:val="0"/>
            <w:vAlign w:val="center"/>
          </w:tcPr>
          <w:p w14:paraId="03859459">
            <w:pPr>
              <w:pStyle w:val="69"/>
              <w:keepNext w:val="0"/>
              <w:keepLines w:val="0"/>
              <w:pageBreakBefore w:val="0"/>
              <w:kinsoku/>
              <w:wordWrap/>
              <w:overflowPunct/>
              <w:topLinePunct w:val="0"/>
              <w:autoSpaceDE/>
              <w:autoSpaceDN/>
              <w:bidi w:val="0"/>
              <w:spacing w:line="240" w:lineRule="auto"/>
              <w:ind w:firstLine="0"/>
              <w:jc w:val="center"/>
              <w:textAlignment w:val="auto"/>
              <w:rPr>
                <w:rFonts w:hint="eastAsia" w:cs="Times New Roman"/>
                <w:snapToGrid w:val="0"/>
                <w:color w:val="auto"/>
                <w:sz w:val="21"/>
                <w:szCs w:val="21"/>
                <w:lang w:val="en-US" w:eastAsia="zh-CN"/>
              </w:rPr>
            </w:pPr>
          </w:p>
        </w:tc>
      </w:tr>
      <w:tr w14:paraId="18123E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4" w:type="pct"/>
            <w:vMerge w:val="continue"/>
            <w:noWrap w:val="0"/>
            <w:vAlign w:val="center"/>
          </w:tcPr>
          <w:p w14:paraId="2C6D7438">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sz w:val="21"/>
                <w:szCs w:val="21"/>
              </w:rPr>
            </w:pPr>
          </w:p>
        </w:tc>
        <w:tc>
          <w:tcPr>
            <w:tcW w:w="1036" w:type="pct"/>
            <w:tcBorders>
              <w:bottom w:val="single" w:color="auto" w:sz="4" w:space="0"/>
            </w:tcBorders>
            <w:noWrap w:val="0"/>
            <w:vAlign w:val="center"/>
          </w:tcPr>
          <w:p w14:paraId="77E48006">
            <w:pPr>
              <w:jc w:val="center"/>
              <w:rPr>
                <w:rFonts w:hint="default" w:ascii="Times New Roman" w:hAnsi="Times New Roman" w:eastAsia="宋体" w:cs="Times New Roman"/>
                <w:b w:val="0"/>
                <w:bCs w:val="0"/>
                <w:color w:val="auto"/>
                <w:sz w:val="21"/>
                <w:szCs w:val="21"/>
              </w:rPr>
            </w:pPr>
            <w:r>
              <w:rPr>
                <w:rFonts w:hint="eastAsia" w:cs="Times New Roman"/>
                <w:color w:val="auto"/>
                <w:szCs w:val="21"/>
                <w:lang w:val="en-US" w:eastAsia="zh-CN"/>
              </w:rPr>
              <w:t>食堂废水</w:t>
            </w:r>
          </w:p>
        </w:tc>
        <w:tc>
          <w:tcPr>
            <w:tcW w:w="702" w:type="pct"/>
            <w:vMerge w:val="continue"/>
            <w:tcBorders/>
            <w:noWrap w:val="0"/>
            <w:vAlign w:val="center"/>
          </w:tcPr>
          <w:p w14:paraId="4389B62B">
            <w:pPr>
              <w:jc w:val="center"/>
              <w:rPr>
                <w:rFonts w:hint="default" w:ascii="Times New Roman" w:hAnsi="Times New Roman" w:eastAsia="宋体" w:cs="Times New Roman"/>
                <w:b w:val="0"/>
                <w:bCs w:val="0"/>
                <w:color w:val="auto"/>
                <w:sz w:val="21"/>
                <w:szCs w:val="21"/>
              </w:rPr>
            </w:pPr>
          </w:p>
        </w:tc>
        <w:tc>
          <w:tcPr>
            <w:tcW w:w="1372" w:type="pct"/>
            <w:vMerge w:val="continue"/>
            <w:noWrap w:val="0"/>
            <w:vAlign w:val="center"/>
          </w:tcPr>
          <w:p w14:paraId="1D0E4D05">
            <w:pPr>
              <w:pStyle w:val="69"/>
              <w:keepNext w:val="0"/>
              <w:keepLines w:val="0"/>
              <w:pageBreakBefore w:val="0"/>
              <w:kinsoku/>
              <w:wordWrap/>
              <w:overflowPunct/>
              <w:topLinePunct w:val="0"/>
              <w:autoSpaceDE/>
              <w:autoSpaceDN/>
              <w:bidi w:val="0"/>
              <w:spacing w:line="240" w:lineRule="auto"/>
              <w:ind w:firstLine="0"/>
              <w:jc w:val="center"/>
              <w:textAlignment w:val="auto"/>
              <w:rPr>
                <w:rFonts w:hint="eastAsia" w:cs="Times New Roman"/>
                <w:b w:val="0"/>
                <w:bCs w:val="0"/>
                <w:color w:val="auto"/>
                <w:sz w:val="21"/>
                <w:szCs w:val="21"/>
                <w:lang w:val="en-US" w:eastAsia="zh-CN"/>
              </w:rPr>
            </w:pPr>
          </w:p>
        </w:tc>
        <w:tc>
          <w:tcPr>
            <w:tcW w:w="1374" w:type="pct"/>
            <w:vMerge w:val="continue"/>
            <w:noWrap w:val="0"/>
            <w:vAlign w:val="center"/>
          </w:tcPr>
          <w:p w14:paraId="61C652DE">
            <w:pPr>
              <w:pStyle w:val="69"/>
              <w:keepNext w:val="0"/>
              <w:keepLines w:val="0"/>
              <w:pageBreakBefore w:val="0"/>
              <w:kinsoku/>
              <w:wordWrap/>
              <w:overflowPunct/>
              <w:topLinePunct w:val="0"/>
              <w:autoSpaceDE/>
              <w:autoSpaceDN/>
              <w:bidi w:val="0"/>
              <w:spacing w:line="240" w:lineRule="auto"/>
              <w:ind w:firstLine="0"/>
              <w:jc w:val="center"/>
              <w:textAlignment w:val="auto"/>
              <w:rPr>
                <w:rFonts w:hint="eastAsia" w:cs="Times New Roman"/>
                <w:snapToGrid w:val="0"/>
                <w:color w:val="auto"/>
                <w:sz w:val="21"/>
                <w:szCs w:val="21"/>
                <w:lang w:val="en-US" w:eastAsia="zh-CN"/>
              </w:rPr>
            </w:pPr>
          </w:p>
        </w:tc>
      </w:tr>
      <w:tr w14:paraId="4E1AAA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4" w:type="pct"/>
            <w:vMerge w:val="continue"/>
            <w:noWrap w:val="0"/>
            <w:vAlign w:val="center"/>
          </w:tcPr>
          <w:p w14:paraId="2AE66614">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sz w:val="21"/>
                <w:szCs w:val="21"/>
              </w:rPr>
            </w:pPr>
          </w:p>
        </w:tc>
        <w:tc>
          <w:tcPr>
            <w:tcW w:w="1036" w:type="pct"/>
            <w:tcBorders>
              <w:bottom w:val="single" w:color="auto" w:sz="4" w:space="0"/>
            </w:tcBorders>
            <w:noWrap w:val="0"/>
            <w:vAlign w:val="center"/>
          </w:tcPr>
          <w:p w14:paraId="376BE21A">
            <w:pPr>
              <w:jc w:val="center"/>
              <w:rPr>
                <w:rFonts w:hint="default" w:ascii="Times New Roman" w:hAnsi="Times New Roman" w:eastAsia="宋体" w:cs="Times New Roman"/>
                <w:b w:val="0"/>
                <w:bCs w:val="0"/>
                <w:color w:val="auto"/>
                <w:sz w:val="21"/>
                <w:szCs w:val="21"/>
              </w:rPr>
            </w:pPr>
            <w:r>
              <w:rPr>
                <w:rFonts w:hint="eastAsia" w:cs="Times New Roman"/>
                <w:color w:val="auto"/>
                <w:szCs w:val="21"/>
                <w:lang w:val="en-US" w:eastAsia="zh-CN"/>
              </w:rPr>
              <w:t>住院病床废水</w:t>
            </w:r>
          </w:p>
        </w:tc>
        <w:tc>
          <w:tcPr>
            <w:tcW w:w="702" w:type="pct"/>
            <w:vMerge w:val="continue"/>
            <w:tcBorders/>
            <w:noWrap w:val="0"/>
            <w:vAlign w:val="center"/>
          </w:tcPr>
          <w:p w14:paraId="289A4F99">
            <w:pPr>
              <w:jc w:val="center"/>
              <w:rPr>
                <w:rFonts w:hint="default" w:ascii="Times New Roman" w:hAnsi="Times New Roman" w:eastAsia="宋体" w:cs="Times New Roman"/>
                <w:b w:val="0"/>
                <w:bCs w:val="0"/>
                <w:color w:val="auto"/>
                <w:sz w:val="21"/>
                <w:szCs w:val="21"/>
              </w:rPr>
            </w:pPr>
          </w:p>
        </w:tc>
        <w:tc>
          <w:tcPr>
            <w:tcW w:w="1372" w:type="pct"/>
            <w:vMerge w:val="continue"/>
            <w:noWrap w:val="0"/>
            <w:vAlign w:val="center"/>
          </w:tcPr>
          <w:p w14:paraId="148B6291">
            <w:pPr>
              <w:pStyle w:val="69"/>
              <w:keepNext w:val="0"/>
              <w:keepLines w:val="0"/>
              <w:pageBreakBefore w:val="0"/>
              <w:kinsoku/>
              <w:wordWrap/>
              <w:overflowPunct/>
              <w:topLinePunct w:val="0"/>
              <w:autoSpaceDE/>
              <w:autoSpaceDN/>
              <w:bidi w:val="0"/>
              <w:spacing w:line="240" w:lineRule="auto"/>
              <w:ind w:firstLine="0"/>
              <w:jc w:val="center"/>
              <w:textAlignment w:val="auto"/>
              <w:rPr>
                <w:rFonts w:hint="eastAsia" w:cs="Times New Roman"/>
                <w:b w:val="0"/>
                <w:bCs w:val="0"/>
                <w:color w:val="auto"/>
                <w:sz w:val="21"/>
                <w:szCs w:val="21"/>
                <w:lang w:val="en-US" w:eastAsia="zh-CN"/>
              </w:rPr>
            </w:pPr>
          </w:p>
        </w:tc>
        <w:tc>
          <w:tcPr>
            <w:tcW w:w="1374" w:type="pct"/>
            <w:vMerge w:val="continue"/>
            <w:noWrap w:val="0"/>
            <w:vAlign w:val="center"/>
          </w:tcPr>
          <w:p w14:paraId="3E32B07B">
            <w:pPr>
              <w:pStyle w:val="69"/>
              <w:keepNext w:val="0"/>
              <w:keepLines w:val="0"/>
              <w:pageBreakBefore w:val="0"/>
              <w:kinsoku/>
              <w:wordWrap/>
              <w:overflowPunct/>
              <w:topLinePunct w:val="0"/>
              <w:autoSpaceDE/>
              <w:autoSpaceDN/>
              <w:bidi w:val="0"/>
              <w:spacing w:line="240" w:lineRule="auto"/>
              <w:ind w:firstLine="0"/>
              <w:jc w:val="center"/>
              <w:textAlignment w:val="auto"/>
              <w:rPr>
                <w:rFonts w:hint="eastAsia" w:cs="Times New Roman"/>
                <w:snapToGrid w:val="0"/>
                <w:color w:val="auto"/>
                <w:sz w:val="21"/>
                <w:szCs w:val="21"/>
                <w:lang w:val="en-US" w:eastAsia="zh-CN"/>
              </w:rPr>
            </w:pPr>
          </w:p>
        </w:tc>
      </w:tr>
      <w:tr w14:paraId="1CD934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4" w:type="pct"/>
            <w:vMerge w:val="continue"/>
            <w:noWrap w:val="0"/>
            <w:vAlign w:val="center"/>
          </w:tcPr>
          <w:p w14:paraId="4BE3159A">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sz w:val="21"/>
                <w:szCs w:val="21"/>
              </w:rPr>
            </w:pPr>
          </w:p>
        </w:tc>
        <w:tc>
          <w:tcPr>
            <w:tcW w:w="1036" w:type="pct"/>
            <w:tcBorders>
              <w:bottom w:val="single" w:color="auto" w:sz="4" w:space="0"/>
            </w:tcBorders>
            <w:noWrap w:val="0"/>
            <w:vAlign w:val="center"/>
          </w:tcPr>
          <w:p w14:paraId="38890FFE">
            <w:pPr>
              <w:jc w:val="center"/>
              <w:rPr>
                <w:rFonts w:hint="default" w:ascii="Times New Roman" w:hAnsi="Times New Roman" w:eastAsia="宋体" w:cs="Times New Roman"/>
                <w:b w:val="0"/>
                <w:bCs w:val="0"/>
                <w:color w:val="auto"/>
                <w:sz w:val="21"/>
                <w:szCs w:val="21"/>
              </w:rPr>
            </w:pPr>
            <w:r>
              <w:rPr>
                <w:rFonts w:hint="eastAsia" w:cs="Times New Roman"/>
                <w:color w:val="auto"/>
                <w:szCs w:val="21"/>
                <w:lang w:val="en-US" w:eastAsia="zh-CN"/>
              </w:rPr>
              <w:t>医疗器械洗消废水</w:t>
            </w:r>
          </w:p>
        </w:tc>
        <w:tc>
          <w:tcPr>
            <w:tcW w:w="702" w:type="pct"/>
            <w:vMerge w:val="continue"/>
            <w:tcBorders/>
            <w:noWrap w:val="0"/>
            <w:vAlign w:val="center"/>
          </w:tcPr>
          <w:p w14:paraId="3451256C">
            <w:pPr>
              <w:jc w:val="center"/>
              <w:rPr>
                <w:rFonts w:hint="default" w:ascii="Times New Roman" w:hAnsi="Times New Roman" w:eastAsia="宋体" w:cs="Times New Roman"/>
                <w:b w:val="0"/>
                <w:bCs w:val="0"/>
                <w:color w:val="auto"/>
                <w:sz w:val="21"/>
                <w:szCs w:val="21"/>
              </w:rPr>
            </w:pPr>
          </w:p>
        </w:tc>
        <w:tc>
          <w:tcPr>
            <w:tcW w:w="1372" w:type="pct"/>
            <w:vMerge w:val="continue"/>
            <w:noWrap w:val="0"/>
            <w:vAlign w:val="center"/>
          </w:tcPr>
          <w:p w14:paraId="7E8674AD">
            <w:pPr>
              <w:pStyle w:val="69"/>
              <w:keepNext w:val="0"/>
              <w:keepLines w:val="0"/>
              <w:pageBreakBefore w:val="0"/>
              <w:kinsoku/>
              <w:wordWrap/>
              <w:overflowPunct/>
              <w:topLinePunct w:val="0"/>
              <w:autoSpaceDE/>
              <w:autoSpaceDN/>
              <w:bidi w:val="0"/>
              <w:spacing w:line="240" w:lineRule="auto"/>
              <w:ind w:firstLine="0"/>
              <w:jc w:val="center"/>
              <w:textAlignment w:val="auto"/>
              <w:rPr>
                <w:rFonts w:hint="eastAsia" w:cs="Times New Roman"/>
                <w:b w:val="0"/>
                <w:bCs w:val="0"/>
                <w:color w:val="auto"/>
                <w:sz w:val="21"/>
                <w:szCs w:val="21"/>
                <w:lang w:val="en-US" w:eastAsia="zh-CN"/>
              </w:rPr>
            </w:pPr>
          </w:p>
        </w:tc>
        <w:tc>
          <w:tcPr>
            <w:tcW w:w="1374" w:type="pct"/>
            <w:vMerge w:val="continue"/>
            <w:noWrap w:val="0"/>
            <w:vAlign w:val="center"/>
          </w:tcPr>
          <w:p w14:paraId="6E5B072D">
            <w:pPr>
              <w:pStyle w:val="69"/>
              <w:keepNext w:val="0"/>
              <w:keepLines w:val="0"/>
              <w:pageBreakBefore w:val="0"/>
              <w:kinsoku/>
              <w:wordWrap/>
              <w:overflowPunct/>
              <w:topLinePunct w:val="0"/>
              <w:autoSpaceDE/>
              <w:autoSpaceDN/>
              <w:bidi w:val="0"/>
              <w:spacing w:line="240" w:lineRule="auto"/>
              <w:ind w:firstLine="0"/>
              <w:jc w:val="center"/>
              <w:textAlignment w:val="auto"/>
              <w:rPr>
                <w:rFonts w:hint="eastAsia" w:cs="Times New Roman"/>
                <w:snapToGrid w:val="0"/>
                <w:color w:val="auto"/>
                <w:sz w:val="21"/>
                <w:szCs w:val="21"/>
                <w:lang w:val="en-US" w:eastAsia="zh-CN"/>
              </w:rPr>
            </w:pPr>
          </w:p>
        </w:tc>
      </w:tr>
      <w:tr w14:paraId="59C9EE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514" w:type="pct"/>
            <w:vMerge w:val="continue"/>
            <w:tcBorders>
              <w:bottom w:val="single" w:color="auto" w:sz="4" w:space="0"/>
            </w:tcBorders>
            <w:noWrap w:val="0"/>
            <w:vAlign w:val="center"/>
          </w:tcPr>
          <w:p w14:paraId="168C3324">
            <w:pPr>
              <w:pStyle w:val="69"/>
              <w:keepNext w:val="0"/>
              <w:keepLines w:val="0"/>
              <w:pageBreakBefore w:val="0"/>
              <w:kinsoku/>
              <w:wordWrap/>
              <w:overflowPunct/>
              <w:topLinePunct w:val="0"/>
              <w:autoSpaceDE/>
              <w:autoSpaceDN/>
              <w:bidi w:val="0"/>
              <w:spacing w:line="240" w:lineRule="auto"/>
              <w:ind w:firstLine="0"/>
              <w:jc w:val="center"/>
              <w:textAlignment w:val="auto"/>
              <w:rPr>
                <w:color w:val="auto"/>
              </w:rPr>
            </w:pPr>
          </w:p>
        </w:tc>
        <w:tc>
          <w:tcPr>
            <w:tcW w:w="1036" w:type="pct"/>
            <w:tcBorders>
              <w:bottom w:val="single" w:color="auto" w:sz="4" w:space="0"/>
            </w:tcBorders>
            <w:noWrap w:val="0"/>
            <w:vAlign w:val="center"/>
          </w:tcPr>
          <w:p w14:paraId="43F3EAF6">
            <w:pPr>
              <w:jc w:val="center"/>
              <w:rPr>
                <w:rFonts w:hint="default" w:cs="Times New Roman"/>
                <w:b w:val="0"/>
                <w:bCs w:val="0"/>
                <w:color w:val="auto"/>
                <w:sz w:val="21"/>
                <w:szCs w:val="21"/>
                <w:lang w:val="en-US" w:eastAsia="zh-CN"/>
              </w:rPr>
            </w:pPr>
            <w:r>
              <w:rPr>
                <w:rFonts w:hint="eastAsia" w:cs="Times New Roman"/>
                <w:color w:val="auto"/>
                <w:szCs w:val="21"/>
                <w:lang w:val="en-US" w:eastAsia="zh-CN"/>
              </w:rPr>
              <w:t>蒸汽发生器浓水</w:t>
            </w:r>
          </w:p>
        </w:tc>
        <w:tc>
          <w:tcPr>
            <w:tcW w:w="702" w:type="pct"/>
            <w:vMerge w:val="restart"/>
            <w:tcBorders>
              <w:bottom w:val="single" w:color="auto" w:sz="4" w:space="0"/>
            </w:tcBorders>
            <w:noWrap w:val="0"/>
            <w:vAlign w:val="center"/>
          </w:tcPr>
          <w:p w14:paraId="00A20AB7">
            <w:pPr>
              <w:jc w:val="center"/>
              <w:rPr>
                <w:rFonts w:hint="default" w:cs="Times New Roman"/>
                <w:b w:val="0"/>
                <w:bCs w:val="0"/>
                <w:color w:val="auto"/>
                <w:sz w:val="21"/>
                <w:szCs w:val="21"/>
                <w:lang w:val="en-US" w:eastAsia="zh-CN"/>
              </w:rPr>
            </w:pPr>
            <w:r>
              <w:rPr>
                <w:rFonts w:hint="default" w:ascii="Times New Roman" w:hAnsi="Times New Roman" w:eastAsia="宋体" w:cs="Times New Roman"/>
                <w:color w:val="auto"/>
                <w:sz w:val="21"/>
                <w:szCs w:val="21"/>
                <w:highlight w:val="none"/>
                <w:vertAlign w:val="baseline"/>
                <w:lang w:val="en-US" w:eastAsia="zh-CN"/>
              </w:rPr>
              <w:t>COD、SS</w:t>
            </w:r>
            <w:r>
              <w:rPr>
                <w:rFonts w:hint="eastAsia" w:ascii="Times New Roman" w:hAnsi="Times New Roman" w:eastAsia="宋体" w:cs="Times New Roman"/>
                <w:color w:val="auto"/>
                <w:sz w:val="21"/>
                <w:szCs w:val="21"/>
                <w:highlight w:val="none"/>
                <w:vertAlign w:val="baseline"/>
                <w:lang w:val="en-US" w:eastAsia="zh-CN"/>
              </w:rPr>
              <w:t>等</w:t>
            </w:r>
          </w:p>
        </w:tc>
        <w:tc>
          <w:tcPr>
            <w:tcW w:w="1372" w:type="pct"/>
            <w:vMerge w:val="continue"/>
            <w:tcBorders>
              <w:bottom w:val="single" w:color="auto" w:sz="4" w:space="0"/>
            </w:tcBorders>
            <w:noWrap w:val="0"/>
            <w:vAlign w:val="center"/>
          </w:tcPr>
          <w:p w14:paraId="31A7CC7F">
            <w:pPr>
              <w:pStyle w:val="69"/>
              <w:keepNext w:val="0"/>
              <w:keepLines w:val="0"/>
              <w:pageBreakBefore w:val="0"/>
              <w:kinsoku/>
              <w:wordWrap/>
              <w:overflowPunct/>
              <w:topLinePunct w:val="0"/>
              <w:autoSpaceDE/>
              <w:autoSpaceDN/>
              <w:bidi w:val="0"/>
              <w:spacing w:line="240" w:lineRule="auto"/>
              <w:ind w:firstLine="0"/>
              <w:jc w:val="center"/>
              <w:textAlignment w:val="auto"/>
              <w:rPr>
                <w:rFonts w:hint="eastAsia" w:cs="Times New Roman"/>
                <w:b w:val="0"/>
                <w:bCs w:val="0"/>
                <w:color w:val="auto"/>
                <w:sz w:val="21"/>
                <w:szCs w:val="21"/>
                <w:lang w:val="en-US" w:eastAsia="zh-CN"/>
              </w:rPr>
            </w:pPr>
          </w:p>
        </w:tc>
        <w:tc>
          <w:tcPr>
            <w:tcW w:w="1374" w:type="pct"/>
            <w:vMerge w:val="continue"/>
            <w:tcBorders>
              <w:bottom w:val="single" w:color="auto" w:sz="4" w:space="0"/>
            </w:tcBorders>
            <w:noWrap w:val="0"/>
            <w:vAlign w:val="center"/>
          </w:tcPr>
          <w:p w14:paraId="6E482D98">
            <w:pPr>
              <w:pStyle w:val="69"/>
              <w:keepNext w:val="0"/>
              <w:keepLines w:val="0"/>
              <w:pageBreakBefore w:val="0"/>
              <w:kinsoku/>
              <w:wordWrap/>
              <w:overflowPunct/>
              <w:topLinePunct w:val="0"/>
              <w:autoSpaceDE/>
              <w:autoSpaceDN/>
              <w:bidi w:val="0"/>
              <w:spacing w:line="240" w:lineRule="auto"/>
              <w:ind w:firstLine="0"/>
              <w:jc w:val="center"/>
              <w:textAlignment w:val="auto"/>
              <w:rPr>
                <w:rFonts w:hint="default" w:cs="Times New Roman"/>
                <w:b w:val="0"/>
                <w:bCs w:val="0"/>
                <w:color w:val="auto"/>
                <w:sz w:val="21"/>
                <w:szCs w:val="21"/>
                <w:lang w:val="en-US" w:eastAsia="zh-CN"/>
              </w:rPr>
            </w:pPr>
          </w:p>
        </w:tc>
      </w:tr>
      <w:tr w14:paraId="3E91F9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514" w:type="pct"/>
            <w:vMerge w:val="continue"/>
            <w:tcBorders>
              <w:bottom w:val="single" w:color="auto" w:sz="4" w:space="0"/>
            </w:tcBorders>
            <w:noWrap w:val="0"/>
            <w:vAlign w:val="center"/>
          </w:tcPr>
          <w:p w14:paraId="16DF855C">
            <w:pPr>
              <w:jc w:val="center"/>
            </w:pPr>
          </w:p>
        </w:tc>
        <w:tc>
          <w:tcPr>
            <w:tcW w:w="1036" w:type="pct"/>
            <w:tcBorders>
              <w:bottom w:val="single" w:color="auto" w:sz="4" w:space="0"/>
            </w:tcBorders>
            <w:noWrap w:val="0"/>
            <w:vAlign w:val="center"/>
          </w:tcPr>
          <w:p w14:paraId="4190E7BE">
            <w:pPr>
              <w:jc w:val="center"/>
              <w:rPr>
                <w:rFonts w:hint="eastAsia" w:cs="Times New Roman"/>
                <w:color w:val="auto"/>
                <w:szCs w:val="21"/>
                <w:lang w:val="en-US" w:eastAsia="zh-CN"/>
              </w:rPr>
            </w:pPr>
            <w:r>
              <w:rPr>
                <w:rFonts w:hint="eastAsia" w:cs="Times New Roman"/>
                <w:color w:val="auto"/>
                <w:szCs w:val="21"/>
                <w:lang w:val="en-US" w:eastAsia="zh-CN"/>
              </w:rPr>
              <w:t>纯水制备浓水</w:t>
            </w:r>
          </w:p>
        </w:tc>
        <w:tc>
          <w:tcPr>
            <w:tcW w:w="702" w:type="pct"/>
            <w:vMerge w:val="continue"/>
            <w:tcBorders>
              <w:bottom w:val="single" w:color="auto" w:sz="4" w:space="0"/>
            </w:tcBorders>
            <w:noWrap w:val="0"/>
            <w:vAlign w:val="center"/>
          </w:tcPr>
          <w:p w14:paraId="3CC56E49">
            <w:pPr>
              <w:jc w:val="center"/>
              <w:rPr>
                <w:rFonts w:hint="eastAsia" w:cs="Times New Roman"/>
                <w:color w:val="auto"/>
                <w:szCs w:val="21"/>
                <w:lang w:val="en-US" w:eastAsia="zh-CN"/>
              </w:rPr>
            </w:pPr>
          </w:p>
        </w:tc>
        <w:tc>
          <w:tcPr>
            <w:tcW w:w="1372" w:type="pct"/>
            <w:vMerge w:val="continue"/>
            <w:tcBorders>
              <w:bottom w:val="single" w:color="auto" w:sz="4" w:space="0"/>
            </w:tcBorders>
            <w:noWrap w:val="0"/>
            <w:vAlign w:val="center"/>
          </w:tcPr>
          <w:p w14:paraId="50FE65D4">
            <w:pPr>
              <w:jc w:val="center"/>
              <w:rPr>
                <w:rFonts w:hint="eastAsia" w:cs="Times New Roman"/>
                <w:color w:val="auto"/>
                <w:szCs w:val="21"/>
                <w:lang w:val="en-US" w:eastAsia="zh-CN"/>
              </w:rPr>
            </w:pPr>
          </w:p>
        </w:tc>
        <w:tc>
          <w:tcPr>
            <w:tcW w:w="1374" w:type="pct"/>
            <w:vMerge w:val="continue"/>
            <w:tcBorders>
              <w:bottom w:val="single" w:color="auto" w:sz="4" w:space="0"/>
            </w:tcBorders>
            <w:noWrap w:val="0"/>
            <w:vAlign w:val="center"/>
          </w:tcPr>
          <w:p w14:paraId="733FA560">
            <w:pPr>
              <w:jc w:val="center"/>
              <w:rPr>
                <w:rFonts w:hint="eastAsia" w:cs="Times New Roman"/>
                <w:color w:val="auto"/>
                <w:szCs w:val="21"/>
                <w:lang w:val="en-US" w:eastAsia="zh-CN"/>
              </w:rPr>
            </w:pPr>
          </w:p>
        </w:tc>
      </w:tr>
      <w:tr w14:paraId="18B22C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4" w:type="pct"/>
            <w:tcBorders>
              <w:bottom w:val="single" w:color="auto" w:sz="4" w:space="0"/>
            </w:tcBorders>
            <w:noWrap w:val="0"/>
            <w:vAlign w:val="center"/>
          </w:tcPr>
          <w:p w14:paraId="66B22309">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声环境</w:t>
            </w:r>
          </w:p>
        </w:tc>
        <w:tc>
          <w:tcPr>
            <w:tcW w:w="1036" w:type="pct"/>
            <w:tcBorders>
              <w:bottom w:val="single" w:color="auto" w:sz="4" w:space="0"/>
            </w:tcBorders>
            <w:noWrap w:val="0"/>
            <w:vAlign w:val="center"/>
          </w:tcPr>
          <w:p w14:paraId="354A204B">
            <w:pPr>
              <w:adjustRightInd w:val="0"/>
              <w:snapToGrid w:val="0"/>
              <w:jc w:val="center"/>
              <w:rPr>
                <w:rFonts w:hint="default" w:ascii="Times New Roman" w:hAnsi="Times New Roman" w:cs="Times New Roman"/>
                <w:b w:val="0"/>
                <w:bCs w:val="0"/>
                <w:color w:val="auto"/>
                <w:kern w:val="0"/>
                <w:sz w:val="21"/>
                <w:szCs w:val="21"/>
              </w:rPr>
            </w:pPr>
            <w:r>
              <w:rPr>
                <w:rFonts w:hint="default" w:ascii="Times New Roman" w:hAnsi="Times New Roman" w:cs="Times New Roman"/>
                <w:color w:val="auto"/>
                <w:szCs w:val="21"/>
                <w:lang w:val="en-US" w:eastAsia="zh-CN"/>
              </w:rPr>
              <w:t>设备运行噪声</w:t>
            </w:r>
          </w:p>
        </w:tc>
        <w:tc>
          <w:tcPr>
            <w:tcW w:w="702" w:type="pct"/>
            <w:tcBorders>
              <w:bottom w:val="single" w:color="auto" w:sz="4" w:space="0"/>
            </w:tcBorders>
            <w:noWrap w:val="0"/>
            <w:vAlign w:val="center"/>
          </w:tcPr>
          <w:p w14:paraId="662CA75A">
            <w:pPr>
              <w:adjustRightInd w:val="0"/>
              <w:snapToGrid w:val="0"/>
              <w:jc w:val="center"/>
              <w:rPr>
                <w:rFonts w:hint="default" w:ascii="Times New Roman" w:hAnsi="Times New Roman" w:cs="Times New Roman"/>
                <w:b w:val="0"/>
                <w:bCs w:val="0"/>
                <w:color w:val="auto"/>
                <w:kern w:val="0"/>
                <w:sz w:val="21"/>
                <w:szCs w:val="21"/>
              </w:rPr>
            </w:pPr>
            <w:r>
              <w:rPr>
                <w:rFonts w:hint="default" w:ascii="Times New Roman" w:hAnsi="Times New Roman" w:cs="Times New Roman"/>
                <w:color w:val="auto"/>
                <w:szCs w:val="21"/>
              </w:rPr>
              <w:t>噪声</w:t>
            </w:r>
          </w:p>
        </w:tc>
        <w:tc>
          <w:tcPr>
            <w:tcW w:w="1372" w:type="pct"/>
            <w:tcBorders>
              <w:bottom w:val="single" w:color="auto" w:sz="4" w:space="0"/>
            </w:tcBorders>
            <w:noWrap w:val="0"/>
            <w:vAlign w:val="center"/>
          </w:tcPr>
          <w:p w14:paraId="6B31BFEB">
            <w:pPr>
              <w:adjustRightInd w:val="0"/>
              <w:snapToGrid w:val="0"/>
              <w:jc w:val="center"/>
              <w:rPr>
                <w:rFonts w:hint="default" w:ascii="Times New Roman" w:hAnsi="Times New Roman" w:cs="Times New Roman"/>
                <w:b w:val="0"/>
                <w:bCs w:val="0"/>
                <w:color w:val="auto"/>
                <w:kern w:val="0"/>
                <w:sz w:val="21"/>
                <w:szCs w:val="21"/>
              </w:rPr>
            </w:pPr>
            <w:r>
              <w:rPr>
                <w:rFonts w:hint="default" w:ascii="Times New Roman" w:hAnsi="Times New Roman" w:cs="Times New Roman"/>
                <w:color w:val="auto"/>
                <w:szCs w:val="21"/>
              </w:rPr>
              <w:t>采取消声、</w:t>
            </w:r>
            <w:r>
              <w:rPr>
                <w:rFonts w:hint="eastAsia" w:cs="Times New Roman"/>
                <w:color w:val="auto"/>
                <w:szCs w:val="21"/>
                <w:lang w:val="en-US" w:eastAsia="zh-CN"/>
              </w:rPr>
              <w:t>减振</w:t>
            </w:r>
            <w:r>
              <w:rPr>
                <w:rFonts w:hint="default" w:ascii="Times New Roman" w:hAnsi="Times New Roman" w:cs="Times New Roman"/>
                <w:color w:val="auto"/>
                <w:szCs w:val="21"/>
              </w:rPr>
              <w:t>、隔声等措施</w:t>
            </w:r>
          </w:p>
        </w:tc>
        <w:tc>
          <w:tcPr>
            <w:tcW w:w="1374" w:type="pct"/>
            <w:tcBorders>
              <w:bottom w:val="single" w:color="auto" w:sz="4" w:space="0"/>
            </w:tcBorders>
            <w:noWrap w:val="0"/>
            <w:vAlign w:val="center"/>
          </w:tcPr>
          <w:p w14:paraId="6CC6F61F">
            <w:pPr>
              <w:adjustRightInd w:val="0"/>
              <w:snapToGrid w:val="0"/>
              <w:jc w:val="center"/>
              <w:rPr>
                <w:rFonts w:hint="default" w:ascii="Times New Roman" w:hAnsi="Times New Roman" w:cs="Times New Roman"/>
                <w:b w:val="0"/>
                <w:bCs w:val="0"/>
                <w:color w:val="auto"/>
                <w:kern w:val="0"/>
                <w:sz w:val="21"/>
                <w:szCs w:val="21"/>
              </w:rPr>
            </w:pPr>
            <w:r>
              <w:rPr>
                <w:rFonts w:hint="default" w:ascii="Times New Roman" w:hAnsi="Times New Roman" w:cs="Times New Roman"/>
                <w:b w:val="0"/>
                <w:bCs w:val="0"/>
                <w:color w:val="auto"/>
                <w:sz w:val="21"/>
                <w:szCs w:val="21"/>
              </w:rPr>
              <w:t>《工业企业厂界环境噪声排放标准》（GB12348-2008）中</w:t>
            </w:r>
            <w:r>
              <w:rPr>
                <w:rFonts w:hint="eastAsia" w:cs="Times New Roman"/>
                <w:b w:val="0"/>
                <w:bCs w:val="0"/>
                <w:color w:val="auto"/>
                <w:sz w:val="21"/>
                <w:szCs w:val="21"/>
                <w:lang w:val="en-US" w:eastAsia="zh-CN"/>
              </w:rPr>
              <w:t>2类</w:t>
            </w:r>
            <w:r>
              <w:rPr>
                <w:rFonts w:hint="default" w:ascii="Times New Roman" w:hAnsi="Times New Roman" w:cs="Times New Roman"/>
                <w:b w:val="0"/>
                <w:bCs w:val="0"/>
                <w:color w:val="auto"/>
                <w:sz w:val="21"/>
                <w:szCs w:val="21"/>
              </w:rPr>
              <w:t>标准</w:t>
            </w:r>
          </w:p>
        </w:tc>
      </w:tr>
      <w:tr w14:paraId="6988E7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4" w:type="pct"/>
            <w:tcBorders>
              <w:bottom w:val="single" w:color="auto" w:sz="4" w:space="0"/>
            </w:tcBorders>
            <w:noWrap w:val="0"/>
            <w:vAlign w:val="center"/>
          </w:tcPr>
          <w:p w14:paraId="32F15FA4">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电磁辐射</w:t>
            </w:r>
          </w:p>
        </w:tc>
        <w:tc>
          <w:tcPr>
            <w:tcW w:w="1036" w:type="pct"/>
            <w:tcBorders>
              <w:bottom w:val="single" w:color="auto" w:sz="4" w:space="0"/>
            </w:tcBorders>
            <w:noWrap w:val="0"/>
            <w:vAlign w:val="center"/>
          </w:tcPr>
          <w:p w14:paraId="76EC3ADB">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kern w:val="0"/>
                <w:sz w:val="21"/>
                <w:szCs w:val="21"/>
              </w:rPr>
            </w:pPr>
            <w:r>
              <w:rPr>
                <w:rFonts w:hint="default" w:ascii="Times New Roman" w:hAnsi="Times New Roman" w:cs="Times New Roman"/>
                <w:b w:val="0"/>
                <w:bCs w:val="0"/>
                <w:color w:val="auto"/>
                <w:sz w:val="21"/>
                <w:szCs w:val="21"/>
              </w:rPr>
              <w:t>/</w:t>
            </w:r>
          </w:p>
        </w:tc>
        <w:tc>
          <w:tcPr>
            <w:tcW w:w="702" w:type="pct"/>
            <w:tcBorders>
              <w:bottom w:val="single" w:color="auto" w:sz="4" w:space="0"/>
            </w:tcBorders>
            <w:noWrap w:val="0"/>
            <w:vAlign w:val="center"/>
          </w:tcPr>
          <w:p w14:paraId="61783E2D">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kern w:val="0"/>
                <w:sz w:val="21"/>
                <w:szCs w:val="21"/>
              </w:rPr>
            </w:pPr>
            <w:r>
              <w:rPr>
                <w:rFonts w:hint="default" w:ascii="Times New Roman" w:hAnsi="Times New Roman" w:cs="Times New Roman"/>
                <w:b w:val="0"/>
                <w:bCs w:val="0"/>
                <w:color w:val="auto"/>
                <w:sz w:val="21"/>
                <w:szCs w:val="21"/>
              </w:rPr>
              <w:t>/</w:t>
            </w:r>
          </w:p>
        </w:tc>
        <w:tc>
          <w:tcPr>
            <w:tcW w:w="1372" w:type="pct"/>
            <w:tcBorders>
              <w:bottom w:val="single" w:color="auto" w:sz="4" w:space="0"/>
            </w:tcBorders>
            <w:noWrap w:val="0"/>
            <w:vAlign w:val="center"/>
          </w:tcPr>
          <w:p w14:paraId="49D518D4">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kern w:val="0"/>
                <w:sz w:val="21"/>
                <w:szCs w:val="21"/>
              </w:rPr>
            </w:pPr>
            <w:r>
              <w:rPr>
                <w:rFonts w:hint="default" w:ascii="Times New Roman" w:hAnsi="Times New Roman" w:cs="Times New Roman"/>
                <w:b w:val="0"/>
                <w:bCs w:val="0"/>
                <w:color w:val="auto"/>
                <w:sz w:val="21"/>
                <w:szCs w:val="21"/>
              </w:rPr>
              <w:t>/</w:t>
            </w:r>
          </w:p>
        </w:tc>
        <w:tc>
          <w:tcPr>
            <w:tcW w:w="1374" w:type="pct"/>
            <w:tcBorders>
              <w:bottom w:val="single" w:color="auto" w:sz="4" w:space="0"/>
            </w:tcBorders>
            <w:noWrap w:val="0"/>
            <w:vAlign w:val="center"/>
          </w:tcPr>
          <w:p w14:paraId="6372D2C5">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kern w:val="0"/>
                <w:sz w:val="21"/>
                <w:szCs w:val="21"/>
              </w:rPr>
            </w:pPr>
            <w:r>
              <w:rPr>
                <w:rFonts w:hint="default" w:ascii="Times New Roman" w:hAnsi="Times New Roman" w:cs="Times New Roman"/>
                <w:b w:val="0"/>
                <w:bCs w:val="0"/>
                <w:color w:val="auto"/>
                <w:sz w:val="21"/>
                <w:szCs w:val="21"/>
              </w:rPr>
              <w:t>/</w:t>
            </w:r>
          </w:p>
        </w:tc>
      </w:tr>
      <w:tr w14:paraId="3A7C23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4" w:type="pct"/>
            <w:noWrap w:val="0"/>
            <w:vAlign w:val="center"/>
          </w:tcPr>
          <w:p w14:paraId="512C27C5">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固体废物</w:t>
            </w:r>
          </w:p>
        </w:tc>
        <w:tc>
          <w:tcPr>
            <w:tcW w:w="4485" w:type="pct"/>
            <w:gridSpan w:val="4"/>
            <w:noWrap w:val="0"/>
            <w:vAlign w:val="center"/>
          </w:tcPr>
          <w:p w14:paraId="69DCE6EE">
            <w:pPr>
              <w:adjustRightInd w:val="0"/>
              <w:snapToGrid w:val="0"/>
              <w:jc w:val="left"/>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固体废物的产生情况及处置去向：</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948"/>
              <w:gridCol w:w="1342"/>
              <w:gridCol w:w="1054"/>
              <w:gridCol w:w="2626"/>
              <w:gridCol w:w="1133"/>
            </w:tblGrid>
            <w:tr w14:paraId="2754A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202" w:type="pct"/>
                  <w:vMerge w:val="restart"/>
                  <w:shd w:val="clear" w:color="auto" w:fill="auto"/>
                  <w:noWrap w:val="0"/>
                  <w:vAlign w:val="center"/>
                </w:tcPr>
                <w:p w14:paraId="0EF82266">
                  <w:pPr>
                    <w:jc w:val="center"/>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固体废物名称</w:t>
                  </w:r>
                </w:p>
              </w:tc>
              <w:tc>
                <w:tcPr>
                  <w:tcW w:w="828" w:type="pct"/>
                  <w:vMerge w:val="restart"/>
                  <w:shd w:val="clear" w:color="auto" w:fill="auto"/>
                  <w:noWrap w:val="0"/>
                  <w:vAlign w:val="center"/>
                </w:tcPr>
                <w:p w14:paraId="687ECE32">
                  <w:pPr>
                    <w:jc w:val="center"/>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固废属性</w:t>
                  </w:r>
                </w:p>
              </w:tc>
              <w:tc>
                <w:tcPr>
                  <w:tcW w:w="650" w:type="pct"/>
                  <w:vMerge w:val="restart"/>
                  <w:shd w:val="clear" w:color="auto" w:fill="auto"/>
                  <w:noWrap w:val="0"/>
                  <w:vAlign w:val="center"/>
                </w:tcPr>
                <w:p w14:paraId="0A565CF0">
                  <w:pPr>
                    <w:jc w:val="center"/>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产生量</w:t>
                  </w:r>
                </w:p>
              </w:tc>
              <w:tc>
                <w:tcPr>
                  <w:tcW w:w="2319" w:type="pct"/>
                  <w:gridSpan w:val="2"/>
                  <w:shd w:val="clear" w:color="auto" w:fill="auto"/>
                  <w:noWrap w:val="0"/>
                  <w:vAlign w:val="center"/>
                </w:tcPr>
                <w:p w14:paraId="21CCDED8">
                  <w:pPr>
                    <w:jc w:val="center"/>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处置措施</w:t>
                  </w:r>
                </w:p>
              </w:tc>
            </w:tr>
            <w:tr w14:paraId="6CF4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202" w:type="pct"/>
                  <w:vMerge w:val="continue"/>
                  <w:shd w:val="clear" w:color="auto" w:fill="auto"/>
                  <w:noWrap w:val="0"/>
                  <w:vAlign w:val="center"/>
                </w:tcPr>
                <w:p w14:paraId="2FE33885">
                  <w:pPr>
                    <w:jc w:val="center"/>
                    <w:rPr>
                      <w:rFonts w:hint="default" w:ascii="Times New Roman" w:hAnsi="Times New Roman" w:cs="Times New Roman"/>
                      <w:b w:val="0"/>
                      <w:bCs w:val="0"/>
                      <w:color w:val="auto"/>
                      <w:sz w:val="21"/>
                      <w:szCs w:val="21"/>
                    </w:rPr>
                  </w:pPr>
                </w:p>
              </w:tc>
              <w:tc>
                <w:tcPr>
                  <w:tcW w:w="828" w:type="pct"/>
                  <w:vMerge w:val="continue"/>
                  <w:shd w:val="clear" w:color="auto" w:fill="auto"/>
                  <w:noWrap w:val="0"/>
                  <w:vAlign w:val="center"/>
                </w:tcPr>
                <w:p w14:paraId="7C272393">
                  <w:pPr>
                    <w:jc w:val="center"/>
                    <w:rPr>
                      <w:rFonts w:hint="default" w:ascii="Times New Roman" w:hAnsi="Times New Roman" w:cs="Times New Roman"/>
                      <w:b w:val="0"/>
                      <w:bCs w:val="0"/>
                      <w:color w:val="auto"/>
                      <w:sz w:val="21"/>
                      <w:szCs w:val="21"/>
                    </w:rPr>
                  </w:pPr>
                </w:p>
              </w:tc>
              <w:tc>
                <w:tcPr>
                  <w:tcW w:w="650" w:type="pct"/>
                  <w:vMerge w:val="continue"/>
                  <w:shd w:val="clear" w:color="auto" w:fill="auto"/>
                  <w:noWrap w:val="0"/>
                  <w:vAlign w:val="center"/>
                </w:tcPr>
                <w:p w14:paraId="73573A4B">
                  <w:pPr>
                    <w:jc w:val="center"/>
                    <w:rPr>
                      <w:rFonts w:hint="default" w:ascii="Times New Roman" w:hAnsi="Times New Roman" w:cs="Times New Roman"/>
                      <w:b w:val="0"/>
                      <w:bCs w:val="0"/>
                      <w:color w:val="auto"/>
                      <w:sz w:val="21"/>
                      <w:szCs w:val="21"/>
                    </w:rPr>
                  </w:pPr>
                </w:p>
              </w:tc>
              <w:tc>
                <w:tcPr>
                  <w:tcW w:w="1620" w:type="pct"/>
                  <w:shd w:val="clear" w:color="auto" w:fill="auto"/>
                  <w:noWrap w:val="0"/>
                  <w:vAlign w:val="center"/>
                </w:tcPr>
                <w:p w14:paraId="755F9888">
                  <w:pPr>
                    <w:jc w:val="center"/>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工艺</w:t>
                  </w:r>
                </w:p>
              </w:tc>
              <w:tc>
                <w:tcPr>
                  <w:tcW w:w="699" w:type="pct"/>
                  <w:shd w:val="clear" w:color="auto" w:fill="auto"/>
                  <w:noWrap w:val="0"/>
                  <w:vAlign w:val="center"/>
                </w:tcPr>
                <w:p w14:paraId="2D66CEA5">
                  <w:pPr>
                    <w:jc w:val="center"/>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处置量</w:t>
                  </w:r>
                </w:p>
              </w:tc>
            </w:tr>
            <w:tr w14:paraId="24BB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202" w:type="pct"/>
                  <w:shd w:val="clear" w:color="auto" w:fill="auto"/>
                  <w:noWrap w:val="0"/>
                  <w:vAlign w:val="center"/>
                </w:tcPr>
                <w:p w14:paraId="0A0BC013">
                  <w:pPr>
                    <w:jc w:val="center"/>
                    <w:rPr>
                      <w:rFonts w:hint="default" w:ascii="Times New Roman" w:hAnsi="Times New Roman" w:eastAsia="宋体" w:cs="Times New Roman"/>
                      <w:b w:val="0"/>
                      <w:bCs w:val="0"/>
                      <w:color w:val="auto"/>
                      <w:sz w:val="21"/>
                      <w:szCs w:val="21"/>
                      <w:lang w:val="en-US" w:eastAsia="zh-CN"/>
                    </w:rPr>
                  </w:pPr>
                  <w:r>
                    <w:rPr>
                      <w:rFonts w:hint="eastAsia"/>
                      <w:color w:val="auto"/>
                      <w:szCs w:val="21"/>
                      <w:lang w:val="en-US" w:eastAsia="zh-CN"/>
                    </w:rPr>
                    <w:t>生活垃圾</w:t>
                  </w:r>
                </w:p>
              </w:tc>
              <w:tc>
                <w:tcPr>
                  <w:tcW w:w="828" w:type="pct"/>
                  <w:vMerge w:val="restart"/>
                  <w:shd w:val="clear" w:color="auto" w:fill="auto"/>
                  <w:noWrap w:val="0"/>
                  <w:vAlign w:val="center"/>
                </w:tcPr>
                <w:p w14:paraId="324EAA27">
                  <w:pPr>
                    <w:jc w:val="center"/>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一般工业固废</w:t>
                  </w:r>
                </w:p>
              </w:tc>
              <w:tc>
                <w:tcPr>
                  <w:tcW w:w="1054" w:type="dxa"/>
                  <w:shd w:val="clear" w:color="auto" w:fill="auto"/>
                  <w:noWrap w:val="0"/>
                  <w:vAlign w:val="center"/>
                </w:tcPr>
                <w:p w14:paraId="18CCFEAD">
                  <w:pPr>
                    <w:keepNext w:val="0"/>
                    <w:keepLines w:val="0"/>
                    <w:pageBreakBefore w:val="0"/>
                    <w:widowControl w:val="0"/>
                    <w:bidi w:val="0"/>
                    <w:spacing w:beforeAutospacing="0" w:afterAutospacing="0"/>
                    <w:ind w:left="0" w:leftChars="0" w:right="0" w:rightChars="0"/>
                    <w:jc w:val="center"/>
                    <w:rPr>
                      <w:rFonts w:hint="default" w:ascii="Times New Roman" w:hAnsi="Times New Roman" w:cs="Times New Roman"/>
                      <w:b w:val="0"/>
                      <w:bCs w:val="0"/>
                      <w:color w:val="auto"/>
                      <w:sz w:val="21"/>
                      <w:szCs w:val="21"/>
                      <w:lang w:val="en-US"/>
                    </w:rPr>
                  </w:pPr>
                  <w:r>
                    <w:rPr>
                      <w:rFonts w:hint="eastAsia"/>
                      <w:color w:val="auto"/>
                      <w:szCs w:val="21"/>
                      <w:lang w:val="en-US" w:eastAsia="zh-CN"/>
                    </w:rPr>
                    <w:t>99.5t/a</w:t>
                  </w:r>
                </w:p>
              </w:tc>
              <w:tc>
                <w:tcPr>
                  <w:tcW w:w="2626" w:type="dxa"/>
                  <w:shd w:val="clear" w:color="auto" w:fill="auto"/>
                  <w:noWrap w:val="0"/>
                  <w:vAlign w:val="center"/>
                </w:tcPr>
                <w:p w14:paraId="40FF0DA1">
                  <w:pPr>
                    <w:keepNext w:val="0"/>
                    <w:keepLines w:val="0"/>
                    <w:pageBreakBefore w:val="0"/>
                    <w:widowControl w:val="0"/>
                    <w:bidi w:val="0"/>
                    <w:spacing w:beforeAutospacing="0" w:afterAutospacing="0"/>
                    <w:ind w:left="0" w:leftChars="0" w:right="0" w:rightChars="0"/>
                    <w:jc w:val="center"/>
                    <w:rPr>
                      <w:rFonts w:hint="default" w:ascii="Times New Roman" w:hAnsi="Times New Roman" w:cs="Times New Roman"/>
                      <w:b w:val="0"/>
                      <w:bCs w:val="0"/>
                      <w:color w:val="auto"/>
                      <w:sz w:val="21"/>
                      <w:szCs w:val="21"/>
                    </w:rPr>
                  </w:pPr>
                  <w:r>
                    <w:rPr>
                      <w:szCs w:val="21"/>
                    </w:rPr>
                    <w:t>由环卫部门统一</w:t>
                  </w:r>
                  <w:r>
                    <w:rPr>
                      <w:rFonts w:hint="eastAsia"/>
                      <w:szCs w:val="21"/>
                      <w:lang w:eastAsia="zh-CN"/>
                    </w:rPr>
                    <w:t>清运</w:t>
                  </w:r>
                </w:p>
              </w:tc>
              <w:tc>
                <w:tcPr>
                  <w:tcW w:w="1133" w:type="dxa"/>
                  <w:shd w:val="clear" w:color="auto" w:fill="auto"/>
                  <w:noWrap w:val="0"/>
                  <w:vAlign w:val="center"/>
                </w:tcPr>
                <w:p w14:paraId="755CE844">
                  <w:pPr>
                    <w:keepNext w:val="0"/>
                    <w:keepLines w:val="0"/>
                    <w:pageBreakBefore w:val="0"/>
                    <w:widowControl w:val="0"/>
                    <w:bidi w:val="0"/>
                    <w:spacing w:beforeAutospacing="0" w:afterAutospacing="0"/>
                    <w:ind w:left="0" w:leftChars="0" w:right="0" w:rightChars="0"/>
                    <w:jc w:val="center"/>
                    <w:rPr>
                      <w:rFonts w:hint="default" w:ascii="Times New Roman" w:hAnsi="Times New Roman" w:eastAsia="宋体" w:cs="Times New Roman"/>
                      <w:b w:val="0"/>
                      <w:bCs w:val="0"/>
                      <w:color w:val="auto"/>
                      <w:kern w:val="2"/>
                      <w:sz w:val="21"/>
                      <w:szCs w:val="21"/>
                      <w:lang w:val="en-US" w:eastAsia="zh-CN" w:bidi="ar-SA"/>
                    </w:rPr>
                  </w:pPr>
                  <w:r>
                    <w:rPr>
                      <w:rFonts w:hint="eastAsia"/>
                      <w:color w:val="auto"/>
                      <w:szCs w:val="21"/>
                      <w:lang w:val="en-US" w:eastAsia="zh-CN"/>
                    </w:rPr>
                    <w:t>99.5t/a</w:t>
                  </w:r>
                </w:p>
              </w:tc>
            </w:tr>
            <w:tr w14:paraId="3EE67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202" w:type="pct"/>
                  <w:shd w:val="clear" w:color="auto" w:fill="auto"/>
                  <w:noWrap w:val="0"/>
                  <w:vAlign w:val="center"/>
                </w:tcPr>
                <w:p w14:paraId="5EDB586C">
                  <w:pPr>
                    <w:jc w:val="center"/>
                    <w:rPr>
                      <w:rFonts w:hint="default" w:ascii="Times New Roman" w:hAnsi="Times New Roman" w:cs="Times New Roman"/>
                      <w:b w:val="0"/>
                      <w:bCs w:val="0"/>
                      <w:color w:val="auto"/>
                      <w:sz w:val="21"/>
                      <w:szCs w:val="21"/>
                      <w:lang w:val="en-US" w:eastAsia="zh-CN"/>
                    </w:rPr>
                  </w:pPr>
                  <w:r>
                    <w:rPr>
                      <w:rFonts w:hint="eastAsia"/>
                      <w:color w:val="auto"/>
                      <w:szCs w:val="21"/>
                      <w:lang w:val="en-US" w:eastAsia="zh-CN"/>
                    </w:rPr>
                    <w:t>普通</w:t>
                  </w:r>
                  <w:r>
                    <w:rPr>
                      <w:rFonts w:hint="eastAsia"/>
                      <w:color w:val="auto"/>
                      <w:szCs w:val="21"/>
                      <w:lang w:eastAsia="zh-CN"/>
                    </w:rPr>
                    <w:t>废包装材料</w:t>
                  </w:r>
                </w:p>
              </w:tc>
              <w:tc>
                <w:tcPr>
                  <w:tcW w:w="828" w:type="pct"/>
                  <w:vMerge w:val="continue"/>
                  <w:tcBorders/>
                  <w:shd w:val="clear" w:color="auto" w:fill="auto"/>
                  <w:noWrap w:val="0"/>
                  <w:vAlign w:val="center"/>
                </w:tcPr>
                <w:p w14:paraId="68BB1C21">
                  <w:pPr>
                    <w:jc w:val="center"/>
                    <w:rPr>
                      <w:rFonts w:hint="default" w:ascii="Times New Roman" w:hAnsi="Times New Roman" w:cs="Times New Roman"/>
                      <w:b w:val="0"/>
                      <w:bCs w:val="0"/>
                      <w:color w:val="auto"/>
                      <w:sz w:val="21"/>
                      <w:szCs w:val="21"/>
                    </w:rPr>
                  </w:pPr>
                </w:p>
              </w:tc>
              <w:tc>
                <w:tcPr>
                  <w:tcW w:w="1054" w:type="dxa"/>
                  <w:shd w:val="clear" w:color="auto" w:fill="auto"/>
                  <w:noWrap w:val="0"/>
                  <w:vAlign w:val="center"/>
                </w:tcPr>
                <w:p w14:paraId="2E56B0AA">
                  <w:pPr>
                    <w:jc w:val="center"/>
                    <w:rPr>
                      <w:rFonts w:hint="default" w:cs="Times New Roman"/>
                      <w:b w:val="0"/>
                      <w:bCs w:val="0"/>
                      <w:color w:val="auto"/>
                      <w:sz w:val="21"/>
                      <w:szCs w:val="21"/>
                      <w:lang w:val="en-US" w:eastAsia="zh-CN"/>
                    </w:rPr>
                  </w:pPr>
                  <w:r>
                    <w:rPr>
                      <w:rFonts w:hint="eastAsia"/>
                      <w:color w:val="auto"/>
                      <w:szCs w:val="21"/>
                      <w:lang w:val="en-US" w:eastAsia="zh-CN"/>
                    </w:rPr>
                    <w:t>5t/a</w:t>
                  </w:r>
                </w:p>
              </w:tc>
              <w:tc>
                <w:tcPr>
                  <w:tcW w:w="2626" w:type="dxa"/>
                  <w:shd w:val="clear" w:color="auto" w:fill="auto"/>
                  <w:noWrap w:val="0"/>
                  <w:vAlign w:val="center"/>
                </w:tcPr>
                <w:p w14:paraId="4EAAA408">
                  <w:pPr>
                    <w:jc w:val="center"/>
                    <w:rPr>
                      <w:rFonts w:hint="eastAsia" w:cs="Times New Roman"/>
                      <w:color w:val="auto"/>
                      <w:sz w:val="21"/>
                      <w:szCs w:val="21"/>
                      <w:lang w:eastAsia="zh-CN"/>
                    </w:rPr>
                  </w:pPr>
                  <w:r>
                    <w:rPr>
                      <w:rFonts w:hint="eastAsia"/>
                      <w:color w:val="auto"/>
                      <w:szCs w:val="21"/>
                    </w:rPr>
                    <w:t>外售物资回收单位综合利用</w:t>
                  </w:r>
                </w:p>
              </w:tc>
              <w:tc>
                <w:tcPr>
                  <w:tcW w:w="1133" w:type="dxa"/>
                  <w:shd w:val="clear" w:color="auto" w:fill="auto"/>
                  <w:noWrap w:val="0"/>
                  <w:vAlign w:val="center"/>
                </w:tcPr>
                <w:p w14:paraId="10B2CB3D">
                  <w:pPr>
                    <w:jc w:val="center"/>
                    <w:rPr>
                      <w:rFonts w:hint="eastAsia" w:cs="Times New Roman"/>
                      <w:b w:val="0"/>
                      <w:bCs w:val="0"/>
                      <w:color w:val="auto"/>
                      <w:sz w:val="21"/>
                      <w:szCs w:val="21"/>
                      <w:lang w:val="en-US" w:eastAsia="zh-CN"/>
                    </w:rPr>
                  </w:pPr>
                  <w:r>
                    <w:rPr>
                      <w:rFonts w:hint="eastAsia"/>
                      <w:color w:val="auto"/>
                      <w:szCs w:val="21"/>
                      <w:lang w:val="en-US" w:eastAsia="zh-CN"/>
                    </w:rPr>
                    <w:t>5t/a</w:t>
                  </w:r>
                </w:p>
              </w:tc>
            </w:tr>
            <w:tr w14:paraId="2C350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202" w:type="pct"/>
                  <w:shd w:val="clear" w:color="auto" w:fill="auto"/>
                  <w:noWrap w:val="0"/>
                  <w:vAlign w:val="center"/>
                </w:tcPr>
                <w:p w14:paraId="2AFD19D3">
                  <w:pPr>
                    <w:jc w:val="center"/>
                    <w:rPr>
                      <w:rFonts w:hint="default" w:ascii="Times New Roman" w:hAnsi="Times New Roman" w:cs="Times New Roman"/>
                      <w:b w:val="0"/>
                      <w:bCs w:val="0"/>
                      <w:color w:val="auto"/>
                      <w:sz w:val="21"/>
                      <w:szCs w:val="21"/>
                      <w:lang w:val="en-US" w:eastAsia="zh-CN"/>
                    </w:rPr>
                  </w:pPr>
                  <w:r>
                    <w:rPr>
                      <w:rFonts w:hint="eastAsia"/>
                      <w:color w:val="auto"/>
                      <w:szCs w:val="21"/>
                      <w:lang w:val="en-US" w:eastAsia="zh-CN"/>
                    </w:rPr>
                    <w:t>医疗废物</w:t>
                  </w:r>
                </w:p>
              </w:tc>
              <w:tc>
                <w:tcPr>
                  <w:tcW w:w="828" w:type="pct"/>
                  <w:vMerge w:val="restart"/>
                  <w:shd w:val="clear" w:color="auto" w:fill="auto"/>
                  <w:noWrap w:val="0"/>
                  <w:vAlign w:val="center"/>
                </w:tcPr>
                <w:p w14:paraId="73AE51AF">
                  <w:pPr>
                    <w:jc w:val="center"/>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危险废物</w:t>
                  </w:r>
                </w:p>
              </w:tc>
              <w:tc>
                <w:tcPr>
                  <w:tcW w:w="1054" w:type="dxa"/>
                  <w:shd w:val="clear" w:color="auto" w:fill="auto"/>
                  <w:noWrap w:val="0"/>
                  <w:vAlign w:val="center"/>
                </w:tcPr>
                <w:p w14:paraId="06B236B5">
                  <w:pPr>
                    <w:jc w:val="center"/>
                    <w:rPr>
                      <w:rFonts w:hint="default" w:cs="Times New Roman"/>
                      <w:b w:val="0"/>
                      <w:bCs w:val="0"/>
                      <w:color w:val="auto"/>
                      <w:sz w:val="21"/>
                      <w:szCs w:val="21"/>
                      <w:lang w:val="en-US" w:eastAsia="zh-CN"/>
                    </w:rPr>
                  </w:pPr>
                  <w:r>
                    <w:rPr>
                      <w:rFonts w:hint="eastAsia"/>
                      <w:color w:val="auto"/>
                      <w:szCs w:val="21"/>
                      <w:highlight w:val="none"/>
                      <w:lang w:val="en-US" w:eastAsia="zh-CN"/>
                    </w:rPr>
                    <w:t>94.9t/a</w:t>
                  </w:r>
                </w:p>
              </w:tc>
              <w:tc>
                <w:tcPr>
                  <w:tcW w:w="1620" w:type="pct"/>
                  <w:vMerge w:val="restart"/>
                  <w:shd w:val="clear" w:color="auto" w:fill="auto"/>
                  <w:noWrap w:val="0"/>
                  <w:vAlign w:val="center"/>
                </w:tcPr>
                <w:p w14:paraId="1AF2C6B8">
                  <w:pPr>
                    <w:jc w:val="center"/>
                    <w:rPr>
                      <w:rFonts w:hint="default" w:ascii="Times New Roman" w:hAnsi="Times New Roman" w:cs="Times New Roman"/>
                      <w:b w:val="0"/>
                      <w:bCs w:val="0"/>
                      <w:color w:val="auto"/>
                      <w:sz w:val="21"/>
                      <w:szCs w:val="21"/>
                    </w:rPr>
                  </w:pPr>
                  <w:r>
                    <w:rPr>
                      <w:rFonts w:hint="eastAsia" w:cs="Times New Roman"/>
                      <w:color w:val="auto"/>
                      <w:sz w:val="21"/>
                      <w:szCs w:val="21"/>
                      <w:lang w:eastAsia="zh-CN"/>
                    </w:rPr>
                    <w:t>委托有资质单位处置</w:t>
                  </w:r>
                </w:p>
              </w:tc>
              <w:tc>
                <w:tcPr>
                  <w:tcW w:w="1133" w:type="dxa"/>
                  <w:shd w:val="clear" w:color="auto" w:fill="auto"/>
                  <w:noWrap w:val="0"/>
                  <w:vAlign w:val="center"/>
                </w:tcPr>
                <w:p w14:paraId="68FF61B3">
                  <w:pPr>
                    <w:jc w:val="center"/>
                    <w:rPr>
                      <w:rFonts w:hint="eastAsia" w:cs="Times New Roman"/>
                      <w:b w:val="0"/>
                      <w:bCs w:val="0"/>
                      <w:color w:val="auto"/>
                      <w:sz w:val="21"/>
                      <w:szCs w:val="21"/>
                      <w:lang w:val="en-US" w:eastAsia="zh-CN"/>
                    </w:rPr>
                  </w:pPr>
                  <w:r>
                    <w:rPr>
                      <w:rFonts w:hint="eastAsia"/>
                      <w:color w:val="auto"/>
                      <w:szCs w:val="21"/>
                      <w:highlight w:val="none"/>
                      <w:lang w:val="en-US" w:eastAsia="zh-CN"/>
                    </w:rPr>
                    <w:t>94.9t/a</w:t>
                  </w:r>
                </w:p>
              </w:tc>
            </w:tr>
            <w:tr w14:paraId="3670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202" w:type="pct"/>
                  <w:shd w:val="clear" w:color="auto" w:fill="auto"/>
                  <w:noWrap w:val="0"/>
                  <w:vAlign w:val="center"/>
                </w:tcPr>
                <w:p w14:paraId="1478E7AE">
                  <w:pPr>
                    <w:jc w:val="center"/>
                    <w:rPr>
                      <w:rFonts w:hint="eastAsia" w:ascii="Times New Roman" w:hAnsi="Times New Roman" w:cs="Times New Roman"/>
                      <w:b w:val="0"/>
                      <w:bCs w:val="0"/>
                      <w:color w:val="auto"/>
                      <w:sz w:val="21"/>
                      <w:szCs w:val="21"/>
                      <w:lang w:val="en-US" w:eastAsia="zh-CN"/>
                    </w:rPr>
                  </w:pPr>
                  <w:r>
                    <w:rPr>
                      <w:rFonts w:hint="eastAsia"/>
                      <w:color w:val="auto"/>
                      <w:szCs w:val="21"/>
                      <w:lang w:val="en-US" w:eastAsia="zh-CN"/>
                    </w:rPr>
                    <w:t>危险废包装物</w:t>
                  </w:r>
                </w:p>
              </w:tc>
              <w:tc>
                <w:tcPr>
                  <w:tcW w:w="828" w:type="pct"/>
                  <w:vMerge w:val="continue"/>
                  <w:tcBorders/>
                  <w:shd w:val="clear" w:color="auto" w:fill="auto"/>
                  <w:noWrap w:val="0"/>
                  <w:vAlign w:val="center"/>
                </w:tcPr>
                <w:p w14:paraId="4856002F">
                  <w:pPr>
                    <w:jc w:val="center"/>
                    <w:rPr>
                      <w:rFonts w:hint="default" w:ascii="Times New Roman" w:hAnsi="Times New Roman" w:cs="Times New Roman"/>
                      <w:b w:val="0"/>
                      <w:bCs w:val="0"/>
                      <w:color w:val="auto"/>
                      <w:sz w:val="21"/>
                      <w:szCs w:val="21"/>
                    </w:rPr>
                  </w:pPr>
                </w:p>
              </w:tc>
              <w:tc>
                <w:tcPr>
                  <w:tcW w:w="1054" w:type="dxa"/>
                  <w:shd w:val="clear" w:color="auto" w:fill="auto"/>
                  <w:noWrap w:val="0"/>
                  <w:vAlign w:val="center"/>
                </w:tcPr>
                <w:p w14:paraId="3D992A52">
                  <w:pPr>
                    <w:jc w:val="center"/>
                    <w:rPr>
                      <w:rFonts w:hint="default" w:cs="Times New Roman"/>
                      <w:b w:val="0"/>
                      <w:bCs w:val="0"/>
                      <w:color w:val="auto"/>
                      <w:sz w:val="21"/>
                      <w:szCs w:val="21"/>
                      <w:lang w:val="en-US" w:eastAsia="zh-CN"/>
                    </w:rPr>
                  </w:pPr>
                  <w:r>
                    <w:rPr>
                      <w:rFonts w:hint="eastAsia"/>
                      <w:color w:val="auto"/>
                      <w:szCs w:val="21"/>
                      <w:lang w:val="en-US" w:eastAsia="zh-CN"/>
                    </w:rPr>
                    <w:t>0.45t/a</w:t>
                  </w:r>
                </w:p>
              </w:tc>
              <w:tc>
                <w:tcPr>
                  <w:tcW w:w="1620" w:type="pct"/>
                  <w:vMerge w:val="continue"/>
                  <w:tcBorders/>
                  <w:shd w:val="clear" w:color="auto" w:fill="auto"/>
                  <w:noWrap w:val="0"/>
                  <w:vAlign w:val="center"/>
                </w:tcPr>
                <w:p w14:paraId="1D3941C0">
                  <w:pPr>
                    <w:jc w:val="center"/>
                    <w:rPr>
                      <w:rFonts w:hint="eastAsia" w:cs="Times New Roman"/>
                      <w:color w:val="auto"/>
                      <w:sz w:val="21"/>
                      <w:szCs w:val="21"/>
                      <w:lang w:eastAsia="zh-CN"/>
                    </w:rPr>
                  </w:pPr>
                </w:p>
              </w:tc>
              <w:tc>
                <w:tcPr>
                  <w:tcW w:w="1133" w:type="dxa"/>
                  <w:shd w:val="clear" w:color="auto" w:fill="auto"/>
                  <w:noWrap w:val="0"/>
                  <w:vAlign w:val="center"/>
                </w:tcPr>
                <w:p w14:paraId="2BBC7342">
                  <w:pPr>
                    <w:jc w:val="center"/>
                    <w:rPr>
                      <w:rFonts w:hint="eastAsia" w:cs="Times New Roman"/>
                      <w:b w:val="0"/>
                      <w:bCs w:val="0"/>
                      <w:color w:val="auto"/>
                      <w:sz w:val="21"/>
                      <w:szCs w:val="21"/>
                      <w:lang w:val="en-US" w:eastAsia="zh-CN"/>
                    </w:rPr>
                  </w:pPr>
                  <w:r>
                    <w:rPr>
                      <w:rFonts w:hint="eastAsia"/>
                      <w:color w:val="auto"/>
                      <w:szCs w:val="21"/>
                      <w:lang w:val="en-US" w:eastAsia="zh-CN"/>
                    </w:rPr>
                    <w:t>0.45t/a</w:t>
                  </w:r>
                </w:p>
              </w:tc>
            </w:tr>
            <w:tr w14:paraId="0D18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202" w:type="pct"/>
                  <w:shd w:val="clear" w:color="auto" w:fill="auto"/>
                  <w:noWrap w:val="0"/>
                  <w:vAlign w:val="center"/>
                </w:tcPr>
                <w:p w14:paraId="0D007B9D">
                  <w:pPr>
                    <w:jc w:val="center"/>
                    <w:rPr>
                      <w:rFonts w:hint="default" w:ascii="Times New Roman" w:hAnsi="Times New Roman" w:eastAsia="宋体" w:cs="Times New Roman"/>
                      <w:b w:val="0"/>
                      <w:bCs w:val="0"/>
                      <w:color w:val="auto"/>
                      <w:sz w:val="21"/>
                      <w:szCs w:val="21"/>
                      <w:lang w:val="en-US" w:eastAsia="zh-CN"/>
                    </w:rPr>
                  </w:pPr>
                  <w:r>
                    <w:rPr>
                      <w:rFonts w:hint="eastAsia"/>
                      <w:color w:val="auto"/>
                      <w:szCs w:val="21"/>
                      <w:lang w:val="en-US" w:eastAsia="zh-CN"/>
                    </w:rPr>
                    <w:t>废UV灯管</w:t>
                  </w:r>
                </w:p>
              </w:tc>
              <w:tc>
                <w:tcPr>
                  <w:tcW w:w="828" w:type="pct"/>
                  <w:vMerge w:val="continue"/>
                  <w:tcBorders/>
                  <w:shd w:val="clear" w:color="auto" w:fill="auto"/>
                  <w:noWrap w:val="0"/>
                  <w:vAlign w:val="center"/>
                </w:tcPr>
                <w:p w14:paraId="3F9D84BA">
                  <w:pPr>
                    <w:jc w:val="center"/>
                    <w:rPr>
                      <w:rFonts w:hint="default" w:ascii="Times New Roman" w:hAnsi="Times New Roman" w:cs="Times New Roman"/>
                      <w:b w:val="0"/>
                      <w:bCs w:val="0"/>
                      <w:color w:val="auto"/>
                      <w:sz w:val="21"/>
                      <w:szCs w:val="21"/>
                    </w:rPr>
                  </w:pPr>
                </w:p>
              </w:tc>
              <w:tc>
                <w:tcPr>
                  <w:tcW w:w="1054" w:type="dxa"/>
                  <w:shd w:val="clear" w:color="auto" w:fill="auto"/>
                  <w:noWrap w:val="0"/>
                  <w:vAlign w:val="center"/>
                </w:tcPr>
                <w:p w14:paraId="3F4091AD">
                  <w:pPr>
                    <w:jc w:val="center"/>
                    <w:rPr>
                      <w:rFonts w:hint="default" w:ascii="Times New Roman" w:hAnsi="Times New Roman" w:cs="Times New Roman"/>
                      <w:b w:val="0"/>
                      <w:bCs w:val="0"/>
                      <w:color w:val="auto"/>
                      <w:sz w:val="21"/>
                      <w:szCs w:val="21"/>
                      <w:lang w:val="en-US"/>
                    </w:rPr>
                  </w:pPr>
                  <w:r>
                    <w:rPr>
                      <w:rFonts w:hint="eastAsia"/>
                      <w:color w:val="auto"/>
                      <w:szCs w:val="21"/>
                      <w:lang w:val="en-US" w:eastAsia="zh-CN"/>
                    </w:rPr>
                    <w:t>0.05t/a</w:t>
                  </w:r>
                </w:p>
              </w:tc>
              <w:tc>
                <w:tcPr>
                  <w:tcW w:w="1620" w:type="pct"/>
                  <w:vMerge w:val="continue"/>
                  <w:tcBorders/>
                  <w:shd w:val="clear" w:color="auto" w:fill="auto"/>
                  <w:noWrap w:val="0"/>
                  <w:vAlign w:val="center"/>
                </w:tcPr>
                <w:p w14:paraId="4602DF19">
                  <w:pPr>
                    <w:jc w:val="center"/>
                    <w:rPr>
                      <w:rFonts w:hint="default" w:ascii="Times New Roman" w:hAnsi="Times New Roman" w:cs="Times New Roman"/>
                      <w:b w:val="0"/>
                      <w:bCs w:val="0"/>
                      <w:color w:val="auto"/>
                      <w:sz w:val="21"/>
                      <w:szCs w:val="21"/>
                      <w:lang w:val="en-US"/>
                    </w:rPr>
                  </w:pPr>
                </w:p>
              </w:tc>
              <w:tc>
                <w:tcPr>
                  <w:tcW w:w="1133" w:type="dxa"/>
                  <w:shd w:val="clear" w:color="auto" w:fill="auto"/>
                  <w:noWrap w:val="0"/>
                  <w:vAlign w:val="center"/>
                </w:tcPr>
                <w:p w14:paraId="1D6180C6">
                  <w:pPr>
                    <w:jc w:val="center"/>
                    <w:rPr>
                      <w:rFonts w:hint="default" w:ascii="Times New Roman" w:hAnsi="Times New Roman" w:eastAsia="宋体" w:cs="Times New Roman"/>
                      <w:b w:val="0"/>
                      <w:bCs w:val="0"/>
                      <w:color w:val="auto"/>
                      <w:kern w:val="2"/>
                      <w:sz w:val="21"/>
                      <w:szCs w:val="21"/>
                      <w:lang w:val="en-US" w:eastAsia="zh-CN" w:bidi="ar-SA"/>
                    </w:rPr>
                  </w:pPr>
                  <w:r>
                    <w:rPr>
                      <w:rFonts w:hint="eastAsia"/>
                      <w:color w:val="auto"/>
                      <w:szCs w:val="21"/>
                      <w:lang w:val="en-US" w:eastAsia="zh-CN"/>
                    </w:rPr>
                    <w:t>0.05t/a</w:t>
                  </w:r>
                </w:p>
              </w:tc>
            </w:tr>
            <w:tr w14:paraId="1914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202" w:type="pct"/>
                  <w:shd w:val="clear" w:color="auto" w:fill="auto"/>
                  <w:noWrap w:val="0"/>
                  <w:vAlign w:val="center"/>
                </w:tcPr>
                <w:p w14:paraId="77F5B1BB">
                  <w:pPr>
                    <w:jc w:val="center"/>
                    <w:rPr>
                      <w:rFonts w:hint="default" w:ascii="Times New Roman" w:hAnsi="Times New Roman" w:eastAsia="宋体" w:cs="Times New Roman"/>
                      <w:b w:val="0"/>
                      <w:bCs w:val="0"/>
                      <w:color w:val="auto"/>
                      <w:kern w:val="2"/>
                      <w:sz w:val="21"/>
                      <w:szCs w:val="21"/>
                      <w:lang w:val="en-US" w:eastAsia="zh-CN" w:bidi="ar-SA"/>
                    </w:rPr>
                  </w:pPr>
                  <w:r>
                    <w:rPr>
                      <w:rFonts w:hint="eastAsia"/>
                      <w:color w:val="auto"/>
                      <w:szCs w:val="21"/>
                      <w:lang w:val="en-US" w:eastAsia="zh-CN"/>
                    </w:rPr>
                    <w:t>废紫外灯</w:t>
                  </w:r>
                </w:p>
              </w:tc>
              <w:tc>
                <w:tcPr>
                  <w:tcW w:w="828" w:type="pct"/>
                  <w:vMerge w:val="continue"/>
                  <w:tcBorders/>
                  <w:shd w:val="clear" w:color="auto" w:fill="auto"/>
                  <w:noWrap w:val="0"/>
                  <w:vAlign w:val="center"/>
                </w:tcPr>
                <w:p w14:paraId="02B3C2B8">
                  <w:pPr>
                    <w:jc w:val="center"/>
                    <w:rPr>
                      <w:rFonts w:hint="default" w:ascii="Times New Roman" w:hAnsi="Times New Roman" w:cs="Times New Roman"/>
                      <w:b w:val="0"/>
                      <w:bCs w:val="0"/>
                      <w:color w:val="auto"/>
                      <w:sz w:val="21"/>
                      <w:szCs w:val="21"/>
                    </w:rPr>
                  </w:pPr>
                </w:p>
              </w:tc>
              <w:tc>
                <w:tcPr>
                  <w:tcW w:w="1054" w:type="dxa"/>
                  <w:shd w:val="clear" w:color="auto" w:fill="auto"/>
                  <w:noWrap w:val="0"/>
                  <w:vAlign w:val="center"/>
                </w:tcPr>
                <w:p w14:paraId="25EB8F75">
                  <w:pPr>
                    <w:jc w:val="center"/>
                    <w:rPr>
                      <w:rFonts w:hint="default" w:ascii="Times New Roman" w:hAnsi="Times New Roman" w:cs="Times New Roman"/>
                      <w:b w:val="0"/>
                      <w:bCs w:val="0"/>
                      <w:color w:val="auto"/>
                      <w:sz w:val="21"/>
                      <w:szCs w:val="21"/>
                      <w:lang w:val="en-US" w:eastAsia="zh-CN"/>
                    </w:rPr>
                  </w:pPr>
                  <w:r>
                    <w:rPr>
                      <w:rFonts w:hint="eastAsia"/>
                      <w:color w:val="auto"/>
                      <w:szCs w:val="21"/>
                      <w:lang w:val="en-US" w:eastAsia="zh-CN"/>
                    </w:rPr>
                    <w:t>0.4t/a</w:t>
                  </w:r>
                </w:p>
              </w:tc>
              <w:tc>
                <w:tcPr>
                  <w:tcW w:w="1620" w:type="pct"/>
                  <w:vMerge w:val="continue"/>
                  <w:tcBorders/>
                  <w:shd w:val="clear" w:color="auto" w:fill="auto"/>
                  <w:noWrap w:val="0"/>
                  <w:vAlign w:val="center"/>
                </w:tcPr>
                <w:p w14:paraId="59EFE3B4">
                  <w:pPr>
                    <w:jc w:val="center"/>
                    <w:rPr>
                      <w:rFonts w:hint="default" w:ascii="Times New Roman" w:hAnsi="Times New Roman" w:cs="Times New Roman"/>
                      <w:b w:val="0"/>
                      <w:bCs w:val="0"/>
                      <w:color w:val="auto"/>
                      <w:sz w:val="21"/>
                      <w:szCs w:val="21"/>
                    </w:rPr>
                  </w:pPr>
                </w:p>
              </w:tc>
              <w:tc>
                <w:tcPr>
                  <w:tcW w:w="1133" w:type="dxa"/>
                  <w:shd w:val="clear" w:color="auto" w:fill="auto"/>
                  <w:noWrap w:val="0"/>
                  <w:vAlign w:val="center"/>
                </w:tcPr>
                <w:p w14:paraId="1A64C8F8">
                  <w:pPr>
                    <w:jc w:val="center"/>
                    <w:rPr>
                      <w:rFonts w:hint="default" w:ascii="Times New Roman" w:hAnsi="Times New Roman" w:eastAsia="宋体" w:cs="Times New Roman"/>
                      <w:b w:val="0"/>
                      <w:bCs w:val="0"/>
                      <w:color w:val="auto"/>
                      <w:kern w:val="2"/>
                      <w:sz w:val="21"/>
                      <w:szCs w:val="21"/>
                      <w:lang w:val="en-US" w:eastAsia="zh-CN" w:bidi="ar-SA"/>
                    </w:rPr>
                  </w:pPr>
                  <w:r>
                    <w:rPr>
                      <w:rFonts w:hint="eastAsia"/>
                      <w:color w:val="auto"/>
                      <w:szCs w:val="21"/>
                      <w:lang w:val="en-US" w:eastAsia="zh-CN"/>
                    </w:rPr>
                    <w:t>0.4t/a</w:t>
                  </w:r>
                </w:p>
              </w:tc>
            </w:tr>
            <w:tr w14:paraId="08199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202" w:type="pct"/>
                  <w:shd w:val="clear" w:color="auto" w:fill="auto"/>
                  <w:noWrap w:val="0"/>
                  <w:vAlign w:val="center"/>
                </w:tcPr>
                <w:p w14:paraId="34587BF6">
                  <w:pPr>
                    <w:jc w:val="center"/>
                    <w:rPr>
                      <w:rFonts w:hint="default" w:ascii="Times New Roman" w:hAnsi="Times New Roman" w:eastAsia="宋体" w:cs="Times New Roman"/>
                      <w:b w:val="0"/>
                      <w:bCs w:val="0"/>
                      <w:color w:val="auto"/>
                      <w:sz w:val="21"/>
                      <w:szCs w:val="21"/>
                      <w:lang w:val="en-US" w:eastAsia="zh-CN"/>
                    </w:rPr>
                  </w:pPr>
                  <w:r>
                    <w:rPr>
                      <w:rFonts w:hint="eastAsia"/>
                      <w:color w:val="auto"/>
                      <w:szCs w:val="21"/>
                      <w:lang w:val="en-US" w:eastAsia="zh-CN"/>
                    </w:rPr>
                    <w:t>污水处理站污泥</w:t>
                  </w:r>
                </w:p>
              </w:tc>
              <w:tc>
                <w:tcPr>
                  <w:tcW w:w="828" w:type="pct"/>
                  <w:vMerge w:val="continue"/>
                  <w:tcBorders/>
                  <w:shd w:val="clear" w:color="auto" w:fill="auto"/>
                  <w:noWrap w:val="0"/>
                  <w:vAlign w:val="center"/>
                </w:tcPr>
                <w:p w14:paraId="65BB14CC">
                  <w:pPr>
                    <w:jc w:val="center"/>
                    <w:rPr>
                      <w:rFonts w:hint="default" w:ascii="Times New Roman" w:hAnsi="Times New Roman" w:cs="Times New Roman"/>
                      <w:b w:val="0"/>
                      <w:bCs w:val="0"/>
                      <w:color w:val="auto"/>
                      <w:sz w:val="21"/>
                      <w:szCs w:val="21"/>
                    </w:rPr>
                  </w:pPr>
                </w:p>
              </w:tc>
              <w:tc>
                <w:tcPr>
                  <w:tcW w:w="1054" w:type="dxa"/>
                  <w:shd w:val="clear" w:color="auto" w:fill="auto"/>
                  <w:noWrap w:val="0"/>
                  <w:vAlign w:val="center"/>
                </w:tcPr>
                <w:p w14:paraId="485FCB2B">
                  <w:pPr>
                    <w:jc w:val="center"/>
                    <w:rPr>
                      <w:rFonts w:hint="default" w:ascii="Times New Roman" w:hAnsi="Times New Roman" w:cs="Times New Roman"/>
                      <w:b w:val="0"/>
                      <w:bCs w:val="0"/>
                      <w:color w:val="auto"/>
                      <w:sz w:val="21"/>
                      <w:szCs w:val="21"/>
                      <w:lang w:val="en-US" w:eastAsia="zh-CN"/>
                    </w:rPr>
                  </w:pPr>
                  <w:r>
                    <w:rPr>
                      <w:rFonts w:hint="eastAsia"/>
                      <w:color w:val="auto"/>
                      <w:szCs w:val="21"/>
                      <w:lang w:val="en-US" w:eastAsia="zh-CN"/>
                    </w:rPr>
                    <w:t>10.9t/a</w:t>
                  </w:r>
                </w:p>
              </w:tc>
              <w:tc>
                <w:tcPr>
                  <w:tcW w:w="1620" w:type="pct"/>
                  <w:vMerge w:val="continue"/>
                  <w:tcBorders/>
                  <w:shd w:val="clear" w:color="auto" w:fill="auto"/>
                  <w:noWrap w:val="0"/>
                  <w:vAlign w:val="center"/>
                </w:tcPr>
                <w:p w14:paraId="63463CE5">
                  <w:pPr>
                    <w:jc w:val="center"/>
                    <w:rPr>
                      <w:rFonts w:hint="default" w:ascii="Times New Roman" w:hAnsi="Times New Roman" w:cs="Times New Roman"/>
                      <w:b w:val="0"/>
                      <w:bCs w:val="0"/>
                      <w:color w:val="auto"/>
                      <w:sz w:val="21"/>
                      <w:szCs w:val="21"/>
                    </w:rPr>
                  </w:pPr>
                </w:p>
              </w:tc>
              <w:tc>
                <w:tcPr>
                  <w:tcW w:w="1133" w:type="dxa"/>
                  <w:shd w:val="clear" w:color="auto" w:fill="auto"/>
                  <w:noWrap w:val="0"/>
                  <w:vAlign w:val="center"/>
                </w:tcPr>
                <w:p w14:paraId="11F40121">
                  <w:pPr>
                    <w:jc w:val="center"/>
                    <w:rPr>
                      <w:rFonts w:hint="default" w:ascii="Times New Roman" w:hAnsi="Times New Roman" w:cs="Times New Roman"/>
                      <w:b w:val="0"/>
                      <w:bCs w:val="0"/>
                      <w:color w:val="auto"/>
                      <w:sz w:val="21"/>
                      <w:szCs w:val="21"/>
                      <w:lang w:val="en-US" w:eastAsia="zh-CN"/>
                    </w:rPr>
                  </w:pPr>
                  <w:r>
                    <w:rPr>
                      <w:rFonts w:hint="eastAsia"/>
                      <w:color w:val="auto"/>
                      <w:szCs w:val="21"/>
                      <w:lang w:val="en-US" w:eastAsia="zh-CN"/>
                    </w:rPr>
                    <w:t>10.9t/a</w:t>
                  </w:r>
                </w:p>
              </w:tc>
            </w:tr>
          </w:tbl>
          <w:p w14:paraId="0EB05F5D">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kern w:val="0"/>
                <w:sz w:val="21"/>
                <w:szCs w:val="21"/>
              </w:rPr>
            </w:pPr>
          </w:p>
        </w:tc>
      </w:tr>
      <w:tr w14:paraId="12BB75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4" w:type="pct"/>
            <w:noWrap w:val="0"/>
            <w:vAlign w:val="center"/>
          </w:tcPr>
          <w:p w14:paraId="698D1E93">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土壤及地下水污染防治措施</w:t>
            </w:r>
          </w:p>
        </w:tc>
        <w:tc>
          <w:tcPr>
            <w:tcW w:w="4485" w:type="pct"/>
            <w:gridSpan w:val="4"/>
            <w:noWrap w:val="0"/>
            <w:vAlign w:val="center"/>
          </w:tcPr>
          <w:p w14:paraId="41819FB9">
            <w:pPr>
              <w:adjustRightInd w:val="0"/>
              <w:snapToGrid w:val="0"/>
              <w:jc w:val="both"/>
              <w:rPr>
                <w:rFonts w:hint="default" w:ascii="Times New Roman" w:hAnsi="Times New Roman" w:cs="Times New Roman"/>
                <w:b w:val="0"/>
                <w:bCs w:val="0"/>
                <w:color w:val="auto"/>
                <w:kern w:val="0"/>
                <w:sz w:val="21"/>
                <w:szCs w:val="21"/>
              </w:rPr>
            </w:pPr>
            <w:r>
              <w:rPr>
                <w:rFonts w:hint="default" w:ascii="Times New Roman" w:hAnsi="Times New Roman" w:eastAsia="宋体" w:cs="Times New Roman"/>
                <w:color w:val="000000"/>
                <w:kern w:val="2"/>
                <w:sz w:val="21"/>
                <w:szCs w:val="21"/>
                <w:highlight w:val="none"/>
                <w:lang w:val="en-US" w:eastAsia="zh-CN" w:bidi="ar-SA"/>
              </w:rPr>
              <w:t>经现场勘察，</w:t>
            </w:r>
            <w:r>
              <w:rPr>
                <w:rFonts w:hint="eastAsia" w:cs="Times New Roman"/>
                <w:color w:val="000000"/>
                <w:kern w:val="2"/>
                <w:sz w:val="21"/>
                <w:szCs w:val="21"/>
                <w:highlight w:val="none"/>
                <w:lang w:val="en-US" w:eastAsia="zh-CN" w:bidi="ar-SA"/>
              </w:rPr>
              <w:t>现有</w:t>
            </w:r>
            <w:r>
              <w:rPr>
                <w:rFonts w:hint="eastAsia" w:eastAsia="宋体" w:cs="Times New Roman"/>
                <w:color w:val="000000"/>
                <w:kern w:val="2"/>
                <w:sz w:val="21"/>
                <w:szCs w:val="21"/>
                <w:highlight w:val="none"/>
                <w:lang w:val="en-US" w:eastAsia="zh-CN" w:bidi="ar-SA"/>
              </w:rPr>
              <w:t>危废暂存间、污水处理站</w:t>
            </w:r>
            <w:r>
              <w:rPr>
                <w:rFonts w:hint="default" w:ascii="Times New Roman" w:hAnsi="Times New Roman" w:eastAsia="宋体" w:cs="Times New Roman"/>
                <w:color w:val="000000"/>
                <w:kern w:val="2"/>
                <w:sz w:val="21"/>
                <w:szCs w:val="21"/>
                <w:highlight w:val="none"/>
                <w:lang w:val="en-US" w:eastAsia="zh-CN" w:bidi="ar-SA"/>
              </w:rPr>
              <w:t>防渗防漏措施良好</w:t>
            </w:r>
            <w:r>
              <w:rPr>
                <w:rFonts w:hint="eastAsia" w:cs="Times New Roman"/>
                <w:color w:val="000000"/>
                <w:kern w:val="2"/>
                <w:sz w:val="21"/>
                <w:szCs w:val="21"/>
                <w:highlight w:val="none"/>
                <w:lang w:val="en-US" w:eastAsia="zh-CN" w:bidi="ar-SA"/>
              </w:rPr>
              <w:t>，</w:t>
            </w:r>
            <w:r>
              <w:rPr>
                <w:rFonts w:hint="default" w:ascii="Times New Roman" w:hAnsi="Times New Roman" w:eastAsia="宋体" w:cs="Times New Roman"/>
                <w:color w:val="000000"/>
                <w:kern w:val="2"/>
                <w:sz w:val="21"/>
                <w:szCs w:val="21"/>
                <w:highlight w:val="none"/>
                <w:lang w:val="en-US" w:eastAsia="zh-CN" w:bidi="ar-SA"/>
              </w:rPr>
              <w:t>本项目不会对地下水及土壤产生污染</w:t>
            </w:r>
            <w:r>
              <w:rPr>
                <w:rFonts w:hint="eastAsia" w:cs="Times New Roman"/>
                <w:color w:val="auto"/>
                <w:szCs w:val="21"/>
                <w:lang w:val="en-US" w:eastAsia="zh-CN"/>
              </w:rPr>
              <w:t>。</w:t>
            </w:r>
          </w:p>
        </w:tc>
      </w:tr>
      <w:tr w14:paraId="46C130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4" w:type="pct"/>
            <w:noWrap w:val="0"/>
            <w:vAlign w:val="center"/>
          </w:tcPr>
          <w:p w14:paraId="057DD3D7">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生态保护措施</w:t>
            </w:r>
          </w:p>
        </w:tc>
        <w:tc>
          <w:tcPr>
            <w:tcW w:w="4485" w:type="pct"/>
            <w:gridSpan w:val="4"/>
            <w:noWrap w:val="0"/>
            <w:vAlign w:val="center"/>
          </w:tcPr>
          <w:p w14:paraId="4694B932">
            <w:pPr>
              <w:adjustRightInd w:val="0"/>
              <w:snapToGrid w:val="0"/>
              <w:jc w:val="center"/>
              <w:rPr>
                <w:rFonts w:hint="default" w:ascii="Times New Roman" w:hAnsi="Times New Roman" w:cs="Times New Roman"/>
                <w:b w:val="0"/>
                <w:bCs w:val="0"/>
                <w:color w:val="auto"/>
                <w:kern w:val="0"/>
                <w:sz w:val="21"/>
                <w:szCs w:val="21"/>
              </w:rPr>
            </w:pPr>
            <w:r>
              <w:rPr>
                <w:rFonts w:hint="default" w:ascii="Times New Roman" w:hAnsi="Times New Roman" w:cs="Times New Roman"/>
                <w:b w:val="0"/>
                <w:bCs w:val="0"/>
                <w:color w:val="auto"/>
                <w:sz w:val="21"/>
                <w:szCs w:val="21"/>
              </w:rPr>
              <w:t>无</w:t>
            </w:r>
          </w:p>
        </w:tc>
      </w:tr>
      <w:tr w14:paraId="6E70BC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4" w:type="pct"/>
            <w:noWrap w:val="0"/>
            <w:vAlign w:val="center"/>
          </w:tcPr>
          <w:p w14:paraId="62E9162F">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spacing w:val="-8"/>
                <w:sz w:val="21"/>
                <w:szCs w:val="21"/>
              </w:rPr>
            </w:pPr>
            <w:r>
              <w:rPr>
                <w:rFonts w:hint="default" w:ascii="Times New Roman" w:hAnsi="Times New Roman" w:cs="Times New Roman"/>
                <w:b w:val="0"/>
                <w:bCs w:val="0"/>
                <w:color w:val="auto"/>
                <w:spacing w:val="-8"/>
                <w:sz w:val="21"/>
                <w:szCs w:val="21"/>
              </w:rPr>
              <w:t>环境风险防范措施</w:t>
            </w:r>
          </w:p>
        </w:tc>
        <w:tc>
          <w:tcPr>
            <w:tcW w:w="4485" w:type="pct"/>
            <w:gridSpan w:val="4"/>
            <w:noWrap w:val="0"/>
            <w:vAlign w:val="center"/>
          </w:tcPr>
          <w:p w14:paraId="153FBD8E">
            <w:pPr>
              <w:keepNext w:val="0"/>
              <w:keepLines w:val="0"/>
              <w:pageBreakBefore w:val="0"/>
              <w:widowControl w:val="0"/>
              <w:kinsoku/>
              <w:wordWrap/>
              <w:overflowPunct/>
              <w:topLinePunct w:val="0"/>
              <w:bidi w:val="0"/>
              <w:adjustRightInd w:val="0"/>
              <w:snapToGrid w:val="0"/>
              <w:spacing w:line="240" w:lineRule="auto"/>
              <w:jc w:val="left"/>
              <w:textAlignment w:val="auto"/>
              <w:rPr>
                <w:rFonts w:ascii="Times New Roman" w:hAnsi="Times New Roman"/>
                <w:szCs w:val="21"/>
              </w:rPr>
            </w:pPr>
            <w:r>
              <w:rPr>
                <w:rFonts w:ascii="Times New Roman" w:hAnsi="Times New Roman"/>
                <w:szCs w:val="21"/>
              </w:rPr>
              <w:t>加强贮存、运输过程中的风险防范措施；</w:t>
            </w:r>
          </w:p>
          <w:p w14:paraId="039F7122">
            <w:pPr>
              <w:keepNext w:val="0"/>
              <w:keepLines w:val="0"/>
              <w:pageBreakBefore w:val="0"/>
              <w:widowControl w:val="0"/>
              <w:kinsoku/>
              <w:wordWrap/>
              <w:overflowPunct/>
              <w:topLinePunct w:val="0"/>
              <w:bidi w:val="0"/>
              <w:adjustRightInd w:val="0"/>
              <w:snapToGrid w:val="0"/>
              <w:spacing w:line="240" w:lineRule="auto"/>
              <w:jc w:val="left"/>
              <w:textAlignment w:val="auto"/>
              <w:rPr>
                <w:rFonts w:ascii="Times New Roman" w:hAnsi="Times New Roman"/>
                <w:szCs w:val="21"/>
              </w:rPr>
            </w:pPr>
            <w:r>
              <w:rPr>
                <w:rFonts w:ascii="Times New Roman" w:hAnsi="Times New Roman"/>
                <w:szCs w:val="21"/>
              </w:rPr>
              <w:t>建立专门的环保管理机构，配备管理人员，通过技能培训，承担环保工作；</w:t>
            </w:r>
          </w:p>
          <w:p w14:paraId="0A971BF7">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default" w:ascii="Times New Roman" w:hAnsi="Times New Roman" w:cs="Times New Roman"/>
                <w:b w:val="0"/>
                <w:bCs w:val="0"/>
                <w:color w:val="auto"/>
                <w:kern w:val="0"/>
                <w:sz w:val="21"/>
                <w:szCs w:val="21"/>
              </w:rPr>
            </w:pPr>
            <w:r>
              <w:rPr>
                <w:rFonts w:ascii="Times New Roman" w:hAnsi="Times New Roman"/>
              </w:rPr>
              <w:t>风险物质操作岗位操作人员必须进行岗前专业技能和安全培训，做到懂得本岗位的消防措施</w:t>
            </w:r>
            <w:r>
              <w:rPr>
                <w:rFonts w:hint="eastAsia"/>
                <w:lang w:eastAsia="zh-CN"/>
              </w:rPr>
              <w:t>。</w:t>
            </w:r>
          </w:p>
        </w:tc>
      </w:tr>
      <w:tr w14:paraId="5B951C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2" w:hRule="atLeast"/>
          <w:jc w:val="center"/>
        </w:trPr>
        <w:tc>
          <w:tcPr>
            <w:tcW w:w="514" w:type="pct"/>
            <w:noWrap w:val="0"/>
            <w:vAlign w:val="center"/>
          </w:tcPr>
          <w:p w14:paraId="77DD04B2">
            <w:pPr>
              <w:keepNext w:val="0"/>
              <w:keepLines w:val="0"/>
              <w:pageBreakBefore w:val="0"/>
              <w:kinsoku/>
              <w:wordWrap/>
              <w:overflowPunct/>
              <w:topLinePunct w:val="0"/>
              <w:autoSpaceDE/>
              <w:autoSpaceDN/>
              <w:bidi w:val="0"/>
              <w:adjustRightInd w:val="0"/>
              <w:snapToGrid w:val="0"/>
              <w:ind w:firstLine="0"/>
              <w:jc w:val="center"/>
              <w:textAlignment w:val="auto"/>
              <w:rPr>
                <w:rFonts w:hint="default" w:ascii="Times New Roman" w:hAnsi="Times New Roman" w:cs="Times New Roman"/>
                <w:b w:val="0"/>
                <w:bCs w:val="0"/>
                <w:color w:val="auto"/>
                <w:spacing w:val="-8"/>
                <w:sz w:val="21"/>
                <w:szCs w:val="21"/>
              </w:rPr>
            </w:pPr>
            <w:r>
              <w:rPr>
                <w:rFonts w:hint="default" w:ascii="Times New Roman" w:hAnsi="Times New Roman" w:cs="Times New Roman"/>
                <w:b w:val="0"/>
                <w:bCs w:val="0"/>
                <w:color w:val="auto"/>
                <w:spacing w:val="-8"/>
                <w:sz w:val="21"/>
                <w:szCs w:val="21"/>
              </w:rPr>
              <w:t>其他环境管理要求</w:t>
            </w:r>
          </w:p>
        </w:tc>
        <w:tc>
          <w:tcPr>
            <w:tcW w:w="4485" w:type="pct"/>
            <w:gridSpan w:val="4"/>
            <w:noWrap w:val="0"/>
            <w:vAlign w:val="center"/>
          </w:tcPr>
          <w:p w14:paraId="3370D6F8">
            <w:pPr>
              <w:pStyle w:val="42"/>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r>
              <w:rPr>
                <w:rFonts w:hint="default" w:ascii="Times New Roman" w:hAnsi="Times New Roman" w:eastAsia="宋体" w:cs="Times New Roman"/>
                <w:sz w:val="21"/>
                <w:szCs w:val="21"/>
                <w:lang w:val="en-US" w:eastAsia="zh-CN"/>
              </w:rPr>
              <w:t>排污许可</w:t>
            </w:r>
          </w:p>
          <w:p w14:paraId="7A73C172">
            <w:pPr>
              <w:pStyle w:val="42"/>
              <w:keepNext w:val="0"/>
              <w:keepLines w:val="0"/>
              <w:pageBreakBefore w:val="0"/>
              <w:widowControl w:val="0"/>
              <w:kinsoku/>
              <w:wordWrap/>
              <w:overflowPunct/>
              <w:topLinePunct w:val="0"/>
              <w:autoSpaceDE w:val="0"/>
              <w:autoSpaceDN w:val="0"/>
              <w:bidi w:val="0"/>
              <w:adjustRightInd w:val="0"/>
              <w:snapToGrid/>
              <w:spacing w:line="240" w:lineRule="auto"/>
              <w:ind w:firstLine="420" w:firstLineChars="200"/>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bCs/>
                <w:color w:val="auto"/>
                <w:sz w:val="21"/>
                <w:szCs w:val="21"/>
              </w:rPr>
              <w:t>本项目属于</w:t>
            </w:r>
            <w:r>
              <w:rPr>
                <w:rFonts w:hint="eastAsia" w:ascii="Times New Roman" w:hAnsi="Times New Roman" w:cs="Times New Roman"/>
                <w:color w:val="auto"/>
                <w:kern w:val="2"/>
                <w:sz w:val="21"/>
                <w:szCs w:val="21"/>
                <w:lang w:val="en-US" w:eastAsia="zh-CN" w:bidi="ar-SA"/>
              </w:rPr>
              <w:t>Q8411综合医院</w:t>
            </w:r>
            <w:r>
              <w:rPr>
                <w:rFonts w:hint="default" w:ascii="Times New Roman" w:hAnsi="Times New Roman" w:eastAsia="宋体" w:cs="Times New Roman"/>
                <w:b w:val="0"/>
                <w:bCs/>
                <w:color w:val="auto"/>
                <w:sz w:val="21"/>
                <w:szCs w:val="21"/>
              </w:rPr>
              <w:t>。对照《固定污染源排污许可分类管理名录》(2019 年版)，本项目属于固定污染源排污许可分类管理名录表中的</w:t>
            </w:r>
            <w:r>
              <w:rPr>
                <w:rFonts w:hint="eastAsia" w:ascii="宋体" w:hAnsi="宋体" w:eastAsia="宋体" w:cs="宋体"/>
                <w:color w:val="000000"/>
                <w:sz w:val="21"/>
                <w:szCs w:val="21"/>
              </w:rPr>
              <w:t>“</w:t>
            </w:r>
            <w:r>
              <w:rPr>
                <w:rFonts w:hint="eastAsia" w:ascii="宋体" w:hAnsi="宋体" w:cs="宋体"/>
                <w:color w:val="000000"/>
                <w:sz w:val="21"/>
                <w:szCs w:val="21"/>
                <w:lang w:eastAsia="zh-CN"/>
              </w:rPr>
              <w:t>四十九</w:t>
            </w:r>
            <w:r>
              <w:rPr>
                <w:rFonts w:hint="default" w:ascii="Times New Roman" w:hAnsi="Times New Roman" w:eastAsia="宋体" w:cs="Times New Roman"/>
                <w:color w:val="000000"/>
                <w:sz w:val="21"/>
                <w:szCs w:val="21"/>
              </w:rPr>
              <w:t>、</w:t>
            </w:r>
            <w:r>
              <w:rPr>
                <w:rFonts w:hint="default" w:ascii="Times New Roman" w:hAnsi="Times New Roman" w:cs="Times New Roman"/>
                <w:b w:val="0"/>
                <w:bCs/>
                <w:color w:val="auto"/>
                <w:sz w:val="21"/>
                <w:szCs w:val="21"/>
                <w:lang w:eastAsia="zh-CN"/>
              </w:rPr>
              <w:t>卫生</w:t>
            </w:r>
            <w:r>
              <w:rPr>
                <w:rFonts w:hint="default" w:ascii="Times New Roman" w:hAnsi="Times New Roman" w:cs="Times New Roman"/>
                <w:b w:val="0"/>
                <w:bCs/>
                <w:color w:val="auto"/>
                <w:sz w:val="21"/>
                <w:szCs w:val="21"/>
                <w:lang w:val="en-US" w:eastAsia="zh-CN"/>
              </w:rPr>
              <w:t>84</w:t>
            </w:r>
            <w:r>
              <w:rPr>
                <w:rFonts w:hint="eastAsia" w:ascii="宋体" w:hAnsi="宋体" w:eastAsia="宋体" w:cs="宋体"/>
                <w:b w:val="0"/>
                <w:bCs/>
                <w:color w:val="auto"/>
                <w:sz w:val="21"/>
                <w:szCs w:val="21"/>
              </w:rPr>
              <w:t>”</w:t>
            </w:r>
            <w:r>
              <w:rPr>
                <w:rFonts w:hint="eastAsia" w:ascii="宋体" w:hAnsi="宋体" w:eastAsia="宋体" w:cs="宋体"/>
                <w:b w:val="0"/>
                <w:bCs/>
                <w:color w:val="auto"/>
                <w:sz w:val="21"/>
                <w:szCs w:val="21"/>
                <w:lang w:eastAsia="zh-CN"/>
              </w:rPr>
              <w:t>中</w:t>
            </w:r>
            <w:r>
              <w:rPr>
                <w:rFonts w:hint="eastAsia" w:ascii="宋体" w:hAnsi="宋体" w:eastAsia="宋体" w:cs="宋体"/>
                <w:b w:val="0"/>
                <w:bCs/>
                <w:color w:val="auto"/>
                <w:sz w:val="21"/>
                <w:szCs w:val="21"/>
              </w:rPr>
              <w:t>的“</w:t>
            </w:r>
            <w:r>
              <w:rPr>
                <w:rFonts w:hint="default" w:ascii="Times New Roman" w:hAnsi="Times New Roman" w:cs="Times New Roman"/>
                <w:b w:val="0"/>
                <w:bCs/>
                <w:color w:val="auto"/>
                <w:sz w:val="21"/>
                <w:szCs w:val="21"/>
                <w:lang w:val="en-US" w:eastAsia="zh-CN"/>
              </w:rPr>
              <w:t>107医院841</w:t>
            </w:r>
            <w:r>
              <w:rPr>
                <w:rFonts w:hint="eastAsia" w:ascii="Times New Roman" w:hAnsi="Times New Roman" w:eastAsia="宋体" w:cs="Times New Roman"/>
                <w:b w:val="0"/>
                <w:bCs/>
                <w:color w:val="auto"/>
                <w:sz w:val="21"/>
                <w:szCs w:val="21"/>
              </w:rPr>
              <w:t>”</w:t>
            </w:r>
            <w:r>
              <w:rPr>
                <w:rFonts w:hint="eastAsia" w:ascii="Times New Roman" w:hAnsi="Times New Roman" w:eastAsia="宋体" w:cs="Times New Roman"/>
                <w:b w:val="0"/>
                <w:bCs/>
                <w:color w:val="auto"/>
                <w:sz w:val="21"/>
                <w:szCs w:val="21"/>
                <w:lang w:eastAsia="zh-CN"/>
              </w:rPr>
              <w:t>中的“</w:t>
            </w:r>
            <w:r>
              <w:rPr>
                <w:rFonts w:hint="default" w:ascii="Times New Roman" w:hAnsi="Times New Roman" w:eastAsia="宋体" w:cs="Times New Roman"/>
                <w:color w:val="000000"/>
                <w:kern w:val="0"/>
                <w:sz w:val="21"/>
                <w:szCs w:val="21"/>
                <w:lang w:val="en-US" w:eastAsia="zh-CN" w:bidi="ar"/>
              </w:rPr>
              <w:t>床位100张及以上500张以下的综合医院8411</w:t>
            </w:r>
            <w:r>
              <w:rPr>
                <w:rFonts w:hint="eastAsia"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，故本项目的排污许可填</w:t>
            </w:r>
            <w:r>
              <w:rPr>
                <w:rFonts w:hint="eastAsia" w:ascii="Times New Roman" w:hAnsi="Times New Roman" w:eastAsia="宋体" w:cs="Times New Roman"/>
                <w:b w:val="0"/>
                <w:bCs/>
                <w:color w:val="auto"/>
                <w:sz w:val="21"/>
                <w:szCs w:val="21"/>
              </w:rPr>
              <w:t>报“管理类别”应为“</w:t>
            </w:r>
            <w:r>
              <w:rPr>
                <w:rFonts w:hint="eastAsia" w:ascii="Times New Roman" w:hAnsi="Times New Roman" w:cs="Times New Roman"/>
                <w:b w:val="0"/>
                <w:bCs/>
                <w:color w:val="auto"/>
                <w:sz w:val="21"/>
                <w:szCs w:val="21"/>
                <w:lang w:eastAsia="zh-CN"/>
              </w:rPr>
              <w:t>简化</w:t>
            </w:r>
            <w:r>
              <w:rPr>
                <w:rFonts w:hint="eastAsia" w:ascii="Times New Roman" w:hAnsi="Times New Roman" w:eastAsia="宋体" w:cs="Times New Roman"/>
                <w:b w:val="0"/>
                <w:bCs/>
                <w:color w:val="auto"/>
                <w:sz w:val="21"/>
                <w:szCs w:val="21"/>
              </w:rPr>
              <w:t>管理”</w:t>
            </w:r>
            <w:r>
              <w:rPr>
                <w:rFonts w:hint="default" w:ascii="Times New Roman" w:hAnsi="Times New Roman" w:eastAsia="宋体" w:cs="Times New Roman"/>
                <w:b w:val="0"/>
                <w:bCs/>
                <w:color w:val="auto"/>
                <w:sz w:val="21"/>
                <w:szCs w:val="21"/>
                <w:lang w:val="en-US" w:eastAsia="zh-CN"/>
              </w:rPr>
              <w:t>。</w:t>
            </w:r>
            <w:r>
              <w:rPr>
                <w:rFonts w:hint="default"/>
                <w:color w:val="000000" w:themeColor="text1"/>
                <w:sz w:val="21"/>
                <w:szCs w:val="21"/>
                <w:highlight w:val="none"/>
                <w:lang w:val="en-US" w:eastAsia="zh-CN"/>
                <w14:textFill>
                  <w14:solidFill>
                    <w14:schemeClr w14:val="tx1"/>
                  </w14:solidFill>
                </w14:textFill>
              </w:rPr>
              <w:t>建设单位应规范化</w:t>
            </w:r>
            <w:r>
              <w:rPr>
                <w:rFonts w:hint="default" w:ascii="Times New Roman" w:hAnsi="Times New Roman" w:eastAsia="宋体" w:cs="Times New Roman"/>
                <w:b w:val="0"/>
                <w:bCs/>
                <w:color w:val="auto"/>
                <w:sz w:val="21"/>
                <w:szCs w:val="21"/>
                <w:lang w:val="en-US" w:eastAsia="zh-CN"/>
              </w:rPr>
              <w:t>设置排污口；按照《安徽省生态环境厅关于统筹做好固定污染源排污许可日常监管</w:t>
            </w:r>
            <w:r>
              <w:rPr>
                <w:rFonts w:hint="default" w:ascii="Times New Roman" w:hAnsi="Times New Roman" w:eastAsia="宋体" w:cs="Times New Roman"/>
                <w:sz w:val="21"/>
                <w:szCs w:val="21"/>
                <w:lang w:val="en-US" w:eastAsia="zh-CN"/>
              </w:rPr>
              <w:t>工作企业应在实际排污前申领排污许可证。</w:t>
            </w:r>
          </w:p>
          <w:p w14:paraId="73EDCCFC">
            <w:pPr>
              <w:pStyle w:val="42"/>
              <w:keepNext w:val="0"/>
              <w:keepLines w:val="0"/>
              <w:pageBreakBefore w:val="0"/>
              <w:widowControl w:val="0"/>
              <w:kinsoku/>
              <w:wordWrap/>
              <w:overflowPunct/>
              <w:topLinePunct w:val="0"/>
              <w:autoSpaceDE w:val="0"/>
              <w:autoSpaceDN w:val="0"/>
              <w:bidi w:val="0"/>
              <w:adjustRightInd w:val="0"/>
              <w:snapToGrid/>
              <w:spacing w:line="240" w:lineRule="auto"/>
              <w:ind w:firstLine="420" w:firstLineChars="200"/>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建设单位应规的通知》（皖环发〔2021〕7号）等要求，加强排污许可证申领后的日常执行管理。</w:t>
            </w:r>
          </w:p>
          <w:p w14:paraId="04F689A1">
            <w:pPr>
              <w:pStyle w:val="42"/>
              <w:keepNext w:val="0"/>
              <w:keepLines w:val="0"/>
              <w:pageBreakBefore w:val="0"/>
              <w:widowControl w:val="0"/>
              <w:kinsoku/>
              <w:wordWrap/>
              <w:overflowPunct/>
              <w:topLinePunct w:val="0"/>
              <w:autoSpaceDE w:val="0"/>
              <w:autoSpaceDN w:val="0"/>
              <w:bidi w:val="0"/>
              <w:adjustRightInd w:val="0"/>
              <w:snapToGrid/>
              <w:spacing w:line="240" w:lineRule="auto"/>
              <w:ind w:firstLine="420" w:firstLineChars="200"/>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（1）排污口管理：</w:t>
            </w:r>
          </w:p>
          <w:p w14:paraId="6CA82D32">
            <w:pPr>
              <w:pStyle w:val="42"/>
              <w:keepNext w:val="0"/>
              <w:keepLines w:val="0"/>
              <w:pageBreakBefore w:val="0"/>
              <w:widowControl w:val="0"/>
              <w:kinsoku/>
              <w:wordWrap/>
              <w:overflowPunct/>
              <w:topLinePunct w:val="0"/>
              <w:autoSpaceDE w:val="0"/>
              <w:autoSpaceDN w:val="0"/>
              <w:bidi w:val="0"/>
              <w:adjustRightInd w:val="0"/>
              <w:snapToGrid/>
              <w:spacing w:line="240" w:lineRule="auto"/>
              <w:ind w:firstLine="420" w:firstLineChars="200"/>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建设单位应在各排污口处设立较明显的排污口标志牌，其上应注明主要排放污染物的名称以警示周围群众；</w:t>
            </w:r>
          </w:p>
          <w:p w14:paraId="0E1FAFD7">
            <w:pPr>
              <w:pStyle w:val="42"/>
              <w:keepNext w:val="0"/>
              <w:keepLines w:val="0"/>
              <w:pageBreakBefore w:val="0"/>
              <w:widowControl w:val="0"/>
              <w:kinsoku/>
              <w:wordWrap/>
              <w:overflowPunct/>
              <w:topLinePunct w:val="0"/>
              <w:autoSpaceDE w:val="0"/>
              <w:autoSpaceDN w:val="0"/>
              <w:bidi w:val="0"/>
              <w:adjustRightInd w:val="0"/>
              <w:snapToGrid/>
              <w:spacing w:line="240" w:lineRule="auto"/>
              <w:ind w:firstLine="420" w:firstLineChars="200"/>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建设单位应如实填写《中华人民共和国规范化排污口标志登记证》的有关内容，由环保主管部门签发登记证；</w:t>
            </w:r>
          </w:p>
          <w:p w14:paraId="642BA489">
            <w:pPr>
              <w:pStyle w:val="42"/>
              <w:keepNext w:val="0"/>
              <w:keepLines w:val="0"/>
              <w:pageBreakBefore w:val="0"/>
              <w:widowControl w:val="0"/>
              <w:kinsoku/>
              <w:wordWrap/>
              <w:overflowPunct/>
              <w:topLinePunct w:val="0"/>
              <w:autoSpaceDE w:val="0"/>
              <w:autoSpaceDN w:val="0"/>
              <w:bidi w:val="0"/>
              <w:adjustRightInd w:val="0"/>
              <w:snapToGrid/>
              <w:spacing w:line="240" w:lineRule="auto"/>
              <w:ind w:firstLine="420" w:firstLineChars="200"/>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规范化排污口的有关设置属环保设施，建设单位必须负责日常的维护保养，任何单位和个人不得擅自拆除，如果需要变更的必须报环境监察部门同意并办理变更手续；</w:t>
            </w:r>
          </w:p>
          <w:p w14:paraId="79839857">
            <w:pPr>
              <w:pStyle w:val="42"/>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建设单位应将有关排污口的情况，如：排污口的性质、编号，排污口的位置；主要排放的污染物种类、数量、浓度、排放规律、排放去向；污染治理设施的运行情况等进行建档管理，并报送环保主管部门备案。</w:t>
            </w:r>
          </w:p>
          <w:p w14:paraId="2C17939C">
            <w:pPr>
              <w:pStyle w:val="42"/>
              <w:keepNext w:val="0"/>
              <w:keepLines w:val="0"/>
              <w:pageBreakBefore w:val="0"/>
              <w:widowControl w:val="0"/>
              <w:kinsoku/>
              <w:wordWrap/>
              <w:overflowPunct/>
              <w:topLinePunct w:val="0"/>
              <w:autoSpaceDE w:val="0"/>
              <w:autoSpaceDN w:val="0"/>
              <w:bidi w:val="0"/>
              <w:adjustRightInd w:val="0"/>
              <w:snapToGrid/>
              <w:spacing w:line="240" w:lineRule="auto"/>
              <w:ind w:firstLine="420" w:firstLineChars="200"/>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（2）台账的管理：</w:t>
            </w:r>
          </w:p>
          <w:p w14:paraId="32E18F8B">
            <w:pPr>
              <w:pStyle w:val="42"/>
              <w:keepNext w:val="0"/>
              <w:keepLines w:val="0"/>
              <w:pageBreakBefore w:val="0"/>
              <w:widowControl w:val="0"/>
              <w:kinsoku/>
              <w:wordWrap/>
              <w:overflowPunct/>
              <w:topLinePunct w:val="0"/>
              <w:autoSpaceDE w:val="0"/>
              <w:autoSpaceDN w:val="0"/>
              <w:bidi w:val="0"/>
              <w:adjustRightInd w:val="0"/>
              <w:snapToGrid/>
              <w:spacing w:line="240" w:lineRule="auto"/>
              <w:ind w:firstLine="420" w:firstLineChars="200"/>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根据生产特点和污染物排放特点，按照排污口和有组织排放源进行记录。台账记录保存期限不少于五年。</w:t>
            </w:r>
          </w:p>
          <w:p w14:paraId="7B4BCE80">
            <w:pPr>
              <w:pStyle w:val="42"/>
              <w:keepNext w:val="0"/>
              <w:keepLines w:val="0"/>
              <w:pageBreakBefore w:val="0"/>
              <w:widowControl w:val="0"/>
              <w:kinsoku/>
              <w:wordWrap/>
              <w:overflowPunct/>
              <w:topLinePunct w:val="0"/>
              <w:autoSpaceDE w:val="0"/>
              <w:autoSpaceDN w:val="0"/>
              <w:bidi w:val="0"/>
              <w:adjustRightInd w:val="0"/>
              <w:snapToGrid/>
              <w:spacing w:line="240" w:lineRule="auto"/>
              <w:ind w:firstLine="420" w:firstLineChars="200"/>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（3）严格执行各项环境管理制度，保证各排污口的正常运行；</w:t>
            </w:r>
          </w:p>
          <w:p w14:paraId="32D2401E">
            <w:pPr>
              <w:pStyle w:val="42"/>
              <w:keepNext w:val="0"/>
              <w:keepLines w:val="0"/>
              <w:pageBreakBefore w:val="0"/>
              <w:widowControl w:val="0"/>
              <w:kinsoku/>
              <w:wordWrap/>
              <w:overflowPunct/>
              <w:topLinePunct w:val="0"/>
              <w:autoSpaceDE w:val="0"/>
              <w:autoSpaceDN w:val="0"/>
              <w:bidi w:val="0"/>
              <w:adjustRightInd w:val="0"/>
              <w:snapToGrid/>
              <w:spacing w:line="240" w:lineRule="auto"/>
              <w:ind w:firstLine="420" w:firstLineChars="200"/>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（4）对各项环保设施操作、维护定量考核，建立环保设施运行档案；</w:t>
            </w:r>
          </w:p>
          <w:p w14:paraId="3CADB184">
            <w:pPr>
              <w:adjustRightInd w:val="0"/>
              <w:snapToGrid w:val="0"/>
              <w:ind w:firstLine="420" w:firstLineChars="200"/>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（5）按规定程序实施竣工环境保护验收，验收合格方可投入生产。</w:t>
            </w:r>
          </w:p>
          <w:p w14:paraId="394710DB">
            <w:pPr>
              <w:adjustRightInd w:val="0"/>
              <w:snapToGrid w:val="0"/>
              <w:ind w:firstLine="420" w:firstLineChars="200"/>
              <w:jc w:val="both"/>
              <w:rPr>
                <w:rFonts w:hint="default" w:ascii="Times New Roman" w:hAnsi="Times New Roman" w:eastAsia="宋体" w:cs="Times New Roman"/>
                <w:sz w:val="21"/>
                <w:szCs w:val="21"/>
                <w:lang w:val="en-US" w:eastAsia="zh-CN"/>
              </w:rPr>
            </w:pPr>
          </w:p>
          <w:p w14:paraId="60C9CC92">
            <w:pPr>
              <w:adjustRightInd w:val="0"/>
              <w:snapToGrid w:val="0"/>
              <w:ind w:firstLine="420" w:firstLineChars="200"/>
              <w:jc w:val="both"/>
              <w:rPr>
                <w:rFonts w:hint="default" w:ascii="Times New Roman" w:hAnsi="Times New Roman" w:eastAsia="宋体" w:cs="Times New Roman"/>
                <w:sz w:val="21"/>
                <w:szCs w:val="21"/>
                <w:lang w:val="en-US" w:eastAsia="zh-CN"/>
              </w:rPr>
            </w:pPr>
          </w:p>
          <w:p w14:paraId="0FBF16D0">
            <w:pPr>
              <w:adjustRightInd w:val="0"/>
              <w:snapToGrid w:val="0"/>
              <w:ind w:firstLine="420" w:firstLineChars="200"/>
              <w:jc w:val="both"/>
              <w:rPr>
                <w:rFonts w:hint="default" w:ascii="Times New Roman" w:hAnsi="Times New Roman" w:eastAsia="宋体" w:cs="Times New Roman"/>
                <w:sz w:val="21"/>
                <w:szCs w:val="21"/>
                <w:lang w:val="en-US" w:eastAsia="zh-CN"/>
              </w:rPr>
            </w:pPr>
          </w:p>
          <w:p w14:paraId="118741BB">
            <w:pPr>
              <w:adjustRightInd w:val="0"/>
              <w:snapToGrid w:val="0"/>
              <w:ind w:firstLine="420" w:firstLineChars="200"/>
              <w:jc w:val="both"/>
              <w:rPr>
                <w:rFonts w:hint="default" w:ascii="Times New Roman" w:hAnsi="Times New Roman" w:eastAsia="宋体" w:cs="Times New Roman"/>
                <w:sz w:val="21"/>
                <w:szCs w:val="21"/>
                <w:lang w:val="en-US" w:eastAsia="zh-CN"/>
              </w:rPr>
            </w:pPr>
          </w:p>
          <w:p w14:paraId="7C6FCC30">
            <w:pPr>
              <w:adjustRightInd w:val="0"/>
              <w:snapToGrid w:val="0"/>
              <w:ind w:firstLine="420" w:firstLineChars="200"/>
              <w:jc w:val="both"/>
              <w:rPr>
                <w:rFonts w:hint="default" w:ascii="Times New Roman" w:hAnsi="Times New Roman" w:eastAsia="宋体" w:cs="Times New Roman"/>
                <w:sz w:val="21"/>
                <w:szCs w:val="21"/>
                <w:lang w:val="en-US" w:eastAsia="zh-CN"/>
              </w:rPr>
            </w:pPr>
          </w:p>
          <w:p w14:paraId="6897C402">
            <w:pPr>
              <w:adjustRightInd w:val="0"/>
              <w:snapToGrid w:val="0"/>
              <w:ind w:firstLine="420" w:firstLineChars="200"/>
              <w:jc w:val="both"/>
              <w:rPr>
                <w:rFonts w:hint="default" w:ascii="Times New Roman" w:hAnsi="Times New Roman" w:eastAsia="宋体" w:cs="Times New Roman"/>
                <w:sz w:val="21"/>
                <w:szCs w:val="21"/>
                <w:lang w:val="en-US" w:eastAsia="zh-CN"/>
              </w:rPr>
            </w:pPr>
          </w:p>
          <w:p w14:paraId="4ACF5AE9">
            <w:pPr>
              <w:adjustRightInd w:val="0"/>
              <w:snapToGrid w:val="0"/>
              <w:ind w:firstLine="420" w:firstLineChars="200"/>
              <w:jc w:val="both"/>
              <w:rPr>
                <w:rFonts w:hint="default" w:ascii="Times New Roman" w:hAnsi="Times New Roman" w:eastAsia="宋体" w:cs="Times New Roman"/>
                <w:sz w:val="21"/>
                <w:szCs w:val="21"/>
                <w:lang w:val="en-US" w:eastAsia="zh-CN"/>
              </w:rPr>
            </w:pPr>
          </w:p>
          <w:p w14:paraId="0BC68476">
            <w:pPr>
              <w:adjustRightInd w:val="0"/>
              <w:snapToGrid w:val="0"/>
              <w:ind w:firstLine="420" w:firstLineChars="200"/>
              <w:jc w:val="both"/>
              <w:rPr>
                <w:rFonts w:hint="default" w:ascii="Times New Roman" w:hAnsi="Times New Roman" w:eastAsia="宋体" w:cs="Times New Roman"/>
                <w:sz w:val="21"/>
                <w:szCs w:val="21"/>
                <w:lang w:val="en-US" w:eastAsia="zh-CN"/>
              </w:rPr>
            </w:pPr>
          </w:p>
          <w:p w14:paraId="3DBC7CD6">
            <w:pPr>
              <w:adjustRightInd w:val="0"/>
              <w:snapToGrid w:val="0"/>
              <w:ind w:firstLine="420" w:firstLineChars="200"/>
              <w:jc w:val="both"/>
              <w:rPr>
                <w:rFonts w:hint="default" w:ascii="Times New Roman" w:hAnsi="Times New Roman" w:eastAsia="宋体" w:cs="Times New Roman"/>
                <w:sz w:val="21"/>
                <w:szCs w:val="21"/>
                <w:lang w:val="en-US" w:eastAsia="zh-CN"/>
              </w:rPr>
            </w:pPr>
          </w:p>
          <w:p w14:paraId="4CBDE98D">
            <w:pPr>
              <w:adjustRightInd w:val="0"/>
              <w:snapToGrid w:val="0"/>
              <w:ind w:firstLine="420" w:firstLineChars="200"/>
              <w:jc w:val="both"/>
              <w:rPr>
                <w:rFonts w:hint="default" w:ascii="Times New Roman" w:hAnsi="Times New Roman" w:eastAsia="宋体" w:cs="Times New Roman"/>
                <w:sz w:val="21"/>
                <w:szCs w:val="21"/>
                <w:lang w:val="en-US" w:eastAsia="zh-CN"/>
              </w:rPr>
            </w:pPr>
          </w:p>
          <w:p w14:paraId="3C0B5F80">
            <w:pPr>
              <w:adjustRightInd w:val="0"/>
              <w:snapToGrid w:val="0"/>
              <w:ind w:firstLine="420" w:firstLineChars="200"/>
              <w:jc w:val="both"/>
              <w:rPr>
                <w:rFonts w:hint="default" w:ascii="Times New Roman" w:hAnsi="Times New Roman" w:eastAsia="宋体" w:cs="Times New Roman"/>
                <w:sz w:val="21"/>
                <w:szCs w:val="21"/>
                <w:lang w:val="en-US" w:eastAsia="zh-CN"/>
              </w:rPr>
            </w:pPr>
          </w:p>
          <w:p w14:paraId="504E6BA1">
            <w:pPr>
              <w:adjustRightInd w:val="0"/>
              <w:snapToGrid w:val="0"/>
              <w:ind w:firstLine="420" w:firstLineChars="200"/>
              <w:jc w:val="both"/>
              <w:rPr>
                <w:rFonts w:hint="default" w:ascii="Times New Roman" w:hAnsi="Times New Roman" w:eastAsia="宋体" w:cs="Times New Roman"/>
                <w:sz w:val="21"/>
                <w:szCs w:val="21"/>
                <w:lang w:val="en-US" w:eastAsia="zh-CN"/>
              </w:rPr>
            </w:pPr>
          </w:p>
          <w:p w14:paraId="2CE81A30">
            <w:pPr>
              <w:adjustRightInd w:val="0"/>
              <w:snapToGrid w:val="0"/>
              <w:ind w:firstLine="420" w:firstLineChars="200"/>
              <w:jc w:val="both"/>
              <w:rPr>
                <w:rFonts w:hint="default" w:ascii="Times New Roman" w:hAnsi="Times New Roman" w:eastAsia="宋体" w:cs="Times New Roman"/>
                <w:sz w:val="21"/>
                <w:szCs w:val="21"/>
                <w:lang w:val="en-US" w:eastAsia="zh-CN"/>
              </w:rPr>
            </w:pPr>
          </w:p>
          <w:p w14:paraId="07FEF910">
            <w:pPr>
              <w:adjustRightInd w:val="0"/>
              <w:snapToGrid w:val="0"/>
              <w:ind w:firstLine="420" w:firstLineChars="200"/>
              <w:jc w:val="both"/>
              <w:rPr>
                <w:rFonts w:hint="default" w:ascii="Times New Roman" w:hAnsi="Times New Roman" w:eastAsia="宋体" w:cs="Times New Roman"/>
                <w:sz w:val="21"/>
                <w:szCs w:val="21"/>
                <w:lang w:val="en-US" w:eastAsia="zh-CN"/>
              </w:rPr>
            </w:pPr>
          </w:p>
          <w:p w14:paraId="6BA80761">
            <w:pPr>
              <w:adjustRightInd w:val="0"/>
              <w:snapToGrid w:val="0"/>
              <w:ind w:firstLine="420" w:firstLineChars="200"/>
              <w:jc w:val="both"/>
              <w:rPr>
                <w:rFonts w:hint="default" w:ascii="Times New Roman" w:hAnsi="Times New Roman" w:eastAsia="宋体" w:cs="Times New Roman"/>
                <w:sz w:val="21"/>
                <w:szCs w:val="21"/>
                <w:lang w:val="en-US" w:eastAsia="zh-CN"/>
              </w:rPr>
            </w:pPr>
          </w:p>
          <w:p w14:paraId="79705C95">
            <w:pPr>
              <w:adjustRightInd w:val="0"/>
              <w:snapToGrid w:val="0"/>
              <w:ind w:firstLine="420" w:firstLineChars="200"/>
              <w:jc w:val="both"/>
              <w:rPr>
                <w:rFonts w:hint="default" w:ascii="Times New Roman" w:hAnsi="Times New Roman" w:eastAsia="宋体" w:cs="Times New Roman"/>
                <w:sz w:val="21"/>
                <w:szCs w:val="21"/>
                <w:lang w:val="en-US" w:eastAsia="zh-CN"/>
              </w:rPr>
            </w:pPr>
          </w:p>
          <w:p w14:paraId="4C59ABF8">
            <w:pPr>
              <w:adjustRightInd w:val="0"/>
              <w:snapToGrid w:val="0"/>
              <w:ind w:firstLine="420" w:firstLineChars="200"/>
              <w:jc w:val="both"/>
              <w:rPr>
                <w:rFonts w:hint="default" w:ascii="Times New Roman" w:hAnsi="Times New Roman" w:eastAsia="宋体" w:cs="Times New Roman"/>
                <w:sz w:val="21"/>
                <w:szCs w:val="21"/>
                <w:lang w:val="en-US" w:eastAsia="zh-CN"/>
              </w:rPr>
            </w:pPr>
          </w:p>
          <w:p w14:paraId="40F286EE">
            <w:pPr>
              <w:adjustRightInd w:val="0"/>
              <w:snapToGrid w:val="0"/>
              <w:jc w:val="both"/>
              <w:rPr>
                <w:rFonts w:hint="default" w:ascii="Times New Roman" w:hAnsi="Times New Roman" w:cs="Times New Roman"/>
                <w:b w:val="0"/>
                <w:bCs w:val="0"/>
                <w:color w:val="auto"/>
                <w:kern w:val="0"/>
                <w:sz w:val="21"/>
                <w:szCs w:val="21"/>
              </w:rPr>
            </w:pPr>
          </w:p>
        </w:tc>
      </w:tr>
    </w:tbl>
    <w:p w14:paraId="20FC1F6D">
      <w:pPr>
        <w:pStyle w:val="23"/>
        <w:jc w:val="center"/>
        <w:outlineLvl w:val="0"/>
        <w:rPr>
          <w:rFonts w:hint="default" w:ascii="Times New Roman" w:hAnsi="Times New Roman" w:cs="Times New Roman"/>
          <w:snapToGrid w:val="0"/>
          <w:color w:val="FF0000"/>
        </w:rPr>
        <w:sectPr>
          <w:pgSz w:w="11905" w:h="16838"/>
          <w:pgMar w:top="1417" w:right="1417" w:bottom="1417" w:left="1417" w:header="851" w:footer="850" w:gutter="0"/>
          <w:pgNumType w:fmt="decimal"/>
          <w:cols w:space="0" w:num="1"/>
          <w:rtlGutter w:val="0"/>
          <w:docGrid w:linePitch="312" w:charSpace="0"/>
        </w:sectPr>
      </w:pPr>
      <w:r>
        <w:rPr>
          <w:rFonts w:hint="default" w:ascii="Times New Roman" w:hAnsi="Times New Roman" w:cs="Times New Roman"/>
          <w:snapToGrid w:val="0"/>
          <w:color w:val="FF0000"/>
        </w:rPr>
        <w:br w:type="page"/>
      </w:r>
    </w:p>
    <w:p w14:paraId="1A8039CA">
      <w:pPr>
        <w:pStyle w:val="23"/>
        <w:jc w:val="center"/>
        <w:outlineLvl w:val="0"/>
        <w:rPr>
          <w:rFonts w:hint="default" w:ascii="Times New Roman" w:hAnsi="Times New Roman" w:eastAsia="黑体" w:cs="Times New Roman"/>
          <w:snapToGrid w:val="0"/>
          <w:color w:val="auto"/>
          <w:sz w:val="30"/>
          <w:szCs w:val="30"/>
        </w:rPr>
      </w:pPr>
      <w:r>
        <w:rPr>
          <w:rFonts w:hint="default" w:ascii="Times New Roman" w:hAnsi="Times New Roman" w:eastAsia="黑体" w:cs="Times New Roman"/>
          <w:snapToGrid w:val="0"/>
          <w:color w:val="auto"/>
          <w:sz w:val="30"/>
          <w:szCs w:val="30"/>
        </w:rPr>
        <w:t>六、结论</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3C9DD1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51" w:hRule="atLeast"/>
          <w:jc w:val="center"/>
        </w:trPr>
        <w:tc>
          <w:tcPr>
            <w:tcW w:w="5000" w:type="pct"/>
            <w:noWrap w:val="0"/>
            <w:vAlign w:val="top"/>
          </w:tcPr>
          <w:p w14:paraId="04652BC4">
            <w:pPr>
              <w:spacing w:line="360" w:lineRule="auto"/>
              <w:ind w:firstLine="480" w:firstLineChars="200"/>
              <w:jc w:val="both"/>
              <w:rPr>
                <w:rFonts w:hint="default" w:ascii="Times New Roman" w:hAnsi="Times New Roman" w:cs="Times New Roman"/>
                <w:color w:val="auto"/>
                <w:sz w:val="24"/>
              </w:rPr>
            </w:pPr>
            <w:r>
              <w:rPr>
                <w:rFonts w:hint="eastAsia" w:cs="Times New Roman"/>
                <w:color w:val="auto"/>
                <w:sz w:val="24"/>
                <w:lang w:eastAsia="zh-CN"/>
              </w:rPr>
              <w:t>综上所述</w:t>
            </w:r>
            <w:r>
              <w:rPr>
                <w:rFonts w:hint="default" w:ascii="Times New Roman" w:hAnsi="Times New Roman" w:cs="Times New Roman"/>
                <w:color w:val="auto"/>
                <w:sz w:val="24"/>
              </w:rPr>
              <w:t>，从环境保护角度考虑，本项目的建设是合理、可行的。</w:t>
            </w:r>
          </w:p>
          <w:p w14:paraId="4D52DE05">
            <w:pPr>
              <w:adjustRightInd w:val="0"/>
              <w:snapToGrid w:val="0"/>
              <w:jc w:val="both"/>
              <w:rPr>
                <w:rFonts w:hint="default" w:ascii="Times New Roman" w:hAnsi="Times New Roman" w:cs="Times New Roman"/>
                <w:color w:val="auto"/>
                <w:sz w:val="24"/>
              </w:rPr>
            </w:pPr>
          </w:p>
        </w:tc>
      </w:tr>
    </w:tbl>
    <w:p w14:paraId="3083B378">
      <w:pPr>
        <w:rPr>
          <w:rFonts w:hint="default" w:ascii="Times New Roman" w:hAnsi="Times New Roman" w:cs="Times New Roman"/>
          <w:color w:val="FF0000"/>
        </w:rPr>
        <w:sectPr>
          <w:pgSz w:w="11905" w:h="16838"/>
          <w:pgMar w:top="1417" w:right="1417" w:bottom="1417" w:left="1417" w:header="851" w:footer="850" w:gutter="0"/>
          <w:pgNumType w:fmt="decimal"/>
          <w:cols w:space="0" w:num="1"/>
          <w:rtlGutter w:val="0"/>
          <w:docGrid w:linePitch="312" w:charSpace="0"/>
        </w:sectPr>
      </w:pPr>
    </w:p>
    <w:p w14:paraId="3A26E4C4">
      <w:pPr>
        <w:pStyle w:val="2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textAlignment w:val="auto"/>
        <w:outlineLvl w:val="0"/>
        <w:rPr>
          <w:rFonts w:hint="default" w:ascii="Times New Roman" w:hAnsi="Times New Roman" w:eastAsia="黑体" w:cs="Times New Roman"/>
          <w:snapToGrid w:val="0"/>
          <w:color w:val="auto"/>
          <w:sz w:val="32"/>
          <w:szCs w:val="32"/>
        </w:rPr>
      </w:pPr>
      <w:r>
        <w:rPr>
          <w:rFonts w:hint="default" w:ascii="Times New Roman" w:hAnsi="Times New Roman" w:eastAsia="黑体" w:cs="Times New Roman"/>
          <w:snapToGrid w:val="0"/>
          <w:color w:val="auto"/>
          <w:sz w:val="32"/>
          <w:szCs w:val="32"/>
        </w:rPr>
        <w:t>附表</w:t>
      </w:r>
    </w:p>
    <w:p w14:paraId="659F2DEF">
      <w:pPr>
        <w:pStyle w:val="2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0"/>
        <w:rPr>
          <w:rFonts w:hint="default" w:ascii="Times New Roman" w:hAnsi="Times New Roman" w:eastAsia="方正小标宋_GBK" w:cs="Times New Roman"/>
          <w:snapToGrid w:val="0"/>
          <w:color w:val="auto"/>
          <w:sz w:val="38"/>
          <w:szCs w:val="38"/>
        </w:rPr>
      </w:pPr>
      <w:r>
        <w:rPr>
          <w:rFonts w:hint="default" w:ascii="Times New Roman" w:hAnsi="Times New Roman" w:eastAsia="方正小标宋_GBK" w:cs="Times New Roman"/>
          <w:snapToGrid w:val="0"/>
          <w:color w:val="auto"/>
          <w:sz w:val="38"/>
          <w:szCs w:val="38"/>
        </w:rPr>
        <w:t>建设项目污染物排放量汇总表</w:t>
      </w:r>
    </w:p>
    <w:tbl>
      <w:tblPr>
        <w:tblStyle w:val="27"/>
        <w:tblW w:w="5362" w:type="pct"/>
        <w:jc w:val="center"/>
        <w:tblLayout w:type="autofit"/>
        <w:tblCellMar>
          <w:top w:w="0" w:type="dxa"/>
          <w:left w:w="0" w:type="dxa"/>
          <w:bottom w:w="0" w:type="dxa"/>
          <w:right w:w="0" w:type="dxa"/>
        </w:tblCellMar>
      </w:tblPr>
      <w:tblGrid>
        <w:gridCol w:w="1231"/>
        <w:gridCol w:w="1809"/>
        <w:gridCol w:w="1770"/>
        <w:gridCol w:w="1397"/>
        <w:gridCol w:w="1861"/>
        <w:gridCol w:w="1704"/>
        <w:gridCol w:w="1927"/>
        <w:gridCol w:w="1993"/>
        <w:gridCol w:w="1347"/>
      </w:tblGrid>
      <w:tr w14:paraId="2562CA2E">
        <w:tblPrEx>
          <w:tblCellMar>
            <w:top w:w="0" w:type="dxa"/>
            <w:left w:w="0" w:type="dxa"/>
            <w:bottom w:w="0" w:type="dxa"/>
            <w:right w:w="0" w:type="dxa"/>
          </w:tblCellMar>
        </w:tblPrEx>
        <w:trPr>
          <w:trHeight w:val="0" w:hRule="atLeast"/>
          <w:jc w:val="center"/>
        </w:trPr>
        <w:tc>
          <w:tcPr>
            <w:tcW w:w="409" w:type="pct"/>
            <w:tcBorders>
              <w:top w:val="single" w:color="000000" w:sz="8" w:space="0"/>
              <w:left w:val="single" w:color="000000" w:sz="8" w:space="0"/>
              <w:bottom w:val="single" w:color="000000" w:sz="4" w:space="0"/>
              <w:right w:val="single" w:color="000000" w:sz="4" w:space="0"/>
            </w:tcBorders>
            <w:noWrap w:val="0"/>
            <w:vAlign w:val="center"/>
          </w:tcPr>
          <w:p w14:paraId="4BBEADBE">
            <w:pPr>
              <w:pStyle w:val="69"/>
              <w:spacing w:line="320" w:lineRule="exact"/>
              <w:jc w:val="center"/>
              <w:rPr>
                <w:rFonts w:ascii="Times New Roman" w:hAnsi="Times New Roman"/>
              </w:rPr>
            </w:pPr>
            <w:r>
              <w:rPr>
                <w:rFonts w:ascii="Times New Roman" w:hAnsi="Times New Roman"/>
              </w:rPr>
              <mc:AlternateContent>
                <mc:Choice Requires="wpg">
                  <w:drawing>
                    <wp:anchor distT="0" distB="0" distL="114300" distR="114300" simplePos="0" relativeHeight="251662336" behindDoc="1" locked="0" layoutInCell="1" allowOverlap="1">
                      <wp:simplePos x="0" y="0"/>
                      <wp:positionH relativeFrom="page">
                        <wp:posOffset>17780</wp:posOffset>
                      </wp:positionH>
                      <wp:positionV relativeFrom="paragraph">
                        <wp:posOffset>9525</wp:posOffset>
                      </wp:positionV>
                      <wp:extent cx="741045" cy="605790"/>
                      <wp:effectExtent l="3175" t="3810" r="17780" b="19050"/>
                      <wp:wrapNone/>
                      <wp:docPr id="637" name="组合 636"/>
                      <wp:cNvGraphicFramePr/>
                      <a:graphic xmlns:a="http://schemas.openxmlformats.org/drawingml/2006/main">
                        <a:graphicData uri="http://schemas.microsoft.com/office/word/2010/wordprocessingGroup">
                          <wpg:wgp>
                            <wpg:cNvGrpSpPr/>
                            <wpg:grpSpPr>
                              <a:xfrm>
                                <a:off x="0" y="0"/>
                                <a:ext cx="741045" cy="605790"/>
                                <a:chOff x="1553" y="735"/>
                                <a:chExt cx="1273" cy="819"/>
                              </a:xfrm>
                              <a:effectLst/>
                            </wpg:grpSpPr>
                            <wps:wsp>
                              <wps:cNvPr id="636" name="任意多边形 637"/>
                              <wps:cNvSpPr/>
                              <wps:spPr>
                                <a:xfrm>
                                  <a:off x="1553" y="735"/>
                                  <a:ext cx="1273" cy="819"/>
                                </a:xfrm>
                                <a:custGeom>
                                  <a:avLst/>
                                  <a:gdLst/>
                                  <a:ahLst/>
                                  <a:cxnLst/>
                                  <a:pathLst>
                                    <a:path w="1273" h="819">
                                      <a:moveTo>
                                        <a:pt x="0" y="0"/>
                                      </a:moveTo>
                                      <a:lnTo>
                                        <a:pt x="1272" y="818"/>
                                      </a:lnTo>
                                    </a:path>
                                  </a:pathLst>
                                </a:custGeom>
                                <a:noFill/>
                                <a:ln w="6096" cap="flat" cmpd="sng">
                                  <a:solidFill>
                                    <a:srgbClr val="000000"/>
                                  </a:solidFill>
                                  <a:prstDash val="solid"/>
                                  <a:headEnd type="none" w="med" len="med"/>
                                  <a:tailEnd type="none" w="med" len="med"/>
                                </a:ln>
                                <a:effectLst/>
                              </wps:spPr>
                              <wps:bodyPr vert="horz" wrap="square" anchor="t" upright="1"/>
                            </wps:wsp>
                          </wpg:wgp>
                        </a:graphicData>
                      </a:graphic>
                    </wp:anchor>
                  </w:drawing>
                </mc:Choice>
                <mc:Fallback>
                  <w:pict>
                    <v:group id="组合 636" o:spid="_x0000_s1026" o:spt="203" style="position:absolute;left:0pt;margin-left:1.4pt;margin-top:0.75pt;height:47.7pt;width:58.35pt;mso-position-horizontal-relative:page;z-index:-251654144;mso-width-relative:page;mso-height-relative:page;" coordorigin="1553,735" coordsize="1273,819" o:gfxdata="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BWmB1g1QAAAAYBAAAPAAAAAAAA&#10;AAEAIAAAACIAAABkcnMvZG93bnJldi54bWxQSwECFAAUAAAACACHTuJA9Z5T38ACAAAGBgAADgAA&#10;AAAAAAABACAAAAAkAQAAZHJzL2Uyb0RvYy54bWxQSwUGAAAAAAYABgBZAQAAVgYAAAAA&#10;">
                      <o:lock v:ext="edit" aspectratio="f"/>
                      <v:shape id="任意多边形 637" o:spid="_x0000_s1026" o:spt="100" style="position:absolute;left:1553;top:735;height:819;width:1273;" filled="f" stroked="t" coordsize="1273,819" o:gfxdata="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Z9oSW/&#10;AAAA3AAAAA8AAAAAAAAAAQAgAAAAIgAAAGRycy9kb3ducmV2LnhtbFBLAQIUABQAAAAIAIdO4kAz&#10;LwWeOwAAADkAAAAQAAAAAAAAAAEAIAAAAA4BAABkcnMvc2hhcGV4bWwueG1sUEsFBgAAAAAGAAYA&#10;WwEAALgDAAAAAA==&#10;" path="m0,0l1272,818e">
                        <v:fill on="f" focussize="0,0"/>
                        <v:stroke weight="0.48pt" color="#000000" joinstyle="round"/>
                        <v:imagedata o:title=""/>
                        <o:lock v:ext="edit" aspectratio="f"/>
                      </v:shape>
                    </v:group>
                  </w:pict>
                </mc:Fallback>
              </mc:AlternateContent>
            </w:r>
            <w:r>
              <w:rPr>
                <w:rFonts w:ascii="Times New Roman" w:hAnsi="Times New Roman"/>
              </w:rPr>
              <w:t xml:space="preserve">   项目</w:t>
            </w:r>
          </w:p>
          <w:p w14:paraId="08B735FD">
            <w:pPr>
              <w:pStyle w:val="69"/>
              <w:spacing w:line="320" w:lineRule="exact"/>
              <w:ind w:firstLine="210" w:firstLineChars="100"/>
              <w:rPr>
                <w:rFonts w:ascii="Times New Roman" w:hAnsi="Times New Roman"/>
              </w:rPr>
            </w:pPr>
          </w:p>
          <w:p w14:paraId="5387A1C9">
            <w:pPr>
              <w:pStyle w:val="69"/>
              <w:spacing w:line="320" w:lineRule="exact"/>
              <w:ind w:firstLine="210" w:firstLineChars="100"/>
              <w:rPr>
                <w:rFonts w:ascii="Times New Roman" w:hAnsi="Times New Roman"/>
              </w:rPr>
            </w:pPr>
            <w:r>
              <w:rPr>
                <w:rFonts w:ascii="Times New Roman" w:hAnsi="Times New Roman"/>
              </w:rPr>
              <w:t>分类</w:t>
            </w:r>
          </w:p>
        </w:tc>
        <w:tc>
          <w:tcPr>
            <w:tcW w:w="601" w:type="pct"/>
            <w:tcBorders>
              <w:top w:val="single" w:color="000000" w:sz="8" w:space="0"/>
              <w:left w:val="single" w:color="000000" w:sz="4" w:space="0"/>
              <w:bottom w:val="single" w:color="auto" w:sz="4" w:space="0"/>
              <w:right w:val="single" w:color="000000" w:sz="4" w:space="0"/>
            </w:tcBorders>
            <w:noWrap w:val="0"/>
            <w:vAlign w:val="center"/>
          </w:tcPr>
          <w:p w14:paraId="0EAF4761">
            <w:pPr>
              <w:pStyle w:val="69"/>
              <w:spacing w:line="320" w:lineRule="exact"/>
              <w:jc w:val="center"/>
              <w:rPr>
                <w:rFonts w:ascii="Times New Roman" w:hAnsi="Times New Roman"/>
              </w:rPr>
            </w:pPr>
            <w:r>
              <w:rPr>
                <w:rFonts w:ascii="Times New Roman" w:hAnsi="Times New Roman"/>
              </w:rPr>
              <w:t>污染物名称</w:t>
            </w:r>
          </w:p>
        </w:tc>
        <w:tc>
          <w:tcPr>
            <w:tcW w:w="588" w:type="pct"/>
            <w:tcBorders>
              <w:top w:val="single" w:color="000000" w:sz="8" w:space="0"/>
              <w:left w:val="single" w:color="000000" w:sz="4" w:space="0"/>
              <w:bottom w:val="single" w:color="000000" w:sz="4" w:space="0"/>
              <w:right w:val="single" w:color="000000" w:sz="4" w:space="0"/>
            </w:tcBorders>
            <w:noWrap w:val="0"/>
            <w:vAlign w:val="center"/>
          </w:tcPr>
          <w:p w14:paraId="5BC49787">
            <w:pPr>
              <w:pStyle w:val="69"/>
              <w:spacing w:line="320" w:lineRule="exact"/>
              <w:jc w:val="center"/>
              <w:rPr>
                <w:rFonts w:ascii="Times New Roman" w:hAnsi="Times New Roman"/>
              </w:rPr>
            </w:pPr>
            <w:r>
              <w:rPr>
                <w:rFonts w:ascii="Times New Roman" w:hAnsi="Times New Roman"/>
              </w:rPr>
              <w:t>现有工程</w:t>
            </w:r>
          </w:p>
          <w:p w14:paraId="152AE172">
            <w:pPr>
              <w:pStyle w:val="69"/>
              <w:spacing w:line="320" w:lineRule="exact"/>
              <w:jc w:val="center"/>
              <w:rPr>
                <w:rFonts w:ascii="Times New Roman" w:hAnsi="Times New Roman"/>
              </w:rPr>
            </w:pPr>
            <w:r>
              <w:rPr>
                <w:rFonts w:ascii="Times New Roman" w:hAnsi="Times New Roman"/>
              </w:rPr>
              <w:t>排放量（固体废物 产生量）①</w:t>
            </w:r>
          </w:p>
        </w:tc>
        <w:tc>
          <w:tcPr>
            <w:tcW w:w="464" w:type="pct"/>
            <w:tcBorders>
              <w:top w:val="single" w:color="000000" w:sz="8" w:space="0"/>
              <w:left w:val="single" w:color="000000" w:sz="4" w:space="0"/>
              <w:bottom w:val="single" w:color="000000" w:sz="4" w:space="0"/>
              <w:right w:val="single" w:color="000000" w:sz="4" w:space="0"/>
            </w:tcBorders>
            <w:noWrap w:val="0"/>
            <w:vAlign w:val="center"/>
          </w:tcPr>
          <w:p w14:paraId="5D1D5C3F">
            <w:pPr>
              <w:pStyle w:val="69"/>
              <w:spacing w:line="320" w:lineRule="exact"/>
              <w:jc w:val="center"/>
              <w:rPr>
                <w:rFonts w:ascii="Times New Roman" w:hAnsi="Times New Roman"/>
              </w:rPr>
            </w:pPr>
            <w:r>
              <w:rPr>
                <w:rFonts w:ascii="Times New Roman" w:hAnsi="Times New Roman"/>
              </w:rPr>
              <w:t>现有工程</w:t>
            </w:r>
          </w:p>
          <w:p w14:paraId="3F8A651B">
            <w:pPr>
              <w:pStyle w:val="69"/>
              <w:spacing w:line="320" w:lineRule="exact"/>
              <w:jc w:val="center"/>
              <w:rPr>
                <w:rFonts w:ascii="Times New Roman" w:hAnsi="Times New Roman"/>
              </w:rPr>
            </w:pPr>
            <w:r>
              <w:rPr>
                <w:rFonts w:ascii="Times New Roman" w:hAnsi="Times New Roman"/>
              </w:rPr>
              <w:t>许可排放量</w:t>
            </w:r>
          </w:p>
          <w:p w14:paraId="30A9AF6B">
            <w:pPr>
              <w:pStyle w:val="69"/>
              <w:spacing w:line="320" w:lineRule="exact"/>
              <w:jc w:val="center"/>
              <w:rPr>
                <w:rFonts w:ascii="Times New Roman" w:hAnsi="Times New Roman"/>
              </w:rPr>
            </w:pPr>
            <w:r>
              <w:rPr>
                <w:rFonts w:ascii="Times New Roman" w:hAnsi="Times New Roman"/>
              </w:rPr>
              <w:t>②</w:t>
            </w:r>
          </w:p>
        </w:tc>
        <w:tc>
          <w:tcPr>
            <w:tcW w:w="618" w:type="pct"/>
            <w:tcBorders>
              <w:top w:val="single" w:color="000000" w:sz="8" w:space="0"/>
              <w:left w:val="single" w:color="000000" w:sz="4" w:space="0"/>
              <w:bottom w:val="single" w:color="000000" w:sz="4" w:space="0"/>
              <w:right w:val="single" w:color="000000" w:sz="4" w:space="0"/>
            </w:tcBorders>
            <w:noWrap w:val="0"/>
            <w:vAlign w:val="center"/>
          </w:tcPr>
          <w:p w14:paraId="38994F93">
            <w:pPr>
              <w:pStyle w:val="69"/>
              <w:spacing w:line="320" w:lineRule="exact"/>
              <w:jc w:val="center"/>
              <w:rPr>
                <w:rFonts w:ascii="Times New Roman" w:hAnsi="Times New Roman"/>
              </w:rPr>
            </w:pPr>
            <w:r>
              <w:rPr>
                <w:rFonts w:ascii="Times New Roman" w:hAnsi="Times New Roman"/>
              </w:rPr>
              <w:t>在建工程</w:t>
            </w:r>
          </w:p>
          <w:p w14:paraId="76EBE642">
            <w:pPr>
              <w:pStyle w:val="69"/>
              <w:spacing w:line="320" w:lineRule="exact"/>
              <w:jc w:val="center"/>
              <w:rPr>
                <w:rFonts w:ascii="Times New Roman" w:hAnsi="Times New Roman"/>
              </w:rPr>
            </w:pPr>
            <w:r>
              <w:rPr>
                <w:rFonts w:ascii="Times New Roman" w:hAnsi="Times New Roman"/>
              </w:rPr>
              <w:t>排放量（固体废物产生量）③</w:t>
            </w:r>
          </w:p>
        </w:tc>
        <w:tc>
          <w:tcPr>
            <w:tcW w:w="566" w:type="pct"/>
            <w:tcBorders>
              <w:top w:val="single" w:color="000000" w:sz="8" w:space="0"/>
              <w:left w:val="single" w:color="000000" w:sz="4" w:space="0"/>
              <w:bottom w:val="single" w:color="000000" w:sz="4" w:space="0"/>
              <w:right w:val="single" w:color="000000" w:sz="4" w:space="0"/>
            </w:tcBorders>
            <w:noWrap w:val="0"/>
            <w:vAlign w:val="center"/>
          </w:tcPr>
          <w:p w14:paraId="57C8B0D7">
            <w:pPr>
              <w:pStyle w:val="69"/>
              <w:spacing w:line="320" w:lineRule="exact"/>
              <w:jc w:val="center"/>
              <w:rPr>
                <w:rFonts w:ascii="Times New Roman" w:hAnsi="Times New Roman"/>
              </w:rPr>
            </w:pPr>
            <w:r>
              <w:rPr>
                <w:rFonts w:ascii="Times New Roman" w:hAnsi="Times New Roman"/>
              </w:rPr>
              <w:t>本项目</w:t>
            </w:r>
          </w:p>
          <w:p w14:paraId="0B071ECB">
            <w:pPr>
              <w:pStyle w:val="69"/>
              <w:spacing w:line="320" w:lineRule="exact"/>
              <w:jc w:val="center"/>
              <w:rPr>
                <w:rFonts w:ascii="Times New Roman" w:hAnsi="Times New Roman"/>
              </w:rPr>
            </w:pPr>
            <w:r>
              <w:rPr>
                <w:rFonts w:ascii="Times New Roman" w:hAnsi="Times New Roman"/>
              </w:rPr>
              <w:t>排放量（固体废物产生量）④</w:t>
            </w:r>
          </w:p>
        </w:tc>
        <w:tc>
          <w:tcPr>
            <w:tcW w:w="640" w:type="pct"/>
            <w:tcBorders>
              <w:top w:val="single" w:color="000000" w:sz="8" w:space="0"/>
              <w:left w:val="single" w:color="000000" w:sz="4" w:space="0"/>
              <w:bottom w:val="single" w:color="000000" w:sz="4" w:space="0"/>
              <w:right w:val="single" w:color="000000" w:sz="4" w:space="0"/>
            </w:tcBorders>
            <w:noWrap w:val="0"/>
            <w:vAlign w:val="center"/>
          </w:tcPr>
          <w:p w14:paraId="521A0F5B">
            <w:pPr>
              <w:pStyle w:val="69"/>
              <w:spacing w:line="320" w:lineRule="exact"/>
              <w:jc w:val="center"/>
              <w:rPr>
                <w:rFonts w:ascii="Times New Roman" w:hAnsi="Times New Roman"/>
              </w:rPr>
            </w:pPr>
            <w:r>
              <w:rPr>
                <w:rFonts w:ascii="Times New Roman" w:hAnsi="Times New Roman"/>
              </w:rPr>
              <w:t>以新带老削减量</w:t>
            </w:r>
          </w:p>
          <w:p w14:paraId="36BB5779">
            <w:pPr>
              <w:pStyle w:val="69"/>
              <w:spacing w:line="320" w:lineRule="exact"/>
              <w:jc w:val="center"/>
              <w:rPr>
                <w:rFonts w:ascii="Times New Roman" w:hAnsi="Times New Roman"/>
              </w:rPr>
            </w:pPr>
            <w:r>
              <w:rPr>
                <w:rFonts w:ascii="Times New Roman" w:hAnsi="Times New Roman"/>
              </w:rPr>
              <w:t>（新建项目不填）⑤</w:t>
            </w:r>
          </w:p>
        </w:tc>
        <w:tc>
          <w:tcPr>
            <w:tcW w:w="662" w:type="pct"/>
            <w:tcBorders>
              <w:top w:val="single" w:color="000000" w:sz="8" w:space="0"/>
              <w:left w:val="single" w:color="000000" w:sz="4" w:space="0"/>
              <w:bottom w:val="single" w:color="000000" w:sz="4" w:space="0"/>
              <w:right w:val="single" w:color="000000" w:sz="4" w:space="0"/>
            </w:tcBorders>
            <w:noWrap w:val="0"/>
            <w:vAlign w:val="center"/>
          </w:tcPr>
          <w:p w14:paraId="46E28A63">
            <w:pPr>
              <w:pStyle w:val="69"/>
              <w:spacing w:line="320" w:lineRule="exact"/>
              <w:jc w:val="center"/>
              <w:rPr>
                <w:rFonts w:ascii="Times New Roman" w:hAnsi="Times New Roman"/>
              </w:rPr>
            </w:pPr>
            <w:r>
              <w:rPr>
                <w:rFonts w:ascii="Times New Roman" w:hAnsi="Times New Roman"/>
              </w:rPr>
              <w:t>本项目建成后</w:t>
            </w:r>
            <w:r>
              <w:rPr>
                <w:rFonts w:hint="eastAsia"/>
                <w:lang w:val="en-US" w:eastAsia="zh-CN"/>
              </w:rPr>
              <w:t>全厂</w:t>
            </w:r>
            <w:r>
              <w:rPr>
                <w:rFonts w:ascii="Times New Roman" w:hAnsi="Times New Roman"/>
              </w:rPr>
              <w:t>排放量（固体废物产生量）⑥</w:t>
            </w:r>
          </w:p>
        </w:tc>
        <w:tc>
          <w:tcPr>
            <w:tcW w:w="447" w:type="pct"/>
            <w:tcBorders>
              <w:top w:val="single" w:color="000000" w:sz="8" w:space="0"/>
              <w:left w:val="single" w:color="000000" w:sz="4" w:space="0"/>
              <w:bottom w:val="single" w:color="000000" w:sz="4" w:space="0"/>
              <w:right w:val="single" w:color="000000" w:sz="8" w:space="0"/>
            </w:tcBorders>
            <w:noWrap w:val="0"/>
            <w:vAlign w:val="center"/>
          </w:tcPr>
          <w:p w14:paraId="386F1DA8">
            <w:pPr>
              <w:pStyle w:val="69"/>
              <w:spacing w:line="320" w:lineRule="exact"/>
              <w:jc w:val="center"/>
              <w:rPr>
                <w:rFonts w:ascii="Times New Roman" w:hAnsi="Times New Roman"/>
              </w:rPr>
            </w:pPr>
            <w:r>
              <w:rPr>
                <w:rFonts w:ascii="Times New Roman" w:hAnsi="Times New Roman"/>
              </w:rPr>
              <w:t>变化量</w:t>
            </w:r>
          </w:p>
          <w:p w14:paraId="1F697823">
            <w:pPr>
              <w:pStyle w:val="69"/>
              <w:spacing w:line="320" w:lineRule="exact"/>
              <w:jc w:val="center"/>
              <w:rPr>
                <w:rFonts w:ascii="Times New Roman" w:hAnsi="Times New Roman"/>
              </w:rPr>
            </w:pPr>
            <w:r>
              <w:rPr>
                <w:rFonts w:ascii="Times New Roman" w:hAnsi="Times New Roman"/>
              </w:rPr>
              <w:t>⑦</w:t>
            </w:r>
          </w:p>
        </w:tc>
      </w:tr>
      <w:tr w14:paraId="3CD414E6">
        <w:tblPrEx>
          <w:tblCellMar>
            <w:top w:w="0" w:type="dxa"/>
            <w:left w:w="0" w:type="dxa"/>
            <w:bottom w:w="0" w:type="dxa"/>
            <w:right w:w="0" w:type="dxa"/>
          </w:tblCellMar>
        </w:tblPrEx>
        <w:trPr>
          <w:trHeight w:val="90" w:hRule="atLeast"/>
          <w:jc w:val="center"/>
        </w:trPr>
        <w:tc>
          <w:tcPr>
            <w:tcW w:w="409" w:type="pct"/>
            <w:vMerge w:val="restart"/>
            <w:tcBorders>
              <w:top w:val="single" w:color="000000" w:sz="4" w:space="0"/>
              <w:left w:val="single" w:color="000000" w:sz="8" w:space="0"/>
              <w:right w:val="single" w:color="auto" w:sz="4" w:space="0"/>
            </w:tcBorders>
            <w:noWrap w:val="0"/>
            <w:vAlign w:val="center"/>
          </w:tcPr>
          <w:p w14:paraId="241A079C">
            <w:pPr>
              <w:pStyle w:val="69"/>
              <w:spacing w:line="320" w:lineRule="exact"/>
              <w:jc w:val="center"/>
              <w:rPr>
                <w:rFonts w:ascii="Times New Roman" w:hAnsi="Times New Roman"/>
              </w:rPr>
            </w:pPr>
            <w:r>
              <w:rPr>
                <w:rFonts w:ascii="Times New Roman" w:hAnsi="Times New Roman"/>
              </w:rPr>
              <w:t>废气</w:t>
            </w:r>
          </w:p>
        </w:tc>
        <w:tc>
          <w:tcPr>
            <w:tcW w:w="601" w:type="pct"/>
            <w:tcBorders>
              <w:top w:val="single" w:color="auto" w:sz="4" w:space="0"/>
              <w:left w:val="single" w:color="auto" w:sz="4" w:space="0"/>
              <w:bottom w:val="single" w:color="auto" w:sz="4" w:space="0"/>
              <w:right w:val="single" w:color="auto" w:sz="4" w:space="0"/>
            </w:tcBorders>
            <w:noWrap w:val="0"/>
            <w:vAlign w:val="center"/>
          </w:tcPr>
          <w:p w14:paraId="2B5EF532">
            <w:pPr>
              <w:pStyle w:val="118"/>
              <w:rPr>
                <w:rFonts w:hint="eastAsia" w:ascii="Times New Roman" w:hAnsi="Times New Roman" w:eastAsia="宋体"/>
                <w:szCs w:val="21"/>
                <w:lang w:val="en-US" w:eastAsia="zh-CN"/>
              </w:rPr>
            </w:pPr>
            <w:r>
              <w:rPr>
                <w:rFonts w:hint="eastAsia"/>
                <w:lang w:eastAsia="zh-CN"/>
              </w:rPr>
              <w:t>氨</w:t>
            </w:r>
          </w:p>
        </w:tc>
        <w:tc>
          <w:tcPr>
            <w:tcW w:w="588" w:type="pct"/>
            <w:tcBorders>
              <w:top w:val="single" w:color="000000" w:sz="4" w:space="0"/>
              <w:left w:val="single" w:color="auto" w:sz="4" w:space="0"/>
              <w:bottom w:val="single" w:color="auto" w:sz="4" w:space="0"/>
              <w:right w:val="single" w:color="000000" w:sz="4" w:space="0"/>
            </w:tcBorders>
            <w:noWrap w:val="0"/>
            <w:vAlign w:val="center"/>
          </w:tcPr>
          <w:p w14:paraId="334787C5">
            <w:pPr>
              <w:pStyle w:val="118"/>
              <w:rPr>
                <w:rFonts w:hint="default" w:ascii="Times New Roman" w:hAnsi="Times New Roman" w:eastAsia="宋体"/>
                <w:sz w:val="21"/>
                <w:szCs w:val="21"/>
                <w:lang w:val="en-US" w:eastAsia="zh-CN"/>
              </w:rPr>
            </w:pPr>
            <w:r>
              <w:rPr>
                <w:rFonts w:hint="eastAsia"/>
                <w:kern w:val="2"/>
                <w:szCs w:val="18"/>
                <w:lang w:val="en-US" w:eastAsia="zh-CN"/>
              </w:rPr>
              <w:t>0.028t/a</w:t>
            </w:r>
          </w:p>
        </w:tc>
        <w:tc>
          <w:tcPr>
            <w:tcW w:w="464" w:type="pct"/>
            <w:tcBorders>
              <w:top w:val="single" w:color="000000" w:sz="4" w:space="0"/>
              <w:left w:val="single" w:color="000000" w:sz="4" w:space="0"/>
              <w:bottom w:val="single" w:color="auto" w:sz="4" w:space="0"/>
              <w:right w:val="single" w:color="000000" w:sz="4" w:space="0"/>
            </w:tcBorders>
            <w:noWrap w:val="0"/>
            <w:vAlign w:val="center"/>
          </w:tcPr>
          <w:p w14:paraId="59803D72">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default" w:ascii="Times New Roman" w:hAnsi="Times New Roman" w:eastAsia="宋体"/>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w:t>
            </w:r>
          </w:p>
        </w:tc>
        <w:tc>
          <w:tcPr>
            <w:tcW w:w="618" w:type="pct"/>
            <w:tcBorders>
              <w:top w:val="single" w:color="000000" w:sz="4" w:space="0"/>
              <w:left w:val="single" w:color="000000" w:sz="4" w:space="0"/>
              <w:bottom w:val="single" w:color="auto" w:sz="4" w:space="0"/>
              <w:right w:val="single" w:color="000000" w:sz="4" w:space="0"/>
            </w:tcBorders>
            <w:noWrap w:val="0"/>
            <w:vAlign w:val="center"/>
          </w:tcPr>
          <w:p w14:paraId="0AB697A0">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ascii="Times New Roman" w:hAnsi="Times New Roman"/>
                <w:sz w:val="21"/>
                <w:szCs w:val="21"/>
              </w:rPr>
            </w:pPr>
            <w:r>
              <w:rPr>
                <w:rFonts w:hint="eastAsia" w:ascii="Times New Roman" w:hAnsi="Times New Roman" w:eastAsia="宋体" w:cs="Times New Roman"/>
                <w:snapToGrid w:val="0"/>
                <w:color w:val="auto"/>
                <w:kern w:val="21"/>
                <w:sz w:val="21"/>
                <w:szCs w:val="21"/>
                <w:lang w:val="en-US" w:eastAsia="zh-CN"/>
              </w:rPr>
              <w:t>/</w:t>
            </w:r>
          </w:p>
        </w:tc>
        <w:tc>
          <w:tcPr>
            <w:tcW w:w="1704" w:type="dxa"/>
            <w:tcBorders>
              <w:top w:val="single" w:color="000000" w:sz="4" w:space="0"/>
              <w:left w:val="single" w:color="000000" w:sz="4" w:space="0"/>
              <w:bottom w:val="single" w:color="auto" w:sz="4" w:space="0"/>
              <w:right w:val="single" w:color="000000" w:sz="4" w:space="0"/>
            </w:tcBorders>
            <w:noWrap w:val="0"/>
            <w:vAlign w:val="center"/>
          </w:tcPr>
          <w:p w14:paraId="096079E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szCs w:val="21"/>
                <w:lang w:val="en-US" w:eastAsia="zh-CN"/>
              </w:rPr>
            </w:pPr>
            <w:r>
              <w:rPr>
                <w:rFonts w:hint="eastAsia" w:cs="Times New Roman"/>
                <w:color w:val="auto"/>
                <w:sz w:val="21"/>
                <w:szCs w:val="21"/>
                <w:lang w:val="en-US" w:eastAsia="zh-CN"/>
              </w:rPr>
              <w:t>0.00146t/a</w:t>
            </w:r>
          </w:p>
        </w:tc>
        <w:tc>
          <w:tcPr>
            <w:tcW w:w="640" w:type="pct"/>
            <w:tcBorders>
              <w:top w:val="single" w:color="000000" w:sz="4" w:space="0"/>
              <w:left w:val="single" w:color="000000" w:sz="4" w:space="0"/>
              <w:bottom w:val="single" w:color="auto" w:sz="4" w:space="0"/>
              <w:right w:val="single" w:color="000000" w:sz="4" w:space="0"/>
            </w:tcBorders>
            <w:noWrap w:val="0"/>
            <w:vAlign w:val="center"/>
          </w:tcPr>
          <w:p w14:paraId="5BD1258E">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eastAsia" w:ascii="Times New Roman" w:hAnsi="Times New Roman" w:eastAsia="宋体"/>
                <w:szCs w:val="21"/>
                <w:lang w:val="en-US" w:eastAsia="zh-CN"/>
              </w:rPr>
            </w:pPr>
            <w:r>
              <w:rPr>
                <w:rFonts w:hint="eastAsia" w:ascii="Times New Roman" w:hAnsi="Times New Roman" w:eastAsia="宋体" w:cs="Times New Roman"/>
                <w:snapToGrid w:val="0"/>
                <w:color w:val="auto"/>
                <w:kern w:val="21"/>
                <w:sz w:val="21"/>
                <w:szCs w:val="21"/>
                <w:lang w:val="en-US" w:eastAsia="zh-CN"/>
              </w:rPr>
              <w:t>/</w:t>
            </w:r>
          </w:p>
        </w:tc>
        <w:tc>
          <w:tcPr>
            <w:tcW w:w="662" w:type="pct"/>
            <w:tcBorders>
              <w:top w:val="single" w:color="000000" w:sz="4" w:space="0"/>
              <w:left w:val="single" w:color="000000" w:sz="4" w:space="0"/>
              <w:bottom w:val="single" w:color="auto" w:sz="4" w:space="0"/>
              <w:right w:val="single" w:color="000000" w:sz="4" w:space="0"/>
            </w:tcBorders>
            <w:noWrap w:val="0"/>
            <w:vAlign w:val="center"/>
          </w:tcPr>
          <w:p w14:paraId="2DB984B4">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default" w:ascii="Times New Roman" w:hAnsi="Times New Roman" w:eastAsia="宋体"/>
                <w:szCs w:val="21"/>
                <w:lang w:val="en-US" w:eastAsia="zh-CN"/>
              </w:rPr>
            </w:pPr>
            <w:r>
              <w:rPr>
                <w:rFonts w:hint="eastAsia" w:ascii="Times New Roman"/>
                <w:szCs w:val="21"/>
                <w:lang w:val="en-US" w:eastAsia="zh-CN"/>
              </w:rPr>
              <w:t>0.02946t/a</w:t>
            </w:r>
          </w:p>
        </w:tc>
        <w:tc>
          <w:tcPr>
            <w:tcW w:w="1347" w:type="dxa"/>
            <w:tcBorders>
              <w:top w:val="single" w:color="000000" w:sz="4" w:space="0"/>
              <w:left w:val="single" w:color="000000" w:sz="4" w:space="0"/>
              <w:bottom w:val="single" w:color="auto" w:sz="4" w:space="0"/>
              <w:right w:val="single" w:color="000000" w:sz="8" w:space="0"/>
            </w:tcBorders>
            <w:noWrap w:val="0"/>
            <w:vAlign w:val="center"/>
          </w:tcPr>
          <w:p w14:paraId="78369027">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szCs w:val="21"/>
                <w:lang w:val="en-US" w:eastAsia="zh-CN"/>
              </w:rPr>
            </w:pPr>
            <w:r>
              <w:rPr>
                <w:rFonts w:hint="eastAsia" w:cs="Times New Roman"/>
                <w:color w:val="auto"/>
                <w:sz w:val="21"/>
                <w:szCs w:val="21"/>
                <w:lang w:val="en-US" w:eastAsia="zh-CN"/>
              </w:rPr>
              <w:t>+0.00146t/a</w:t>
            </w:r>
          </w:p>
        </w:tc>
      </w:tr>
      <w:tr w14:paraId="51BFA24E">
        <w:tblPrEx>
          <w:tblCellMar>
            <w:top w:w="0" w:type="dxa"/>
            <w:left w:w="0" w:type="dxa"/>
            <w:bottom w:w="0" w:type="dxa"/>
            <w:right w:w="0" w:type="dxa"/>
          </w:tblCellMar>
        </w:tblPrEx>
        <w:trPr>
          <w:trHeight w:val="90" w:hRule="atLeast"/>
          <w:jc w:val="center"/>
        </w:trPr>
        <w:tc>
          <w:tcPr>
            <w:tcW w:w="409" w:type="pct"/>
            <w:vMerge w:val="continue"/>
            <w:tcBorders>
              <w:left w:val="single" w:color="000000" w:sz="8" w:space="0"/>
              <w:right w:val="single" w:color="auto" w:sz="4" w:space="0"/>
            </w:tcBorders>
            <w:noWrap w:val="0"/>
            <w:vAlign w:val="center"/>
          </w:tcPr>
          <w:p w14:paraId="4F4EB374">
            <w:pPr>
              <w:pStyle w:val="69"/>
              <w:spacing w:line="320" w:lineRule="exact"/>
              <w:jc w:val="center"/>
              <w:rPr>
                <w:rFonts w:ascii="Times New Roman" w:hAnsi="Times New Roman"/>
              </w:rPr>
            </w:pPr>
          </w:p>
        </w:tc>
        <w:tc>
          <w:tcPr>
            <w:tcW w:w="601" w:type="pct"/>
            <w:tcBorders>
              <w:top w:val="single" w:color="auto" w:sz="4" w:space="0"/>
              <w:left w:val="single" w:color="auto" w:sz="4" w:space="0"/>
              <w:bottom w:val="single" w:color="auto" w:sz="4" w:space="0"/>
              <w:right w:val="single" w:color="auto" w:sz="4" w:space="0"/>
            </w:tcBorders>
            <w:noWrap w:val="0"/>
            <w:vAlign w:val="center"/>
          </w:tcPr>
          <w:p w14:paraId="7C48A31C">
            <w:pPr>
              <w:pStyle w:val="118"/>
              <w:rPr>
                <w:rFonts w:hint="eastAsia"/>
                <w:szCs w:val="21"/>
                <w:lang w:val="en-US" w:eastAsia="zh-CN"/>
              </w:rPr>
            </w:pPr>
            <w:r>
              <w:rPr>
                <w:rFonts w:hint="eastAsia"/>
                <w:lang w:eastAsia="zh-CN"/>
              </w:rPr>
              <w:t>硫化氢</w:t>
            </w:r>
          </w:p>
        </w:tc>
        <w:tc>
          <w:tcPr>
            <w:tcW w:w="588" w:type="pct"/>
            <w:tcBorders>
              <w:top w:val="single" w:color="000000" w:sz="4" w:space="0"/>
              <w:left w:val="single" w:color="auto" w:sz="4" w:space="0"/>
              <w:bottom w:val="single" w:color="auto" w:sz="4" w:space="0"/>
              <w:right w:val="single" w:color="000000" w:sz="4" w:space="0"/>
            </w:tcBorders>
            <w:noWrap w:val="0"/>
            <w:vAlign w:val="center"/>
          </w:tcPr>
          <w:p w14:paraId="15205343">
            <w:pPr>
              <w:pStyle w:val="118"/>
              <w:rPr>
                <w:rFonts w:hint="eastAsia" w:ascii="Times New Roman"/>
                <w:sz w:val="21"/>
                <w:szCs w:val="21"/>
                <w:lang w:val="en-US" w:eastAsia="zh-CN"/>
              </w:rPr>
            </w:pPr>
            <w:r>
              <w:rPr>
                <w:rFonts w:hint="eastAsia"/>
                <w:kern w:val="2"/>
                <w:szCs w:val="18"/>
                <w:lang w:val="en-US" w:eastAsia="zh-CN"/>
              </w:rPr>
              <w:t>0.0008t/a</w:t>
            </w:r>
          </w:p>
        </w:tc>
        <w:tc>
          <w:tcPr>
            <w:tcW w:w="464" w:type="pct"/>
            <w:tcBorders>
              <w:top w:val="single" w:color="000000" w:sz="4" w:space="0"/>
              <w:left w:val="single" w:color="000000" w:sz="4" w:space="0"/>
              <w:bottom w:val="single" w:color="auto" w:sz="4" w:space="0"/>
              <w:right w:val="single" w:color="000000" w:sz="4" w:space="0"/>
            </w:tcBorders>
            <w:noWrap w:val="0"/>
            <w:vAlign w:val="center"/>
          </w:tcPr>
          <w:p w14:paraId="38E4D059">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eastAsia" w:ascii="Times New Roman" w:hAnsi="Times New Roman" w:eastAsia="宋体" w:cs="Times New Roman"/>
                <w:snapToGrid w:val="0"/>
                <w:color w:val="auto"/>
                <w:kern w:val="21"/>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w:t>
            </w:r>
          </w:p>
        </w:tc>
        <w:tc>
          <w:tcPr>
            <w:tcW w:w="618" w:type="pct"/>
            <w:tcBorders>
              <w:top w:val="single" w:color="000000" w:sz="4" w:space="0"/>
              <w:left w:val="single" w:color="000000" w:sz="4" w:space="0"/>
              <w:bottom w:val="single" w:color="auto" w:sz="4" w:space="0"/>
              <w:right w:val="single" w:color="000000" w:sz="4" w:space="0"/>
            </w:tcBorders>
            <w:noWrap w:val="0"/>
            <w:vAlign w:val="center"/>
          </w:tcPr>
          <w:p w14:paraId="12ED7402">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eastAsia" w:ascii="Times New Roman" w:hAnsi="Times New Roman" w:eastAsia="宋体" w:cs="Times New Roman"/>
                <w:snapToGrid w:val="0"/>
                <w:color w:val="auto"/>
                <w:kern w:val="21"/>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w:t>
            </w:r>
          </w:p>
        </w:tc>
        <w:tc>
          <w:tcPr>
            <w:tcW w:w="1704" w:type="dxa"/>
            <w:tcBorders>
              <w:top w:val="single" w:color="000000" w:sz="4" w:space="0"/>
              <w:left w:val="single" w:color="000000" w:sz="4" w:space="0"/>
              <w:bottom w:val="single" w:color="auto" w:sz="4" w:space="0"/>
              <w:right w:val="single" w:color="000000" w:sz="4" w:space="0"/>
            </w:tcBorders>
            <w:noWrap w:val="0"/>
            <w:vAlign w:val="center"/>
          </w:tcPr>
          <w:p w14:paraId="18FE733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szCs w:val="21"/>
                <w:lang w:val="en-US" w:eastAsia="zh-CN"/>
              </w:rPr>
            </w:pPr>
            <w:r>
              <w:rPr>
                <w:rFonts w:hint="eastAsia" w:cs="Times New Roman"/>
                <w:color w:val="auto"/>
                <w:sz w:val="21"/>
                <w:szCs w:val="21"/>
                <w:lang w:val="en-US" w:eastAsia="zh-CN"/>
              </w:rPr>
              <w:t>0.00006t/a</w:t>
            </w:r>
          </w:p>
        </w:tc>
        <w:tc>
          <w:tcPr>
            <w:tcW w:w="640" w:type="pct"/>
            <w:tcBorders>
              <w:top w:val="single" w:color="000000" w:sz="4" w:space="0"/>
              <w:left w:val="single" w:color="000000" w:sz="4" w:space="0"/>
              <w:bottom w:val="single" w:color="auto" w:sz="4" w:space="0"/>
              <w:right w:val="single" w:color="000000" w:sz="4" w:space="0"/>
            </w:tcBorders>
            <w:noWrap w:val="0"/>
            <w:vAlign w:val="center"/>
          </w:tcPr>
          <w:p w14:paraId="52F95C8E">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default" w:ascii="Times New Roman" w:hAnsi="Times New Roman" w:eastAsia="宋体"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w:t>
            </w:r>
          </w:p>
        </w:tc>
        <w:tc>
          <w:tcPr>
            <w:tcW w:w="662" w:type="pct"/>
            <w:tcBorders>
              <w:top w:val="single" w:color="000000" w:sz="4" w:space="0"/>
              <w:left w:val="single" w:color="000000" w:sz="4" w:space="0"/>
              <w:bottom w:val="single" w:color="auto" w:sz="4" w:space="0"/>
              <w:right w:val="single" w:color="000000" w:sz="4" w:space="0"/>
            </w:tcBorders>
            <w:noWrap w:val="0"/>
            <w:vAlign w:val="center"/>
          </w:tcPr>
          <w:p w14:paraId="76AEA803">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default" w:ascii="Times New Roman"/>
                <w:szCs w:val="21"/>
                <w:lang w:val="en-US" w:eastAsia="zh-CN"/>
              </w:rPr>
            </w:pPr>
            <w:r>
              <w:rPr>
                <w:rFonts w:hint="eastAsia" w:ascii="Times New Roman"/>
                <w:szCs w:val="21"/>
                <w:lang w:val="en-US" w:eastAsia="zh-CN"/>
              </w:rPr>
              <w:t>0.00086t/a</w:t>
            </w:r>
          </w:p>
        </w:tc>
        <w:tc>
          <w:tcPr>
            <w:tcW w:w="1347" w:type="dxa"/>
            <w:tcBorders>
              <w:top w:val="single" w:color="000000" w:sz="4" w:space="0"/>
              <w:left w:val="single" w:color="000000" w:sz="4" w:space="0"/>
              <w:bottom w:val="single" w:color="auto" w:sz="4" w:space="0"/>
              <w:right w:val="single" w:color="000000" w:sz="8" w:space="0"/>
            </w:tcBorders>
            <w:noWrap w:val="0"/>
            <w:vAlign w:val="center"/>
          </w:tcPr>
          <w:p w14:paraId="49E76EB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szCs w:val="21"/>
                <w:lang w:val="en-US" w:eastAsia="zh-CN"/>
              </w:rPr>
            </w:pPr>
            <w:r>
              <w:rPr>
                <w:rFonts w:hint="eastAsia" w:cs="Times New Roman"/>
                <w:color w:val="auto"/>
                <w:sz w:val="21"/>
                <w:szCs w:val="21"/>
                <w:lang w:val="en-US" w:eastAsia="zh-CN"/>
              </w:rPr>
              <w:t>+0.00006t/a</w:t>
            </w:r>
          </w:p>
        </w:tc>
      </w:tr>
      <w:tr w14:paraId="2B8612BD">
        <w:tblPrEx>
          <w:tblCellMar>
            <w:top w:w="0" w:type="dxa"/>
            <w:left w:w="0" w:type="dxa"/>
            <w:bottom w:w="0" w:type="dxa"/>
            <w:right w:w="0" w:type="dxa"/>
          </w:tblCellMar>
        </w:tblPrEx>
        <w:trPr>
          <w:trHeight w:val="0" w:hRule="atLeast"/>
          <w:jc w:val="center"/>
        </w:trPr>
        <w:tc>
          <w:tcPr>
            <w:tcW w:w="409" w:type="pct"/>
            <w:vMerge w:val="restart"/>
            <w:tcBorders>
              <w:top w:val="single" w:color="auto" w:sz="4" w:space="0"/>
              <w:left w:val="single" w:color="auto" w:sz="4" w:space="0"/>
              <w:bottom w:val="single" w:color="auto" w:sz="4" w:space="0"/>
              <w:right w:val="single" w:color="auto" w:sz="4" w:space="0"/>
            </w:tcBorders>
            <w:noWrap w:val="0"/>
            <w:vAlign w:val="center"/>
          </w:tcPr>
          <w:p w14:paraId="66DC883C">
            <w:pPr>
              <w:pStyle w:val="69"/>
              <w:spacing w:line="320" w:lineRule="exact"/>
              <w:jc w:val="center"/>
              <w:rPr>
                <w:rFonts w:ascii="Times New Roman" w:hAnsi="Times New Roman"/>
              </w:rPr>
            </w:pPr>
            <w:r>
              <w:rPr>
                <w:rFonts w:ascii="Times New Roman" w:hAnsi="Times New Roman"/>
              </w:rPr>
              <w:t>废水</w:t>
            </w:r>
          </w:p>
        </w:tc>
        <w:tc>
          <w:tcPr>
            <w:tcW w:w="601" w:type="pct"/>
            <w:tcBorders>
              <w:top w:val="single" w:color="auto" w:sz="4" w:space="0"/>
              <w:left w:val="single" w:color="auto" w:sz="4" w:space="0"/>
              <w:bottom w:val="single" w:color="auto" w:sz="4" w:space="0"/>
              <w:right w:val="single" w:color="auto" w:sz="4" w:space="0"/>
            </w:tcBorders>
            <w:noWrap w:val="0"/>
            <w:vAlign w:val="center"/>
          </w:tcPr>
          <w:p w14:paraId="10E01D86">
            <w:pPr>
              <w:jc w:val="center"/>
              <w:rPr>
                <w:rFonts w:hint="default" w:ascii="Times New Roman" w:hAnsi="Times New Roman" w:eastAsia="宋体"/>
                <w:color w:val="auto"/>
                <w:sz w:val="21"/>
                <w:szCs w:val="21"/>
                <w:lang w:val="en-US" w:eastAsia="zh-CN"/>
              </w:rPr>
            </w:pPr>
            <w:r>
              <w:rPr>
                <w:rFonts w:hint="eastAsia"/>
                <w:color w:val="auto"/>
                <w:sz w:val="21"/>
                <w:szCs w:val="21"/>
                <w:lang w:val="en-US" w:eastAsia="zh-CN"/>
              </w:rPr>
              <w:t>COD</w:t>
            </w:r>
          </w:p>
        </w:tc>
        <w:tc>
          <w:tcPr>
            <w:tcW w:w="588" w:type="pct"/>
            <w:tcBorders>
              <w:top w:val="single" w:color="auto" w:sz="4" w:space="0"/>
              <w:left w:val="single" w:color="auto" w:sz="4" w:space="0"/>
              <w:bottom w:val="single" w:color="auto" w:sz="4" w:space="0"/>
              <w:right w:val="single" w:color="auto" w:sz="4" w:space="0"/>
            </w:tcBorders>
            <w:noWrap w:val="0"/>
            <w:vAlign w:val="center"/>
          </w:tcPr>
          <w:p w14:paraId="778974AA">
            <w:pPr>
              <w:pStyle w:val="118"/>
              <w:rPr>
                <w:rFonts w:hint="default" w:ascii="Times New Roman" w:hAnsi="Times New Roman" w:eastAsia="宋体"/>
                <w:color w:val="auto"/>
                <w:sz w:val="21"/>
                <w:szCs w:val="21"/>
                <w:lang w:val="en-US" w:eastAsia="zh-CN"/>
              </w:rPr>
            </w:pPr>
            <w:r>
              <w:rPr>
                <w:rFonts w:hint="eastAsia"/>
                <w:lang w:val="en-US" w:eastAsia="zh-CN"/>
              </w:rPr>
              <w:t>0.894t/a</w:t>
            </w:r>
          </w:p>
        </w:tc>
        <w:tc>
          <w:tcPr>
            <w:tcW w:w="464" w:type="pct"/>
            <w:tcBorders>
              <w:top w:val="single" w:color="auto" w:sz="4" w:space="0"/>
              <w:left w:val="single" w:color="auto" w:sz="4" w:space="0"/>
              <w:bottom w:val="single" w:color="auto" w:sz="4" w:space="0"/>
              <w:right w:val="single" w:color="auto" w:sz="4" w:space="0"/>
            </w:tcBorders>
            <w:noWrap w:val="0"/>
            <w:vAlign w:val="center"/>
          </w:tcPr>
          <w:p w14:paraId="09373974">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ascii="Times New Roman" w:hAnsi="Times New Roman"/>
                <w:color w:val="auto"/>
                <w:sz w:val="21"/>
                <w:szCs w:val="21"/>
              </w:rPr>
            </w:pPr>
            <w:r>
              <w:rPr>
                <w:rFonts w:hint="eastAsia" w:ascii="Times New Roman" w:hAnsi="Times New Roman" w:eastAsia="宋体" w:cs="Times New Roman"/>
                <w:snapToGrid w:val="0"/>
                <w:color w:val="auto"/>
                <w:kern w:val="21"/>
                <w:sz w:val="21"/>
                <w:szCs w:val="21"/>
                <w:lang w:val="en-US" w:eastAsia="zh-CN"/>
              </w:rPr>
              <w:t>/</w:t>
            </w:r>
          </w:p>
        </w:tc>
        <w:tc>
          <w:tcPr>
            <w:tcW w:w="618" w:type="pct"/>
            <w:tcBorders>
              <w:top w:val="single" w:color="auto" w:sz="4" w:space="0"/>
              <w:left w:val="single" w:color="auto" w:sz="4" w:space="0"/>
              <w:bottom w:val="single" w:color="auto" w:sz="4" w:space="0"/>
              <w:right w:val="single" w:color="auto" w:sz="4" w:space="0"/>
            </w:tcBorders>
            <w:noWrap w:val="0"/>
            <w:vAlign w:val="center"/>
          </w:tcPr>
          <w:p w14:paraId="35C8D42C">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ascii="Times New Roman" w:hAnsi="Times New Roman"/>
                <w:color w:val="auto"/>
                <w:kern w:val="0"/>
                <w:sz w:val="21"/>
                <w:szCs w:val="21"/>
                <w:lang w:bidi="ar"/>
              </w:rPr>
            </w:pPr>
            <w:r>
              <w:rPr>
                <w:rFonts w:hint="eastAsia" w:ascii="Times New Roman" w:hAnsi="Times New Roman" w:eastAsia="宋体" w:cs="Times New Roman"/>
                <w:snapToGrid w:val="0"/>
                <w:color w:val="auto"/>
                <w:kern w:val="21"/>
                <w:sz w:val="21"/>
                <w:szCs w:val="21"/>
                <w:lang w:val="en-US" w:eastAsia="zh-CN"/>
              </w:rPr>
              <w:t>/</w:t>
            </w:r>
          </w:p>
        </w:tc>
        <w:tc>
          <w:tcPr>
            <w:tcW w:w="1704" w:type="dxa"/>
            <w:tcBorders>
              <w:top w:val="single" w:color="auto" w:sz="4" w:space="0"/>
              <w:left w:val="single" w:color="auto" w:sz="4" w:space="0"/>
              <w:bottom w:val="single" w:color="auto" w:sz="4" w:space="0"/>
              <w:right w:val="single" w:color="auto" w:sz="4" w:space="0"/>
            </w:tcBorders>
            <w:noWrap w:val="0"/>
            <w:vAlign w:val="center"/>
          </w:tcPr>
          <w:p w14:paraId="6C8A3B37">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Cs w:val="21"/>
                <w:lang w:val="en-US" w:eastAsia="zh-CN" w:bidi="ar"/>
              </w:rPr>
            </w:pPr>
            <w:r>
              <w:rPr>
                <w:rFonts w:hint="eastAsia" w:cs="Times New Roman"/>
                <w:color w:val="auto"/>
                <w:sz w:val="21"/>
                <w:szCs w:val="21"/>
                <w:lang w:val="en-US" w:eastAsia="zh-CN"/>
              </w:rPr>
              <w:t>2.785t/a</w:t>
            </w:r>
          </w:p>
        </w:tc>
        <w:tc>
          <w:tcPr>
            <w:tcW w:w="640" w:type="pct"/>
            <w:tcBorders>
              <w:top w:val="single" w:color="auto" w:sz="4" w:space="0"/>
              <w:left w:val="single" w:color="auto" w:sz="4" w:space="0"/>
              <w:bottom w:val="single" w:color="auto" w:sz="4" w:space="0"/>
              <w:right w:val="single" w:color="auto" w:sz="4" w:space="0"/>
            </w:tcBorders>
            <w:noWrap w:val="0"/>
            <w:vAlign w:val="center"/>
          </w:tcPr>
          <w:p w14:paraId="59ADC1AA">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ascii="Times New Roman" w:hAnsi="Times New Roman"/>
                <w:color w:val="auto"/>
                <w:kern w:val="0"/>
                <w:szCs w:val="21"/>
                <w:lang w:bidi="ar"/>
              </w:rPr>
            </w:pPr>
            <w:r>
              <w:rPr>
                <w:rFonts w:hint="eastAsia" w:ascii="Times New Roman" w:hAnsi="Times New Roman" w:eastAsia="宋体" w:cs="Times New Roman"/>
                <w:snapToGrid w:val="0"/>
                <w:color w:val="auto"/>
                <w:kern w:val="21"/>
                <w:sz w:val="21"/>
                <w:szCs w:val="21"/>
                <w:lang w:val="en-US" w:eastAsia="zh-CN"/>
              </w:rPr>
              <w:t>/</w:t>
            </w:r>
          </w:p>
        </w:tc>
        <w:tc>
          <w:tcPr>
            <w:tcW w:w="662" w:type="pct"/>
            <w:tcBorders>
              <w:top w:val="single" w:color="auto" w:sz="4" w:space="0"/>
              <w:left w:val="single" w:color="auto" w:sz="4" w:space="0"/>
              <w:bottom w:val="single" w:color="auto" w:sz="4" w:space="0"/>
              <w:right w:val="single" w:color="auto" w:sz="4" w:space="0"/>
            </w:tcBorders>
            <w:noWrap w:val="0"/>
            <w:vAlign w:val="center"/>
          </w:tcPr>
          <w:p w14:paraId="147FDC8C">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default" w:ascii="Times New Roman" w:hAnsi="Times New Roman" w:eastAsia="宋体"/>
                <w:color w:val="auto"/>
                <w:kern w:val="0"/>
                <w:szCs w:val="21"/>
                <w:lang w:val="en-US" w:eastAsia="zh-CN" w:bidi="ar"/>
              </w:rPr>
            </w:pPr>
            <w:r>
              <w:rPr>
                <w:rFonts w:hint="eastAsia" w:ascii="Times New Roman"/>
                <w:color w:val="auto"/>
                <w:kern w:val="0"/>
                <w:szCs w:val="21"/>
                <w:lang w:val="en-US" w:eastAsia="zh-CN" w:bidi="ar"/>
              </w:rPr>
              <w:t>3.679t/a</w:t>
            </w:r>
          </w:p>
        </w:tc>
        <w:tc>
          <w:tcPr>
            <w:tcW w:w="1347" w:type="dxa"/>
            <w:tcBorders>
              <w:top w:val="single" w:color="auto" w:sz="4" w:space="0"/>
              <w:left w:val="single" w:color="auto" w:sz="4" w:space="0"/>
              <w:bottom w:val="single" w:color="auto" w:sz="4" w:space="0"/>
              <w:right w:val="single" w:color="auto" w:sz="4" w:space="0"/>
            </w:tcBorders>
            <w:noWrap w:val="0"/>
            <w:vAlign w:val="center"/>
          </w:tcPr>
          <w:p w14:paraId="0338FF3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olor w:val="auto"/>
                <w:kern w:val="0"/>
                <w:szCs w:val="21"/>
                <w:lang w:val="en-US" w:eastAsia="zh-CN" w:bidi="ar"/>
              </w:rPr>
            </w:pPr>
            <w:r>
              <w:rPr>
                <w:rFonts w:hint="eastAsia" w:cs="Times New Roman"/>
                <w:color w:val="auto"/>
                <w:sz w:val="21"/>
                <w:szCs w:val="21"/>
                <w:lang w:val="en-US" w:eastAsia="zh-CN"/>
              </w:rPr>
              <w:t>+2.785t/a</w:t>
            </w:r>
          </w:p>
        </w:tc>
      </w:tr>
      <w:tr w14:paraId="19230697">
        <w:tblPrEx>
          <w:tblCellMar>
            <w:top w:w="0" w:type="dxa"/>
            <w:left w:w="0" w:type="dxa"/>
            <w:bottom w:w="0" w:type="dxa"/>
            <w:right w:w="0" w:type="dxa"/>
          </w:tblCellMar>
        </w:tblPrEx>
        <w:trPr>
          <w:trHeight w:val="0" w:hRule="atLeast"/>
          <w:jc w:val="center"/>
        </w:trPr>
        <w:tc>
          <w:tcPr>
            <w:tcW w:w="409" w:type="pct"/>
            <w:vMerge w:val="continue"/>
            <w:tcBorders>
              <w:top w:val="single" w:color="auto" w:sz="4" w:space="0"/>
              <w:left w:val="single" w:color="auto" w:sz="4" w:space="0"/>
              <w:bottom w:val="single" w:color="auto" w:sz="4" w:space="0"/>
              <w:right w:val="single" w:color="auto" w:sz="4" w:space="0"/>
            </w:tcBorders>
            <w:noWrap w:val="0"/>
            <w:vAlign w:val="center"/>
          </w:tcPr>
          <w:p w14:paraId="5573F70E">
            <w:pPr>
              <w:pStyle w:val="69"/>
              <w:spacing w:line="320" w:lineRule="exact"/>
              <w:jc w:val="center"/>
              <w:rPr>
                <w:rFonts w:ascii="Times New Roman" w:hAnsi="Times New Roman"/>
              </w:rPr>
            </w:pPr>
          </w:p>
        </w:tc>
        <w:tc>
          <w:tcPr>
            <w:tcW w:w="601" w:type="pct"/>
            <w:tcBorders>
              <w:top w:val="single" w:color="auto" w:sz="4" w:space="0"/>
              <w:left w:val="single" w:color="auto" w:sz="4" w:space="0"/>
              <w:bottom w:val="single" w:color="auto" w:sz="4" w:space="0"/>
              <w:right w:val="single" w:color="auto" w:sz="4" w:space="0"/>
            </w:tcBorders>
            <w:noWrap w:val="0"/>
            <w:vAlign w:val="center"/>
          </w:tcPr>
          <w:p w14:paraId="45A5DCFF">
            <w:pPr>
              <w:jc w:val="center"/>
              <w:rPr>
                <w:rFonts w:ascii="Times New Roman" w:hAnsi="Times New Roman"/>
                <w:color w:val="auto"/>
                <w:sz w:val="21"/>
                <w:szCs w:val="21"/>
              </w:rPr>
            </w:pPr>
            <w:r>
              <w:rPr>
                <w:rFonts w:hint="default" w:ascii="Times New Roman" w:hAnsi="Times New Roman" w:eastAsia="宋体" w:cs="Times New Roman"/>
                <w:b w:val="0"/>
                <w:bCs w:val="0"/>
                <w:snapToGrid w:val="0"/>
                <w:color w:val="000000"/>
                <w:kern w:val="21"/>
                <w:sz w:val="21"/>
                <w:szCs w:val="21"/>
                <w:lang w:val="en-US" w:eastAsia="zh-CN"/>
              </w:rPr>
              <w:t>NH</w:t>
            </w:r>
            <w:r>
              <w:rPr>
                <w:rFonts w:hint="default" w:ascii="Times New Roman" w:hAnsi="Times New Roman" w:eastAsia="宋体" w:cs="Times New Roman"/>
                <w:b w:val="0"/>
                <w:bCs w:val="0"/>
                <w:snapToGrid w:val="0"/>
                <w:color w:val="000000"/>
                <w:kern w:val="21"/>
                <w:sz w:val="21"/>
                <w:szCs w:val="21"/>
                <w:vertAlign w:val="subscript"/>
                <w:lang w:val="en-US" w:eastAsia="zh-CN"/>
              </w:rPr>
              <w:t>3</w:t>
            </w:r>
            <w:r>
              <w:rPr>
                <w:rFonts w:hint="default" w:ascii="Times New Roman" w:hAnsi="Times New Roman" w:eastAsia="宋体" w:cs="Times New Roman"/>
                <w:b w:val="0"/>
                <w:bCs w:val="0"/>
                <w:snapToGrid w:val="0"/>
                <w:color w:val="000000"/>
                <w:kern w:val="21"/>
                <w:sz w:val="21"/>
                <w:szCs w:val="21"/>
                <w:lang w:val="en-US" w:eastAsia="zh-CN"/>
              </w:rPr>
              <w:t>-N</w:t>
            </w:r>
          </w:p>
        </w:tc>
        <w:tc>
          <w:tcPr>
            <w:tcW w:w="588" w:type="pct"/>
            <w:tcBorders>
              <w:top w:val="single" w:color="auto" w:sz="4" w:space="0"/>
              <w:left w:val="single" w:color="auto" w:sz="4" w:space="0"/>
              <w:bottom w:val="single" w:color="000000" w:sz="4" w:space="0"/>
              <w:right w:val="single" w:color="000000" w:sz="4" w:space="0"/>
            </w:tcBorders>
            <w:noWrap w:val="0"/>
            <w:vAlign w:val="center"/>
          </w:tcPr>
          <w:p w14:paraId="3ED23CF1">
            <w:pPr>
              <w:pStyle w:val="118"/>
              <w:rPr>
                <w:rFonts w:hint="eastAsia" w:ascii="Times New Roman" w:hAnsi="Times New Roman" w:eastAsia="宋体"/>
                <w:color w:val="auto"/>
                <w:szCs w:val="21"/>
                <w:lang w:val="en-US" w:eastAsia="zh-CN"/>
              </w:rPr>
            </w:pPr>
            <w:r>
              <w:rPr>
                <w:rFonts w:hint="eastAsia"/>
                <w:lang w:val="en-US" w:eastAsia="zh-CN"/>
              </w:rPr>
              <w:t>0.329t/a</w:t>
            </w:r>
          </w:p>
        </w:tc>
        <w:tc>
          <w:tcPr>
            <w:tcW w:w="464" w:type="pct"/>
            <w:tcBorders>
              <w:top w:val="single" w:color="auto" w:sz="4" w:space="0"/>
              <w:left w:val="single" w:color="000000" w:sz="4" w:space="0"/>
              <w:bottom w:val="single" w:color="000000" w:sz="4" w:space="0"/>
              <w:right w:val="single" w:color="000000" w:sz="4" w:space="0"/>
            </w:tcBorders>
            <w:noWrap w:val="0"/>
            <w:vAlign w:val="center"/>
          </w:tcPr>
          <w:p w14:paraId="667058FD">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ascii="Times New Roman" w:hAnsi="Times New Roman"/>
                <w:color w:val="auto"/>
                <w:szCs w:val="21"/>
              </w:rPr>
            </w:pPr>
            <w:r>
              <w:rPr>
                <w:rFonts w:hint="eastAsia" w:ascii="Times New Roman" w:hAnsi="Times New Roman" w:eastAsia="宋体" w:cs="Times New Roman"/>
                <w:snapToGrid w:val="0"/>
                <w:color w:val="auto"/>
                <w:kern w:val="21"/>
                <w:sz w:val="21"/>
                <w:szCs w:val="21"/>
                <w:lang w:val="en-US" w:eastAsia="zh-CN"/>
              </w:rPr>
              <w:t>/</w:t>
            </w:r>
          </w:p>
        </w:tc>
        <w:tc>
          <w:tcPr>
            <w:tcW w:w="618" w:type="pct"/>
            <w:tcBorders>
              <w:top w:val="single" w:color="auto" w:sz="4" w:space="0"/>
              <w:left w:val="single" w:color="000000" w:sz="4" w:space="0"/>
              <w:bottom w:val="single" w:color="000000" w:sz="4" w:space="0"/>
              <w:right w:val="single" w:color="000000" w:sz="4" w:space="0"/>
            </w:tcBorders>
            <w:noWrap w:val="0"/>
            <w:vAlign w:val="center"/>
          </w:tcPr>
          <w:p w14:paraId="7D03BA13">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ascii="Times New Roman" w:hAnsi="Times New Roman"/>
                <w:color w:val="auto"/>
                <w:kern w:val="0"/>
                <w:szCs w:val="21"/>
                <w:lang w:bidi="ar"/>
              </w:rPr>
            </w:pPr>
            <w:r>
              <w:rPr>
                <w:rFonts w:hint="eastAsia" w:ascii="Times New Roman" w:hAnsi="Times New Roman" w:eastAsia="宋体" w:cs="Times New Roman"/>
                <w:snapToGrid w:val="0"/>
                <w:color w:val="auto"/>
                <w:kern w:val="21"/>
                <w:sz w:val="21"/>
                <w:szCs w:val="21"/>
                <w:lang w:val="en-US" w:eastAsia="zh-CN"/>
              </w:rPr>
              <w:t>/</w:t>
            </w:r>
          </w:p>
        </w:tc>
        <w:tc>
          <w:tcPr>
            <w:tcW w:w="1704" w:type="dxa"/>
            <w:tcBorders>
              <w:top w:val="single" w:color="auto" w:sz="4" w:space="0"/>
              <w:left w:val="single" w:color="000000" w:sz="4" w:space="0"/>
              <w:bottom w:val="single" w:color="000000" w:sz="4" w:space="0"/>
              <w:right w:val="single" w:color="000000" w:sz="4" w:space="0"/>
            </w:tcBorders>
            <w:noWrap w:val="0"/>
            <w:vAlign w:val="center"/>
          </w:tcPr>
          <w:p w14:paraId="2EE948E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Cs w:val="21"/>
                <w:lang w:val="en-US" w:eastAsia="zh-CN" w:bidi="ar"/>
              </w:rPr>
            </w:pPr>
            <w:r>
              <w:rPr>
                <w:rFonts w:hint="eastAsia" w:cs="Times New Roman"/>
                <w:color w:val="auto"/>
                <w:sz w:val="21"/>
                <w:szCs w:val="21"/>
                <w:lang w:val="en-US" w:eastAsia="zh-CN"/>
              </w:rPr>
              <w:t>1.306t/a</w:t>
            </w:r>
          </w:p>
        </w:tc>
        <w:tc>
          <w:tcPr>
            <w:tcW w:w="640" w:type="pct"/>
            <w:tcBorders>
              <w:top w:val="single" w:color="auto" w:sz="4" w:space="0"/>
              <w:left w:val="single" w:color="000000" w:sz="4" w:space="0"/>
              <w:bottom w:val="single" w:color="000000" w:sz="4" w:space="0"/>
              <w:right w:val="single" w:color="000000" w:sz="4" w:space="0"/>
            </w:tcBorders>
            <w:noWrap w:val="0"/>
            <w:vAlign w:val="center"/>
          </w:tcPr>
          <w:p w14:paraId="25FF0F81">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ascii="Times New Roman" w:hAnsi="Times New Roman"/>
                <w:color w:val="auto"/>
                <w:kern w:val="0"/>
                <w:szCs w:val="21"/>
                <w:lang w:bidi="ar"/>
              </w:rPr>
            </w:pPr>
            <w:r>
              <w:rPr>
                <w:rFonts w:hint="eastAsia" w:ascii="Times New Roman" w:hAnsi="Times New Roman" w:eastAsia="宋体" w:cs="Times New Roman"/>
                <w:snapToGrid w:val="0"/>
                <w:color w:val="auto"/>
                <w:kern w:val="21"/>
                <w:sz w:val="21"/>
                <w:szCs w:val="21"/>
                <w:lang w:val="en-US" w:eastAsia="zh-CN"/>
              </w:rPr>
              <w:t>/</w:t>
            </w:r>
          </w:p>
        </w:tc>
        <w:tc>
          <w:tcPr>
            <w:tcW w:w="662" w:type="pct"/>
            <w:tcBorders>
              <w:top w:val="single" w:color="auto" w:sz="4" w:space="0"/>
              <w:left w:val="single" w:color="000000" w:sz="4" w:space="0"/>
              <w:bottom w:val="single" w:color="000000" w:sz="4" w:space="0"/>
              <w:right w:val="single" w:color="000000" w:sz="4" w:space="0"/>
            </w:tcBorders>
            <w:noWrap w:val="0"/>
            <w:vAlign w:val="center"/>
          </w:tcPr>
          <w:p w14:paraId="2CB3E14E">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default" w:ascii="Times New Roman" w:hAnsi="Times New Roman" w:eastAsia="宋体"/>
                <w:color w:val="auto"/>
                <w:kern w:val="0"/>
                <w:szCs w:val="21"/>
                <w:lang w:val="en-US" w:eastAsia="zh-CN" w:bidi="ar"/>
              </w:rPr>
            </w:pPr>
            <w:r>
              <w:rPr>
                <w:rFonts w:hint="eastAsia" w:ascii="Times New Roman"/>
                <w:color w:val="auto"/>
                <w:kern w:val="0"/>
                <w:szCs w:val="21"/>
                <w:lang w:val="en-US" w:eastAsia="zh-CN" w:bidi="ar"/>
              </w:rPr>
              <w:t>1.635t/a</w:t>
            </w:r>
          </w:p>
        </w:tc>
        <w:tc>
          <w:tcPr>
            <w:tcW w:w="1347" w:type="dxa"/>
            <w:tcBorders>
              <w:top w:val="single" w:color="auto" w:sz="4" w:space="0"/>
              <w:left w:val="single" w:color="000000" w:sz="4" w:space="0"/>
              <w:bottom w:val="single" w:color="000000" w:sz="4" w:space="0"/>
              <w:right w:val="single" w:color="000000" w:sz="8" w:space="0"/>
            </w:tcBorders>
            <w:noWrap w:val="0"/>
            <w:vAlign w:val="center"/>
          </w:tcPr>
          <w:p w14:paraId="4BBFDCC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ascii="Times New Roman" w:hAnsi="Times New Roman"/>
                <w:color w:val="auto"/>
                <w:kern w:val="0"/>
                <w:szCs w:val="21"/>
                <w:lang w:bidi="ar"/>
              </w:rPr>
            </w:pPr>
            <w:r>
              <w:rPr>
                <w:rFonts w:hint="eastAsia" w:cs="Times New Roman"/>
                <w:color w:val="auto"/>
                <w:sz w:val="21"/>
                <w:szCs w:val="21"/>
                <w:lang w:val="en-US" w:eastAsia="zh-CN"/>
              </w:rPr>
              <w:t>+1.306t/a</w:t>
            </w:r>
          </w:p>
        </w:tc>
      </w:tr>
      <w:tr w14:paraId="35B37B15">
        <w:tblPrEx>
          <w:tblCellMar>
            <w:top w:w="0" w:type="dxa"/>
            <w:left w:w="0" w:type="dxa"/>
            <w:bottom w:w="0" w:type="dxa"/>
            <w:right w:w="0" w:type="dxa"/>
          </w:tblCellMar>
        </w:tblPrEx>
        <w:trPr>
          <w:trHeight w:val="0" w:hRule="atLeast"/>
          <w:jc w:val="center"/>
        </w:trPr>
        <w:tc>
          <w:tcPr>
            <w:tcW w:w="409" w:type="pct"/>
            <w:vMerge w:val="restart"/>
            <w:tcBorders>
              <w:top w:val="single" w:color="auto" w:sz="4" w:space="0"/>
              <w:left w:val="single" w:color="auto" w:sz="4" w:space="0"/>
              <w:bottom w:val="single" w:color="auto" w:sz="4" w:space="0"/>
              <w:right w:val="single" w:color="auto" w:sz="4" w:space="0"/>
            </w:tcBorders>
            <w:noWrap w:val="0"/>
            <w:vAlign w:val="center"/>
          </w:tcPr>
          <w:p w14:paraId="0EEBF36E">
            <w:pPr>
              <w:pStyle w:val="69"/>
              <w:spacing w:line="320" w:lineRule="exact"/>
              <w:jc w:val="center"/>
              <w:rPr>
                <w:rFonts w:ascii="Times New Roman" w:hAnsi="Times New Roman"/>
              </w:rPr>
            </w:pPr>
            <w:r>
              <w:rPr>
                <w:rFonts w:ascii="Times New Roman" w:hAnsi="Times New Roman"/>
              </w:rPr>
              <w:t>一般工业固体废物</w:t>
            </w:r>
          </w:p>
        </w:tc>
        <w:tc>
          <w:tcPr>
            <w:tcW w:w="1809" w:type="dxa"/>
            <w:tcBorders>
              <w:top w:val="single" w:color="auto" w:sz="4" w:space="0"/>
              <w:left w:val="single" w:color="auto" w:sz="4" w:space="0"/>
              <w:bottom w:val="single" w:color="000000" w:sz="4" w:space="0"/>
              <w:right w:val="single" w:color="000000" w:sz="4" w:space="0"/>
            </w:tcBorders>
            <w:noWrap w:val="0"/>
            <w:vAlign w:val="center"/>
          </w:tcPr>
          <w:p w14:paraId="5BEF7DEC">
            <w:pPr>
              <w:jc w:val="center"/>
              <w:rPr>
                <w:rFonts w:hint="eastAsia" w:ascii="Times New Roman" w:hAnsi="Times New Roman" w:eastAsia="宋体"/>
                <w:szCs w:val="21"/>
                <w:lang w:val="en-US" w:eastAsia="zh-CN"/>
              </w:rPr>
            </w:pPr>
            <w:r>
              <w:rPr>
                <w:rFonts w:hint="eastAsia"/>
                <w:szCs w:val="21"/>
              </w:rPr>
              <w:t>生活垃圾</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14:paraId="36F541A4">
            <w:pPr>
              <w:jc w:val="center"/>
              <w:rPr>
                <w:rFonts w:hint="default" w:ascii="Times New Roman" w:hAnsi="Times New Roman" w:eastAsia="宋体"/>
                <w:szCs w:val="21"/>
                <w:lang w:val="en-US" w:eastAsia="zh-CN"/>
              </w:rPr>
            </w:pPr>
            <w:r>
              <w:rPr>
                <w:rFonts w:hint="eastAsia"/>
                <w:szCs w:val="21"/>
                <w:lang w:val="en-US" w:eastAsia="zh-CN"/>
              </w:rPr>
              <w:t>40.16t/a</w:t>
            </w:r>
          </w:p>
        </w:tc>
        <w:tc>
          <w:tcPr>
            <w:tcW w:w="464" w:type="pct"/>
            <w:tcBorders>
              <w:top w:val="single" w:color="000000" w:sz="4" w:space="0"/>
              <w:left w:val="single" w:color="000000" w:sz="4" w:space="0"/>
              <w:bottom w:val="single" w:color="000000" w:sz="4" w:space="0"/>
              <w:right w:val="single" w:color="000000" w:sz="4" w:space="0"/>
            </w:tcBorders>
            <w:noWrap w:val="0"/>
            <w:vAlign w:val="center"/>
          </w:tcPr>
          <w:p w14:paraId="5ACA2C47">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ascii="Times New Roman" w:hAnsi="Times New Roman"/>
                <w:szCs w:val="21"/>
              </w:rPr>
            </w:pPr>
            <w:r>
              <w:rPr>
                <w:rFonts w:hint="eastAsia" w:ascii="Times New Roman" w:cs="Times New Roman"/>
                <w:snapToGrid w:val="0"/>
                <w:color w:val="auto"/>
                <w:kern w:val="21"/>
                <w:sz w:val="21"/>
                <w:szCs w:val="21"/>
                <w:lang w:val="en-US" w:eastAsia="zh-CN"/>
              </w:rPr>
              <w:t>/</w:t>
            </w:r>
          </w:p>
        </w:tc>
        <w:tc>
          <w:tcPr>
            <w:tcW w:w="618" w:type="pct"/>
            <w:tcBorders>
              <w:top w:val="single" w:color="000000" w:sz="4" w:space="0"/>
              <w:left w:val="single" w:color="000000" w:sz="4" w:space="0"/>
              <w:bottom w:val="single" w:color="000000" w:sz="4" w:space="0"/>
              <w:right w:val="single" w:color="000000" w:sz="4" w:space="0"/>
            </w:tcBorders>
            <w:noWrap w:val="0"/>
            <w:vAlign w:val="center"/>
          </w:tcPr>
          <w:p w14:paraId="04352069">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ascii="Times New Roman" w:hAnsi="Times New Roman"/>
                <w:bCs/>
                <w:szCs w:val="21"/>
              </w:rPr>
            </w:pPr>
            <w:r>
              <w:rPr>
                <w:rFonts w:hint="eastAsia" w:ascii="Times New Roman" w:cs="Times New Roman"/>
                <w:snapToGrid w:val="0"/>
                <w:color w:val="auto"/>
                <w:kern w:val="21"/>
                <w:sz w:val="21"/>
                <w:szCs w:val="21"/>
                <w:lang w:val="en-US" w:eastAsia="zh-CN"/>
              </w:rPr>
              <w:t>/</w:t>
            </w:r>
          </w:p>
        </w:tc>
        <w:tc>
          <w:tcPr>
            <w:tcW w:w="1704" w:type="dxa"/>
            <w:tcBorders>
              <w:top w:val="single" w:color="000000" w:sz="4" w:space="0"/>
              <w:left w:val="single" w:color="000000" w:sz="4" w:space="0"/>
              <w:bottom w:val="single" w:color="000000" w:sz="4" w:space="0"/>
              <w:right w:val="single" w:color="000000" w:sz="4" w:space="0"/>
            </w:tcBorders>
            <w:noWrap w:val="0"/>
            <w:vAlign w:val="center"/>
          </w:tcPr>
          <w:p w14:paraId="6BADA17B">
            <w:pPr>
              <w:keepNext w:val="0"/>
              <w:keepLines w:val="0"/>
              <w:pageBreakBefore w:val="0"/>
              <w:widowControl w:val="0"/>
              <w:bidi w:val="0"/>
              <w:spacing w:beforeAutospacing="0" w:afterAutospacing="0"/>
              <w:ind w:left="0" w:leftChars="0" w:right="0" w:rightChars="0"/>
              <w:jc w:val="center"/>
              <w:rPr>
                <w:rFonts w:hint="default" w:ascii="Times New Roman" w:hAnsi="Times New Roman" w:eastAsia="宋体"/>
                <w:bCs/>
                <w:szCs w:val="21"/>
                <w:lang w:val="en-US" w:eastAsia="zh-CN"/>
              </w:rPr>
            </w:pPr>
            <w:r>
              <w:rPr>
                <w:rFonts w:hint="eastAsia"/>
                <w:color w:val="auto"/>
                <w:szCs w:val="21"/>
                <w:lang w:val="en-US" w:eastAsia="zh-CN"/>
              </w:rPr>
              <w:t>99.5t/a</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12EDD5C6">
            <w:pPr>
              <w:snapToGrid w:val="0"/>
              <w:spacing w:line="320" w:lineRule="exact"/>
              <w:jc w:val="center"/>
              <w:rPr>
                <w:rFonts w:ascii="Times New Roman" w:hAnsi="Times New Roman"/>
                <w:szCs w:val="21"/>
              </w:rPr>
            </w:pPr>
            <w:r>
              <w:rPr>
                <w:rFonts w:hint="eastAsia"/>
                <w:szCs w:val="21"/>
                <w:lang w:val="en-US" w:eastAsia="zh-CN"/>
              </w:rPr>
              <w:t>/</w:t>
            </w:r>
          </w:p>
        </w:tc>
        <w:tc>
          <w:tcPr>
            <w:tcW w:w="1993" w:type="dxa"/>
            <w:tcBorders>
              <w:top w:val="single" w:color="000000" w:sz="4" w:space="0"/>
              <w:left w:val="single" w:color="000000" w:sz="4" w:space="0"/>
              <w:bottom w:val="single" w:color="000000" w:sz="4" w:space="0"/>
              <w:right w:val="single" w:color="000000" w:sz="4" w:space="0"/>
            </w:tcBorders>
            <w:noWrap w:val="0"/>
            <w:vAlign w:val="center"/>
          </w:tcPr>
          <w:p w14:paraId="29E7F380">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139.66t/a</w:t>
            </w:r>
          </w:p>
        </w:tc>
        <w:tc>
          <w:tcPr>
            <w:tcW w:w="1347" w:type="dxa"/>
            <w:tcBorders>
              <w:top w:val="single" w:color="000000" w:sz="4" w:space="0"/>
              <w:left w:val="single" w:color="000000" w:sz="4" w:space="0"/>
              <w:bottom w:val="single" w:color="000000" w:sz="4" w:space="0"/>
              <w:right w:val="single" w:color="000000" w:sz="8" w:space="0"/>
            </w:tcBorders>
            <w:noWrap w:val="0"/>
            <w:vAlign w:val="center"/>
          </w:tcPr>
          <w:p w14:paraId="505EEC4C">
            <w:pPr>
              <w:keepNext w:val="0"/>
              <w:keepLines w:val="0"/>
              <w:pageBreakBefore w:val="0"/>
              <w:widowControl w:val="0"/>
              <w:bidi w:val="0"/>
              <w:spacing w:beforeAutospacing="0" w:afterAutospacing="0"/>
              <w:ind w:left="0" w:leftChars="0" w:right="0" w:rightChars="0"/>
              <w:jc w:val="center"/>
              <w:rPr>
                <w:rFonts w:hint="default" w:ascii="Times New Roman" w:hAnsi="Times New Roman" w:eastAsia="宋体" w:cs="Times New Roman"/>
                <w:szCs w:val="21"/>
                <w:lang w:val="en-US" w:eastAsia="zh-CN"/>
              </w:rPr>
            </w:pPr>
            <w:r>
              <w:rPr>
                <w:rFonts w:hint="eastAsia"/>
                <w:color w:val="auto"/>
                <w:szCs w:val="21"/>
                <w:lang w:val="en-US" w:eastAsia="zh-CN"/>
              </w:rPr>
              <w:t>+99.5t/a</w:t>
            </w:r>
          </w:p>
        </w:tc>
      </w:tr>
      <w:tr w14:paraId="2F8F6112">
        <w:tblPrEx>
          <w:tblCellMar>
            <w:top w:w="0" w:type="dxa"/>
            <w:left w:w="0" w:type="dxa"/>
            <w:bottom w:w="0" w:type="dxa"/>
            <w:right w:w="0" w:type="dxa"/>
          </w:tblCellMar>
        </w:tblPrEx>
        <w:trPr>
          <w:trHeight w:val="0" w:hRule="atLeast"/>
          <w:jc w:val="center"/>
        </w:trPr>
        <w:tc>
          <w:tcPr>
            <w:tcW w:w="409" w:type="pct"/>
            <w:vMerge w:val="continue"/>
            <w:tcBorders>
              <w:left w:val="single" w:color="auto" w:sz="4" w:space="0"/>
              <w:right w:val="single" w:color="auto" w:sz="4" w:space="0"/>
            </w:tcBorders>
            <w:noWrap w:val="0"/>
            <w:vAlign w:val="center"/>
          </w:tcPr>
          <w:p w14:paraId="36591A99">
            <w:pPr>
              <w:pStyle w:val="69"/>
              <w:spacing w:line="320" w:lineRule="exact"/>
              <w:jc w:val="center"/>
              <w:rPr>
                <w:rFonts w:ascii="Times New Roman" w:hAnsi="Times New Roman"/>
              </w:rPr>
            </w:pPr>
          </w:p>
        </w:tc>
        <w:tc>
          <w:tcPr>
            <w:tcW w:w="1809" w:type="dxa"/>
            <w:tcBorders>
              <w:top w:val="single" w:color="auto" w:sz="4" w:space="0"/>
              <w:left w:val="single" w:color="auto" w:sz="4" w:space="0"/>
              <w:bottom w:val="single" w:color="000000" w:sz="4" w:space="0"/>
              <w:right w:val="single" w:color="000000" w:sz="4" w:space="0"/>
            </w:tcBorders>
            <w:noWrap w:val="0"/>
            <w:vAlign w:val="center"/>
          </w:tcPr>
          <w:p w14:paraId="4AD2D907">
            <w:pPr>
              <w:jc w:val="center"/>
              <w:rPr>
                <w:rFonts w:hint="eastAsia"/>
                <w:color w:val="auto"/>
                <w:szCs w:val="21"/>
                <w:lang w:eastAsia="zh-CN"/>
              </w:rPr>
            </w:pPr>
            <w:r>
              <w:rPr>
                <w:rFonts w:hint="eastAsia"/>
                <w:szCs w:val="21"/>
                <w:lang w:eastAsia="zh-CN"/>
              </w:rPr>
              <w:t>普通废包装材料</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14:paraId="4973F252">
            <w:pPr>
              <w:jc w:val="center"/>
              <w:rPr>
                <w:rFonts w:hint="eastAsia" w:ascii="Times New Roman" w:cs="Times New Roman"/>
                <w:snapToGrid w:val="0"/>
                <w:color w:val="auto"/>
                <w:kern w:val="21"/>
                <w:sz w:val="21"/>
                <w:szCs w:val="21"/>
                <w:lang w:val="en-US" w:eastAsia="zh-CN"/>
              </w:rPr>
            </w:pPr>
            <w:r>
              <w:rPr>
                <w:rFonts w:hint="eastAsia"/>
                <w:szCs w:val="21"/>
                <w:lang w:val="en-US" w:eastAsia="zh-CN"/>
              </w:rPr>
              <w:t>6t/a</w:t>
            </w:r>
          </w:p>
        </w:tc>
        <w:tc>
          <w:tcPr>
            <w:tcW w:w="464" w:type="pct"/>
            <w:tcBorders>
              <w:top w:val="single" w:color="000000" w:sz="4" w:space="0"/>
              <w:left w:val="single" w:color="000000" w:sz="4" w:space="0"/>
              <w:bottom w:val="single" w:color="000000" w:sz="4" w:space="0"/>
              <w:right w:val="single" w:color="000000" w:sz="4" w:space="0"/>
            </w:tcBorders>
            <w:noWrap w:val="0"/>
            <w:vAlign w:val="center"/>
          </w:tcPr>
          <w:p w14:paraId="5C42BEE7">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default" w:ascii="Times New Roman"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w:t>
            </w:r>
          </w:p>
        </w:tc>
        <w:tc>
          <w:tcPr>
            <w:tcW w:w="618" w:type="pct"/>
            <w:tcBorders>
              <w:top w:val="single" w:color="000000" w:sz="4" w:space="0"/>
              <w:left w:val="single" w:color="000000" w:sz="4" w:space="0"/>
              <w:bottom w:val="single" w:color="000000" w:sz="4" w:space="0"/>
              <w:right w:val="single" w:color="000000" w:sz="4" w:space="0"/>
            </w:tcBorders>
            <w:noWrap w:val="0"/>
            <w:vAlign w:val="center"/>
          </w:tcPr>
          <w:p w14:paraId="13F17B45">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default" w:ascii="Times New Roman"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w:t>
            </w:r>
          </w:p>
        </w:tc>
        <w:tc>
          <w:tcPr>
            <w:tcW w:w="1704" w:type="dxa"/>
            <w:tcBorders>
              <w:top w:val="single" w:color="000000" w:sz="4" w:space="0"/>
              <w:left w:val="single" w:color="000000" w:sz="4" w:space="0"/>
              <w:bottom w:val="single" w:color="000000" w:sz="4" w:space="0"/>
              <w:right w:val="single" w:color="000000" w:sz="4" w:space="0"/>
            </w:tcBorders>
            <w:noWrap w:val="0"/>
            <w:vAlign w:val="center"/>
          </w:tcPr>
          <w:p w14:paraId="2D77A0E7">
            <w:pPr>
              <w:jc w:val="center"/>
              <w:rPr>
                <w:rFonts w:hint="default"/>
                <w:color w:val="auto"/>
                <w:szCs w:val="21"/>
                <w:lang w:val="en-US" w:eastAsia="zh-CN"/>
              </w:rPr>
            </w:pPr>
            <w:r>
              <w:rPr>
                <w:rFonts w:hint="eastAsia"/>
                <w:color w:val="auto"/>
                <w:szCs w:val="21"/>
                <w:lang w:val="en-US" w:eastAsia="zh-CN"/>
              </w:rPr>
              <w:t>5t/a</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14:paraId="385A11B7">
            <w:pPr>
              <w:snapToGrid w:val="0"/>
              <w:spacing w:line="320" w:lineRule="exact"/>
              <w:jc w:val="center"/>
              <w:rPr>
                <w:rFonts w:hint="default"/>
                <w:szCs w:val="21"/>
                <w:lang w:val="en-US" w:eastAsia="zh-CN"/>
              </w:rPr>
            </w:pPr>
            <w:r>
              <w:rPr>
                <w:rFonts w:hint="eastAsia"/>
                <w:szCs w:val="21"/>
                <w:lang w:val="en-US" w:eastAsia="zh-CN"/>
              </w:rPr>
              <w:t>/</w:t>
            </w:r>
          </w:p>
        </w:tc>
        <w:tc>
          <w:tcPr>
            <w:tcW w:w="1993" w:type="dxa"/>
            <w:tcBorders>
              <w:top w:val="single" w:color="000000" w:sz="4" w:space="0"/>
              <w:left w:val="single" w:color="000000" w:sz="4" w:space="0"/>
              <w:bottom w:val="single" w:color="000000" w:sz="4" w:space="0"/>
              <w:right w:val="single" w:color="000000" w:sz="4" w:space="0"/>
            </w:tcBorders>
            <w:noWrap w:val="0"/>
            <w:vAlign w:val="center"/>
          </w:tcPr>
          <w:p w14:paraId="1FD51C32">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default" w:ascii="Times New Roman" w:hAnsi="Times New Roman" w:cs="Times New Roman"/>
                <w:color w:val="auto"/>
                <w:szCs w:val="21"/>
                <w:lang w:val="en-US" w:eastAsia="zh-CN"/>
              </w:rPr>
            </w:pPr>
            <w:r>
              <w:rPr>
                <w:rFonts w:hint="default" w:ascii="Times New Roman" w:hAnsi="Times New Roman" w:cs="Times New Roman"/>
                <w:color w:val="auto"/>
                <w:szCs w:val="21"/>
                <w:lang w:val="en-US" w:eastAsia="zh-CN"/>
              </w:rPr>
              <w:t>11t/a</w:t>
            </w:r>
          </w:p>
        </w:tc>
        <w:tc>
          <w:tcPr>
            <w:tcW w:w="1347" w:type="dxa"/>
            <w:tcBorders>
              <w:top w:val="single" w:color="000000" w:sz="4" w:space="0"/>
              <w:left w:val="single" w:color="000000" w:sz="4" w:space="0"/>
              <w:bottom w:val="single" w:color="000000" w:sz="4" w:space="0"/>
              <w:right w:val="single" w:color="000000" w:sz="8" w:space="0"/>
            </w:tcBorders>
            <w:noWrap w:val="0"/>
            <w:vAlign w:val="center"/>
          </w:tcPr>
          <w:p w14:paraId="020554DB">
            <w:pPr>
              <w:jc w:val="center"/>
              <w:rPr>
                <w:rFonts w:hint="default" w:ascii="Times New Roman" w:hAnsi="Times New Roman" w:cs="Times New Roman"/>
                <w:color w:val="auto"/>
                <w:szCs w:val="21"/>
                <w:lang w:val="en-US" w:eastAsia="zh-CN"/>
              </w:rPr>
            </w:pPr>
            <w:r>
              <w:rPr>
                <w:rFonts w:hint="eastAsia"/>
                <w:color w:val="auto"/>
                <w:szCs w:val="21"/>
                <w:lang w:val="en-US" w:eastAsia="zh-CN"/>
              </w:rPr>
              <w:t>+5t/a</w:t>
            </w:r>
          </w:p>
        </w:tc>
      </w:tr>
      <w:tr w14:paraId="755111A6">
        <w:tblPrEx>
          <w:tblCellMar>
            <w:top w:w="0" w:type="dxa"/>
            <w:left w:w="0" w:type="dxa"/>
            <w:bottom w:w="0" w:type="dxa"/>
            <w:right w:w="0" w:type="dxa"/>
          </w:tblCellMar>
        </w:tblPrEx>
        <w:trPr>
          <w:trHeight w:val="90" w:hRule="atLeast"/>
          <w:jc w:val="center"/>
        </w:trPr>
        <w:tc>
          <w:tcPr>
            <w:tcW w:w="409" w:type="pct"/>
            <w:vMerge w:val="restart"/>
            <w:tcBorders>
              <w:top w:val="single" w:color="auto" w:sz="4" w:space="0"/>
              <w:left w:val="single" w:color="auto" w:sz="4" w:space="0"/>
              <w:right w:val="single" w:color="auto" w:sz="4" w:space="0"/>
            </w:tcBorders>
            <w:noWrap w:val="0"/>
            <w:vAlign w:val="center"/>
          </w:tcPr>
          <w:p w14:paraId="0ADE1E52">
            <w:pPr>
              <w:pStyle w:val="69"/>
              <w:spacing w:line="320" w:lineRule="exact"/>
              <w:jc w:val="center"/>
              <w:rPr>
                <w:rFonts w:hint="eastAsia" w:ascii="Times New Roman" w:hAnsi="Times New Roman" w:eastAsia="宋体"/>
                <w:lang w:eastAsia="zh-CN"/>
              </w:rPr>
            </w:pPr>
            <w:r>
              <w:rPr>
                <w:rFonts w:hint="eastAsia" w:ascii="Times New Roman" w:hAnsi="Times New Roman"/>
                <w:lang w:eastAsia="zh-CN"/>
              </w:rPr>
              <w:t>危险废物</w:t>
            </w:r>
          </w:p>
        </w:tc>
        <w:tc>
          <w:tcPr>
            <w:tcW w:w="1809" w:type="dxa"/>
            <w:tcBorders>
              <w:top w:val="single" w:color="auto" w:sz="4" w:space="0"/>
              <w:left w:val="single" w:color="auto" w:sz="4" w:space="0"/>
              <w:bottom w:val="single" w:color="000000" w:sz="4" w:space="0"/>
              <w:right w:val="single" w:color="000000" w:sz="4" w:space="0"/>
            </w:tcBorders>
            <w:noWrap w:val="0"/>
            <w:vAlign w:val="center"/>
          </w:tcPr>
          <w:p w14:paraId="2F0BEF57">
            <w:pPr>
              <w:jc w:val="center"/>
              <w:rPr>
                <w:rFonts w:hint="eastAsia"/>
                <w:szCs w:val="21"/>
                <w:lang w:eastAsia="zh-CN"/>
              </w:rPr>
            </w:pPr>
            <w:r>
              <w:rPr>
                <w:rFonts w:hint="eastAsia"/>
                <w:color w:val="auto"/>
                <w:szCs w:val="21"/>
                <w:lang w:val="en-US" w:eastAsia="zh-CN"/>
              </w:rPr>
              <w:t>医疗废物</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14:paraId="7A366B33">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default" w:ascii="Times New Roman"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146t/a</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0A71F118">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eastAsia" w:ascii="Times New Roman" w:cs="Times New Roman"/>
                <w:snapToGrid w:val="0"/>
                <w:color w:val="auto"/>
                <w:kern w:val="21"/>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w:t>
            </w:r>
          </w:p>
        </w:tc>
        <w:tc>
          <w:tcPr>
            <w:tcW w:w="1861" w:type="dxa"/>
            <w:tcBorders>
              <w:top w:val="single" w:color="000000" w:sz="4" w:space="0"/>
              <w:left w:val="single" w:color="000000" w:sz="4" w:space="0"/>
              <w:bottom w:val="single" w:color="000000" w:sz="4" w:space="0"/>
              <w:right w:val="single" w:color="000000" w:sz="4" w:space="0"/>
            </w:tcBorders>
            <w:noWrap w:val="0"/>
            <w:vAlign w:val="center"/>
          </w:tcPr>
          <w:p w14:paraId="5489BC88">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eastAsia" w:ascii="Times New Roman" w:cs="Times New Roman"/>
                <w:snapToGrid w:val="0"/>
                <w:color w:val="auto"/>
                <w:kern w:val="21"/>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w:t>
            </w:r>
          </w:p>
        </w:tc>
        <w:tc>
          <w:tcPr>
            <w:tcW w:w="1704" w:type="dxa"/>
            <w:tcBorders>
              <w:top w:val="single" w:color="000000" w:sz="4" w:space="0"/>
              <w:left w:val="single" w:color="000000" w:sz="4" w:space="0"/>
              <w:bottom w:val="single" w:color="000000" w:sz="4" w:space="0"/>
              <w:right w:val="single" w:color="000000" w:sz="4" w:space="0"/>
            </w:tcBorders>
            <w:noWrap w:val="0"/>
            <w:vAlign w:val="center"/>
          </w:tcPr>
          <w:p w14:paraId="77885825">
            <w:pPr>
              <w:jc w:val="center"/>
              <w:rPr>
                <w:rFonts w:hint="eastAsia" w:cs="Times New Roman"/>
                <w:color w:val="auto"/>
                <w:kern w:val="0"/>
                <w:szCs w:val="21"/>
                <w:lang w:val="en-US" w:eastAsia="zh-CN" w:bidi="ar"/>
              </w:rPr>
            </w:pPr>
            <w:r>
              <w:rPr>
                <w:rFonts w:hint="eastAsia"/>
                <w:color w:val="auto"/>
                <w:szCs w:val="21"/>
                <w:highlight w:val="none"/>
                <w:lang w:val="en-US" w:eastAsia="zh-CN"/>
              </w:rPr>
              <w:t>94.9t/a</w:t>
            </w:r>
          </w:p>
        </w:tc>
        <w:tc>
          <w:tcPr>
            <w:tcW w:w="1927" w:type="dxa"/>
            <w:tcBorders>
              <w:top w:val="single" w:color="000000" w:sz="4" w:space="0"/>
              <w:left w:val="single" w:color="000000" w:sz="4" w:space="0"/>
              <w:bottom w:val="single" w:color="000000" w:sz="4" w:space="0"/>
              <w:right w:val="single" w:color="000000" w:sz="4" w:space="0"/>
            </w:tcBorders>
            <w:noWrap w:val="0"/>
            <w:vAlign w:val="center"/>
          </w:tcPr>
          <w:p w14:paraId="32989D77">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eastAsia"/>
                <w:szCs w:val="21"/>
                <w:lang w:val="en-US" w:eastAsia="zh-CN"/>
              </w:rPr>
            </w:pPr>
            <w:r>
              <w:rPr>
                <w:rFonts w:hint="eastAsia" w:ascii="Times New Roman" w:hAnsi="Times New Roman" w:eastAsia="宋体" w:cs="Times New Roman"/>
                <w:snapToGrid w:val="0"/>
                <w:color w:val="auto"/>
                <w:kern w:val="21"/>
                <w:sz w:val="21"/>
                <w:szCs w:val="21"/>
                <w:lang w:val="en-US" w:eastAsia="zh-CN"/>
              </w:rPr>
              <w:t>/</w:t>
            </w:r>
          </w:p>
        </w:tc>
        <w:tc>
          <w:tcPr>
            <w:tcW w:w="1993" w:type="dxa"/>
            <w:tcBorders>
              <w:top w:val="single" w:color="000000" w:sz="4" w:space="0"/>
              <w:left w:val="single" w:color="000000" w:sz="4" w:space="0"/>
              <w:bottom w:val="single" w:color="000000" w:sz="4" w:space="0"/>
              <w:right w:val="single" w:color="000000" w:sz="4" w:space="0"/>
            </w:tcBorders>
            <w:noWrap w:val="0"/>
            <w:vAlign w:val="center"/>
          </w:tcPr>
          <w:p w14:paraId="39D88E3C">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default" w:ascii="Times New Roman" w:hAnsi="Times New Roman" w:cs="Times New Roman"/>
                <w:color w:val="auto"/>
                <w:kern w:val="0"/>
                <w:szCs w:val="21"/>
                <w:lang w:val="en-US" w:eastAsia="zh-CN" w:bidi="ar"/>
              </w:rPr>
            </w:pPr>
            <w:r>
              <w:rPr>
                <w:rFonts w:hint="eastAsia" w:ascii="Times New Roman" w:hAnsi="Times New Roman" w:cs="Times New Roman"/>
                <w:color w:val="auto"/>
                <w:kern w:val="0"/>
                <w:szCs w:val="21"/>
                <w:lang w:val="en-US" w:eastAsia="zh-CN" w:bidi="ar"/>
              </w:rPr>
              <w:t>240.9t/a</w:t>
            </w:r>
          </w:p>
        </w:tc>
        <w:tc>
          <w:tcPr>
            <w:tcW w:w="1347" w:type="dxa"/>
            <w:tcBorders>
              <w:top w:val="single" w:color="000000" w:sz="4" w:space="0"/>
              <w:left w:val="single" w:color="000000" w:sz="4" w:space="0"/>
              <w:bottom w:val="single" w:color="000000" w:sz="4" w:space="0"/>
              <w:right w:val="single" w:color="000000" w:sz="8" w:space="0"/>
            </w:tcBorders>
            <w:noWrap w:val="0"/>
            <w:vAlign w:val="center"/>
          </w:tcPr>
          <w:p w14:paraId="0A6C1428">
            <w:pPr>
              <w:jc w:val="center"/>
              <w:rPr>
                <w:rFonts w:hint="default" w:ascii="Times New Roman" w:hAnsi="Times New Roman" w:cs="Times New Roman"/>
                <w:color w:val="auto"/>
                <w:kern w:val="0"/>
                <w:szCs w:val="21"/>
                <w:lang w:val="en-US" w:eastAsia="zh-CN" w:bidi="ar"/>
              </w:rPr>
            </w:pPr>
            <w:r>
              <w:rPr>
                <w:rFonts w:hint="eastAsia"/>
                <w:color w:val="auto"/>
                <w:szCs w:val="21"/>
                <w:highlight w:val="none"/>
                <w:lang w:val="en-US" w:eastAsia="zh-CN"/>
              </w:rPr>
              <w:t>+94.9t/a</w:t>
            </w:r>
          </w:p>
        </w:tc>
      </w:tr>
      <w:tr w14:paraId="0BBCBFE6">
        <w:tblPrEx>
          <w:tblCellMar>
            <w:top w:w="0" w:type="dxa"/>
            <w:left w:w="0" w:type="dxa"/>
            <w:bottom w:w="0" w:type="dxa"/>
            <w:right w:w="0" w:type="dxa"/>
          </w:tblCellMar>
        </w:tblPrEx>
        <w:trPr>
          <w:trHeight w:val="0" w:hRule="atLeast"/>
          <w:jc w:val="center"/>
        </w:trPr>
        <w:tc>
          <w:tcPr>
            <w:tcW w:w="409" w:type="pct"/>
            <w:vMerge w:val="continue"/>
            <w:tcBorders>
              <w:left w:val="single" w:color="auto" w:sz="4" w:space="0"/>
              <w:right w:val="single" w:color="auto" w:sz="4" w:space="0"/>
            </w:tcBorders>
            <w:noWrap w:val="0"/>
            <w:vAlign w:val="center"/>
          </w:tcPr>
          <w:p w14:paraId="2B6BE426">
            <w:pPr>
              <w:pStyle w:val="69"/>
              <w:spacing w:line="320" w:lineRule="exact"/>
              <w:jc w:val="center"/>
              <w:rPr>
                <w:rFonts w:hint="eastAsia" w:ascii="Times New Roman" w:hAnsi="Times New Roman"/>
                <w:lang w:eastAsia="zh-CN"/>
              </w:rPr>
            </w:pPr>
          </w:p>
        </w:tc>
        <w:tc>
          <w:tcPr>
            <w:tcW w:w="1809" w:type="dxa"/>
            <w:tcBorders>
              <w:top w:val="single" w:color="auto" w:sz="4" w:space="0"/>
              <w:left w:val="single" w:color="auto" w:sz="4" w:space="0"/>
              <w:bottom w:val="single" w:color="000000" w:sz="4" w:space="0"/>
              <w:right w:val="single" w:color="000000" w:sz="4" w:space="0"/>
            </w:tcBorders>
            <w:noWrap w:val="0"/>
            <w:vAlign w:val="center"/>
          </w:tcPr>
          <w:p w14:paraId="6750B94B">
            <w:pPr>
              <w:jc w:val="center"/>
              <w:rPr>
                <w:rFonts w:hint="eastAsia"/>
                <w:szCs w:val="21"/>
                <w:lang w:eastAsia="zh-CN"/>
              </w:rPr>
            </w:pPr>
            <w:r>
              <w:rPr>
                <w:rFonts w:hint="eastAsia"/>
                <w:color w:val="auto"/>
                <w:szCs w:val="21"/>
                <w:lang w:val="en-US" w:eastAsia="zh-CN"/>
              </w:rPr>
              <w:t>危险废包装物</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14:paraId="65A44C8B">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default" w:ascii="Times New Roman"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688BB724">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eastAsia" w:ascii="Times New Roman" w:cs="Times New Roman"/>
                <w:snapToGrid w:val="0"/>
                <w:color w:val="auto"/>
                <w:kern w:val="21"/>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w:t>
            </w:r>
          </w:p>
        </w:tc>
        <w:tc>
          <w:tcPr>
            <w:tcW w:w="1861" w:type="dxa"/>
            <w:tcBorders>
              <w:top w:val="single" w:color="000000" w:sz="4" w:space="0"/>
              <w:left w:val="single" w:color="000000" w:sz="4" w:space="0"/>
              <w:bottom w:val="single" w:color="000000" w:sz="4" w:space="0"/>
              <w:right w:val="single" w:color="000000" w:sz="4" w:space="0"/>
            </w:tcBorders>
            <w:noWrap w:val="0"/>
            <w:vAlign w:val="center"/>
          </w:tcPr>
          <w:p w14:paraId="42D23547">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eastAsia" w:ascii="Times New Roman" w:cs="Times New Roman"/>
                <w:snapToGrid w:val="0"/>
                <w:color w:val="auto"/>
                <w:kern w:val="21"/>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w:t>
            </w:r>
          </w:p>
        </w:tc>
        <w:tc>
          <w:tcPr>
            <w:tcW w:w="1704" w:type="dxa"/>
            <w:tcBorders>
              <w:top w:val="single" w:color="000000" w:sz="4" w:space="0"/>
              <w:left w:val="single" w:color="000000" w:sz="4" w:space="0"/>
              <w:bottom w:val="single" w:color="000000" w:sz="4" w:space="0"/>
              <w:right w:val="single" w:color="000000" w:sz="4" w:space="0"/>
            </w:tcBorders>
            <w:noWrap w:val="0"/>
            <w:vAlign w:val="center"/>
          </w:tcPr>
          <w:p w14:paraId="13BF009A">
            <w:pPr>
              <w:jc w:val="center"/>
              <w:rPr>
                <w:rFonts w:hint="eastAsia"/>
                <w:color w:val="auto"/>
                <w:szCs w:val="21"/>
                <w:lang w:val="en-US" w:eastAsia="zh-CN"/>
              </w:rPr>
            </w:pPr>
            <w:r>
              <w:rPr>
                <w:rFonts w:hint="eastAsia"/>
                <w:color w:val="auto"/>
                <w:szCs w:val="21"/>
                <w:lang w:val="en-US" w:eastAsia="zh-CN"/>
              </w:rPr>
              <w:t>0.45t/a</w:t>
            </w:r>
          </w:p>
        </w:tc>
        <w:tc>
          <w:tcPr>
            <w:tcW w:w="1927" w:type="dxa"/>
            <w:tcBorders>
              <w:top w:val="single" w:color="000000" w:sz="4" w:space="0"/>
              <w:left w:val="single" w:color="000000" w:sz="4" w:space="0"/>
              <w:bottom w:val="single" w:color="000000" w:sz="4" w:space="0"/>
              <w:right w:val="single" w:color="000000" w:sz="4" w:space="0"/>
            </w:tcBorders>
            <w:noWrap w:val="0"/>
            <w:vAlign w:val="center"/>
          </w:tcPr>
          <w:p w14:paraId="0195C3F3">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eastAsia"/>
                <w:szCs w:val="21"/>
                <w:lang w:val="en-US" w:eastAsia="zh-CN"/>
              </w:rPr>
            </w:pPr>
            <w:r>
              <w:rPr>
                <w:rFonts w:hint="eastAsia" w:ascii="Times New Roman" w:hAnsi="Times New Roman" w:eastAsia="宋体" w:cs="Times New Roman"/>
                <w:snapToGrid w:val="0"/>
                <w:color w:val="auto"/>
                <w:kern w:val="21"/>
                <w:sz w:val="21"/>
                <w:szCs w:val="21"/>
                <w:lang w:val="en-US" w:eastAsia="zh-CN"/>
              </w:rPr>
              <w:t>/</w:t>
            </w:r>
          </w:p>
        </w:tc>
        <w:tc>
          <w:tcPr>
            <w:tcW w:w="1993" w:type="dxa"/>
            <w:tcBorders>
              <w:top w:val="single" w:color="000000" w:sz="4" w:space="0"/>
              <w:left w:val="single" w:color="000000" w:sz="4" w:space="0"/>
              <w:bottom w:val="single" w:color="000000" w:sz="4" w:space="0"/>
              <w:right w:val="single" w:color="000000" w:sz="4" w:space="0"/>
            </w:tcBorders>
            <w:noWrap w:val="0"/>
            <w:vAlign w:val="center"/>
          </w:tcPr>
          <w:p w14:paraId="13023A66">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default"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0.45t/a</w:t>
            </w:r>
          </w:p>
        </w:tc>
        <w:tc>
          <w:tcPr>
            <w:tcW w:w="1347" w:type="dxa"/>
            <w:tcBorders>
              <w:top w:val="single" w:color="000000" w:sz="4" w:space="0"/>
              <w:left w:val="single" w:color="000000" w:sz="4" w:space="0"/>
              <w:bottom w:val="single" w:color="000000" w:sz="4" w:space="0"/>
              <w:right w:val="single" w:color="000000" w:sz="8" w:space="0"/>
            </w:tcBorders>
            <w:noWrap w:val="0"/>
            <w:vAlign w:val="center"/>
          </w:tcPr>
          <w:p w14:paraId="601CBA2A">
            <w:pPr>
              <w:jc w:val="center"/>
              <w:rPr>
                <w:rFonts w:hint="default" w:ascii="Times New Roman" w:hAnsi="Times New Roman" w:cs="Times New Roman"/>
                <w:color w:val="auto"/>
                <w:szCs w:val="21"/>
                <w:lang w:val="en-US" w:eastAsia="zh-CN"/>
              </w:rPr>
            </w:pPr>
            <w:r>
              <w:rPr>
                <w:rFonts w:hint="eastAsia"/>
                <w:color w:val="auto"/>
                <w:szCs w:val="21"/>
                <w:lang w:val="en-US" w:eastAsia="zh-CN"/>
              </w:rPr>
              <w:t>+0.45t/a</w:t>
            </w:r>
          </w:p>
        </w:tc>
      </w:tr>
      <w:tr w14:paraId="100344DD">
        <w:tblPrEx>
          <w:tblCellMar>
            <w:top w:w="0" w:type="dxa"/>
            <w:left w:w="0" w:type="dxa"/>
            <w:bottom w:w="0" w:type="dxa"/>
            <w:right w:w="0" w:type="dxa"/>
          </w:tblCellMar>
        </w:tblPrEx>
        <w:trPr>
          <w:trHeight w:val="0" w:hRule="atLeast"/>
          <w:jc w:val="center"/>
        </w:trPr>
        <w:tc>
          <w:tcPr>
            <w:tcW w:w="409" w:type="pct"/>
            <w:vMerge w:val="continue"/>
            <w:tcBorders>
              <w:left w:val="single" w:color="auto" w:sz="4" w:space="0"/>
              <w:right w:val="single" w:color="auto" w:sz="4" w:space="0"/>
            </w:tcBorders>
            <w:noWrap w:val="0"/>
            <w:vAlign w:val="center"/>
          </w:tcPr>
          <w:p w14:paraId="727E9AD6">
            <w:pPr>
              <w:pStyle w:val="69"/>
              <w:spacing w:line="320" w:lineRule="exact"/>
              <w:jc w:val="center"/>
              <w:rPr>
                <w:rFonts w:hint="eastAsia" w:ascii="Times New Roman" w:hAnsi="Times New Roman"/>
                <w:lang w:eastAsia="zh-CN"/>
              </w:rPr>
            </w:pPr>
          </w:p>
        </w:tc>
        <w:tc>
          <w:tcPr>
            <w:tcW w:w="1809" w:type="dxa"/>
            <w:tcBorders>
              <w:top w:val="single" w:color="auto" w:sz="4" w:space="0"/>
              <w:left w:val="single" w:color="auto" w:sz="4" w:space="0"/>
              <w:bottom w:val="single" w:color="000000" w:sz="4" w:space="0"/>
              <w:right w:val="single" w:color="000000" w:sz="4" w:space="0"/>
            </w:tcBorders>
            <w:noWrap w:val="0"/>
            <w:vAlign w:val="center"/>
          </w:tcPr>
          <w:p w14:paraId="587480B4">
            <w:pPr>
              <w:jc w:val="center"/>
              <w:rPr>
                <w:rFonts w:hint="eastAsia"/>
                <w:szCs w:val="21"/>
                <w:lang w:eastAsia="zh-CN"/>
              </w:rPr>
            </w:pPr>
            <w:r>
              <w:rPr>
                <w:rFonts w:hint="eastAsia"/>
                <w:color w:val="auto"/>
                <w:szCs w:val="21"/>
                <w:lang w:val="en-US" w:eastAsia="zh-CN"/>
              </w:rPr>
              <w:t>废UV灯管</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14:paraId="5B25742E">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default" w:ascii="Times New Roman"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75DBD215">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eastAsia" w:ascii="Times New Roman" w:cs="Times New Roman"/>
                <w:snapToGrid w:val="0"/>
                <w:color w:val="auto"/>
                <w:kern w:val="21"/>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w:t>
            </w:r>
          </w:p>
        </w:tc>
        <w:tc>
          <w:tcPr>
            <w:tcW w:w="1861" w:type="dxa"/>
            <w:tcBorders>
              <w:top w:val="single" w:color="000000" w:sz="4" w:space="0"/>
              <w:left w:val="single" w:color="000000" w:sz="4" w:space="0"/>
              <w:bottom w:val="single" w:color="000000" w:sz="4" w:space="0"/>
              <w:right w:val="single" w:color="000000" w:sz="4" w:space="0"/>
            </w:tcBorders>
            <w:noWrap w:val="0"/>
            <w:vAlign w:val="center"/>
          </w:tcPr>
          <w:p w14:paraId="3453481D">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eastAsia" w:ascii="Times New Roman" w:cs="Times New Roman"/>
                <w:snapToGrid w:val="0"/>
                <w:color w:val="auto"/>
                <w:kern w:val="21"/>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w:t>
            </w:r>
          </w:p>
        </w:tc>
        <w:tc>
          <w:tcPr>
            <w:tcW w:w="1704" w:type="dxa"/>
            <w:tcBorders>
              <w:top w:val="single" w:color="000000" w:sz="4" w:space="0"/>
              <w:left w:val="single" w:color="000000" w:sz="4" w:space="0"/>
              <w:bottom w:val="single" w:color="000000" w:sz="4" w:space="0"/>
              <w:right w:val="single" w:color="000000" w:sz="4" w:space="0"/>
            </w:tcBorders>
            <w:noWrap w:val="0"/>
            <w:vAlign w:val="center"/>
          </w:tcPr>
          <w:p w14:paraId="314867E5">
            <w:pPr>
              <w:jc w:val="center"/>
              <w:rPr>
                <w:rFonts w:hint="eastAsia"/>
                <w:color w:val="auto"/>
                <w:szCs w:val="21"/>
                <w:lang w:val="en-US" w:eastAsia="zh-CN"/>
              </w:rPr>
            </w:pPr>
            <w:r>
              <w:rPr>
                <w:rFonts w:hint="eastAsia"/>
                <w:color w:val="auto"/>
                <w:szCs w:val="21"/>
                <w:lang w:val="en-US" w:eastAsia="zh-CN"/>
              </w:rPr>
              <w:t>0.05t/a</w:t>
            </w:r>
          </w:p>
        </w:tc>
        <w:tc>
          <w:tcPr>
            <w:tcW w:w="1927" w:type="dxa"/>
            <w:tcBorders>
              <w:top w:val="single" w:color="000000" w:sz="4" w:space="0"/>
              <w:left w:val="single" w:color="000000" w:sz="4" w:space="0"/>
              <w:bottom w:val="single" w:color="000000" w:sz="4" w:space="0"/>
              <w:right w:val="single" w:color="000000" w:sz="4" w:space="0"/>
            </w:tcBorders>
            <w:noWrap w:val="0"/>
            <w:vAlign w:val="center"/>
          </w:tcPr>
          <w:p w14:paraId="3476CCDC">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eastAsia"/>
                <w:szCs w:val="21"/>
                <w:lang w:val="en-US" w:eastAsia="zh-CN"/>
              </w:rPr>
            </w:pPr>
            <w:r>
              <w:rPr>
                <w:rFonts w:hint="eastAsia" w:ascii="Times New Roman" w:hAnsi="Times New Roman" w:eastAsia="宋体" w:cs="Times New Roman"/>
                <w:snapToGrid w:val="0"/>
                <w:color w:val="auto"/>
                <w:kern w:val="21"/>
                <w:sz w:val="21"/>
                <w:szCs w:val="21"/>
                <w:lang w:val="en-US" w:eastAsia="zh-CN"/>
              </w:rPr>
              <w:t>/</w:t>
            </w:r>
          </w:p>
        </w:tc>
        <w:tc>
          <w:tcPr>
            <w:tcW w:w="1993" w:type="dxa"/>
            <w:tcBorders>
              <w:top w:val="single" w:color="000000" w:sz="4" w:space="0"/>
              <w:left w:val="single" w:color="000000" w:sz="4" w:space="0"/>
              <w:bottom w:val="single" w:color="000000" w:sz="4" w:space="0"/>
              <w:right w:val="single" w:color="000000" w:sz="4" w:space="0"/>
            </w:tcBorders>
            <w:noWrap w:val="0"/>
            <w:vAlign w:val="center"/>
          </w:tcPr>
          <w:p w14:paraId="37A78D8D">
            <w:pPr>
              <w:jc w:val="center"/>
              <w:rPr>
                <w:rFonts w:hint="default" w:ascii="Times New Roman" w:hAnsi="Times New Roman" w:cs="Times New Roman"/>
                <w:color w:val="auto"/>
                <w:szCs w:val="21"/>
                <w:lang w:val="en-US" w:eastAsia="zh-CN"/>
              </w:rPr>
            </w:pPr>
            <w:r>
              <w:rPr>
                <w:rFonts w:hint="eastAsia"/>
                <w:color w:val="auto"/>
                <w:szCs w:val="21"/>
                <w:lang w:val="en-US" w:eastAsia="zh-CN"/>
              </w:rPr>
              <w:t>0.05t/a</w:t>
            </w:r>
          </w:p>
        </w:tc>
        <w:tc>
          <w:tcPr>
            <w:tcW w:w="1347" w:type="dxa"/>
            <w:tcBorders>
              <w:top w:val="single" w:color="000000" w:sz="4" w:space="0"/>
              <w:left w:val="single" w:color="000000" w:sz="4" w:space="0"/>
              <w:bottom w:val="single" w:color="000000" w:sz="4" w:space="0"/>
              <w:right w:val="single" w:color="000000" w:sz="8" w:space="0"/>
            </w:tcBorders>
            <w:noWrap w:val="0"/>
            <w:vAlign w:val="center"/>
          </w:tcPr>
          <w:p w14:paraId="605176A3">
            <w:pPr>
              <w:jc w:val="center"/>
              <w:rPr>
                <w:rFonts w:hint="default" w:ascii="Times New Roman" w:hAnsi="Times New Roman" w:cs="Times New Roman"/>
                <w:color w:val="auto"/>
                <w:szCs w:val="21"/>
                <w:lang w:val="en-US" w:eastAsia="zh-CN"/>
              </w:rPr>
            </w:pPr>
            <w:r>
              <w:rPr>
                <w:rFonts w:hint="eastAsia"/>
                <w:color w:val="auto"/>
                <w:szCs w:val="21"/>
                <w:lang w:val="en-US" w:eastAsia="zh-CN"/>
              </w:rPr>
              <w:t>+0.05t/a</w:t>
            </w:r>
          </w:p>
        </w:tc>
      </w:tr>
      <w:tr w14:paraId="64715904">
        <w:tblPrEx>
          <w:tblCellMar>
            <w:top w:w="0" w:type="dxa"/>
            <w:left w:w="0" w:type="dxa"/>
            <w:bottom w:w="0" w:type="dxa"/>
            <w:right w:w="0" w:type="dxa"/>
          </w:tblCellMar>
        </w:tblPrEx>
        <w:trPr>
          <w:trHeight w:val="0" w:hRule="atLeast"/>
          <w:jc w:val="center"/>
        </w:trPr>
        <w:tc>
          <w:tcPr>
            <w:tcW w:w="409" w:type="pct"/>
            <w:vMerge w:val="continue"/>
            <w:tcBorders>
              <w:left w:val="single" w:color="auto" w:sz="4" w:space="0"/>
              <w:right w:val="single" w:color="auto" w:sz="4" w:space="0"/>
            </w:tcBorders>
            <w:noWrap w:val="0"/>
            <w:vAlign w:val="center"/>
          </w:tcPr>
          <w:p w14:paraId="2FC28CB0">
            <w:pPr>
              <w:pStyle w:val="69"/>
              <w:spacing w:line="320" w:lineRule="exact"/>
              <w:jc w:val="center"/>
              <w:rPr>
                <w:rFonts w:hint="eastAsia" w:ascii="Times New Roman" w:hAnsi="Times New Roman"/>
                <w:lang w:eastAsia="zh-CN"/>
              </w:rPr>
            </w:pPr>
          </w:p>
        </w:tc>
        <w:tc>
          <w:tcPr>
            <w:tcW w:w="1809" w:type="dxa"/>
            <w:tcBorders>
              <w:top w:val="single" w:color="auto" w:sz="4" w:space="0"/>
              <w:left w:val="single" w:color="auto" w:sz="4" w:space="0"/>
              <w:bottom w:val="single" w:color="000000" w:sz="4" w:space="0"/>
              <w:right w:val="single" w:color="000000" w:sz="4" w:space="0"/>
            </w:tcBorders>
            <w:noWrap w:val="0"/>
            <w:vAlign w:val="center"/>
          </w:tcPr>
          <w:p w14:paraId="675F197E">
            <w:pPr>
              <w:jc w:val="center"/>
              <w:rPr>
                <w:rFonts w:hint="eastAsia"/>
                <w:szCs w:val="21"/>
                <w:lang w:eastAsia="zh-CN"/>
              </w:rPr>
            </w:pPr>
            <w:r>
              <w:rPr>
                <w:rFonts w:hint="eastAsia"/>
                <w:color w:val="auto"/>
                <w:szCs w:val="21"/>
                <w:lang w:val="en-US" w:eastAsia="zh-CN"/>
              </w:rPr>
              <w:t>废紫外灯</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14:paraId="5ECFA4AD">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6B5D2533">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eastAsia" w:ascii="Times New Roman" w:cs="Times New Roman"/>
                <w:snapToGrid w:val="0"/>
                <w:color w:val="auto"/>
                <w:kern w:val="21"/>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w:t>
            </w:r>
          </w:p>
        </w:tc>
        <w:tc>
          <w:tcPr>
            <w:tcW w:w="1861" w:type="dxa"/>
            <w:tcBorders>
              <w:top w:val="single" w:color="000000" w:sz="4" w:space="0"/>
              <w:left w:val="single" w:color="000000" w:sz="4" w:space="0"/>
              <w:bottom w:val="single" w:color="000000" w:sz="4" w:space="0"/>
              <w:right w:val="single" w:color="000000" w:sz="4" w:space="0"/>
            </w:tcBorders>
            <w:noWrap w:val="0"/>
            <w:vAlign w:val="center"/>
          </w:tcPr>
          <w:p w14:paraId="046BDECC">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eastAsia" w:ascii="Times New Roman" w:cs="Times New Roman"/>
                <w:snapToGrid w:val="0"/>
                <w:color w:val="auto"/>
                <w:kern w:val="21"/>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w:t>
            </w:r>
          </w:p>
        </w:tc>
        <w:tc>
          <w:tcPr>
            <w:tcW w:w="1704" w:type="dxa"/>
            <w:tcBorders>
              <w:top w:val="single" w:color="000000" w:sz="4" w:space="0"/>
              <w:left w:val="single" w:color="000000" w:sz="4" w:space="0"/>
              <w:bottom w:val="single" w:color="000000" w:sz="4" w:space="0"/>
              <w:right w:val="single" w:color="000000" w:sz="4" w:space="0"/>
            </w:tcBorders>
            <w:noWrap w:val="0"/>
            <w:vAlign w:val="center"/>
          </w:tcPr>
          <w:p w14:paraId="4D7B3454">
            <w:pPr>
              <w:jc w:val="center"/>
              <w:rPr>
                <w:rFonts w:hint="eastAsia"/>
                <w:color w:val="auto"/>
                <w:szCs w:val="21"/>
                <w:lang w:val="en-US" w:eastAsia="zh-CN"/>
              </w:rPr>
            </w:pPr>
            <w:r>
              <w:rPr>
                <w:rFonts w:hint="eastAsia"/>
                <w:color w:val="auto"/>
                <w:szCs w:val="21"/>
                <w:lang w:val="en-US" w:eastAsia="zh-CN"/>
              </w:rPr>
              <w:t>0.4t/a</w:t>
            </w:r>
          </w:p>
        </w:tc>
        <w:tc>
          <w:tcPr>
            <w:tcW w:w="1927" w:type="dxa"/>
            <w:tcBorders>
              <w:top w:val="single" w:color="000000" w:sz="4" w:space="0"/>
              <w:left w:val="single" w:color="000000" w:sz="4" w:space="0"/>
              <w:bottom w:val="single" w:color="000000" w:sz="4" w:space="0"/>
              <w:right w:val="single" w:color="000000" w:sz="4" w:space="0"/>
            </w:tcBorders>
            <w:noWrap w:val="0"/>
            <w:vAlign w:val="center"/>
          </w:tcPr>
          <w:p w14:paraId="724853C5">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eastAsia"/>
                <w:szCs w:val="21"/>
                <w:lang w:val="en-US" w:eastAsia="zh-CN"/>
              </w:rPr>
            </w:pPr>
            <w:r>
              <w:rPr>
                <w:rFonts w:hint="eastAsia" w:ascii="Times New Roman" w:hAnsi="Times New Roman" w:eastAsia="宋体" w:cs="Times New Roman"/>
                <w:snapToGrid w:val="0"/>
                <w:color w:val="auto"/>
                <w:kern w:val="21"/>
                <w:sz w:val="21"/>
                <w:szCs w:val="21"/>
                <w:lang w:val="en-US" w:eastAsia="zh-CN"/>
              </w:rPr>
              <w:t>/</w:t>
            </w:r>
          </w:p>
        </w:tc>
        <w:tc>
          <w:tcPr>
            <w:tcW w:w="1993" w:type="dxa"/>
            <w:tcBorders>
              <w:top w:val="single" w:color="000000" w:sz="4" w:space="0"/>
              <w:left w:val="single" w:color="000000" w:sz="4" w:space="0"/>
              <w:bottom w:val="single" w:color="000000" w:sz="4" w:space="0"/>
              <w:right w:val="single" w:color="000000" w:sz="4" w:space="0"/>
            </w:tcBorders>
            <w:noWrap w:val="0"/>
            <w:vAlign w:val="center"/>
          </w:tcPr>
          <w:p w14:paraId="2E228C26">
            <w:pPr>
              <w:jc w:val="center"/>
              <w:rPr>
                <w:rFonts w:hint="default" w:ascii="Times New Roman" w:hAnsi="Times New Roman" w:cs="Times New Roman"/>
                <w:color w:val="auto"/>
                <w:szCs w:val="21"/>
                <w:lang w:val="en-US" w:eastAsia="zh-CN"/>
              </w:rPr>
            </w:pPr>
            <w:r>
              <w:rPr>
                <w:rFonts w:hint="eastAsia"/>
                <w:color w:val="auto"/>
                <w:szCs w:val="21"/>
                <w:lang w:val="en-US" w:eastAsia="zh-CN"/>
              </w:rPr>
              <w:t>0.4t/a</w:t>
            </w:r>
          </w:p>
        </w:tc>
        <w:tc>
          <w:tcPr>
            <w:tcW w:w="1347" w:type="dxa"/>
            <w:tcBorders>
              <w:top w:val="single" w:color="000000" w:sz="4" w:space="0"/>
              <w:left w:val="single" w:color="000000" w:sz="4" w:space="0"/>
              <w:bottom w:val="single" w:color="000000" w:sz="4" w:space="0"/>
              <w:right w:val="single" w:color="000000" w:sz="8" w:space="0"/>
            </w:tcBorders>
            <w:noWrap w:val="0"/>
            <w:vAlign w:val="center"/>
          </w:tcPr>
          <w:p w14:paraId="5CF88DE4">
            <w:pPr>
              <w:jc w:val="center"/>
              <w:rPr>
                <w:rFonts w:hint="default" w:ascii="Times New Roman" w:hAnsi="Times New Roman" w:cs="Times New Roman"/>
                <w:color w:val="auto"/>
                <w:szCs w:val="21"/>
                <w:lang w:val="en-US" w:eastAsia="zh-CN"/>
              </w:rPr>
            </w:pPr>
            <w:r>
              <w:rPr>
                <w:rFonts w:hint="eastAsia"/>
                <w:color w:val="auto"/>
                <w:szCs w:val="21"/>
                <w:lang w:val="en-US" w:eastAsia="zh-CN"/>
              </w:rPr>
              <w:t>+0.4t/a</w:t>
            </w:r>
          </w:p>
        </w:tc>
      </w:tr>
      <w:tr w14:paraId="2E49A1E3">
        <w:tblPrEx>
          <w:tblCellMar>
            <w:top w:w="0" w:type="dxa"/>
            <w:left w:w="0" w:type="dxa"/>
            <w:bottom w:w="0" w:type="dxa"/>
            <w:right w:w="0" w:type="dxa"/>
          </w:tblCellMar>
        </w:tblPrEx>
        <w:trPr>
          <w:trHeight w:val="0" w:hRule="atLeast"/>
          <w:jc w:val="center"/>
        </w:trPr>
        <w:tc>
          <w:tcPr>
            <w:tcW w:w="409" w:type="pct"/>
            <w:vMerge w:val="continue"/>
            <w:tcBorders>
              <w:left w:val="single" w:color="auto" w:sz="4" w:space="0"/>
              <w:bottom w:val="single" w:color="auto" w:sz="4" w:space="0"/>
              <w:right w:val="single" w:color="auto" w:sz="4" w:space="0"/>
            </w:tcBorders>
            <w:noWrap w:val="0"/>
            <w:vAlign w:val="center"/>
          </w:tcPr>
          <w:p w14:paraId="3964651C">
            <w:pPr>
              <w:pStyle w:val="69"/>
              <w:spacing w:line="320" w:lineRule="exact"/>
              <w:jc w:val="center"/>
              <w:rPr>
                <w:rFonts w:ascii="Times New Roman" w:hAnsi="Times New Roman"/>
              </w:rPr>
            </w:pPr>
          </w:p>
        </w:tc>
        <w:tc>
          <w:tcPr>
            <w:tcW w:w="1809" w:type="dxa"/>
            <w:tcBorders>
              <w:top w:val="single" w:color="000000" w:sz="4" w:space="0"/>
              <w:left w:val="single" w:color="auto" w:sz="4" w:space="0"/>
              <w:bottom w:val="single" w:color="000000" w:sz="4" w:space="0"/>
              <w:right w:val="single" w:color="000000" w:sz="4" w:space="0"/>
            </w:tcBorders>
            <w:noWrap w:val="0"/>
            <w:vAlign w:val="center"/>
          </w:tcPr>
          <w:p w14:paraId="62304DC3">
            <w:pPr>
              <w:jc w:val="center"/>
              <w:rPr>
                <w:rFonts w:hint="default" w:ascii="Times New Roman" w:hAnsi="Times New Roman" w:eastAsia="宋体"/>
                <w:szCs w:val="21"/>
                <w:lang w:val="en-US" w:eastAsia="zh-CN"/>
              </w:rPr>
            </w:pPr>
            <w:r>
              <w:rPr>
                <w:rFonts w:hint="eastAsia"/>
                <w:color w:val="auto"/>
                <w:szCs w:val="21"/>
                <w:lang w:val="en-US" w:eastAsia="zh-CN"/>
              </w:rPr>
              <w:t>污水处理站污泥</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14:paraId="43E05650">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3.85t/a</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0AFF232D">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default"/>
                <w:szCs w:val="21"/>
                <w:lang w:val="en-US" w:eastAsia="zh-CN"/>
              </w:rPr>
            </w:pPr>
            <w:r>
              <w:rPr>
                <w:rFonts w:hint="eastAsia" w:ascii="Times New Roman" w:cs="Times New Roman"/>
                <w:snapToGrid w:val="0"/>
                <w:color w:val="auto"/>
                <w:kern w:val="21"/>
                <w:sz w:val="21"/>
                <w:szCs w:val="21"/>
                <w:lang w:val="en-US" w:eastAsia="zh-CN"/>
              </w:rPr>
              <w:t>/</w:t>
            </w:r>
          </w:p>
        </w:tc>
        <w:tc>
          <w:tcPr>
            <w:tcW w:w="1861" w:type="dxa"/>
            <w:tcBorders>
              <w:top w:val="single" w:color="000000" w:sz="4" w:space="0"/>
              <w:left w:val="single" w:color="000000" w:sz="4" w:space="0"/>
              <w:bottom w:val="single" w:color="000000" w:sz="4" w:space="0"/>
              <w:right w:val="single" w:color="000000" w:sz="4" w:space="0"/>
            </w:tcBorders>
            <w:noWrap w:val="0"/>
            <w:vAlign w:val="center"/>
          </w:tcPr>
          <w:p w14:paraId="12236C17">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default"/>
                <w:szCs w:val="21"/>
                <w:lang w:val="en-US" w:eastAsia="zh-CN"/>
              </w:rPr>
            </w:pPr>
            <w:r>
              <w:rPr>
                <w:rFonts w:hint="eastAsia" w:ascii="Times New Roman" w:cs="Times New Roman"/>
                <w:snapToGrid w:val="0"/>
                <w:color w:val="auto"/>
                <w:kern w:val="21"/>
                <w:sz w:val="21"/>
                <w:szCs w:val="21"/>
                <w:lang w:val="en-US" w:eastAsia="zh-CN"/>
              </w:rPr>
              <w:t>/</w:t>
            </w:r>
          </w:p>
        </w:tc>
        <w:tc>
          <w:tcPr>
            <w:tcW w:w="1704" w:type="dxa"/>
            <w:tcBorders>
              <w:top w:val="single" w:color="000000" w:sz="4" w:space="0"/>
              <w:left w:val="single" w:color="000000" w:sz="4" w:space="0"/>
              <w:bottom w:val="single" w:color="000000" w:sz="4" w:space="0"/>
              <w:right w:val="single" w:color="000000" w:sz="4" w:space="0"/>
            </w:tcBorders>
            <w:noWrap w:val="0"/>
            <w:vAlign w:val="center"/>
          </w:tcPr>
          <w:p w14:paraId="5793529F">
            <w:pPr>
              <w:jc w:val="center"/>
              <w:rPr>
                <w:rFonts w:hint="default"/>
                <w:bCs/>
                <w:szCs w:val="21"/>
                <w:lang w:val="en-US" w:eastAsia="zh-CN"/>
              </w:rPr>
            </w:pPr>
            <w:r>
              <w:rPr>
                <w:rFonts w:hint="eastAsia"/>
                <w:color w:val="auto"/>
                <w:szCs w:val="21"/>
                <w:lang w:val="en-US" w:eastAsia="zh-CN"/>
              </w:rPr>
              <w:t>10.9t/a</w:t>
            </w:r>
          </w:p>
        </w:tc>
        <w:tc>
          <w:tcPr>
            <w:tcW w:w="1927" w:type="dxa"/>
            <w:tcBorders>
              <w:top w:val="single" w:color="000000" w:sz="4" w:space="0"/>
              <w:left w:val="single" w:color="000000" w:sz="4" w:space="0"/>
              <w:bottom w:val="single" w:color="000000" w:sz="4" w:space="0"/>
              <w:right w:val="single" w:color="000000" w:sz="4" w:space="0"/>
            </w:tcBorders>
            <w:noWrap w:val="0"/>
            <w:vAlign w:val="center"/>
          </w:tcPr>
          <w:p w14:paraId="1064C059">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default"/>
                <w:szCs w:val="21"/>
                <w:lang w:val="en-US" w:eastAsia="zh-CN"/>
              </w:rPr>
            </w:pPr>
            <w:r>
              <w:rPr>
                <w:rFonts w:hint="eastAsia" w:ascii="Times New Roman" w:cs="Times New Roman"/>
                <w:snapToGrid w:val="0"/>
                <w:color w:val="auto"/>
                <w:kern w:val="21"/>
                <w:sz w:val="21"/>
                <w:szCs w:val="21"/>
                <w:lang w:val="en-US" w:eastAsia="zh-CN"/>
              </w:rPr>
              <w:t>/</w:t>
            </w:r>
          </w:p>
        </w:tc>
        <w:tc>
          <w:tcPr>
            <w:tcW w:w="1993" w:type="dxa"/>
            <w:tcBorders>
              <w:top w:val="single" w:color="000000" w:sz="4" w:space="0"/>
              <w:left w:val="single" w:color="000000" w:sz="4" w:space="0"/>
              <w:bottom w:val="single" w:color="000000" w:sz="4" w:space="0"/>
              <w:right w:val="single" w:color="000000" w:sz="4" w:space="0"/>
            </w:tcBorders>
            <w:noWrap w:val="0"/>
            <w:vAlign w:val="center"/>
          </w:tcPr>
          <w:p w14:paraId="1E166CE6">
            <w:pPr>
              <w:pStyle w:val="51"/>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14.75t/a</w:t>
            </w:r>
          </w:p>
        </w:tc>
        <w:tc>
          <w:tcPr>
            <w:tcW w:w="1347" w:type="dxa"/>
            <w:tcBorders>
              <w:top w:val="single" w:color="000000" w:sz="4" w:space="0"/>
              <w:left w:val="single" w:color="000000" w:sz="4" w:space="0"/>
              <w:bottom w:val="single" w:color="000000" w:sz="4" w:space="0"/>
              <w:right w:val="single" w:color="000000" w:sz="8" w:space="0"/>
            </w:tcBorders>
            <w:noWrap w:val="0"/>
            <w:vAlign w:val="center"/>
          </w:tcPr>
          <w:p w14:paraId="34DA564C">
            <w:pPr>
              <w:jc w:val="center"/>
              <w:rPr>
                <w:rFonts w:hint="default" w:ascii="Times New Roman" w:hAnsi="Times New Roman" w:cs="Times New Roman"/>
                <w:szCs w:val="21"/>
                <w:lang w:val="en-US" w:eastAsia="zh-CN"/>
              </w:rPr>
            </w:pPr>
            <w:r>
              <w:rPr>
                <w:rFonts w:hint="eastAsia"/>
                <w:color w:val="auto"/>
                <w:szCs w:val="21"/>
                <w:lang w:val="en-US" w:eastAsia="zh-CN"/>
              </w:rPr>
              <w:t>+10.9t/a</w:t>
            </w:r>
          </w:p>
        </w:tc>
      </w:tr>
    </w:tbl>
    <w:p w14:paraId="1486372B">
      <w:pPr>
        <w:pStyle w:val="51"/>
        <w:spacing w:before="192" w:beforeLines="80" w:after="24"/>
        <w:ind w:left="0" w:leftChars="0" w:firstLine="0" w:firstLineChars="0"/>
        <w:jc w:val="left"/>
        <w:rPr>
          <w:rFonts w:hint="default" w:ascii="Times New Roman" w:hAnsi="Times New Roman" w:cs="Times New Roman"/>
          <w:snapToGrid w:val="0"/>
          <w:color w:val="auto"/>
          <w:spacing w:val="-6"/>
          <w:kern w:val="21"/>
          <w:szCs w:val="21"/>
        </w:rPr>
      </w:pPr>
      <w:r>
        <w:rPr>
          <w:rFonts w:hint="default" w:ascii="Times New Roman" w:hAnsi="Times New Roman" w:cs="Times New Roman"/>
          <w:snapToGrid w:val="0"/>
          <w:color w:val="auto"/>
          <w:kern w:val="21"/>
          <w:szCs w:val="21"/>
        </w:rPr>
        <w:t>注：</w:t>
      </w:r>
      <w:r>
        <w:rPr>
          <w:rFonts w:hint="default" w:ascii="Times New Roman" w:hAnsi="Times New Roman" w:cs="Times New Roman"/>
          <w:snapToGrid w:val="0"/>
          <w:color w:val="auto"/>
          <w:spacing w:val="-16"/>
          <w:kern w:val="21"/>
          <w:szCs w:val="21"/>
        </w:rPr>
        <w:fldChar w:fldCharType="begin"/>
      </w:r>
      <w:r>
        <w:rPr>
          <w:rFonts w:hint="default" w:ascii="Times New Roman" w:hAnsi="Times New Roman" w:cs="Times New Roman"/>
          <w:snapToGrid w:val="0"/>
          <w:color w:val="auto"/>
          <w:spacing w:val="-16"/>
          <w:kern w:val="21"/>
          <w:szCs w:val="21"/>
        </w:rPr>
        <w:instrText xml:space="preserve"> = 6 \* GB3 \* MERGEFORMAT </w:instrText>
      </w:r>
      <w:r>
        <w:rPr>
          <w:rFonts w:hint="default" w:ascii="Times New Roman" w:hAnsi="Times New Roman" w:cs="Times New Roman"/>
          <w:snapToGrid w:val="0"/>
          <w:color w:val="auto"/>
          <w:spacing w:val="-16"/>
          <w:kern w:val="21"/>
          <w:szCs w:val="21"/>
        </w:rPr>
        <w:fldChar w:fldCharType="separate"/>
      </w:r>
      <w:r>
        <w:rPr>
          <w:rFonts w:hint="default" w:ascii="Times New Roman" w:hAnsi="Times New Roman" w:cs="Times New Roman"/>
          <w:color w:val="auto"/>
          <w:szCs w:val="21"/>
        </w:rPr>
        <w:t>⑥</w:t>
      </w:r>
      <w:r>
        <w:rPr>
          <w:rFonts w:hint="default" w:ascii="Times New Roman" w:hAnsi="Times New Roman" w:cs="Times New Roman"/>
          <w:snapToGrid w:val="0"/>
          <w:color w:val="auto"/>
          <w:spacing w:val="-16"/>
          <w:kern w:val="21"/>
          <w:szCs w:val="21"/>
        </w:rPr>
        <w:fldChar w:fldCharType="end"/>
      </w:r>
      <w:r>
        <w:rPr>
          <w:rFonts w:hint="default" w:ascii="Times New Roman" w:hAnsi="Times New Roman" w:cs="Times New Roman"/>
          <w:snapToGrid w:val="0"/>
          <w:color w:val="auto"/>
          <w:spacing w:val="-1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1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①</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3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③</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4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④</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16"/>
          <w:kern w:val="21"/>
          <w:szCs w:val="21"/>
        </w:rPr>
        <w:fldChar w:fldCharType="begin"/>
      </w:r>
      <w:r>
        <w:rPr>
          <w:rFonts w:hint="default" w:ascii="Times New Roman" w:hAnsi="Times New Roman" w:cs="Times New Roman"/>
          <w:snapToGrid w:val="0"/>
          <w:color w:val="auto"/>
          <w:spacing w:val="-16"/>
          <w:kern w:val="21"/>
          <w:szCs w:val="21"/>
        </w:rPr>
        <w:instrText xml:space="preserve"> = 5 \* GB3 \* MERGEFORMAT </w:instrText>
      </w:r>
      <w:r>
        <w:rPr>
          <w:rFonts w:hint="default" w:ascii="Times New Roman" w:hAnsi="Times New Roman" w:cs="Times New Roman"/>
          <w:snapToGrid w:val="0"/>
          <w:color w:val="auto"/>
          <w:spacing w:val="-16"/>
          <w:kern w:val="21"/>
          <w:szCs w:val="21"/>
        </w:rPr>
        <w:fldChar w:fldCharType="separate"/>
      </w:r>
      <w:r>
        <w:rPr>
          <w:rFonts w:hint="default" w:ascii="Times New Roman" w:hAnsi="Times New Roman" w:cs="Times New Roman"/>
          <w:color w:val="auto"/>
          <w:szCs w:val="21"/>
        </w:rPr>
        <w:t>⑤</w:t>
      </w:r>
      <w:r>
        <w:rPr>
          <w:rFonts w:hint="default" w:ascii="Times New Roman" w:hAnsi="Times New Roman" w:cs="Times New Roman"/>
          <w:snapToGrid w:val="0"/>
          <w:color w:val="auto"/>
          <w:spacing w:val="-16"/>
          <w:kern w:val="21"/>
          <w:szCs w:val="21"/>
        </w:rPr>
        <w:fldChar w:fldCharType="end"/>
      </w:r>
      <w:r>
        <w:rPr>
          <w:rFonts w:hint="default" w:ascii="Times New Roman" w:hAnsi="Times New Roman" w:cs="Times New Roman"/>
          <w:snapToGrid w:val="0"/>
          <w:color w:val="auto"/>
          <w:spacing w:val="-1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7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⑦</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16"/>
          <w:kern w:val="21"/>
          <w:szCs w:val="21"/>
        </w:rPr>
        <w:fldChar w:fldCharType="begin"/>
      </w:r>
      <w:r>
        <w:rPr>
          <w:rFonts w:hint="default" w:ascii="Times New Roman" w:hAnsi="Times New Roman" w:cs="Times New Roman"/>
          <w:snapToGrid w:val="0"/>
          <w:color w:val="auto"/>
          <w:spacing w:val="-16"/>
          <w:kern w:val="21"/>
          <w:szCs w:val="21"/>
        </w:rPr>
        <w:instrText xml:space="preserve"> = 6 \* GB3 \* MERGEFORMAT </w:instrText>
      </w:r>
      <w:r>
        <w:rPr>
          <w:rFonts w:hint="default" w:ascii="Times New Roman" w:hAnsi="Times New Roman" w:cs="Times New Roman"/>
          <w:snapToGrid w:val="0"/>
          <w:color w:val="auto"/>
          <w:spacing w:val="-16"/>
          <w:kern w:val="21"/>
          <w:szCs w:val="21"/>
        </w:rPr>
        <w:fldChar w:fldCharType="separate"/>
      </w:r>
      <w:r>
        <w:rPr>
          <w:rFonts w:hint="default" w:ascii="Times New Roman" w:hAnsi="Times New Roman" w:cs="Times New Roman"/>
          <w:color w:val="auto"/>
          <w:szCs w:val="21"/>
        </w:rPr>
        <w:t>⑥</w:t>
      </w:r>
      <w:r>
        <w:rPr>
          <w:rFonts w:hint="default" w:ascii="Times New Roman" w:hAnsi="Times New Roman" w:cs="Times New Roman"/>
          <w:snapToGrid w:val="0"/>
          <w:color w:val="auto"/>
          <w:spacing w:val="-16"/>
          <w:kern w:val="21"/>
          <w:szCs w:val="21"/>
        </w:rPr>
        <w:fldChar w:fldCharType="end"/>
      </w:r>
      <w:r>
        <w:rPr>
          <w:rFonts w:hint="default" w:ascii="Times New Roman" w:hAnsi="Times New Roman" w:cs="Times New Roman"/>
          <w:snapToGrid w:val="0"/>
          <w:color w:val="auto"/>
          <w:spacing w:val="-1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1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①</w:t>
      </w:r>
      <w:r>
        <w:rPr>
          <w:rFonts w:hint="default" w:ascii="Times New Roman" w:hAnsi="Times New Roman" w:cs="Times New Roman"/>
          <w:snapToGrid w:val="0"/>
          <w:color w:val="auto"/>
          <w:spacing w:val="-6"/>
          <w:kern w:val="21"/>
          <w:szCs w:val="21"/>
        </w:rPr>
        <w:fldChar w:fldCharType="end"/>
      </w:r>
    </w:p>
    <w:p w14:paraId="540EC074">
      <w:pPr>
        <w:pStyle w:val="51"/>
        <w:spacing w:before="192" w:beforeLines="80" w:after="24"/>
        <w:ind w:left="0" w:leftChars="0" w:firstLine="0" w:firstLineChars="0"/>
        <w:jc w:val="left"/>
        <w:rPr>
          <w:rFonts w:hint="eastAsia" w:ascii="Times New Roman" w:cs="Times New Roman"/>
          <w:snapToGrid w:val="0"/>
          <w:color w:val="auto"/>
          <w:spacing w:val="-6"/>
          <w:kern w:val="21"/>
          <w:szCs w:val="21"/>
          <w:lang w:eastAsia="zh-CN"/>
        </w:rPr>
      </w:pPr>
    </w:p>
    <w:p w14:paraId="6889F143">
      <w:pPr>
        <w:pStyle w:val="51"/>
        <w:spacing w:before="192" w:beforeLines="80" w:after="24"/>
        <w:ind w:left="0" w:leftChars="0" w:firstLine="0" w:firstLineChars="0"/>
        <w:jc w:val="left"/>
        <w:rPr>
          <w:rFonts w:hint="eastAsia" w:ascii="Times New Roman" w:cs="Times New Roman"/>
          <w:snapToGrid w:val="0"/>
          <w:color w:val="auto"/>
          <w:spacing w:val="-6"/>
          <w:kern w:val="21"/>
          <w:szCs w:val="21"/>
          <w:lang w:eastAsia="zh-CN"/>
        </w:rPr>
      </w:pPr>
    </w:p>
    <w:p w14:paraId="6381C38B">
      <w:pPr>
        <w:pStyle w:val="51"/>
        <w:spacing w:before="192" w:beforeLines="80" w:after="24"/>
        <w:ind w:left="0" w:leftChars="0" w:firstLine="0" w:firstLineChars="0"/>
        <w:jc w:val="left"/>
        <w:rPr>
          <w:rFonts w:hint="eastAsia" w:ascii="Times New Roman" w:cs="Times New Roman"/>
          <w:snapToGrid w:val="0"/>
          <w:color w:val="auto"/>
          <w:spacing w:val="-6"/>
          <w:kern w:val="21"/>
          <w:szCs w:val="21"/>
          <w:lang w:eastAsia="zh-CN"/>
        </w:rPr>
      </w:pPr>
    </w:p>
    <w:p w14:paraId="6ABD54F2">
      <w:pPr>
        <w:pStyle w:val="51"/>
        <w:spacing w:before="192" w:beforeLines="80" w:after="24"/>
        <w:ind w:left="0" w:leftChars="0" w:firstLine="0" w:firstLineChars="0"/>
        <w:jc w:val="left"/>
        <w:rPr>
          <w:rFonts w:hint="eastAsia" w:ascii="Times New Roman" w:cs="Times New Roman"/>
          <w:snapToGrid w:val="0"/>
          <w:color w:val="auto"/>
          <w:spacing w:val="-6"/>
          <w:kern w:val="21"/>
          <w:szCs w:val="21"/>
          <w:lang w:eastAsia="zh-CN"/>
        </w:rPr>
      </w:pPr>
    </w:p>
    <w:p w14:paraId="40EB7FB9">
      <w:pPr>
        <w:pStyle w:val="51"/>
        <w:spacing w:before="192" w:beforeLines="80" w:after="24"/>
        <w:ind w:left="0" w:leftChars="0" w:firstLine="0" w:firstLineChars="0"/>
        <w:jc w:val="left"/>
        <w:rPr>
          <w:rFonts w:hint="eastAsia" w:ascii="Times New Roman" w:cs="Times New Roman"/>
          <w:snapToGrid w:val="0"/>
          <w:color w:val="auto"/>
          <w:spacing w:val="-6"/>
          <w:kern w:val="21"/>
          <w:szCs w:val="21"/>
          <w:lang w:eastAsia="zh-CN"/>
        </w:rPr>
      </w:pPr>
    </w:p>
    <w:p w14:paraId="1DE31A41">
      <w:pPr>
        <w:pStyle w:val="51"/>
        <w:spacing w:before="192" w:beforeLines="80" w:after="24"/>
        <w:ind w:left="0" w:leftChars="0" w:firstLine="0" w:firstLineChars="0"/>
        <w:jc w:val="left"/>
        <w:rPr>
          <w:rFonts w:hint="eastAsia" w:ascii="Times New Roman" w:cs="Times New Roman"/>
          <w:snapToGrid w:val="0"/>
          <w:color w:val="auto"/>
          <w:spacing w:val="-6"/>
          <w:kern w:val="21"/>
          <w:szCs w:val="21"/>
          <w:lang w:eastAsia="zh-CN"/>
        </w:rPr>
      </w:pPr>
    </w:p>
    <w:p w14:paraId="3289EDE1">
      <w:pPr>
        <w:pStyle w:val="51"/>
        <w:spacing w:before="192" w:beforeLines="80" w:after="24"/>
        <w:ind w:left="0" w:leftChars="0" w:firstLine="0" w:firstLineChars="0"/>
        <w:jc w:val="left"/>
        <w:rPr>
          <w:rFonts w:hint="eastAsia" w:ascii="Times New Roman" w:cs="Times New Roman"/>
          <w:snapToGrid w:val="0"/>
          <w:color w:val="auto"/>
          <w:spacing w:val="-6"/>
          <w:kern w:val="21"/>
          <w:szCs w:val="21"/>
          <w:lang w:eastAsia="zh-CN"/>
        </w:rPr>
      </w:pPr>
    </w:p>
    <w:p w14:paraId="3DA71D2E">
      <w:pPr>
        <w:pStyle w:val="23"/>
        <w:widowControl/>
        <w:shd w:val="clear" w:color="auto" w:fill="FFFFFF"/>
        <w:spacing w:before="0" w:beforeAutospacing="0" w:after="0" w:afterAutospacing="0"/>
        <w:jc w:val="left"/>
        <w:rPr>
          <w:rStyle w:val="30"/>
          <w:rFonts w:hint="eastAsia" w:ascii="宋体" w:hAnsi="宋体" w:eastAsia="宋体" w:cs="宋体"/>
          <w:b/>
          <w:bCs w:val="0"/>
          <w:color w:val="000000"/>
          <w:spacing w:val="8"/>
          <w:sz w:val="36"/>
          <w:szCs w:val="36"/>
          <w:shd w:val="clear" w:color="auto" w:fill="FFFFFF"/>
          <w:lang w:eastAsia="zh-CN"/>
        </w:rPr>
      </w:pPr>
      <w:r>
        <w:rPr>
          <w:rStyle w:val="30"/>
          <w:rFonts w:hint="eastAsia" w:ascii="宋体" w:hAnsi="宋体" w:eastAsia="宋体" w:cs="宋体"/>
          <w:b/>
          <w:bCs w:val="0"/>
          <w:color w:val="000000"/>
          <w:spacing w:val="8"/>
          <w:sz w:val="36"/>
          <w:szCs w:val="36"/>
          <w:shd w:val="clear" w:color="auto" w:fill="FFFFFF"/>
          <w:lang w:eastAsia="zh-CN"/>
        </w:rPr>
        <w:t>与排污许可联动：</w:t>
      </w:r>
    </w:p>
    <w:p w14:paraId="7F64B06C">
      <w:pPr>
        <w:pStyle w:val="23"/>
        <w:widowControl/>
        <w:shd w:val="clear" w:color="auto" w:fill="FFFFFF"/>
        <w:spacing w:before="0" w:beforeAutospacing="0" w:after="0" w:afterAutospacing="0"/>
        <w:jc w:val="center"/>
        <w:rPr>
          <w:rStyle w:val="30"/>
          <w:rFonts w:hint="eastAsia" w:ascii="宋体" w:hAnsi="宋体" w:eastAsia="宋体" w:cs="宋体"/>
          <w:b/>
          <w:bCs w:val="0"/>
          <w:sz w:val="25"/>
          <w:szCs w:val="25"/>
        </w:rPr>
      </w:pPr>
      <w:r>
        <w:rPr>
          <w:rStyle w:val="30"/>
          <w:rFonts w:hint="eastAsia" w:ascii="宋体" w:hAnsi="宋体" w:eastAsia="宋体" w:cs="宋体"/>
          <w:b/>
          <w:bCs w:val="0"/>
          <w:color w:val="000000"/>
          <w:spacing w:val="8"/>
          <w:sz w:val="36"/>
          <w:szCs w:val="36"/>
          <w:shd w:val="clear" w:color="auto" w:fill="FFFFFF"/>
        </w:rPr>
        <w:t>建设项目排污许可申请与填报信息表</w:t>
      </w:r>
    </w:p>
    <w:p w14:paraId="6DBFF559">
      <w:pPr>
        <w:pStyle w:val="23"/>
        <w:widowControl/>
        <w:shd w:val="clear" w:color="auto" w:fill="FFFFFF"/>
        <w:spacing w:before="0" w:beforeAutospacing="0" w:after="0" w:afterAutospacing="0"/>
        <w:jc w:val="center"/>
        <w:rPr>
          <w:rFonts w:hint="default" w:ascii="Times New Roman" w:hAnsi="Times New Roman" w:eastAsia="仿宋_GB2312" w:cs="Times New Roman"/>
          <w:b/>
          <w:color w:val="000000"/>
          <w:kern w:val="2"/>
          <w:sz w:val="30"/>
          <w:szCs w:val="30"/>
        </w:rPr>
      </w:pPr>
      <w:r>
        <w:rPr>
          <w:rFonts w:hint="default" w:ascii="Times New Roman" w:hAnsi="Times New Roman" w:eastAsia="宋体" w:cs="Times New Roman"/>
          <w:b/>
          <w:color w:val="000000"/>
          <w:kern w:val="2"/>
          <w:sz w:val="30"/>
          <w:szCs w:val="30"/>
        </w:rPr>
        <w:t>表1  建设项目排污许可申请基本信息表</w:t>
      </w:r>
    </w:p>
    <w:tbl>
      <w:tblPr>
        <w:tblStyle w:val="27"/>
        <w:tblW w:w="4996" w:type="pct"/>
        <w:jc w:val="center"/>
        <w:tblBorders>
          <w:top w:val="single" w:color="auto" w:sz="8" w:space="0"/>
          <w:left w:val="single" w:color="auto" w:sz="8" w:space="0"/>
          <w:bottom w:val="single" w:color="auto" w:sz="4" w:space="0"/>
          <w:right w:val="single" w:color="auto" w:sz="8" w:space="0"/>
          <w:insideH w:val="single" w:color="auto" w:sz="8" w:space="0"/>
          <w:insideV w:val="single" w:color="auto" w:sz="4" w:space="0"/>
        </w:tblBorders>
        <w:tblLayout w:type="autofit"/>
        <w:tblCellMar>
          <w:top w:w="0" w:type="dxa"/>
          <w:left w:w="108" w:type="dxa"/>
          <w:bottom w:w="0" w:type="dxa"/>
          <w:right w:w="108" w:type="dxa"/>
        </w:tblCellMar>
      </w:tblPr>
      <w:tblGrid>
        <w:gridCol w:w="637"/>
        <w:gridCol w:w="1465"/>
        <w:gridCol w:w="913"/>
        <w:gridCol w:w="1493"/>
        <w:gridCol w:w="1058"/>
        <w:gridCol w:w="705"/>
        <w:gridCol w:w="1064"/>
        <w:gridCol w:w="1758"/>
        <w:gridCol w:w="1584"/>
        <w:gridCol w:w="2463"/>
        <w:gridCol w:w="1069"/>
      </w:tblGrid>
      <w:tr w14:paraId="47C20FA5">
        <w:tblPrEx>
          <w:tblBorders>
            <w:top w:val="single" w:color="auto" w:sz="8" w:space="0"/>
            <w:left w:val="single" w:color="auto" w:sz="8" w:space="0"/>
            <w:bottom w:val="single" w:color="auto" w:sz="4" w:space="0"/>
            <w:right w:val="single" w:color="auto" w:sz="8" w:space="0"/>
            <w:insideH w:val="single" w:color="auto" w:sz="8" w:space="0"/>
            <w:insideV w:val="single" w:color="auto" w:sz="4" w:space="0"/>
          </w:tblBorders>
          <w:tblCellMar>
            <w:top w:w="0" w:type="dxa"/>
            <w:left w:w="108" w:type="dxa"/>
            <w:bottom w:w="0" w:type="dxa"/>
            <w:right w:w="108" w:type="dxa"/>
          </w:tblCellMar>
        </w:tblPrEx>
        <w:trPr>
          <w:trHeight w:val="0" w:hRule="atLeast"/>
          <w:jc w:val="center"/>
        </w:trPr>
        <w:tc>
          <w:tcPr>
            <w:tcW w:w="224" w:type="pct"/>
            <w:tcBorders>
              <w:tl2br w:val="nil"/>
              <w:tr2bl w:val="nil"/>
            </w:tcBorders>
            <w:noWrap w:val="0"/>
            <w:vAlign w:val="center"/>
          </w:tcPr>
          <w:p w14:paraId="4CC88DCC">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序号</w:t>
            </w:r>
          </w:p>
        </w:tc>
        <w:tc>
          <w:tcPr>
            <w:tcW w:w="515" w:type="pct"/>
            <w:tcBorders>
              <w:tl2br w:val="nil"/>
              <w:tr2bl w:val="nil"/>
            </w:tcBorders>
            <w:noWrap w:val="0"/>
            <w:vAlign w:val="center"/>
          </w:tcPr>
          <w:p w14:paraId="7EE9424A">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生产线名称</w:t>
            </w:r>
          </w:p>
        </w:tc>
        <w:tc>
          <w:tcPr>
            <w:tcW w:w="321" w:type="pct"/>
            <w:tcBorders>
              <w:tl2br w:val="nil"/>
              <w:tr2bl w:val="nil"/>
            </w:tcBorders>
            <w:noWrap w:val="0"/>
            <w:vAlign w:val="center"/>
          </w:tcPr>
          <w:p w14:paraId="7B0B19B9">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生产线</w:t>
            </w:r>
          </w:p>
          <w:p w14:paraId="6CB060C9">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编号</w:t>
            </w:r>
          </w:p>
        </w:tc>
        <w:tc>
          <w:tcPr>
            <w:tcW w:w="525" w:type="pct"/>
            <w:tcBorders>
              <w:tl2br w:val="nil"/>
              <w:tr2bl w:val="nil"/>
            </w:tcBorders>
            <w:noWrap w:val="0"/>
            <w:vAlign w:val="center"/>
          </w:tcPr>
          <w:p w14:paraId="1FF373EB">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产品名称</w:t>
            </w:r>
          </w:p>
        </w:tc>
        <w:tc>
          <w:tcPr>
            <w:tcW w:w="372" w:type="pct"/>
            <w:tcBorders>
              <w:tl2br w:val="nil"/>
              <w:tr2bl w:val="nil"/>
            </w:tcBorders>
            <w:noWrap w:val="0"/>
            <w:vAlign w:val="center"/>
          </w:tcPr>
          <w:p w14:paraId="2E82A3CA">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计量</w:t>
            </w:r>
          </w:p>
          <w:p w14:paraId="7AEE389E">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单位</w:t>
            </w:r>
          </w:p>
        </w:tc>
        <w:tc>
          <w:tcPr>
            <w:tcW w:w="248" w:type="pct"/>
            <w:tcBorders>
              <w:tl2br w:val="nil"/>
              <w:tr2bl w:val="nil"/>
            </w:tcBorders>
            <w:noWrap w:val="0"/>
            <w:vAlign w:val="center"/>
          </w:tcPr>
          <w:p w14:paraId="123DE675">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生产</w:t>
            </w:r>
          </w:p>
          <w:p w14:paraId="44E7F6FB">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能力</w:t>
            </w:r>
          </w:p>
        </w:tc>
        <w:tc>
          <w:tcPr>
            <w:tcW w:w="374" w:type="pct"/>
            <w:tcBorders>
              <w:tl2br w:val="nil"/>
              <w:tr2bl w:val="nil"/>
            </w:tcBorders>
            <w:noWrap w:val="0"/>
            <w:vAlign w:val="center"/>
          </w:tcPr>
          <w:p w14:paraId="06AC6E34">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年生产</w:t>
            </w:r>
          </w:p>
          <w:p w14:paraId="1BA3595B">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时间（h）</w:t>
            </w:r>
          </w:p>
        </w:tc>
        <w:tc>
          <w:tcPr>
            <w:tcW w:w="618" w:type="pct"/>
            <w:tcBorders>
              <w:tl2br w:val="nil"/>
              <w:tr2bl w:val="nil"/>
            </w:tcBorders>
            <w:noWrap w:val="0"/>
            <w:vAlign w:val="center"/>
          </w:tcPr>
          <w:p w14:paraId="04A12B5D">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国民经济</w:t>
            </w:r>
          </w:p>
          <w:p w14:paraId="7295E674">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行业类别</w:t>
            </w:r>
          </w:p>
        </w:tc>
        <w:tc>
          <w:tcPr>
            <w:tcW w:w="557" w:type="pct"/>
            <w:tcBorders>
              <w:tl2br w:val="nil"/>
              <w:tr2bl w:val="nil"/>
            </w:tcBorders>
            <w:noWrap w:val="0"/>
            <w:vAlign w:val="center"/>
          </w:tcPr>
          <w:p w14:paraId="50E1C508">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排污许可</w:t>
            </w:r>
          </w:p>
          <w:p w14:paraId="1A751987">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管理类别</w:t>
            </w:r>
          </w:p>
        </w:tc>
        <w:tc>
          <w:tcPr>
            <w:tcW w:w="866" w:type="pct"/>
            <w:tcBorders>
              <w:tl2br w:val="nil"/>
              <w:tr2bl w:val="nil"/>
            </w:tcBorders>
            <w:noWrap w:val="0"/>
            <w:vAlign w:val="center"/>
          </w:tcPr>
          <w:p w14:paraId="13027246">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排污许可申请与核发</w:t>
            </w:r>
          </w:p>
          <w:p w14:paraId="351FEC1C">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技术规范</w:t>
            </w:r>
          </w:p>
        </w:tc>
        <w:tc>
          <w:tcPr>
            <w:tcW w:w="376" w:type="pct"/>
            <w:tcBorders>
              <w:tl2br w:val="nil"/>
              <w:tr2bl w:val="nil"/>
            </w:tcBorders>
            <w:noWrap w:val="0"/>
            <w:vAlign w:val="center"/>
          </w:tcPr>
          <w:p w14:paraId="78F437D2">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备注</w:t>
            </w:r>
          </w:p>
        </w:tc>
      </w:tr>
      <w:tr w14:paraId="405AFE02">
        <w:tblPrEx>
          <w:tblBorders>
            <w:top w:val="single" w:color="auto" w:sz="8" w:space="0"/>
            <w:left w:val="single" w:color="auto" w:sz="8" w:space="0"/>
            <w:bottom w:val="single" w:color="auto" w:sz="4" w:space="0"/>
            <w:right w:val="single" w:color="auto" w:sz="8" w:space="0"/>
            <w:insideH w:val="single" w:color="auto" w:sz="8" w:space="0"/>
            <w:insideV w:val="single" w:color="auto" w:sz="4" w:space="0"/>
          </w:tblBorders>
          <w:tblCellMar>
            <w:top w:w="0" w:type="dxa"/>
            <w:left w:w="108" w:type="dxa"/>
            <w:bottom w:w="0" w:type="dxa"/>
            <w:right w:w="108" w:type="dxa"/>
          </w:tblCellMar>
        </w:tblPrEx>
        <w:trPr>
          <w:trHeight w:val="0" w:hRule="atLeast"/>
          <w:jc w:val="center"/>
        </w:trPr>
        <w:tc>
          <w:tcPr>
            <w:tcW w:w="224" w:type="pct"/>
            <w:tcBorders>
              <w:tl2br w:val="nil"/>
              <w:tr2bl w:val="nil"/>
            </w:tcBorders>
            <w:noWrap w:val="0"/>
            <w:vAlign w:val="center"/>
          </w:tcPr>
          <w:p w14:paraId="5E0E04B2">
            <w:pPr>
              <w:ind w:left="-107" w:leftChars="-51" w:right="-107" w:rightChars="-51"/>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w:t>
            </w:r>
          </w:p>
        </w:tc>
        <w:tc>
          <w:tcPr>
            <w:tcW w:w="515" w:type="pct"/>
            <w:tcBorders>
              <w:tl2br w:val="nil"/>
              <w:tr2bl w:val="nil"/>
            </w:tcBorders>
            <w:noWrap w:val="0"/>
            <w:vAlign w:val="center"/>
          </w:tcPr>
          <w:p w14:paraId="30865057">
            <w:pPr>
              <w:ind w:left="-107" w:leftChars="-51" w:right="-107" w:rightChars="-51"/>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综合医院</w:t>
            </w:r>
          </w:p>
        </w:tc>
        <w:tc>
          <w:tcPr>
            <w:tcW w:w="321" w:type="pct"/>
            <w:tcBorders>
              <w:tl2br w:val="nil"/>
              <w:tr2bl w:val="nil"/>
            </w:tcBorders>
            <w:noWrap w:val="0"/>
            <w:vAlign w:val="center"/>
          </w:tcPr>
          <w:p w14:paraId="261129C6">
            <w:pPr>
              <w:ind w:left="-107" w:leftChars="-51" w:right="-107" w:rightChars="-51"/>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SCX0</w:t>
            </w:r>
            <w:r>
              <w:rPr>
                <w:rFonts w:hint="eastAsia" w:ascii="Times New Roman" w:hAnsi="Times New Roman" w:cs="Times New Roman"/>
                <w:color w:val="000000"/>
                <w:sz w:val="21"/>
                <w:szCs w:val="21"/>
                <w:lang w:val="en-US" w:eastAsia="zh-CN"/>
              </w:rPr>
              <w:t>1</w:t>
            </w:r>
          </w:p>
        </w:tc>
        <w:tc>
          <w:tcPr>
            <w:tcW w:w="525" w:type="pct"/>
            <w:tcBorders>
              <w:tl2br w:val="nil"/>
              <w:tr2bl w:val="nil"/>
            </w:tcBorders>
            <w:noWrap w:val="0"/>
            <w:vAlign w:val="center"/>
          </w:tcPr>
          <w:p w14:paraId="4C5E99A7">
            <w:pPr>
              <w:ind w:left="-107" w:leftChars="-51" w:right="-107" w:rightChars="-51"/>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住院综合楼</w:t>
            </w:r>
          </w:p>
        </w:tc>
        <w:tc>
          <w:tcPr>
            <w:tcW w:w="372" w:type="pct"/>
            <w:tcBorders>
              <w:tl2br w:val="nil"/>
              <w:tr2bl w:val="nil"/>
            </w:tcBorders>
            <w:noWrap w:val="0"/>
            <w:vAlign w:val="center"/>
          </w:tcPr>
          <w:p w14:paraId="495E963A">
            <w:pPr>
              <w:ind w:left="-107" w:leftChars="-51" w:right="-107" w:rightChars="-51"/>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床位</w:t>
            </w:r>
          </w:p>
        </w:tc>
        <w:tc>
          <w:tcPr>
            <w:tcW w:w="248" w:type="pct"/>
            <w:tcBorders>
              <w:tl2br w:val="nil"/>
              <w:tr2bl w:val="nil"/>
            </w:tcBorders>
            <w:noWrap w:val="0"/>
            <w:vAlign w:val="center"/>
          </w:tcPr>
          <w:p w14:paraId="5AC57F91">
            <w:pPr>
              <w:ind w:left="-107" w:leftChars="-51" w:right="-107" w:rightChars="-51"/>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260张</w:t>
            </w:r>
          </w:p>
        </w:tc>
        <w:tc>
          <w:tcPr>
            <w:tcW w:w="374" w:type="pct"/>
            <w:tcBorders>
              <w:tl2br w:val="nil"/>
              <w:tr2bl w:val="nil"/>
            </w:tcBorders>
            <w:noWrap w:val="0"/>
            <w:vAlign w:val="center"/>
          </w:tcPr>
          <w:p w14:paraId="2E955F5D">
            <w:pPr>
              <w:ind w:left="-107" w:leftChars="-51" w:right="-107" w:rightChars="-51"/>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8760</w:t>
            </w:r>
          </w:p>
        </w:tc>
        <w:tc>
          <w:tcPr>
            <w:tcW w:w="618" w:type="pct"/>
            <w:tcBorders>
              <w:tl2br w:val="nil"/>
              <w:tr2bl w:val="nil"/>
            </w:tcBorders>
            <w:noWrap w:val="0"/>
            <w:vAlign w:val="center"/>
          </w:tcPr>
          <w:p w14:paraId="7D632114">
            <w:pPr>
              <w:ind w:left="-107" w:leftChars="-51" w:right="-107" w:rightChars="-51"/>
              <w:jc w:val="center"/>
              <w:rPr>
                <w:rFonts w:hint="default" w:ascii="Times New Roman" w:hAnsi="Times New Roman" w:eastAsia="宋体" w:cs="Times New Roman"/>
                <w:color w:val="000000"/>
                <w:sz w:val="21"/>
                <w:szCs w:val="21"/>
                <w:lang w:val="en-US" w:eastAsia="zh-CN"/>
              </w:rPr>
            </w:pPr>
            <w:r>
              <w:rPr>
                <w:rFonts w:hint="eastAsia" w:cs="Times New Roman"/>
                <w:color w:val="auto"/>
                <w:kern w:val="2"/>
                <w:sz w:val="21"/>
                <w:szCs w:val="21"/>
                <w:lang w:val="en-US" w:eastAsia="zh-CN" w:bidi="ar-SA"/>
              </w:rPr>
              <w:t>Q8411综合医院</w:t>
            </w:r>
          </w:p>
        </w:tc>
        <w:tc>
          <w:tcPr>
            <w:tcW w:w="557" w:type="pct"/>
            <w:tcBorders>
              <w:tl2br w:val="nil"/>
              <w:tr2bl w:val="nil"/>
            </w:tcBorders>
            <w:noWrap w:val="0"/>
            <w:vAlign w:val="center"/>
          </w:tcPr>
          <w:p w14:paraId="38AE998D">
            <w:pPr>
              <w:ind w:left="-107" w:leftChars="-51" w:right="-107" w:rightChars="-51"/>
              <w:jc w:val="center"/>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简化</w:t>
            </w:r>
            <w:r>
              <w:rPr>
                <w:rFonts w:hint="default" w:ascii="Times New Roman" w:hAnsi="Times New Roman" w:eastAsia="宋体" w:cs="Times New Roman"/>
                <w:color w:val="000000"/>
                <w:sz w:val="21"/>
                <w:szCs w:val="21"/>
                <w:lang w:val="en-US" w:eastAsia="zh-CN"/>
              </w:rPr>
              <w:t>管理</w:t>
            </w:r>
          </w:p>
        </w:tc>
        <w:tc>
          <w:tcPr>
            <w:tcW w:w="866" w:type="pct"/>
            <w:tcBorders>
              <w:tl2br w:val="nil"/>
              <w:tr2bl w:val="nil"/>
            </w:tcBorders>
            <w:noWrap w:val="0"/>
            <w:vAlign w:val="center"/>
          </w:tcPr>
          <w:p w14:paraId="53D4C2BC">
            <w:pPr>
              <w:ind w:left="-107" w:leftChars="-51" w:right="-107" w:rightChars="-51"/>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w:t>
            </w:r>
          </w:p>
        </w:tc>
        <w:tc>
          <w:tcPr>
            <w:tcW w:w="376" w:type="pct"/>
            <w:tcBorders>
              <w:tl2br w:val="nil"/>
              <w:tr2bl w:val="nil"/>
            </w:tcBorders>
            <w:noWrap w:val="0"/>
            <w:vAlign w:val="center"/>
          </w:tcPr>
          <w:p w14:paraId="0D17C887">
            <w:pPr>
              <w:ind w:left="-107" w:leftChars="-51" w:right="-107" w:rightChars="-51"/>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w:t>
            </w:r>
          </w:p>
        </w:tc>
      </w:tr>
    </w:tbl>
    <w:p w14:paraId="2DF72A82">
      <w:pPr>
        <w:jc w:val="center"/>
        <w:rPr>
          <w:rFonts w:hint="default" w:ascii="Times New Roman" w:hAnsi="Times New Roman" w:eastAsia="宋体" w:cs="Times New Roman"/>
          <w:b/>
          <w:color w:val="000000"/>
          <w:kern w:val="2"/>
          <w:sz w:val="30"/>
          <w:szCs w:val="30"/>
          <w:lang w:val="en-US" w:eastAsia="zh-CN" w:bidi="ar-SA"/>
        </w:rPr>
      </w:pPr>
      <w:r>
        <w:rPr>
          <w:rFonts w:hint="default" w:ascii="Times New Roman" w:hAnsi="Times New Roman" w:eastAsia="宋体" w:cs="Times New Roman"/>
          <w:b/>
          <w:color w:val="000000"/>
          <w:kern w:val="2"/>
          <w:sz w:val="30"/>
          <w:szCs w:val="30"/>
          <w:lang w:val="en-US" w:eastAsia="zh-CN" w:bidi="ar-SA"/>
        </w:rPr>
        <w:t>表2  建设项目主要原辅材料及燃料信息表</w:t>
      </w:r>
    </w:p>
    <w:tbl>
      <w:tblPr>
        <w:tblStyle w:val="27"/>
        <w:tblW w:w="5003" w:type="pct"/>
        <w:jc w:val="center"/>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02"/>
        <w:gridCol w:w="1014"/>
        <w:gridCol w:w="2207"/>
        <w:gridCol w:w="780"/>
        <w:gridCol w:w="1110"/>
        <w:gridCol w:w="45"/>
        <w:gridCol w:w="1125"/>
        <w:gridCol w:w="825"/>
        <w:gridCol w:w="210"/>
        <w:gridCol w:w="1200"/>
        <w:gridCol w:w="195"/>
        <w:gridCol w:w="1380"/>
        <w:gridCol w:w="150"/>
        <w:gridCol w:w="1125"/>
        <w:gridCol w:w="1170"/>
        <w:gridCol w:w="66"/>
        <w:gridCol w:w="1016"/>
        <w:gridCol w:w="11"/>
      </w:tblGrid>
      <w:tr w14:paraId="4570EF36">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513E4EE6">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序号</w:t>
            </w:r>
          </w:p>
        </w:tc>
        <w:tc>
          <w:tcPr>
            <w:tcW w:w="356" w:type="pct"/>
            <w:tcBorders>
              <w:tl2br w:val="nil"/>
              <w:tr2bl w:val="nil"/>
            </w:tcBorders>
            <w:noWrap w:val="0"/>
            <w:vAlign w:val="center"/>
          </w:tcPr>
          <w:p w14:paraId="020877F0">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种类</w:t>
            </w:r>
          </w:p>
        </w:tc>
        <w:tc>
          <w:tcPr>
            <w:tcW w:w="775" w:type="pct"/>
            <w:tcBorders>
              <w:tl2br w:val="nil"/>
              <w:tr2bl w:val="nil"/>
            </w:tcBorders>
            <w:noWrap w:val="0"/>
            <w:vAlign w:val="center"/>
          </w:tcPr>
          <w:p w14:paraId="1DAB5DCC">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名称</w:t>
            </w:r>
          </w:p>
        </w:tc>
        <w:tc>
          <w:tcPr>
            <w:tcW w:w="664" w:type="pct"/>
            <w:gridSpan w:val="2"/>
            <w:tcBorders>
              <w:tl2br w:val="nil"/>
              <w:tr2bl w:val="nil"/>
            </w:tcBorders>
            <w:noWrap w:val="0"/>
            <w:vAlign w:val="center"/>
          </w:tcPr>
          <w:p w14:paraId="4C9E30C5">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设计年使用量</w:t>
            </w:r>
          </w:p>
        </w:tc>
        <w:tc>
          <w:tcPr>
            <w:tcW w:w="700" w:type="pct"/>
            <w:gridSpan w:val="3"/>
            <w:tcBorders>
              <w:tl2br w:val="nil"/>
              <w:tr2bl w:val="nil"/>
            </w:tcBorders>
            <w:noWrap w:val="0"/>
            <w:vAlign w:val="center"/>
          </w:tcPr>
          <w:p w14:paraId="38F90912">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年最大使用量</w:t>
            </w:r>
          </w:p>
        </w:tc>
        <w:tc>
          <w:tcPr>
            <w:tcW w:w="495" w:type="pct"/>
            <w:gridSpan w:val="2"/>
            <w:tcBorders>
              <w:tl2br w:val="nil"/>
              <w:tr2bl w:val="nil"/>
            </w:tcBorders>
            <w:noWrap w:val="0"/>
            <w:vAlign w:val="center"/>
          </w:tcPr>
          <w:p w14:paraId="0463FCE9">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计量单位</w:t>
            </w:r>
          </w:p>
        </w:tc>
        <w:tc>
          <w:tcPr>
            <w:tcW w:w="553" w:type="pct"/>
            <w:gridSpan w:val="2"/>
            <w:tcBorders>
              <w:tl2br w:val="nil"/>
              <w:tr2bl w:val="nil"/>
            </w:tcBorders>
            <w:noWrap w:val="0"/>
            <w:vAlign w:val="center"/>
          </w:tcPr>
          <w:p w14:paraId="36E9CEDB">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有毒有害成分</w:t>
            </w:r>
          </w:p>
        </w:tc>
        <w:tc>
          <w:tcPr>
            <w:tcW w:w="859" w:type="pct"/>
            <w:gridSpan w:val="3"/>
            <w:tcBorders>
              <w:tl2br w:val="nil"/>
              <w:tr2bl w:val="nil"/>
            </w:tcBorders>
            <w:noWrap w:val="0"/>
            <w:vAlign w:val="center"/>
          </w:tcPr>
          <w:p w14:paraId="78120246">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有毒有害成分占比（%）</w:t>
            </w:r>
          </w:p>
        </w:tc>
        <w:tc>
          <w:tcPr>
            <w:tcW w:w="380" w:type="pct"/>
            <w:gridSpan w:val="2"/>
            <w:tcBorders>
              <w:tl2br w:val="nil"/>
              <w:tr2bl w:val="nil"/>
            </w:tcBorders>
            <w:noWrap w:val="0"/>
            <w:vAlign w:val="center"/>
          </w:tcPr>
          <w:p w14:paraId="1C0BFF5B">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其他信息</w:t>
            </w:r>
          </w:p>
        </w:tc>
      </w:tr>
      <w:tr w14:paraId="3332F02C">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4996" w:type="pct"/>
            <w:gridSpan w:val="17"/>
            <w:tcBorders>
              <w:tl2br w:val="nil"/>
              <w:tr2bl w:val="nil"/>
            </w:tcBorders>
            <w:noWrap w:val="0"/>
            <w:vAlign w:val="center"/>
          </w:tcPr>
          <w:p w14:paraId="3230B1CB">
            <w:pPr>
              <w:adjustRightInd w:val="0"/>
              <w:snapToGrid w:val="0"/>
              <w:ind w:left="-107" w:leftChars="-51" w:right="-107" w:rightChars="-51"/>
              <w:jc w:val="center"/>
              <w:rPr>
                <w:rFonts w:ascii="宋体" w:hAnsi="宋体"/>
                <w:color w:val="000000"/>
                <w:szCs w:val="21"/>
              </w:rPr>
            </w:pPr>
            <w:r>
              <w:rPr>
                <w:rFonts w:hint="eastAsia" w:ascii="Times New Roman" w:hAnsi="Times New Roman" w:eastAsia="宋体" w:cs="Times New Roman"/>
                <w:b/>
                <w:color w:val="000000"/>
                <w:sz w:val="21"/>
                <w:szCs w:val="21"/>
              </w:rPr>
              <w:t>原料及辅料</w:t>
            </w:r>
          </w:p>
        </w:tc>
      </w:tr>
      <w:tr w14:paraId="47371CA4">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3CA3AFF9">
            <w:pPr>
              <w:ind w:left="-107" w:leftChars="-51" w:right="-107" w:rightChars="-51"/>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w:t>
            </w:r>
          </w:p>
        </w:tc>
        <w:tc>
          <w:tcPr>
            <w:tcW w:w="356" w:type="pct"/>
            <w:tcBorders>
              <w:tl2br w:val="nil"/>
              <w:tr2bl w:val="nil"/>
            </w:tcBorders>
            <w:noWrap w:val="0"/>
            <w:vAlign w:val="center"/>
          </w:tcPr>
          <w:p w14:paraId="5237FC81">
            <w:pPr>
              <w:ind w:left="-107" w:leftChars="-51" w:right="-107" w:rightChars="-51"/>
              <w:jc w:val="center"/>
              <w:rPr>
                <w:rFonts w:hint="default"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0DEF16C2">
            <w:pPr>
              <w:keepNext w:val="0"/>
              <w:keepLines w:val="0"/>
              <w:pageBreakBefore w:val="0"/>
              <w:widowControl w:val="0"/>
              <w:bidi w:val="0"/>
              <w:spacing w:beforeAutospacing="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一次性输液管</w:t>
            </w:r>
          </w:p>
        </w:tc>
        <w:tc>
          <w:tcPr>
            <w:tcW w:w="1890" w:type="dxa"/>
            <w:gridSpan w:val="2"/>
            <w:tcBorders>
              <w:tl2br w:val="nil"/>
              <w:tr2bl w:val="nil"/>
            </w:tcBorders>
            <w:noWrap w:val="0"/>
            <w:vAlign w:val="center"/>
          </w:tcPr>
          <w:p w14:paraId="60B09450">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auto"/>
                <w:kern w:val="2"/>
                <w:sz w:val="21"/>
                <w:szCs w:val="21"/>
                <w:lang w:val="en-US" w:eastAsia="zh-CN" w:bidi="ar-SA"/>
              </w:rPr>
              <w:t>60000</w:t>
            </w:r>
          </w:p>
        </w:tc>
        <w:tc>
          <w:tcPr>
            <w:tcW w:w="1995" w:type="dxa"/>
            <w:gridSpan w:val="3"/>
            <w:tcBorders>
              <w:tl2br w:val="nil"/>
              <w:tr2bl w:val="nil"/>
            </w:tcBorders>
            <w:noWrap w:val="0"/>
            <w:vAlign w:val="center"/>
          </w:tcPr>
          <w:p w14:paraId="681044E2">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auto"/>
                <w:kern w:val="2"/>
                <w:sz w:val="21"/>
                <w:szCs w:val="21"/>
                <w:lang w:val="en-US" w:eastAsia="zh-CN" w:bidi="ar-SA"/>
              </w:rPr>
              <w:t>60000</w:t>
            </w:r>
          </w:p>
        </w:tc>
        <w:tc>
          <w:tcPr>
            <w:tcW w:w="495" w:type="pct"/>
            <w:gridSpan w:val="2"/>
            <w:tcBorders>
              <w:tl2br w:val="nil"/>
              <w:tr2bl w:val="nil"/>
            </w:tcBorders>
            <w:noWrap w:val="0"/>
            <w:vAlign w:val="center"/>
          </w:tcPr>
          <w:p w14:paraId="47FDF6FD">
            <w:pPr>
              <w:keepNext w:val="0"/>
              <w:keepLines w:val="0"/>
              <w:pageBreakBefore w:val="0"/>
              <w:widowControl w:val="0"/>
              <w:bidi w:val="0"/>
              <w:spacing w:beforeAutospacing="0" w:afterAutospacing="0"/>
              <w:ind w:left="0" w:leftChars="0" w:right="0" w:rightChars="0"/>
              <w:jc w:val="center"/>
              <w:rPr>
                <w:rFonts w:hint="default" w:ascii="Times New Roman" w:hAnsi="Times New Roman" w:eastAsia="宋体" w:cs="Times New Roman"/>
                <w:color w:val="000000"/>
                <w:sz w:val="21"/>
                <w:szCs w:val="21"/>
              </w:rPr>
            </w:pPr>
            <w:r>
              <w:rPr>
                <w:rFonts w:hint="eastAsia"/>
                <w:color w:val="auto"/>
                <w:sz w:val="21"/>
                <w:szCs w:val="21"/>
                <w:lang w:eastAsia="zh-CN"/>
              </w:rPr>
              <w:t>只</w:t>
            </w:r>
            <w:r>
              <w:rPr>
                <w:rFonts w:hint="eastAsia"/>
                <w:color w:val="auto"/>
                <w:sz w:val="21"/>
                <w:szCs w:val="21"/>
                <w:lang w:val="en-US" w:eastAsia="zh-CN"/>
              </w:rPr>
              <w:t>/年</w:t>
            </w:r>
          </w:p>
        </w:tc>
        <w:tc>
          <w:tcPr>
            <w:tcW w:w="553" w:type="pct"/>
            <w:gridSpan w:val="2"/>
            <w:tcBorders>
              <w:tl2br w:val="nil"/>
              <w:tr2bl w:val="nil"/>
            </w:tcBorders>
            <w:noWrap w:val="0"/>
            <w:vAlign w:val="center"/>
          </w:tcPr>
          <w:p w14:paraId="04B27CCA">
            <w:pPr>
              <w:ind w:left="-107" w:leftChars="-51" w:right="-107" w:rightChars="-51"/>
              <w:jc w:val="center"/>
              <w:rPr>
                <w:rFonts w:hint="default"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lang w:val="en-US" w:eastAsia="zh-CN"/>
              </w:rPr>
              <w:t>/</w:t>
            </w:r>
          </w:p>
        </w:tc>
        <w:tc>
          <w:tcPr>
            <w:tcW w:w="859" w:type="pct"/>
            <w:gridSpan w:val="3"/>
            <w:tcBorders>
              <w:tl2br w:val="nil"/>
              <w:tr2bl w:val="nil"/>
            </w:tcBorders>
            <w:noWrap w:val="0"/>
            <w:vAlign w:val="center"/>
          </w:tcPr>
          <w:p w14:paraId="2BA39CB3">
            <w:pPr>
              <w:ind w:left="-107" w:leftChars="-51" w:right="-107" w:rightChars="-51"/>
              <w:jc w:val="center"/>
              <w:rPr>
                <w:rFonts w:hint="default"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lang w:val="en-US" w:eastAsia="zh-CN"/>
              </w:rPr>
              <w:t>/</w:t>
            </w:r>
          </w:p>
        </w:tc>
        <w:tc>
          <w:tcPr>
            <w:tcW w:w="380" w:type="pct"/>
            <w:gridSpan w:val="2"/>
            <w:tcBorders>
              <w:tl2br w:val="nil"/>
              <w:tr2bl w:val="nil"/>
            </w:tcBorders>
            <w:noWrap w:val="0"/>
            <w:vAlign w:val="center"/>
          </w:tcPr>
          <w:p w14:paraId="71CB0485">
            <w:pPr>
              <w:ind w:left="-107" w:leftChars="-51" w:right="-107" w:rightChars="-51"/>
              <w:jc w:val="center"/>
              <w:rPr>
                <w:rFonts w:hint="default"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lang w:val="en-US" w:eastAsia="zh-CN"/>
              </w:rPr>
              <w:t>/</w:t>
            </w:r>
          </w:p>
        </w:tc>
      </w:tr>
      <w:tr w14:paraId="1C2024A4">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7A0B89B6">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2</w:t>
            </w:r>
          </w:p>
        </w:tc>
        <w:tc>
          <w:tcPr>
            <w:tcW w:w="356" w:type="pct"/>
            <w:tcBorders>
              <w:tl2br w:val="nil"/>
              <w:tr2bl w:val="nil"/>
            </w:tcBorders>
            <w:noWrap w:val="0"/>
            <w:vAlign w:val="center"/>
          </w:tcPr>
          <w:p w14:paraId="429570DD">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320A61C8">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一次性注射器</w:t>
            </w:r>
          </w:p>
        </w:tc>
        <w:tc>
          <w:tcPr>
            <w:tcW w:w="1890" w:type="dxa"/>
            <w:gridSpan w:val="2"/>
            <w:tcBorders>
              <w:tl2br w:val="nil"/>
              <w:tr2bl w:val="nil"/>
            </w:tcBorders>
            <w:noWrap w:val="0"/>
            <w:vAlign w:val="center"/>
          </w:tcPr>
          <w:p w14:paraId="0A4D832C">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eastAsia" w:cs="Times New Roman"/>
                <w:color w:val="000000"/>
                <w:sz w:val="21"/>
                <w:szCs w:val="21"/>
                <w:lang w:val="en-US" w:eastAsia="zh-CN"/>
              </w:rPr>
            </w:pPr>
            <w:r>
              <w:rPr>
                <w:rFonts w:hint="eastAsia" w:cs="Times New Roman"/>
                <w:color w:val="auto"/>
                <w:kern w:val="2"/>
                <w:sz w:val="21"/>
                <w:szCs w:val="21"/>
                <w:lang w:val="en-US" w:eastAsia="zh-CN" w:bidi="ar-SA"/>
              </w:rPr>
              <w:t>60000</w:t>
            </w:r>
          </w:p>
        </w:tc>
        <w:tc>
          <w:tcPr>
            <w:tcW w:w="1995" w:type="dxa"/>
            <w:gridSpan w:val="3"/>
            <w:tcBorders>
              <w:tl2br w:val="nil"/>
              <w:tr2bl w:val="nil"/>
            </w:tcBorders>
            <w:noWrap w:val="0"/>
            <w:vAlign w:val="center"/>
          </w:tcPr>
          <w:p w14:paraId="531925F1">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eastAsia" w:cs="Times New Roman"/>
                <w:color w:val="000000"/>
                <w:sz w:val="21"/>
                <w:szCs w:val="21"/>
                <w:lang w:val="en-US" w:eastAsia="zh-CN"/>
              </w:rPr>
            </w:pPr>
            <w:r>
              <w:rPr>
                <w:rFonts w:hint="eastAsia" w:cs="Times New Roman"/>
                <w:color w:val="auto"/>
                <w:kern w:val="2"/>
                <w:sz w:val="21"/>
                <w:szCs w:val="21"/>
                <w:lang w:val="en-US" w:eastAsia="zh-CN" w:bidi="ar-SA"/>
              </w:rPr>
              <w:t>60000</w:t>
            </w:r>
          </w:p>
        </w:tc>
        <w:tc>
          <w:tcPr>
            <w:tcW w:w="495" w:type="pct"/>
            <w:gridSpan w:val="2"/>
            <w:tcBorders>
              <w:tl2br w:val="nil"/>
              <w:tr2bl w:val="nil"/>
            </w:tcBorders>
            <w:noWrap w:val="0"/>
            <w:vAlign w:val="center"/>
          </w:tcPr>
          <w:p w14:paraId="257FAA79">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olor w:val="auto"/>
                <w:sz w:val="21"/>
                <w:szCs w:val="21"/>
                <w:lang w:eastAsia="zh-CN"/>
              </w:rPr>
              <w:t>只</w:t>
            </w:r>
            <w:r>
              <w:rPr>
                <w:rFonts w:hint="eastAsia"/>
                <w:color w:val="auto"/>
                <w:sz w:val="21"/>
                <w:szCs w:val="21"/>
                <w:lang w:val="en-US" w:eastAsia="zh-CN"/>
              </w:rPr>
              <w:t>/年</w:t>
            </w:r>
          </w:p>
        </w:tc>
        <w:tc>
          <w:tcPr>
            <w:tcW w:w="553" w:type="pct"/>
            <w:gridSpan w:val="2"/>
            <w:tcBorders>
              <w:tl2br w:val="nil"/>
              <w:tr2bl w:val="nil"/>
            </w:tcBorders>
            <w:noWrap w:val="0"/>
            <w:vAlign w:val="center"/>
          </w:tcPr>
          <w:p w14:paraId="79A5E64C">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06D5B1B3">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46A57CE7">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597EFCE6">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2ABD3129">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3</w:t>
            </w:r>
          </w:p>
        </w:tc>
        <w:tc>
          <w:tcPr>
            <w:tcW w:w="1014" w:type="dxa"/>
            <w:tcBorders>
              <w:tl2br w:val="nil"/>
              <w:tr2bl w:val="nil"/>
            </w:tcBorders>
            <w:noWrap w:val="0"/>
            <w:vAlign w:val="center"/>
          </w:tcPr>
          <w:p w14:paraId="6F43EBE2">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777C1BFC">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一次性引流袋</w:t>
            </w:r>
          </w:p>
        </w:tc>
        <w:tc>
          <w:tcPr>
            <w:tcW w:w="1890" w:type="dxa"/>
            <w:gridSpan w:val="2"/>
            <w:tcBorders>
              <w:tl2br w:val="nil"/>
              <w:tr2bl w:val="nil"/>
            </w:tcBorders>
            <w:noWrap w:val="0"/>
            <w:vAlign w:val="center"/>
          </w:tcPr>
          <w:p w14:paraId="2F60CFFF">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eastAsia" w:cs="Times New Roman"/>
                <w:color w:val="000000"/>
                <w:sz w:val="21"/>
                <w:szCs w:val="21"/>
                <w:lang w:val="en-US" w:eastAsia="zh-CN"/>
              </w:rPr>
            </w:pPr>
            <w:r>
              <w:rPr>
                <w:rFonts w:hint="eastAsia" w:cs="Times New Roman"/>
                <w:color w:val="auto"/>
                <w:kern w:val="2"/>
                <w:sz w:val="21"/>
                <w:szCs w:val="21"/>
                <w:lang w:val="en-US" w:eastAsia="zh-CN" w:bidi="ar-SA"/>
              </w:rPr>
              <w:t>300</w:t>
            </w:r>
          </w:p>
        </w:tc>
        <w:tc>
          <w:tcPr>
            <w:tcW w:w="1995" w:type="dxa"/>
            <w:gridSpan w:val="3"/>
            <w:tcBorders>
              <w:tl2br w:val="nil"/>
              <w:tr2bl w:val="nil"/>
            </w:tcBorders>
            <w:noWrap w:val="0"/>
            <w:vAlign w:val="center"/>
          </w:tcPr>
          <w:p w14:paraId="6599FE48">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eastAsia" w:cs="Times New Roman"/>
                <w:color w:val="000000"/>
                <w:sz w:val="21"/>
                <w:szCs w:val="21"/>
                <w:lang w:val="en-US" w:eastAsia="zh-CN"/>
              </w:rPr>
            </w:pPr>
            <w:r>
              <w:rPr>
                <w:rFonts w:hint="eastAsia" w:cs="Times New Roman"/>
                <w:color w:val="auto"/>
                <w:kern w:val="2"/>
                <w:sz w:val="21"/>
                <w:szCs w:val="21"/>
                <w:lang w:val="en-US" w:eastAsia="zh-CN" w:bidi="ar-SA"/>
              </w:rPr>
              <w:t>300</w:t>
            </w:r>
          </w:p>
        </w:tc>
        <w:tc>
          <w:tcPr>
            <w:tcW w:w="495" w:type="pct"/>
            <w:gridSpan w:val="2"/>
            <w:tcBorders>
              <w:tl2br w:val="nil"/>
              <w:tr2bl w:val="nil"/>
            </w:tcBorders>
            <w:noWrap w:val="0"/>
            <w:vAlign w:val="center"/>
          </w:tcPr>
          <w:p w14:paraId="1E0C4492">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olor w:val="auto"/>
                <w:sz w:val="21"/>
                <w:szCs w:val="21"/>
                <w:lang w:eastAsia="zh-CN"/>
              </w:rPr>
              <w:t>只</w:t>
            </w:r>
            <w:r>
              <w:rPr>
                <w:rFonts w:hint="eastAsia"/>
                <w:color w:val="auto"/>
                <w:sz w:val="21"/>
                <w:szCs w:val="21"/>
                <w:lang w:val="en-US" w:eastAsia="zh-CN"/>
              </w:rPr>
              <w:t>/年</w:t>
            </w:r>
          </w:p>
        </w:tc>
        <w:tc>
          <w:tcPr>
            <w:tcW w:w="553" w:type="pct"/>
            <w:gridSpan w:val="2"/>
            <w:tcBorders>
              <w:tl2br w:val="nil"/>
              <w:tr2bl w:val="nil"/>
            </w:tcBorders>
            <w:noWrap w:val="0"/>
            <w:vAlign w:val="center"/>
          </w:tcPr>
          <w:p w14:paraId="559096F6">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4FF44D10">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3EF65938">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31CA450F">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491C26B0">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4</w:t>
            </w:r>
          </w:p>
        </w:tc>
        <w:tc>
          <w:tcPr>
            <w:tcW w:w="1014" w:type="dxa"/>
            <w:tcBorders>
              <w:tl2br w:val="nil"/>
              <w:tr2bl w:val="nil"/>
            </w:tcBorders>
            <w:noWrap w:val="0"/>
            <w:vAlign w:val="center"/>
          </w:tcPr>
          <w:p w14:paraId="001336CF">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11565E00">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一次性头皮针头</w:t>
            </w:r>
          </w:p>
        </w:tc>
        <w:tc>
          <w:tcPr>
            <w:tcW w:w="1890" w:type="dxa"/>
            <w:gridSpan w:val="2"/>
            <w:tcBorders>
              <w:tl2br w:val="nil"/>
              <w:tr2bl w:val="nil"/>
            </w:tcBorders>
            <w:noWrap w:val="0"/>
            <w:vAlign w:val="center"/>
          </w:tcPr>
          <w:p w14:paraId="65AA63BD">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eastAsia" w:cs="Times New Roman"/>
                <w:color w:val="000000"/>
                <w:sz w:val="21"/>
                <w:szCs w:val="21"/>
                <w:lang w:val="en-US" w:eastAsia="zh-CN"/>
              </w:rPr>
            </w:pPr>
            <w:r>
              <w:rPr>
                <w:rFonts w:hint="eastAsia" w:cs="Times New Roman"/>
                <w:color w:val="auto"/>
                <w:kern w:val="2"/>
                <w:sz w:val="21"/>
                <w:szCs w:val="21"/>
                <w:lang w:val="en-US" w:eastAsia="zh-CN" w:bidi="ar-SA"/>
              </w:rPr>
              <w:t>10000</w:t>
            </w:r>
          </w:p>
        </w:tc>
        <w:tc>
          <w:tcPr>
            <w:tcW w:w="1995" w:type="dxa"/>
            <w:gridSpan w:val="3"/>
            <w:tcBorders>
              <w:tl2br w:val="nil"/>
              <w:tr2bl w:val="nil"/>
            </w:tcBorders>
            <w:noWrap w:val="0"/>
            <w:vAlign w:val="center"/>
          </w:tcPr>
          <w:p w14:paraId="1A5F325A">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eastAsia" w:cs="Times New Roman"/>
                <w:color w:val="000000"/>
                <w:sz w:val="21"/>
                <w:szCs w:val="21"/>
                <w:lang w:val="en-US" w:eastAsia="zh-CN"/>
              </w:rPr>
            </w:pPr>
            <w:r>
              <w:rPr>
                <w:rFonts w:hint="eastAsia" w:cs="Times New Roman"/>
                <w:color w:val="auto"/>
                <w:kern w:val="2"/>
                <w:sz w:val="21"/>
                <w:szCs w:val="21"/>
                <w:lang w:val="en-US" w:eastAsia="zh-CN" w:bidi="ar-SA"/>
              </w:rPr>
              <w:t>10000</w:t>
            </w:r>
          </w:p>
        </w:tc>
        <w:tc>
          <w:tcPr>
            <w:tcW w:w="495" w:type="pct"/>
            <w:gridSpan w:val="2"/>
            <w:tcBorders>
              <w:tl2br w:val="nil"/>
              <w:tr2bl w:val="nil"/>
            </w:tcBorders>
            <w:noWrap w:val="0"/>
            <w:vAlign w:val="center"/>
          </w:tcPr>
          <w:p w14:paraId="50F6C3B2">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olor w:val="auto"/>
                <w:sz w:val="21"/>
                <w:szCs w:val="21"/>
                <w:lang w:eastAsia="zh-CN"/>
              </w:rPr>
              <w:t>只</w:t>
            </w:r>
            <w:r>
              <w:rPr>
                <w:rFonts w:hint="eastAsia"/>
                <w:color w:val="auto"/>
                <w:sz w:val="21"/>
                <w:szCs w:val="21"/>
                <w:lang w:val="en-US" w:eastAsia="zh-CN"/>
              </w:rPr>
              <w:t>/年</w:t>
            </w:r>
          </w:p>
        </w:tc>
        <w:tc>
          <w:tcPr>
            <w:tcW w:w="553" w:type="pct"/>
            <w:gridSpan w:val="2"/>
            <w:tcBorders>
              <w:tl2br w:val="nil"/>
              <w:tr2bl w:val="nil"/>
            </w:tcBorders>
            <w:noWrap w:val="0"/>
            <w:vAlign w:val="center"/>
          </w:tcPr>
          <w:p w14:paraId="440D2FE4">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6EA24C26">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01C8F030">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51C59D94">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63CC5A76">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5</w:t>
            </w:r>
          </w:p>
        </w:tc>
        <w:tc>
          <w:tcPr>
            <w:tcW w:w="1014" w:type="dxa"/>
            <w:tcBorders>
              <w:tl2br w:val="nil"/>
              <w:tr2bl w:val="nil"/>
            </w:tcBorders>
            <w:noWrap w:val="0"/>
            <w:vAlign w:val="center"/>
          </w:tcPr>
          <w:p w14:paraId="2BF23A93">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173D9FFE">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一次性袋式输液器</w:t>
            </w:r>
          </w:p>
        </w:tc>
        <w:tc>
          <w:tcPr>
            <w:tcW w:w="1890" w:type="dxa"/>
            <w:gridSpan w:val="2"/>
            <w:tcBorders>
              <w:tl2br w:val="nil"/>
              <w:tr2bl w:val="nil"/>
            </w:tcBorders>
            <w:noWrap w:val="0"/>
            <w:vAlign w:val="center"/>
          </w:tcPr>
          <w:p w14:paraId="171A219E">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eastAsia" w:cs="Times New Roman"/>
                <w:color w:val="000000"/>
                <w:sz w:val="21"/>
                <w:szCs w:val="21"/>
                <w:lang w:val="en-US" w:eastAsia="zh-CN"/>
              </w:rPr>
            </w:pPr>
            <w:r>
              <w:rPr>
                <w:rFonts w:hint="eastAsia" w:cs="Times New Roman"/>
                <w:color w:val="auto"/>
                <w:kern w:val="2"/>
                <w:sz w:val="21"/>
                <w:szCs w:val="21"/>
                <w:lang w:val="en-US" w:eastAsia="zh-CN" w:bidi="ar-SA"/>
              </w:rPr>
              <w:t>10000</w:t>
            </w:r>
          </w:p>
        </w:tc>
        <w:tc>
          <w:tcPr>
            <w:tcW w:w="1995" w:type="dxa"/>
            <w:gridSpan w:val="3"/>
            <w:tcBorders>
              <w:tl2br w:val="nil"/>
              <w:tr2bl w:val="nil"/>
            </w:tcBorders>
            <w:noWrap w:val="0"/>
            <w:vAlign w:val="center"/>
          </w:tcPr>
          <w:p w14:paraId="170EEC3B">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eastAsia" w:cs="Times New Roman"/>
                <w:color w:val="000000"/>
                <w:sz w:val="21"/>
                <w:szCs w:val="21"/>
                <w:lang w:val="en-US" w:eastAsia="zh-CN"/>
              </w:rPr>
            </w:pPr>
            <w:r>
              <w:rPr>
                <w:rFonts w:hint="eastAsia" w:cs="Times New Roman"/>
                <w:color w:val="auto"/>
                <w:kern w:val="2"/>
                <w:sz w:val="21"/>
                <w:szCs w:val="21"/>
                <w:lang w:val="en-US" w:eastAsia="zh-CN" w:bidi="ar-SA"/>
              </w:rPr>
              <w:t>10000</w:t>
            </w:r>
          </w:p>
        </w:tc>
        <w:tc>
          <w:tcPr>
            <w:tcW w:w="495" w:type="pct"/>
            <w:gridSpan w:val="2"/>
            <w:tcBorders>
              <w:tl2br w:val="nil"/>
              <w:tr2bl w:val="nil"/>
            </w:tcBorders>
            <w:noWrap w:val="0"/>
            <w:vAlign w:val="center"/>
          </w:tcPr>
          <w:p w14:paraId="66F75AC8">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olor w:val="auto"/>
                <w:sz w:val="21"/>
                <w:szCs w:val="21"/>
                <w:lang w:eastAsia="zh-CN"/>
              </w:rPr>
              <w:t>只</w:t>
            </w:r>
            <w:r>
              <w:rPr>
                <w:rFonts w:hint="eastAsia"/>
                <w:color w:val="auto"/>
                <w:sz w:val="21"/>
                <w:szCs w:val="21"/>
                <w:lang w:val="en-US" w:eastAsia="zh-CN"/>
              </w:rPr>
              <w:t>/年</w:t>
            </w:r>
          </w:p>
        </w:tc>
        <w:tc>
          <w:tcPr>
            <w:tcW w:w="553" w:type="pct"/>
            <w:gridSpan w:val="2"/>
            <w:tcBorders>
              <w:tl2br w:val="nil"/>
              <w:tr2bl w:val="nil"/>
            </w:tcBorders>
            <w:noWrap w:val="0"/>
            <w:vAlign w:val="center"/>
          </w:tcPr>
          <w:p w14:paraId="489DFB65">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430F8B51">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58F3CD0E">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427B54FD">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7F2D4615">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6</w:t>
            </w:r>
          </w:p>
        </w:tc>
        <w:tc>
          <w:tcPr>
            <w:tcW w:w="1014" w:type="dxa"/>
            <w:tcBorders>
              <w:tl2br w:val="nil"/>
              <w:tr2bl w:val="nil"/>
            </w:tcBorders>
            <w:noWrap w:val="0"/>
            <w:vAlign w:val="center"/>
          </w:tcPr>
          <w:p w14:paraId="413C2337">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155B268D">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一次性输血器</w:t>
            </w:r>
          </w:p>
        </w:tc>
        <w:tc>
          <w:tcPr>
            <w:tcW w:w="1890" w:type="dxa"/>
            <w:gridSpan w:val="2"/>
            <w:tcBorders>
              <w:tl2br w:val="nil"/>
              <w:tr2bl w:val="nil"/>
            </w:tcBorders>
            <w:noWrap w:val="0"/>
            <w:vAlign w:val="center"/>
          </w:tcPr>
          <w:p w14:paraId="3C0EDF73">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eastAsia" w:cs="Times New Roman"/>
                <w:color w:val="000000"/>
                <w:sz w:val="21"/>
                <w:szCs w:val="21"/>
                <w:lang w:val="en-US" w:eastAsia="zh-CN"/>
              </w:rPr>
            </w:pPr>
            <w:r>
              <w:rPr>
                <w:rFonts w:hint="eastAsia" w:cs="Times New Roman"/>
                <w:color w:val="auto"/>
                <w:kern w:val="2"/>
                <w:sz w:val="21"/>
                <w:szCs w:val="21"/>
                <w:lang w:val="en-US" w:eastAsia="zh-CN" w:bidi="ar-SA"/>
              </w:rPr>
              <w:t>100</w:t>
            </w:r>
          </w:p>
        </w:tc>
        <w:tc>
          <w:tcPr>
            <w:tcW w:w="1995" w:type="dxa"/>
            <w:gridSpan w:val="3"/>
            <w:tcBorders>
              <w:tl2br w:val="nil"/>
              <w:tr2bl w:val="nil"/>
            </w:tcBorders>
            <w:noWrap w:val="0"/>
            <w:vAlign w:val="center"/>
          </w:tcPr>
          <w:p w14:paraId="207FF35B">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eastAsia" w:cs="Times New Roman"/>
                <w:color w:val="000000"/>
                <w:sz w:val="21"/>
                <w:szCs w:val="21"/>
                <w:lang w:val="en-US" w:eastAsia="zh-CN"/>
              </w:rPr>
            </w:pPr>
            <w:r>
              <w:rPr>
                <w:rFonts w:hint="eastAsia" w:cs="Times New Roman"/>
                <w:color w:val="auto"/>
                <w:kern w:val="2"/>
                <w:sz w:val="21"/>
                <w:szCs w:val="21"/>
                <w:lang w:val="en-US" w:eastAsia="zh-CN" w:bidi="ar-SA"/>
              </w:rPr>
              <w:t>100</w:t>
            </w:r>
          </w:p>
        </w:tc>
        <w:tc>
          <w:tcPr>
            <w:tcW w:w="495" w:type="pct"/>
            <w:gridSpan w:val="2"/>
            <w:tcBorders>
              <w:tl2br w:val="nil"/>
              <w:tr2bl w:val="nil"/>
            </w:tcBorders>
            <w:noWrap w:val="0"/>
            <w:vAlign w:val="center"/>
          </w:tcPr>
          <w:p w14:paraId="48DFE2B1">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olor w:val="auto"/>
                <w:sz w:val="21"/>
                <w:szCs w:val="21"/>
                <w:lang w:eastAsia="zh-CN"/>
              </w:rPr>
              <w:t>只</w:t>
            </w:r>
            <w:r>
              <w:rPr>
                <w:rFonts w:hint="eastAsia"/>
                <w:color w:val="auto"/>
                <w:sz w:val="21"/>
                <w:szCs w:val="21"/>
                <w:lang w:val="en-US" w:eastAsia="zh-CN"/>
              </w:rPr>
              <w:t>/年</w:t>
            </w:r>
          </w:p>
        </w:tc>
        <w:tc>
          <w:tcPr>
            <w:tcW w:w="553" w:type="pct"/>
            <w:gridSpan w:val="2"/>
            <w:tcBorders>
              <w:tl2br w:val="nil"/>
              <w:tr2bl w:val="nil"/>
            </w:tcBorders>
            <w:noWrap w:val="0"/>
            <w:vAlign w:val="center"/>
          </w:tcPr>
          <w:p w14:paraId="1A4BF645">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672CAC6D">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36B5AE96">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5A1A1C09">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55D2B327">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7</w:t>
            </w:r>
          </w:p>
        </w:tc>
        <w:tc>
          <w:tcPr>
            <w:tcW w:w="1014" w:type="dxa"/>
            <w:tcBorders>
              <w:tl2br w:val="nil"/>
              <w:tr2bl w:val="nil"/>
            </w:tcBorders>
            <w:noWrap w:val="0"/>
            <w:vAlign w:val="center"/>
          </w:tcPr>
          <w:p w14:paraId="106429F9">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188BE196">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一次性塑料试管</w:t>
            </w:r>
          </w:p>
        </w:tc>
        <w:tc>
          <w:tcPr>
            <w:tcW w:w="1890" w:type="dxa"/>
            <w:gridSpan w:val="2"/>
            <w:tcBorders>
              <w:tl2br w:val="nil"/>
              <w:tr2bl w:val="nil"/>
            </w:tcBorders>
            <w:noWrap w:val="0"/>
            <w:vAlign w:val="center"/>
          </w:tcPr>
          <w:p w14:paraId="6839AD12">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eastAsia" w:cs="Times New Roman"/>
                <w:color w:val="000000"/>
                <w:sz w:val="21"/>
                <w:szCs w:val="21"/>
                <w:lang w:val="en-US" w:eastAsia="zh-CN"/>
              </w:rPr>
            </w:pPr>
            <w:r>
              <w:rPr>
                <w:rFonts w:hint="eastAsia" w:cs="Times New Roman"/>
                <w:color w:val="auto"/>
                <w:kern w:val="2"/>
                <w:sz w:val="21"/>
                <w:szCs w:val="21"/>
                <w:lang w:val="en-US" w:eastAsia="zh-CN" w:bidi="ar-SA"/>
              </w:rPr>
              <w:t>64000</w:t>
            </w:r>
          </w:p>
        </w:tc>
        <w:tc>
          <w:tcPr>
            <w:tcW w:w="1995" w:type="dxa"/>
            <w:gridSpan w:val="3"/>
            <w:tcBorders>
              <w:tl2br w:val="nil"/>
              <w:tr2bl w:val="nil"/>
            </w:tcBorders>
            <w:noWrap w:val="0"/>
            <w:vAlign w:val="center"/>
          </w:tcPr>
          <w:p w14:paraId="3BE96878">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eastAsia" w:cs="Times New Roman"/>
                <w:color w:val="000000"/>
                <w:sz w:val="21"/>
                <w:szCs w:val="21"/>
                <w:lang w:val="en-US" w:eastAsia="zh-CN"/>
              </w:rPr>
            </w:pPr>
            <w:r>
              <w:rPr>
                <w:rFonts w:hint="eastAsia" w:cs="Times New Roman"/>
                <w:color w:val="auto"/>
                <w:kern w:val="2"/>
                <w:sz w:val="21"/>
                <w:szCs w:val="21"/>
                <w:lang w:val="en-US" w:eastAsia="zh-CN" w:bidi="ar-SA"/>
              </w:rPr>
              <w:t>64000</w:t>
            </w:r>
          </w:p>
        </w:tc>
        <w:tc>
          <w:tcPr>
            <w:tcW w:w="495" w:type="pct"/>
            <w:gridSpan w:val="2"/>
            <w:tcBorders>
              <w:tl2br w:val="nil"/>
              <w:tr2bl w:val="nil"/>
            </w:tcBorders>
            <w:noWrap w:val="0"/>
            <w:vAlign w:val="center"/>
          </w:tcPr>
          <w:p w14:paraId="793F2A41">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olor w:val="auto"/>
                <w:sz w:val="21"/>
                <w:szCs w:val="21"/>
                <w:lang w:eastAsia="zh-CN"/>
              </w:rPr>
              <w:t>只</w:t>
            </w:r>
            <w:r>
              <w:rPr>
                <w:rFonts w:hint="eastAsia"/>
                <w:color w:val="auto"/>
                <w:sz w:val="21"/>
                <w:szCs w:val="21"/>
                <w:lang w:val="en-US" w:eastAsia="zh-CN"/>
              </w:rPr>
              <w:t>/年</w:t>
            </w:r>
          </w:p>
        </w:tc>
        <w:tc>
          <w:tcPr>
            <w:tcW w:w="553" w:type="pct"/>
            <w:gridSpan w:val="2"/>
            <w:tcBorders>
              <w:tl2br w:val="nil"/>
              <w:tr2bl w:val="nil"/>
            </w:tcBorders>
            <w:noWrap w:val="0"/>
            <w:vAlign w:val="center"/>
          </w:tcPr>
          <w:p w14:paraId="2E8C8187">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5D6EAA40">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55F38623">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480FA334">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69E41005">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8</w:t>
            </w:r>
          </w:p>
        </w:tc>
        <w:tc>
          <w:tcPr>
            <w:tcW w:w="1014" w:type="dxa"/>
            <w:tcBorders>
              <w:tl2br w:val="nil"/>
              <w:tr2bl w:val="nil"/>
            </w:tcBorders>
            <w:noWrap w:val="0"/>
            <w:vAlign w:val="center"/>
          </w:tcPr>
          <w:p w14:paraId="034F7344">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08D73F1F">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真空采血针头</w:t>
            </w:r>
          </w:p>
        </w:tc>
        <w:tc>
          <w:tcPr>
            <w:tcW w:w="1890" w:type="dxa"/>
            <w:gridSpan w:val="2"/>
            <w:tcBorders>
              <w:tl2br w:val="nil"/>
              <w:tr2bl w:val="nil"/>
            </w:tcBorders>
            <w:noWrap w:val="0"/>
            <w:vAlign w:val="center"/>
          </w:tcPr>
          <w:p w14:paraId="19F805D7">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eastAsia" w:cs="Times New Roman"/>
                <w:color w:val="000000"/>
                <w:sz w:val="21"/>
                <w:szCs w:val="21"/>
                <w:lang w:val="en-US" w:eastAsia="zh-CN"/>
              </w:rPr>
            </w:pPr>
            <w:r>
              <w:rPr>
                <w:rFonts w:hint="eastAsia" w:cs="Times New Roman"/>
                <w:color w:val="auto"/>
                <w:kern w:val="2"/>
                <w:sz w:val="21"/>
                <w:szCs w:val="21"/>
                <w:lang w:val="en-US" w:eastAsia="zh-CN" w:bidi="ar-SA"/>
              </w:rPr>
              <w:t>57000</w:t>
            </w:r>
          </w:p>
        </w:tc>
        <w:tc>
          <w:tcPr>
            <w:tcW w:w="1995" w:type="dxa"/>
            <w:gridSpan w:val="3"/>
            <w:tcBorders>
              <w:tl2br w:val="nil"/>
              <w:tr2bl w:val="nil"/>
            </w:tcBorders>
            <w:noWrap w:val="0"/>
            <w:vAlign w:val="center"/>
          </w:tcPr>
          <w:p w14:paraId="3C122D20">
            <w:pPr>
              <w:keepNext w:val="0"/>
              <w:keepLines w:val="0"/>
              <w:pageBreakBefore w:val="0"/>
              <w:widowControl w:val="0"/>
              <w:suppressLineNumbers w:val="0"/>
              <w:kinsoku/>
              <w:wordWrap/>
              <w:overflowPunct/>
              <w:topLinePunct w:val="0"/>
              <w:autoSpaceDE/>
              <w:autoSpaceDN/>
              <w:bidi w:val="0"/>
              <w:spacing w:beforeAutospacing="0" w:afterAutospacing="0"/>
              <w:ind w:left="0" w:leftChars="0" w:right="0" w:rightChars="0"/>
              <w:jc w:val="center"/>
              <w:textAlignment w:val="center"/>
              <w:rPr>
                <w:rFonts w:hint="eastAsia" w:cs="Times New Roman"/>
                <w:color w:val="000000"/>
                <w:sz w:val="21"/>
                <w:szCs w:val="21"/>
                <w:lang w:val="en-US" w:eastAsia="zh-CN"/>
              </w:rPr>
            </w:pPr>
            <w:r>
              <w:rPr>
                <w:rFonts w:hint="eastAsia" w:cs="Times New Roman"/>
                <w:color w:val="auto"/>
                <w:kern w:val="2"/>
                <w:sz w:val="21"/>
                <w:szCs w:val="21"/>
                <w:lang w:val="en-US" w:eastAsia="zh-CN" w:bidi="ar-SA"/>
              </w:rPr>
              <w:t>57000</w:t>
            </w:r>
          </w:p>
        </w:tc>
        <w:tc>
          <w:tcPr>
            <w:tcW w:w="495" w:type="pct"/>
            <w:gridSpan w:val="2"/>
            <w:tcBorders>
              <w:tl2br w:val="nil"/>
              <w:tr2bl w:val="nil"/>
            </w:tcBorders>
            <w:noWrap w:val="0"/>
            <w:vAlign w:val="center"/>
          </w:tcPr>
          <w:p w14:paraId="64B2E6E5">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olor w:val="auto"/>
                <w:sz w:val="21"/>
                <w:szCs w:val="21"/>
                <w:lang w:eastAsia="zh-CN"/>
              </w:rPr>
              <w:t>只</w:t>
            </w:r>
            <w:r>
              <w:rPr>
                <w:rFonts w:hint="eastAsia"/>
                <w:color w:val="auto"/>
                <w:sz w:val="21"/>
                <w:szCs w:val="21"/>
                <w:lang w:val="en-US" w:eastAsia="zh-CN"/>
              </w:rPr>
              <w:t>/年</w:t>
            </w:r>
          </w:p>
        </w:tc>
        <w:tc>
          <w:tcPr>
            <w:tcW w:w="553" w:type="pct"/>
            <w:gridSpan w:val="2"/>
            <w:tcBorders>
              <w:tl2br w:val="nil"/>
              <w:tr2bl w:val="nil"/>
            </w:tcBorders>
            <w:noWrap w:val="0"/>
            <w:vAlign w:val="center"/>
          </w:tcPr>
          <w:p w14:paraId="4BA17B0F">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5BAADBDE">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5049700E">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3E6E9F87">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0D4A6A56">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9</w:t>
            </w:r>
          </w:p>
        </w:tc>
        <w:tc>
          <w:tcPr>
            <w:tcW w:w="1014" w:type="dxa"/>
            <w:tcBorders>
              <w:tl2br w:val="nil"/>
              <w:tr2bl w:val="nil"/>
            </w:tcBorders>
            <w:noWrap w:val="0"/>
            <w:vAlign w:val="center"/>
          </w:tcPr>
          <w:p w14:paraId="380012DD">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1BF6D52E">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一次性小便杯</w:t>
            </w:r>
          </w:p>
        </w:tc>
        <w:tc>
          <w:tcPr>
            <w:tcW w:w="1890" w:type="dxa"/>
            <w:gridSpan w:val="2"/>
            <w:tcBorders>
              <w:tl2br w:val="nil"/>
              <w:tr2bl w:val="nil"/>
            </w:tcBorders>
            <w:noWrap w:val="0"/>
            <w:vAlign w:val="center"/>
          </w:tcPr>
          <w:p w14:paraId="1BDDD828">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20000</w:t>
            </w:r>
          </w:p>
        </w:tc>
        <w:tc>
          <w:tcPr>
            <w:tcW w:w="1995" w:type="dxa"/>
            <w:gridSpan w:val="3"/>
            <w:tcBorders>
              <w:tl2br w:val="nil"/>
              <w:tr2bl w:val="nil"/>
            </w:tcBorders>
            <w:noWrap w:val="0"/>
            <w:vAlign w:val="center"/>
          </w:tcPr>
          <w:p w14:paraId="493D7C3A">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20000</w:t>
            </w:r>
          </w:p>
        </w:tc>
        <w:tc>
          <w:tcPr>
            <w:tcW w:w="495" w:type="pct"/>
            <w:gridSpan w:val="2"/>
            <w:tcBorders>
              <w:tl2br w:val="nil"/>
              <w:tr2bl w:val="nil"/>
            </w:tcBorders>
            <w:noWrap w:val="0"/>
            <w:vAlign w:val="center"/>
          </w:tcPr>
          <w:p w14:paraId="43E66B46">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olor w:val="auto"/>
                <w:sz w:val="21"/>
                <w:szCs w:val="21"/>
                <w:lang w:eastAsia="zh-CN"/>
              </w:rPr>
              <w:t>只</w:t>
            </w:r>
            <w:r>
              <w:rPr>
                <w:rFonts w:hint="eastAsia"/>
                <w:color w:val="auto"/>
                <w:sz w:val="21"/>
                <w:szCs w:val="21"/>
                <w:lang w:val="en-US" w:eastAsia="zh-CN"/>
              </w:rPr>
              <w:t>/年</w:t>
            </w:r>
          </w:p>
        </w:tc>
        <w:tc>
          <w:tcPr>
            <w:tcW w:w="553" w:type="pct"/>
            <w:gridSpan w:val="2"/>
            <w:tcBorders>
              <w:tl2br w:val="nil"/>
              <w:tr2bl w:val="nil"/>
            </w:tcBorders>
            <w:noWrap w:val="0"/>
            <w:vAlign w:val="center"/>
          </w:tcPr>
          <w:p w14:paraId="435540DB">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3E7EBB22">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1699322A">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7362EC56">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3DE06EB8">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10</w:t>
            </w:r>
          </w:p>
        </w:tc>
        <w:tc>
          <w:tcPr>
            <w:tcW w:w="1014" w:type="dxa"/>
            <w:tcBorders>
              <w:tl2br w:val="nil"/>
              <w:tr2bl w:val="nil"/>
            </w:tcBorders>
            <w:noWrap w:val="0"/>
            <w:vAlign w:val="center"/>
          </w:tcPr>
          <w:p w14:paraId="37C9C9F5">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308228CD">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一次性大便盒</w:t>
            </w:r>
          </w:p>
        </w:tc>
        <w:tc>
          <w:tcPr>
            <w:tcW w:w="1890" w:type="dxa"/>
            <w:gridSpan w:val="2"/>
            <w:tcBorders>
              <w:tl2br w:val="nil"/>
              <w:tr2bl w:val="nil"/>
            </w:tcBorders>
            <w:noWrap w:val="0"/>
            <w:vAlign w:val="center"/>
          </w:tcPr>
          <w:p w14:paraId="59DFA249">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15000</w:t>
            </w:r>
          </w:p>
        </w:tc>
        <w:tc>
          <w:tcPr>
            <w:tcW w:w="1995" w:type="dxa"/>
            <w:gridSpan w:val="3"/>
            <w:tcBorders>
              <w:tl2br w:val="nil"/>
              <w:tr2bl w:val="nil"/>
            </w:tcBorders>
            <w:noWrap w:val="0"/>
            <w:vAlign w:val="center"/>
          </w:tcPr>
          <w:p w14:paraId="06F72E11">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15000</w:t>
            </w:r>
          </w:p>
        </w:tc>
        <w:tc>
          <w:tcPr>
            <w:tcW w:w="495" w:type="pct"/>
            <w:gridSpan w:val="2"/>
            <w:tcBorders>
              <w:tl2br w:val="nil"/>
              <w:tr2bl w:val="nil"/>
            </w:tcBorders>
            <w:noWrap w:val="0"/>
            <w:vAlign w:val="center"/>
          </w:tcPr>
          <w:p w14:paraId="2D8F5D95">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olor w:val="auto"/>
                <w:sz w:val="21"/>
                <w:szCs w:val="21"/>
                <w:lang w:eastAsia="zh-CN"/>
              </w:rPr>
              <w:t>只</w:t>
            </w:r>
            <w:r>
              <w:rPr>
                <w:rFonts w:hint="eastAsia"/>
                <w:color w:val="auto"/>
                <w:sz w:val="21"/>
                <w:szCs w:val="21"/>
                <w:lang w:val="en-US" w:eastAsia="zh-CN"/>
              </w:rPr>
              <w:t>/年</w:t>
            </w:r>
          </w:p>
        </w:tc>
        <w:tc>
          <w:tcPr>
            <w:tcW w:w="553" w:type="pct"/>
            <w:gridSpan w:val="2"/>
            <w:tcBorders>
              <w:tl2br w:val="nil"/>
              <w:tr2bl w:val="nil"/>
            </w:tcBorders>
            <w:noWrap w:val="0"/>
            <w:vAlign w:val="center"/>
          </w:tcPr>
          <w:p w14:paraId="2CD6CB0C">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09473783">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11316296">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790581EB">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21BF2EFC">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11</w:t>
            </w:r>
          </w:p>
        </w:tc>
        <w:tc>
          <w:tcPr>
            <w:tcW w:w="1014" w:type="dxa"/>
            <w:tcBorders>
              <w:tl2br w:val="nil"/>
              <w:tr2bl w:val="nil"/>
            </w:tcBorders>
            <w:noWrap w:val="0"/>
            <w:vAlign w:val="center"/>
          </w:tcPr>
          <w:p w14:paraId="6DCE782C">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5559EE39">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一次性隔离衣</w:t>
            </w:r>
          </w:p>
        </w:tc>
        <w:tc>
          <w:tcPr>
            <w:tcW w:w="1890" w:type="dxa"/>
            <w:gridSpan w:val="2"/>
            <w:tcBorders>
              <w:tl2br w:val="nil"/>
              <w:tr2bl w:val="nil"/>
            </w:tcBorders>
            <w:noWrap w:val="0"/>
            <w:vAlign w:val="center"/>
          </w:tcPr>
          <w:p w14:paraId="25C05F90">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3000</w:t>
            </w:r>
          </w:p>
        </w:tc>
        <w:tc>
          <w:tcPr>
            <w:tcW w:w="1995" w:type="dxa"/>
            <w:gridSpan w:val="3"/>
            <w:tcBorders>
              <w:tl2br w:val="nil"/>
              <w:tr2bl w:val="nil"/>
            </w:tcBorders>
            <w:noWrap w:val="0"/>
            <w:vAlign w:val="center"/>
          </w:tcPr>
          <w:p w14:paraId="1AF7244A">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3000</w:t>
            </w:r>
          </w:p>
        </w:tc>
        <w:tc>
          <w:tcPr>
            <w:tcW w:w="495" w:type="pct"/>
            <w:gridSpan w:val="2"/>
            <w:tcBorders>
              <w:tl2br w:val="nil"/>
              <w:tr2bl w:val="nil"/>
            </w:tcBorders>
            <w:noWrap w:val="0"/>
            <w:vAlign w:val="center"/>
          </w:tcPr>
          <w:p w14:paraId="3B222D0A">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s="Times New Roman"/>
                <w:color w:val="auto"/>
                <w:kern w:val="2"/>
                <w:sz w:val="21"/>
                <w:szCs w:val="21"/>
                <w:lang w:val="en-US" w:eastAsia="zh-CN" w:bidi="ar-SA"/>
              </w:rPr>
              <w:t>件/年</w:t>
            </w:r>
          </w:p>
        </w:tc>
        <w:tc>
          <w:tcPr>
            <w:tcW w:w="553" w:type="pct"/>
            <w:gridSpan w:val="2"/>
            <w:tcBorders>
              <w:tl2br w:val="nil"/>
              <w:tr2bl w:val="nil"/>
            </w:tcBorders>
            <w:noWrap w:val="0"/>
            <w:vAlign w:val="center"/>
          </w:tcPr>
          <w:p w14:paraId="07C934B3">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7A567FDB">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10147D92">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0C0A49D2">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461A3B0C">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12</w:t>
            </w:r>
          </w:p>
        </w:tc>
        <w:tc>
          <w:tcPr>
            <w:tcW w:w="1014" w:type="dxa"/>
            <w:tcBorders>
              <w:tl2br w:val="nil"/>
              <w:tr2bl w:val="nil"/>
            </w:tcBorders>
            <w:noWrap w:val="0"/>
            <w:vAlign w:val="center"/>
          </w:tcPr>
          <w:p w14:paraId="4DB0ED95">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454EB455">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PE手套</w:t>
            </w:r>
          </w:p>
        </w:tc>
        <w:tc>
          <w:tcPr>
            <w:tcW w:w="1890" w:type="dxa"/>
            <w:gridSpan w:val="2"/>
            <w:tcBorders>
              <w:tl2br w:val="nil"/>
              <w:tr2bl w:val="nil"/>
            </w:tcBorders>
            <w:noWrap w:val="0"/>
            <w:vAlign w:val="center"/>
          </w:tcPr>
          <w:p w14:paraId="0C4B781A">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1500</w:t>
            </w:r>
          </w:p>
        </w:tc>
        <w:tc>
          <w:tcPr>
            <w:tcW w:w="1995" w:type="dxa"/>
            <w:gridSpan w:val="3"/>
            <w:tcBorders>
              <w:tl2br w:val="nil"/>
              <w:tr2bl w:val="nil"/>
            </w:tcBorders>
            <w:noWrap w:val="0"/>
            <w:vAlign w:val="center"/>
          </w:tcPr>
          <w:p w14:paraId="11EFDEDD">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1500</w:t>
            </w:r>
          </w:p>
        </w:tc>
        <w:tc>
          <w:tcPr>
            <w:tcW w:w="495" w:type="pct"/>
            <w:gridSpan w:val="2"/>
            <w:tcBorders>
              <w:tl2br w:val="nil"/>
              <w:tr2bl w:val="nil"/>
            </w:tcBorders>
            <w:noWrap w:val="0"/>
            <w:vAlign w:val="center"/>
          </w:tcPr>
          <w:p w14:paraId="3D204F5A">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s="Times New Roman"/>
                <w:color w:val="auto"/>
                <w:kern w:val="2"/>
                <w:sz w:val="21"/>
                <w:szCs w:val="21"/>
                <w:lang w:val="en-US" w:eastAsia="zh-CN" w:bidi="ar-SA"/>
              </w:rPr>
              <w:t>包/年</w:t>
            </w:r>
          </w:p>
        </w:tc>
        <w:tc>
          <w:tcPr>
            <w:tcW w:w="553" w:type="pct"/>
            <w:gridSpan w:val="2"/>
            <w:tcBorders>
              <w:tl2br w:val="nil"/>
              <w:tr2bl w:val="nil"/>
            </w:tcBorders>
            <w:noWrap w:val="0"/>
            <w:vAlign w:val="center"/>
          </w:tcPr>
          <w:p w14:paraId="10B44580">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7C47EDC2">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5138705A">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411CF226">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36402836">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13</w:t>
            </w:r>
          </w:p>
        </w:tc>
        <w:tc>
          <w:tcPr>
            <w:tcW w:w="1014" w:type="dxa"/>
            <w:tcBorders>
              <w:tl2br w:val="nil"/>
              <w:tr2bl w:val="nil"/>
            </w:tcBorders>
            <w:noWrap w:val="0"/>
            <w:vAlign w:val="center"/>
          </w:tcPr>
          <w:p w14:paraId="1B0B3D44">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0EB6E8D3">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一次性口罩</w:t>
            </w:r>
          </w:p>
        </w:tc>
        <w:tc>
          <w:tcPr>
            <w:tcW w:w="1890" w:type="dxa"/>
            <w:gridSpan w:val="2"/>
            <w:tcBorders>
              <w:tl2br w:val="nil"/>
              <w:tr2bl w:val="nil"/>
            </w:tcBorders>
            <w:noWrap w:val="0"/>
            <w:vAlign w:val="center"/>
          </w:tcPr>
          <w:p w14:paraId="6C79107B">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100000</w:t>
            </w:r>
          </w:p>
        </w:tc>
        <w:tc>
          <w:tcPr>
            <w:tcW w:w="1995" w:type="dxa"/>
            <w:gridSpan w:val="3"/>
            <w:tcBorders>
              <w:tl2br w:val="nil"/>
              <w:tr2bl w:val="nil"/>
            </w:tcBorders>
            <w:noWrap w:val="0"/>
            <w:vAlign w:val="center"/>
          </w:tcPr>
          <w:p w14:paraId="425B0452">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100000</w:t>
            </w:r>
          </w:p>
        </w:tc>
        <w:tc>
          <w:tcPr>
            <w:tcW w:w="495" w:type="pct"/>
            <w:gridSpan w:val="2"/>
            <w:tcBorders>
              <w:tl2br w:val="nil"/>
              <w:tr2bl w:val="nil"/>
            </w:tcBorders>
            <w:noWrap w:val="0"/>
            <w:vAlign w:val="center"/>
          </w:tcPr>
          <w:p w14:paraId="110864A7">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olor w:val="auto"/>
                <w:sz w:val="21"/>
                <w:szCs w:val="21"/>
                <w:lang w:eastAsia="zh-CN"/>
              </w:rPr>
              <w:t>只</w:t>
            </w:r>
            <w:r>
              <w:rPr>
                <w:rFonts w:hint="eastAsia"/>
                <w:color w:val="auto"/>
                <w:sz w:val="21"/>
                <w:szCs w:val="21"/>
                <w:lang w:val="en-US" w:eastAsia="zh-CN"/>
              </w:rPr>
              <w:t>/年</w:t>
            </w:r>
          </w:p>
        </w:tc>
        <w:tc>
          <w:tcPr>
            <w:tcW w:w="553" w:type="pct"/>
            <w:gridSpan w:val="2"/>
            <w:tcBorders>
              <w:tl2br w:val="nil"/>
              <w:tr2bl w:val="nil"/>
            </w:tcBorders>
            <w:noWrap w:val="0"/>
            <w:vAlign w:val="center"/>
          </w:tcPr>
          <w:p w14:paraId="3B9C0AEC">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05623B23">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6B49F3C6">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190033C9">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59FC0D33">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14</w:t>
            </w:r>
          </w:p>
        </w:tc>
        <w:tc>
          <w:tcPr>
            <w:tcW w:w="1014" w:type="dxa"/>
            <w:tcBorders>
              <w:tl2br w:val="nil"/>
              <w:tr2bl w:val="nil"/>
            </w:tcBorders>
            <w:noWrap w:val="0"/>
            <w:vAlign w:val="center"/>
          </w:tcPr>
          <w:p w14:paraId="3559480A">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296C2620">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75%乙醇消毒液</w:t>
            </w:r>
          </w:p>
        </w:tc>
        <w:tc>
          <w:tcPr>
            <w:tcW w:w="1890" w:type="dxa"/>
            <w:gridSpan w:val="2"/>
            <w:tcBorders>
              <w:tl2br w:val="nil"/>
              <w:tr2bl w:val="nil"/>
            </w:tcBorders>
            <w:noWrap w:val="0"/>
            <w:vAlign w:val="center"/>
          </w:tcPr>
          <w:p w14:paraId="3E343A9E">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2000</w:t>
            </w:r>
          </w:p>
        </w:tc>
        <w:tc>
          <w:tcPr>
            <w:tcW w:w="1995" w:type="dxa"/>
            <w:gridSpan w:val="3"/>
            <w:tcBorders>
              <w:tl2br w:val="nil"/>
              <w:tr2bl w:val="nil"/>
            </w:tcBorders>
            <w:noWrap w:val="0"/>
            <w:vAlign w:val="center"/>
          </w:tcPr>
          <w:p w14:paraId="5ACD84FE">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2000</w:t>
            </w:r>
          </w:p>
        </w:tc>
        <w:tc>
          <w:tcPr>
            <w:tcW w:w="495" w:type="pct"/>
            <w:gridSpan w:val="2"/>
            <w:tcBorders>
              <w:tl2br w:val="nil"/>
              <w:tr2bl w:val="nil"/>
            </w:tcBorders>
            <w:noWrap w:val="0"/>
            <w:vAlign w:val="center"/>
          </w:tcPr>
          <w:p w14:paraId="3A9C7AF7">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s="Times New Roman"/>
                <w:color w:val="auto"/>
                <w:kern w:val="2"/>
                <w:sz w:val="21"/>
                <w:szCs w:val="21"/>
                <w:lang w:val="en-US" w:eastAsia="zh-CN" w:bidi="ar-SA"/>
              </w:rPr>
              <w:t>瓶/年</w:t>
            </w:r>
          </w:p>
        </w:tc>
        <w:tc>
          <w:tcPr>
            <w:tcW w:w="553" w:type="pct"/>
            <w:gridSpan w:val="2"/>
            <w:tcBorders>
              <w:tl2br w:val="nil"/>
              <w:tr2bl w:val="nil"/>
            </w:tcBorders>
            <w:noWrap w:val="0"/>
            <w:vAlign w:val="center"/>
          </w:tcPr>
          <w:p w14:paraId="64F85D31">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72725B8E">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6B893895">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5D670286">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37594004">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15</w:t>
            </w:r>
          </w:p>
        </w:tc>
        <w:tc>
          <w:tcPr>
            <w:tcW w:w="1014" w:type="dxa"/>
            <w:tcBorders>
              <w:tl2br w:val="nil"/>
              <w:tr2bl w:val="nil"/>
            </w:tcBorders>
            <w:noWrap w:val="0"/>
            <w:vAlign w:val="center"/>
          </w:tcPr>
          <w:p w14:paraId="7DFE412F">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186B0416">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95%乙醇消毒液</w:t>
            </w:r>
          </w:p>
        </w:tc>
        <w:tc>
          <w:tcPr>
            <w:tcW w:w="1890" w:type="dxa"/>
            <w:gridSpan w:val="2"/>
            <w:tcBorders>
              <w:tl2br w:val="nil"/>
              <w:tr2bl w:val="nil"/>
            </w:tcBorders>
            <w:noWrap w:val="0"/>
            <w:vAlign w:val="center"/>
          </w:tcPr>
          <w:p w14:paraId="3AF11D31">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20</w:t>
            </w:r>
          </w:p>
        </w:tc>
        <w:tc>
          <w:tcPr>
            <w:tcW w:w="1995" w:type="dxa"/>
            <w:gridSpan w:val="3"/>
            <w:tcBorders>
              <w:tl2br w:val="nil"/>
              <w:tr2bl w:val="nil"/>
            </w:tcBorders>
            <w:noWrap w:val="0"/>
            <w:vAlign w:val="center"/>
          </w:tcPr>
          <w:p w14:paraId="1798ABE7">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20</w:t>
            </w:r>
          </w:p>
        </w:tc>
        <w:tc>
          <w:tcPr>
            <w:tcW w:w="495" w:type="pct"/>
            <w:gridSpan w:val="2"/>
            <w:tcBorders>
              <w:tl2br w:val="nil"/>
              <w:tr2bl w:val="nil"/>
            </w:tcBorders>
            <w:noWrap w:val="0"/>
            <w:vAlign w:val="center"/>
          </w:tcPr>
          <w:p w14:paraId="1E259FDF">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s="Times New Roman"/>
                <w:color w:val="auto"/>
                <w:kern w:val="2"/>
                <w:sz w:val="21"/>
                <w:szCs w:val="21"/>
                <w:lang w:val="en-US" w:eastAsia="zh-CN" w:bidi="ar-SA"/>
              </w:rPr>
              <w:t>瓶/年</w:t>
            </w:r>
          </w:p>
        </w:tc>
        <w:tc>
          <w:tcPr>
            <w:tcW w:w="553" w:type="pct"/>
            <w:gridSpan w:val="2"/>
            <w:tcBorders>
              <w:tl2br w:val="nil"/>
              <w:tr2bl w:val="nil"/>
            </w:tcBorders>
            <w:noWrap w:val="0"/>
            <w:vAlign w:val="center"/>
          </w:tcPr>
          <w:p w14:paraId="52956C61">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28F52DB0">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2D41B9F2">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0144CBB0">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4A0FCC26">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16</w:t>
            </w:r>
          </w:p>
        </w:tc>
        <w:tc>
          <w:tcPr>
            <w:tcW w:w="1014" w:type="dxa"/>
            <w:tcBorders>
              <w:tl2br w:val="nil"/>
              <w:tr2bl w:val="nil"/>
            </w:tcBorders>
            <w:noWrap w:val="0"/>
            <w:vAlign w:val="center"/>
          </w:tcPr>
          <w:p w14:paraId="490D62CC">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06ED150B">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医用纱布</w:t>
            </w:r>
          </w:p>
        </w:tc>
        <w:tc>
          <w:tcPr>
            <w:tcW w:w="1890" w:type="dxa"/>
            <w:gridSpan w:val="2"/>
            <w:tcBorders>
              <w:tl2br w:val="nil"/>
              <w:tr2bl w:val="nil"/>
            </w:tcBorders>
            <w:noWrap w:val="0"/>
            <w:vAlign w:val="center"/>
          </w:tcPr>
          <w:p w14:paraId="0D44361F">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3000</w:t>
            </w:r>
          </w:p>
        </w:tc>
        <w:tc>
          <w:tcPr>
            <w:tcW w:w="1995" w:type="dxa"/>
            <w:gridSpan w:val="3"/>
            <w:tcBorders>
              <w:tl2br w:val="nil"/>
              <w:tr2bl w:val="nil"/>
            </w:tcBorders>
            <w:noWrap w:val="0"/>
            <w:vAlign w:val="center"/>
          </w:tcPr>
          <w:p w14:paraId="3B020458">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3000</w:t>
            </w:r>
          </w:p>
        </w:tc>
        <w:tc>
          <w:tcPr>
            <w:tcW w:w="495" w:type="pct"/>
            <w:gridSpan w:val="2"/>
            <w:tcBorders>
              <w:tl2br w:val="nil"/>
              <w:tr2bl w:val="nil"/>
            </w:tcBorders>
            <w:noWrap w:val="0"/>
            <w:vAlign w:val="center"/>
          </w:tcPr>
          <w:p w14:paraId="56266500">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s="Times New Roman"/>
                <w:color w:val="auto"/>
                <w:kern w:val="2"/>
                <w:sz w:val="21"/>
                <w:szCs w:val="21"/>
                <w:lang w:val="en-US" w:eastAsia="zh-CN" w:bidi="ar-SA"/>
              </w:rPr>
              <w:t>卷/年</w:t>
            </w:r>
          </w:p>
        </w:tc>
        <w:tc>
          <w:tcPr>
            <w:tcW w:w="553" w:type="pct"/>
            <w:gridSpan w:val="2"/>
            <w:tcBorders>
              <w:tl2br w:val="nil"/>
              <w:tr2bl w:val="nil"/>
            </w:tcBorders>
            <w:noWrap w:val="0"/>
            <w:vAlign w:val="center"/>
          </w:tcPr>
          <w:p w14:paraId="2A741AA7">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6E99B71D">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753FF0F5">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35503343">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71703FA0">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17</w:t>
            </w:r>
          </w:p>
        </w:tc>
        <w:tc>
          <w:tcPr>
            <w:tcW w:w="1014" w:type="dxa"/>
            <w:tcBorders>
              <w:tl2br w:val="nil"/>
              <w:tr2bl w:val="nil"/>
            </w:tcBorders>
            <w:noWrap w:val="0"/>
            <w:vAlign w:val="center"/>
          </w:tcPr>
          <w:p w14:paraId="7A2BBC5B">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08052555">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纱布块</w:t>
            </w:r>
          </w:p>
        </w:tc>
        <w:tc>
          <w:tcPr>
            <w:tcW w:w="1890" w:type="dxa"/>
            <w:gridSpan w:val="2"/>
            <w:tcBorders>
              <w:tl2br w:val="nil"/>
              <w:tr2bl w:val="nil"/>
            </w:tcBorders>
            <w:noWrap w:val="0"/>
            <w:vAlign w:val="center"/>
          </w:tcPr>
          <w:p w14:paraId="54740B1A">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20000</w:t>
            </w:r>
          </w:p>
        </w:tc>
        <w:tc>
          <w:tcPr>
            <w:tcW w:w="1995" w:type="dxa"/>
            <w:gridSpan w:val="3"/>
            <w:tcBorders>
              <w:tl2br w:val="nil"/>
              <w:tr2bl w:val="nil"/>
            </w:tcBorders>
            <w:noWrap w:val="0"/>
            <w:vAlign w:val="center"/>
          </w:tcPr>
          <w:p w14:paraId="35A9E471">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20000</w:t>
            </w:r>
          </w:p>
        </w:tc>
        <w:tc>
          <w:tcPr>
            <w:tcW w:w="495" w:type="pct"/>
            <w:gridSpan w:val="2"/>
            <w:tcBorders>
              <w:tl2br w:val="nil"/>
              <w:tr2bl w:val="nil"/>
            </w:tcBorders>
            <w:noWrap w:val="0"/>
            <w:vAlign w:val="center"/>
          </w:tcPr>
          <w:p w14:paraId="2C0DE588">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s="Times New Roman"/>
                <w:color w:val="auto"/>
                <w:kern w:val="2"/>
                <w:sz w:val="21"/>
                <w:szCs w:val="21"/>
                <w:lang w:val="en-US" w:eastAsia="zh-CN" w:bidi="ar-SA"/>
              </w:rPr>
              <w:t>块/年</w:t>
            </w:r>
          </w:p>
        </w:tc>
        <w:tc>
          <w:tcPr>
            <w:tcW w:w="553" w:type="pct"/>
            <w:gridSpan w:val="2"/>
            <w:tcBorders>
              <w:tl2br w:val="nil"/>
              <w:tr2bl w:val="nil"/>
            </w:tcBorders>
            <w:noWrap w:val="0"/>
            <w:vAlign w:val="center"/>
          </w:tcPr>
          <w:p w14:paraId="0E94FED5">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12E1E302">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14151B29">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1C1F2874">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75E7905C">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18</w:t>
            </w:r>
          </w:p>
        </w:tc>
        <w:tc>
          <w:tcPr>
            <w:tcW w:w="1014" w:type="dxa"/>
            <w:tcBorders>
              <w:tl2br w:val="nil"/>
              <w:tr2bl w:val="nil"/>
            </w:tcBorders>
            <w:noWrap w:val="0"/>
            <w:vAlign w:val="center"/>
          </w:tcPr>
          <w:p w14:paraId="61B30482">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263BBB6E">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血糖试纸</w:t>
            </w:r>
          </w:p>
        </w:tc>
        <w:tc>
          <w:tcPr>
            <w:tcW w:w="1890" w:type="dxa"/>
            <w:gridSpan w:val="2"/>
            <w:tcBorders>
              <w:tl2br w:val="nil"/>
              <w:tr2bl w:val="nil"/>
            </w:tcBorders>
            <w:noWrap w:val="0"/>
            <w:vAlign w:val="center"/>
          </w:tcPr>
          <w:p w14:paraId="2B2EDB6C">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16000</w:t>
            </w:r>
          </w:p>
        </w:tc>
        <w:tc>
          <w:tcPr>
            <w:tcW w:w="1995" w:type="dxa"/>
            <w:gridSpan w:val="3"/>
            <w:tcBorders>
              <w:tl2br w:val="nil"/>
              <w:tr2bl w:val="nil"/>
            </w:tcBorders>
            <w:noWrap w:val="0"/>
            <w:vAlign w:val="center"/>
          </w:tcPr>
          <w:p w14:paraId="1165F184">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16000</w:t>
            </w:r>
          </w:p>
        </w:tc>
        <w:tc>
          <w:tcPr>
            <w:tcW w:w="495" w:type="pct"/>
            <w:gridSpan w:val="2"/>
            <w:tcBorders>
              <w:tl2br w:val="nil"/>
              <w:tr2bl w:val="nil"/>
            </w:tcBorders>
            <w:noWrap w:val="0"/>
            <w:vAlign w:val="center"/>
          </w:tcPr>
          <w:p w14:paraId="3DF96A0E">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s="Times New Roman"/>
                <w:color w:val="auto"/>
                <w:kern w:val="2"/>
                <w:sz w:val="21"/>
                <w:szCs w:val="21"/>
                <w:lang w:val="en-US" w:eastAsia="zh-CN" w:bidi="ar-SA"/>
              </w:rPr>
              <w:t>份/年</w:t>
            </w:r>
          </w:p>
        </w:tc>
        <w:tc>
          <w:tcPr>
            <w:tcW w:w="553" w:type="pct"/>
            <w:gridSpan w:val="2"/>
            <w:tcBorders>
              <w:tl2br w:val="nil"/>
              <w:tr2bl w:val="nil"/>
            </w:tcBorders>
            <w:noWrap w:val="0"/>
            <w:vAlign w:val="center"/>
          </w:tcPr>
          <w:p w14:paraId="1AED6721">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75138B03">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4D195075">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3973AB8D">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2B0D4BE3">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19</w:t>
            </w:r>
          </w:p>
        </w:tc>
        <w:tc>
          <w:tcPr>
            <w:tcW w:w="1014" w:type="dxa"/>
            <w:tcBorders>
              <w:tl2br w:val="nil"/>
              <w:tr2bl w:val="nil"/>
            </w:tcBorders>
            <w:noWrap w:val="0"/>
            <w:vAlign w:val="center"/>
          </w:tcPr>
          <w:p w14:paraId="05C37925">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7ABD51A5">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无菌采血针</w:t>
            </w:r>
          </w:p>
        </w:tc>
        <w:tc>
          <w:tcPr>
            <w:tcW w:w="1890" w:type="dxa"/>
            <w:gridSpan w:val="2"/>
            <w:tcBorders>
              <w:tl2br w:val="nil"/>
              <w:tr2bl w:val="nil"/>
            </w:tcBorders>
            <w:noWrap w:val="0"/>
            <w:vAlign w:val="center"/>
          </w:tcPr>
          <w:p w14:paraId="0577093C">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20000</w:t>
            </w:r>
          </w:p>
        </w:tc>
        <w:tc>
          <w:tcPr>
            <w:tcW w:w="1995" w:type="dxa"/>
            <w:gridSpan w:val="3"/>
            <w:tcBorders>
              <w:tl2br w:val="nil"/>
              <w:tr2bl w:val="nil"/>
            </w:tcBorders>
            <w:noWrap w:val="0"/>
            <w:vAlign w:val="center"/>
          </w:tcPr>
          <w:p w14:paraId="16120D02">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20000</w:t>
            </w:r>
          </w:p>
        </w:tc>
        <w:tc>
          <w:tcPr>
            <w:tcW w:w="495" w:type="pct"/>
            <w:gridSpan w:val="2"/>
            <w:tcBorders>
              <w:tl2br w:val="nil"/>
              <w:tr2bl w:val="nil"/>
            </w:tcBorders>
            <w:noWrap w:val="0"/>
            <w:vAlign w:val="center"/>
          </w:tcPr>
          <w:p w14:paraId="651D41EC">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olor w:val="auto"/>
                <w:sz w:val="21"/>
                <w:szCs w:val="21"/>
                <w:lang w:eastAsia="zh-CN"/>
              </w:rPr>
              <w:t>只</w:t>
            </w:r>
            <w:r>
              <w:rPr>
                <w:rFonts w:hint="eastAsia"/>
                <w:color w:val="auto"/>
                <w:sz w:val="21"/>
                <w:szCs w:val="21"/>
                <w:lang w:val="en-US" w:eastAsia="zh-CN"/>
              </w:rPr>
              <w:t>/年</w:t>
            </w:r>
          </w:p>
        </w:tc>
        <w:tc>
          <w:tcPr>
            <w:tcW w:w="553" w:type="pct"/>
            <w:gridSpan w:val="2"/>
            <w:tcBorders>
              <w:tl2br w:val="nil"/>
              <w:tr2bl w:val="nil"/>
            </w:tcBorders>
            <w:noWrap w:val="0"/>
            <w:vAlign w:val="center"/>
          </w:tcPr>
          <w:p w14:paraId="62BB50A3">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0AEABF94">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3AA4F2B0">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6E2F0E2A">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637B95A3">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20</w:t>
            </w:r>
          </w:p>
        </w:tc>
        <w:tc>
          <w:tcPr>
            <w:tcW w:w="1014" w:type="dxa"/>
            <w:tcBorders>
              <w:tl2br w:val="nil"/>
              <w:tr2bl w:val="nil"/>
            </w:tcBorders>
            <w:noWrap w:val="0"/>
            <w:vAlign w:val="center"/>
          </w:tcPr>
          <w:p w14:paraId="6FCB177F">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00077BF6">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医用棉签</w:t>
            </w:r>
          </w:p>
        </w:tc>
        <w:tc>
          <w:tcPr>
            <w:tcW w:w="1890" w:type="dxa"/>
            <w:gridSpan w:val="2"/>
            <w:tcBorders>
              <w:tl2br w:val="nil"/>
              <w:tr2bl w:val="nil"/>
            </w:tcBorders>
            <w:noWrap w:val="0"/>
            <w:vAlign w:val="center"/>
          </w:tcPr>
          <w:p w14:paraId="1CE8AC17">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40000</w:t>
            </w:r>
          </w:p>
        </w:tc>
        <w:tc>
          <w:tcPr>
            <w:tcW w:w="1995" w:type="dxa"/>
            <w:gridSpan w:val="3"/>
            <w:tcBorders>
              <w:tl2br w:val="nil"/>
              <w:tr2bl w:val="nil"/>
            </w:tcBorders>
            <w:noWrap w:val="0"/>
            <w:vAlign w:val="center"/>
          </w:tcPr>
          <w:p w14:paraId="16B5D413">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40000</w:t>
            </w:r>
          </w:p>
        </w:tc>
        <w:tc>
          <w:tcPr>
            <w:tcW w:w="495" w:type="pct"/>
            <w:gridSpan w:val="2"/>
            <w:tcBorders>
              <w:tl2br w:val="nil"/>
              <w:tr2bl w:val="nil"/>
            </w:tcBorders>
            <w:noWrap w:val="0"/>
            <w:vAlign w:val="center"/>
          </w:tcPr>
          <w:p w14:paraId="7961EB94">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s="Times New Roman"/>
                <w:color w:val="auto"/>
                <w:kern w:val="2"/>
                <w:sz w:val="21"/>
                <w:szCs w:val="21"/>
                <w:lang w:val="en-US" w:eastAsia="zh-CN" w:bidi="ar-SA"/>
              </w:rPr>
              <w:t>包/年</w:t>
            </w:r>
          </w:p>
        </w:tc>
        <w:tc>
          <w:tcPr>
            <w:tcW w:w="553" w:type="pct"/>
            <w:gridSpan w:val="2"/>
            <w:tcBorders>
              <w:tl2br w:val="nil"/>
              <w:tr2bl w:val="nil"/>
            </w:tcBorders>
            <w:noWrap w:val="0"/>
            <w:vAlign w:val="center"/>
          </w:tcPr>
          <w:p w14:paraId="0E038E17">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2BA549E8">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319E3152">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0AFA67DF">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5A653E37">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21</w:t>
            </w:r>
          </w:p>
        </w:tc>
        <w:tc>
          <w:tcPr>
            <w:tcW w:w="1014" w:type="dxa"/>
            <w:tcBorders>
              <w:tl2br w:val="nil"/>
              <w:tr2bl w:val="nil"/>
            </w:tcBorders>
            <w:noWrap w:val="0"/>
            <w:vAlign w:val="center"/>
          </w:tcPr>
          <w:p w14:paraId="7F6FDB6A">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5F6E9715">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大头棉签</w:t>
            </w:r>
          </w:p>
        </w:tc>
        <w:tc>
          <w:tcPr>
            <w:tcW w:w="1890" w:type="dxa"/>
            <w:gridSpan w:val="2"/>
            <w:tcBorders>
              <w:tl2br w:val="nil"/>
              <w:tr2bl w:val="nil"/>
            </w:tcBorders>
            <w:noWrap w:val="0"/>
            <w:vAlign w:val="center"/>
          </w:tcPr>
          <w:p w14:paraId="3EDCB143">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800</w:t>
            </w:r>
          </w:p>
        </w:tc>
        <w:tc>
          <w:tcPr>
            <w:tcW w:w="1995" w:type="dxa"/>
            <w:gridSpan w:val="3"/>
            <w:tcBorders>
              <w:tl2br w:val="nil"/>
              <w:tr2bl w:val="nil"/>
            </w:tcBorders>
            <w:noWrap w:val="0"/>
            <w:vAlign w:val="center"/>
          </w:tcPr>
          <w:p w14:paraId="54AE50F0">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800</w:t>
            </w:r>
          </w:p>
        </w:tc>
        <w:tc>
          <w:tcPr>
            <w:tcW w:w="495" w:type="pct"/>
            <w:gridSpan w:val="2"/>
            <w:tcBorders>
              <w:tl2br w:val="nil"/>
              <w:tr2bl w:val="nil"/>
            </w:tcBorders>
            <w:noWrap w:val="0"/>
            <w:vAlign w:val="center"/>
          </w:tcPr>
          <w:p w14:paraId="655162DB">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olor w:val="auto"/>
                <w:sz w:val="21"/>
                <w:szCs w:val="21"/>
                <w:lang w:eastAsia="zh-CN"/>
              </w:rPr>
              <w:t>只</w:t>
            </w:r>
            <w:r>
              <w:rPr>
                <w:rFonts w:hint="eastAsia"/>
                <w:color w:val="auto"/>
                <w:sz w:val="21"/>
                <w:szCs w:val="21"/>
                <w:lang w:val="en-US" w:eastAsia="zh-CN"/>
              </w:rPr>
              <w:t>/年</w:t>
            </w:r>
          </w:p>
        </w:tc>
        <w:tc>
          <w:tcPr>
            <w:tcW w:w="553" w:type="pct"/>
            <w:gridSpan w:val="2"/>
            <w:tcBorders>
              <w:tl2br w:val="nil"/>
              <w:tr2bl w:val="nil"/>
            </w:tcBorders>
            <w:noWrap w:val="0"/>
            <w:vAlign w:val="center"/>
          </w:tcPr>
          <w:p w14:paraId="03B461BF">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390E6E48">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2B27F998">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41764793">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342975A4">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22</w:t>
            </w:r>
          </w:p>
        </w:tc>
        <w:tc>
          <w:tcPr>
            <w:tcW w:w="1014" w:type="dxa"/>
            <w:tcBorders>
              <w:tl2br w:val="nil"/>
              <w:tr2bl w:val="nil"/>
            </w:tcBorders>
            <w:noWrap w:val="0"/>
            <w:vAlign w:val="center"/>
          </w:tcPr>
          <w:p w14:paraId="04772A18">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28007308">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一次性中单</w:t>
            </w:r>
          </w:p>
        </w:tc>
        <w:tc>
          <w:tcPr>
            <w:tcW w:w="1890" w:type="dxa"/>
            <w:gridSpan w:val="2"/>
            <w:tcBorders>
              <w:tl2br w:val="nil"/>
              <w:tr2bl w:val="nil"/>
            </w:tcBorders>
            <w:noWrap w:val="0"/>
            <w:vAlign w:val="center"/>
          </w:tcPr>
          <w:p w14:paraId="3DA1CAFE">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1500</w:t>
            </w:r>
          </w:p>
        </w:tc>
        <w:tc>
          <w:tcPr>
            <w:tcW w:w="1995" w:type="dxa"/>
            <w:gridSpan w:val="3"/>
            <w:tcBorders>
              <w:tl2br w:val="nil"/>
              <w:tr2bl w:val="nil"/>
            </w:tcBorders>
            <w:noWrap w:val="0"/>
            <w:vAlign w:val="center"/>
          </w:tcPr>
          <w:p w14:paraId="4A4B2614">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1500</w:t>
            </w:r>
          </w:p>
        </w:tc>
        <w:tc>
          <w:tcPr>
            <w:tcW w:w="495" w:type="pct"/>
            <w:gridSpan w:val="2"/>
            <w:tcBorders>
              <w:tl2br w:val="nil"/>
              <w:tr2bl w:val="nil"/>
            </w:tcBorders>
            <w:noWrap w:val="0"/>
            <w:vAlign w:val="center"/>
          </w:tcPr>
          <w:p w14:paraId="0F4B2187">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s="Times New Roman"/>
                <w:color w:val="auto"/>
                <w:kern w:val="2"/>
                <w:sz w:val="21"/>
                <w:szCs w:val="21"/>
                <w:lang w:val="en-US" w:eastAsia="zh-CN" w:bidi="ar-SA"/>
              </w:rPr>
              <w:t>件/年</w:t>
            </w:r>
          </w:p>
        </w:tc>
        <w:tc>
          <w:tcPr>
            <w:tcW w:w="553" w:type="pct"/>
            <w:gridSpan w:val="2"/>
            <w:tcBorders>
              <w:tl2br w:val="nil"/>
              <w:tr2bl w:val="nil"/>
            </w:tcBorders>
            <w:noWrap w:val="0"/>
            <w:vAlign w:val="center"/>
          </w:tcPr>
          <w:p w14:paraId="411BE3B7">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57C60478">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74BA7934">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63328B7D">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4D142C07">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23</w:t>
            </w:r>
          </w:p>
        </w:tc>
        <w:tc>
          <w:tcPr>
            <w:tcW w:w="1014" w:type="dxa"/>
            <w:tcBorders>
              <w:tl2br w:val="nil"/>
              <w:tr2bl w:val="nil"/>
            </w:tcBorders>
            <w:noWrap w:val="0"/>
            <w:vAlign w:val="center"/>
          </w:tcPr>
          <w:p w14:paraId="412D9B55">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2AAA237B">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一次性床罩</w:t>
            </w:r>
          </w:p>
        </w:tc>
        <w:tc>
          <w:tcPr>
            <w:tcW w:w="1890" w:type="dxa"/>
            <w:gridSpan w:val="2"/>
            <w:tcBorders>
              <w:tl2br w:val="nil"/>
              <w:tr2bl w:val="nil"/>
            </w:tcBorders>
            <w:noWrap w:val="0"/>
            <w:vAlign w:val="center"/>
          </w:tcPr>
          <w:p w14:paraId="182387D3">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1000</w:t>
            </w:r>
          </w:p>
        </w:tc>
        <w:tc>
          <w:tcPr>
            <w:tcW w:w="1995" w:type="dxa"/>
            <w:gridSpan w:val="3"/>
            <w:tcBorders>
              <w:tl2br w:val="nil"/>
              <w:tr2bl w:val="nil"/>
            </w:tcBorders>
            <w:noWrap w:val="0"/>
            <w:vAlign w:val="center"/>
          </w:tcPr>
          <w:p w14:paraId="1B1880C1">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1000</w:t>
            </w:r>
          </w:p>
        </w:tc>
        <w:tc>
          <w:tcPr>
            <w:tcW w:w="495" w:type="pct"/>
            <w:gridSpan w:val="2"/>
            <w:tcBorders>
              <w:tl2br w:val="nil"/>
              <w:tr2bl w:val="nil"/>
            </w:tcBorders>
            <w:noWrap w:val="0"/>
            <w:vAlign w:val="center"/>
          </w:tcPr>
          <w:p w14:paraId="1DFC9949">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s="Times New Roman"/>
                <w:color w:val="auto"/>
                <w:kern w:val="2"/>
                <w:sz w:val="21"/>
                <w:szCs w:val="21"/>
                <w:lang w:val="en-US" w:eastAsia="zh-CN" w:bidi="ar-SA"/>
              </w:rPr>
              <w:t>件/年</w:t>
            </w:r>
          </w:p>
        </w:tc>
        <w:tc>
          <w:tcPr>
            <w:tcW w:w="553" w:type="pct"/>
            <w:gridSpan w:val="2"/>
            <w:tcBorders>
              <w:tl2br w:val="nil"/>
              <w:tr2bl w:val="nil"/>
            </w:tcBorders>
            <w:noWrap w:val="0"/>
            <w:vAlign w:val="center"/>
          </w:tcPr>
          <w:p w14:paraId="1FAB18AF">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3976CD5E">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7C0A6EF6">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3B464A97">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55B33EA7">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24</w:t>
            </w:r>
          </w:p>
        </w:tc>
        <w:tc>
          <w:tcPr>
            <w:tcW w:w="1014" w:type="dxa"/>
            <w:tcBorders>
              <w:tl2br w:val="nil"/>
              <w:tr2bl w:val="nil"/>
            </w:tcBorders>
            <w:noWrap w:val="0"/>
            <w:vAlign w:val="center"/>
          </w:tcPr>
          <w:p w14:paraId="55918CF8">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37E760C4">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一次性治疗巾</w:t>
            </w:r>
          </w:p>
        </w:tc>
        <w:tc>
          <w:tcPr>
            <w:tcW w:w="1890" w:type="dxa"/>
            <w:gridSpan w:val="2"/>
            <w:tcBorders>
              <w:tl2br w:val="nil"/>
              <w:tr2bl w:val="nil"/>
            </w:tcBorders>
            <w:noWrap w:val="0"/>
            <w:vAlign w:val="center"/>
          </w:tcPr>
          <w:p w14:paraId="0B0C9F9F">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800</w:t>
            </w:r>
          </w:p>
        </w:tc>
        <w:tc>
          <w:tcPr>
            <w:tcW w:w="1995" w:type="dxa"/>
            <w:gridSpan w:val="3"/>
            <w:tcBorders>
              <w:tl2br w:val="nil"/>
              <w:tr2bl w:val="nil"/>
            </w:tcBorders>
            <w:noWrap w:val="0"/>
            <w:vAlign w:val="center"/>
          </w:tcPr>
          <w:p w14:paraId="7C1AC73C">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800</w:t>
            </w:r>
          </w:p>
        </w:tc>
        <w:tc>
          <w:tcPr>
            <w:tcW w:w="495" w:type="pct"/>
            <w:gridSpan w:val="2"/>
            <w:tcBorders>
              <w:tl2br w:val="nil"/>
              <w:tr2bl w:val="nil"/>
            </w:tcBorders>
            <w:noWrap w:val="0"/>
            <w:vAlign w:val="center"/>
          </w:tcPr>
          <w:p w14:paraId="1DFA8035">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s="Times New Roman"/>
                <w:color w:val="auto"/>
                <w:kern w:val="2"/>
                <w:sz w:val="21"/>
                <w:szCs w:val="21"/>
                <w:lang w:val="en-US" w:eastAsia="zh-CN" w:bidi="ar-SA"/>
              </w:rPr>
              <w:t>件/年</w:t>
            </w:r>
          </w:p>
        </w:tc>
        <w:tc>
          <w:tcPr>
            <w:tcW w:w="553" w:type="pct"/>
            <w:gridSpan w:val="2"/>
            <w:tcBorders>
              <w:tl2br w:val="nil"/>
              <w:tr2bl w:val="nil"/>
            </w:tcBorders>
            <w:noWrap w:val="0"/>
            <w:vAlign w:val="center"/>
          </w:tcPr>
          <w:p w14:paraId="3CA06EF7">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6C8DA49E">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7798740C">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4A385FAD">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028572FC">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25</w:t>
            </w:r>
          </w:p>
        </w:tc>
        <w:tc>
          <w:tcPr>
            <w:tcW w:w="1014" w:type="dxa"/>
            <w:tcBorders>
              <w:tl2br w:val="nil"/>
              <w:tr2bl w:val="nil"/>
            </w:tcBorders>
            <w:noWrap w:val="0"/>
            <w:vAlign w:val="center"/>
          </w:tcPr>
          <w:p w14:paraId="5C2A0CEE">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177E2371">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一次性手术衣</w:t>
            </w:r>
          </w:p>
        </w:tc>
        <w:tc>
          <w:tcPr>
            <w:tcW w:w="1890" w:type="dxa"/>
            <w:gridSpan w:val="2"/>
            <w:tcBorders>
              <w:tl2br w:val="nil"/>
              <w:tr2bl w:val="nil"/>
            </w:tcBorders>
            <w:noWrap w:val="0"/>
            <w:vAlign w:val="center"/>
          </w:tcPr>
          <w:p w14:paraId="31DCFF64">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500</w:t>
            </w:r>
          </w:p>
        </w:tc>
        <w:tc>
          <w:tcPr>
            <w:tcW w:w="1995" w:type="dxa"/>
            <w:gridSpan w:val="3"/>
            <w:tcBorders>
              <w:tl2br w:val="nil"/>
              <w:tr2bl w:val="nil"/>
            </w:tcBorders>
            <w:noWrap w:val="0"/>
            <w:vAlign w:val="center"/>
          </w:tcPr>
          <w:p w14:paraId="3D4747F7">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500</w:t>
            </w:r>
          </w:p>
        </w:tc>
        <w:tc>
          <w:tcPr>
            <w:tcW w:w="495" w:type="pct"/>
            <w:gridSpan w:val="2"/>
            <w:tcBorders>
              <w:tl2br w:val="nil"/>
              <w:tr2bl w:val="nil"/>
            </w:tcBorders>
            <w:noWrap w:val="0"/>
            <w:vAlign w:val="center"/>
          </w:tcPr>
          <w:p w14:paraId="45A6669B">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s="Times New Roman"/>
                <w:color w:val="auto"/>
                <w:kern w:val="2"/>
                <w:sz w:val="21"/>
                <w:szCs w:val="21"/>
                <w:lang w:val="en-US" w:eastAsia="zh-CN" w:bidi="ar-SA"/>
              </w:rPr>
              <w:t>件/年</w:t>
            </w:r>
          </w:p>
        </w:tc>
        <w:tc>
          <w:tcPr>
            <w:tcW w:w="553" w:type="pct"/>
            <w:gridSpan w:val="2"/>
            <w:tcBorders>
              <w:tl2br w:val="nil"/>
              <w:tr2bl w:val="nil"/>
            </w:tcBorders>
            <w:noWrap w:val="0"/>
            <w:vAlign w:val="center"/>
          </w:tcPr>
          <w:p w14:paraId="46159F64">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1FBAE498">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2E00F39A">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60064D97">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507A0D25">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26</w:t>
            </w:r>
          </w:p>
        </w:tc>
        <w:tc>
          <w:tcPr>
            <w:tcW w:w="1014" w:type="dxa"/>
            <w:tcBorders>
              <w:tl2br w:val="nil"/>
              <w:tr2bl w:val="nil"/>
            </w:tcBorders>
            <w:noWrap w:val="0"/>
            <w:vAlign w:val="center"/>
          </w:tcPr>
          <w:p w14:paraId="57DC9C61">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5E2BA4A2">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一次性帽子</w:t>
            </w:r>
          </w:p>
        </w:tc>
        <w:tc>
          <w:tcPr>
            <w:tcW w:w="1890" w:type="dxa"/>
            <w:gridSpan w:val="2"/>
            <w:tcBorders>
              <w:tl2br w:val="nil"/>
              <w:tr2bl w:val="nil"/>
            </w:tcBorders>
            <w:noWrap w:val="0"/>
            <w:vAlign w:val="center"/>
          </w:tcPr>
          <w:p w14:paraId="54082F74">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15000</w:t>
            </w:r>
          </w:p>
        </w:tc>
        <w:tc>
          <w:tcPr>
            <w:tcW w:w="1995" w:type="dxa"/>
            <w:gridSpan w:val="3"/>
            <w:tcBorders>
              <w:tl2br w:val="nil"/>
              <w:tr2bl w:val="nil"/>
            </w:tcBorders>
            <w:noWrap w:val="0"/>
            <w:vAlign w:val="center"/>
          </w:tcPr>
          <w:p w14:paraId="5BDBDEB6">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15000</w:t>
            </w:r>
          </w:p>
        </w:tc>
        <w:tc>
          <w:tcPr>
            <w:tcW w:w="495" w:type="pct"/>
            <w:gridSpan w:val="2"/>
            <w:tcBorders>
              <w:tl2br w:val="nil"/>
              <w:tr2bl w:val="nil"/>
            </w:tcBorders>
            <w:noWrap w:val="0"/>
            <w:vAlign w:val="center"/>
          </w:tcPr>
          <w:p w14:paraId="4BD4E769">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s="Times New Roman"/>
                <w:color w:val="auto"/>
                <w:kern w:val="2"/>
                <w:sz w:val="21"/>
                <w:szCs w:val="21"/>
                <w:lang w:val="en-US" w:eastAsia="zh-CN" w:bidi="ar-SA"/>
              </w:rPr>
              <w:t>顶/年</w:t>
            </w:r>
          </w:p>
        </w:tc>
        <w:tc>
          <w:tcPr>
            <w:tcW w:w="553" w:type="pct"/>
            <w:gridSpan w:val="2"/>
            <w:tcBorders>
              <w:tl2br w:val="nil"/>
              <w:tr2bl w:val="nil"/>
            </w:tcBorders>
            <w:noWrap w:val="0"/>
            <w:vAlign w:val="center"/>
          </w:tcPr>
          <w:p w14:paraId="50A7988F">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123E1707">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5CBE5D11">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63C4BDC6">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1746732C">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27</w:t>
            </w:r>
          </w:p>
        </w:tc>
        <w:tc>
          <w:tcPr>
            <w:tcW w:w="1014" w:type="dxa"/>
            <w:tcBorders>
              <w:tl2br w:val="nil"/>
              <w:tr2bl w:val="nil"/>
            </w:tcBorders>
            <w:noWrap w:val="0"/>
            <w:vAlign w:val="center"/>
          </w:tcPr>
          <w:p w14:paraId="7C07D3DF">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035AC6CE">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灭菌手套</w:t>
            </w:r>
          </w:p>
        </w:tc>
        <w:tc>
          <w:tcPr>
            <w:tcW w:w="1890" w:type="dxa"/>
            <w:gridSpan w:val="2"/>
            <w:tcBorders>
              <w:tl2br w:val="nil"/>
              <w:tr2bl w:val="nil"/>
            </w:tcBorders>
            <w:noWrap w:val="0"/>
            <w:vAlign w:val="center"/>
          </w:tcPr>
          <w:p w14:paraId="644E9C81">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20000</w:t>
            </w:r>
          </w:p>
        </w:tc>
        <w:tc>
          <w:tcPr>
            <w:tcW w:w="1995" w:type="dxa"/>
            <w:gridSpan w:val="3"/>
            <w:tcBorders>
              <w:tl2br w:val="nil"/>
              <w:tr2bl w:val="nil"/>
            </w:tcBorders>
            <w:noWrap w:val="0"/>
            <w:vAlign w:val="center"/>
          </w:tcPr>
          <w:p w14:paraId="691EFD3C">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20000</w:t>
            </w:r>
          </w:p>
        </w:tc>
        <w:tc>
          <w:tcPr>
            <w:tcW w:w="495" w:type="pct"/>
            <w:gridSpan w:val="2"/>
            <w:tcBorders>
              <w:tl2br w:val="nil"/>
              <w:tr2bl w:val="nil"/>
            </w:tcBorders>
            <w:noWrap w:val="0"/>
            <w:vAlign w:val="center"/>
          </w:tcPr>
          <w:p w14:paraId="74FFBDD2">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s="Times New Roman"/>
                <w:color w:val="auto"/>
                <w:kern w:val="2"/>
                <w:sz w:val="21"/>
                <w:szCs w:val="21"/>
                <w:lang w:val="en-US" w:eastAsia="zh-CN" w:bidi="ar-SA"/>
              </w:rPr>
              <w:t>副/年</w:t>
            </w:r>
          </w:p>
        </w:tc>
        <w:tc>
          <w:tcPr>
            <w:tcW w:w="553" w:type="pct"/>
            <w:gridSpan w:val="2"/>
            <w:tcBorders>
              <w:tl2br w:val="nil"/>
              <w:tr2bl w:val="nil"/>
            </w:tcBorders>
            <w:noWrap w:val="0"/>
            <w:vAlign w:val="center"/>
          </w:tcPr>
          <w:p w14:paraId="3748092D">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69FDD559">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72E66D97">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11A1F317">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10001F36">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28</w:t>
            </w:r>
          </w:p>
        </w:tc>
        <w:tc>
          <w:tcPr>
            <w:tcW w:w="1014" w:type="dxa"/>
            <w:tcBorders>
              <w:tl2br w:val="nil"/>
              <w:tr2bl w:val="nil"/>
            </w:tcBorders>
            <w:noWrap w:val="0"/>
            <w:vAlign w:val="center"/>
          </w:tcPr>
          <w:p w14:paraId="03FC2A2B">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6A65C922">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84消毒液</w:t>
            </w:r>
          </w:p>
        </w:tc>
        <w:tc>
          <w:tcPr>
            <w:tcW w:w="1890" w:type="dxa"/>
            <w:gridSpan w:val="2"/>
            <w:tcBorders>
              <w:tl2br w:val="nil"/>
              <w:tr2bl w:val="nil"/>
            </w:tcBorders>
            <w:noWrap w:val="0"/>
            <w:vAlign w:val="center"/>
          </w:tcPr>
          <w:p w14:paraId="44E2C24B">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1650</w:t>
            </w:r>
          </w:p>
        </w:tc>
        <w:tc>
          <w:tcPr>
            <w:tcW w:w="1995" w:type="dxa"/>
            <w:gridSpan w:val="3"/>
            <w:tcBorders>
              <w:tl2br w:val="nil"/>
              <w:tr2bl w:val="nil"/>
            </w:tcBorders>
            <w:noWrap w:val="0"/>
            <w:vAlign w:val="center"/>
          </w:tcPr>
          <w:p w14:paraId="60833E7F">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1650</w:t>
            </w:r>
          </w:p>
        </w:tc>
        <w:tc>
          <w:tcPr>
            <w:tcW w:w="495" w:type="pct"/>
            <w:gridSpan w:val="2"/>
            <w:tcBorders>
              <w:tl2br w:val="nil"/>
              <w:tr2bl w:val="nil"/>
            </w:tcBorders>
            <w:noWrap w:val="0"/>
            <w:vAlign w:val="center"/>
          </w:tcPr>
          <w:p w14:paraId="67731FF0">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s="Times New Roman"/>
                <w:color w:val="auto"/>
                <w:kern w:val="2"/>
                <w:sz w:val="21"/>
                <w:szCs w:val="21"/>
                <w:lang w:val="en-US" w:eastAsia="zh-CN" w:bidi="ar-SA"/>
              </w:rPr>
              <w:t>瓶/年</w:t>
            </w:r>
          </w:p>
        </w:tc>
        <w:tc>
          <w:tcPr>
            <w:tcW w:w="553" w:type="pct"/>
            <w:gridSpan w:val="2"/>
            <w:tcBorders>
              <w:tl2br w:val="nil"/>
              <w:tr2bl w:val="nil"/>
            </w:tcBorders>
            <w:noWrap w:val="0"/>
            <w:vAlign w:val="center"/>
          </w:tcPr>
          <w:p w14:paraId="08B782B9">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717E0687">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12DD012F">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2970A3A5">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587657F4">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29</w:t>
            </w:r>
          </w:p>
        </w:tc>
        <w:tc>
          <w:tcPr>
            <w:tcW w:w="1014" w:type="dxa"/>
            <w:tcBorders>
              <w:tl2br w:val="nil"/>
              <w:tr2bl w:val="nil"/>
            </w:tcBorders>
            <w:noWrap w:val="0"/>
            <w:vAlign w:val="center"/>
          </w:tcPr>
          <w:p w14:paraId="100C7922">
            <w:pPr>
              <w:ind w:left="-107" w:leftChars="-51" w:right="-107" w:rightChars="-51"/>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原料</w:t>
            </w:r>
          </w:p>
        </w:tc>
        <w:tc>
          <w:tcPr>
            <w:tcW w:w="775" w:type="pct"/>
            <w:tcBorders>
              <w:tl2br w:val="nil"/>
              <w:tr2bl w:val="nil"/>
            </w:tcBorders>
            <w:noWrap w:val="0"/>
            <w:vAlign w:val="center"/>
          </w:tcPr>
          <w:p w14:paraId="6D8ED885">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碘伏消毒液</w:t>
            </w:r>
          </w:p>
        </w:tc>
        <w:tc>
          <w:tcPr>
            <w:tcW w:w="1890" w:type="dxa"/>
            <w:gridSpan w:val="2"/>
            <w:tcBorders>
              <w:tl2br w:val="nil"/>
              <w:tr2bl w:val="nil"/>
            </w:tcBorders>
            <w:noWrap w:val="0"/>
            <w:vAlign w:val="center"/>
          </w:tcPr>
          <w:p w14:paraId="474CCB6F">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800</w:t>
            </w:r>
          </w:p>
        </w:tc>
        <w:tc>
          <w:tcPr>
            <w:tcW w:w="1995" w:type="dxa"/>
            <w:gridSpan w:val="3"/>
            <w:tcBorders>
              <w:tl2br w:val="nil"/>
              <w:tr2bl w:val="nil"/>
            </w:tcBorders>
            <w:noWrap w:val="0"/>
            <w:vAlign w:val="center"/>
          </w:tcPr>
          <w:p w14:paraId="7F3FB13B">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800</w:t>
            </w:r>
          </w:p>
        </w:tc>
        <w:tc>
          <w:tcPr>
            <w:tcW w:w="495" w:type="pct"/>
            <w:gridSpan w:val="2"/>
            <w:tcBorders>
              <w:tl2br w:val="nil"/>
              <w:tr2bl w:val="nil"/>
            </w:tcBorders>
            <w:noWrap w:val="0"/>
            <w:vAlign w:val="center"/>
          </w:tcPr>
          <w:p w14:paraId="7A09FCEE">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s="Times New Roman"/>
                <w:color w:val="auto"/>
                <w:kern w:val="2"/>
                <w:sz w:val="21"/>
                <w:szCs w:val="21"/>
                <w:lang w:val="en-US" w:eastAsia="zh-CN" w:bidi="ar-SA"/>
              </w:rPr>
              <w:t>瓶/年</w:t>
            </w:r>
          </w:p>
        </w:tc>
        <w:tc>
          <w:tcPr>
            <w:tcW w:w="553" w:type="pct"/>
            <w:gridSpan w:val="2"/>
            <w:tcBorders>
              <w:tl2br w:val="nil"/>
              <w:tr2bl w:val="nil"/>
            </w:tcBorders>
            <w:noWrap w:val="0"/>
            <w:vAlign w:val="center"/>
          </w:tcPr>
          <w:p w14:paraId="63818BDA">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42699AFF">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1581B600">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42B7031F">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42B2DA8C">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30</w:t>
            </w:r>
          </w:p>
        </w:tc>
        <w:tc>
          <w:tcPr>
            <w:tcW w:w="1014" w:type="dxa"/>
            <w:tcBorders>
              <w:tl2br w:val="nil"/>
              <w:tr2bl w:val="nil"/>
            </w:tcBorders>
            <w:noWrap w:val="0"/>
            <w:vAlign w:val="center"/>
          </w:tcPr>
          <w:p w14:paraId="092A28A2">
            <w:pPr>
              <w:ind w:left="-107" w:leftChars="-51" w:right="-107" w:rightChars="-51"/>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辅料</w:t>
            </w:r>
          </w:p>
        </w:tc>
        <w:tc>
          <w:tcPr>
            <w:tcW w:w="775" w:type="pct"/>
            <w:tcBorders>
              <w:tl2br w:val="nil"/>
              <w:tr2bl w:val="nil"/>
            </w:tcBorders>
            <w:noWrap w:val="0"/>
            <w:vAlign w:val="center"/>
          </w:tcPr>
          <w:p w14:paraId="13F0150A">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s="Times New Roman"/>
                <w:color w:val="auto"/>
                <w:kern w:val="2"/>
                <w:sz w:val="21"/>
                <w:szCs w:val="21"/>
                <w:lang w:val="en-US" w:eastAsia="zh-CN" w:bidi="ar-SA"/>
              </w:rPr>
              <w:t>多酶清洗剂</w:t>
            </w:r>
          </w:p>
        </w:tc>
        <w:tc>
          <w:tcPr>
            <w:tcW w:w="1890" w:type="dxa"/>
            <w:gridSpan w:val="2"/>
            <w:tcBorders>
              <w:tl2br w:val="nil"/>
              <w:tr2bl w:val="nil"/>
            </w:tcBorders>
            <w:noWrap w:val="0"/>
            <w:vAlign w:val="center"/>
          </w:tcPr>
          <w:p w14:paraId="73F031DC">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60</w:t>
            </w:r>
          </w:p>
        </w:tc>
        <w:tc>
          <w:tcPr>
            <w:tcW w:w="1995" w:type="dxa"/>
            <w:gridSpan w:val="3"/>
            <w:tcBorders>
              <w:tl2br w:val="nil"/>
              <w:tr2bl w:val="nil"/>
            </w:tcBorders>
            <w:noWrap w:val="0"/>
            <w:vAlign w:val="center"/>
          </w:tcPr>
          <w:p w14:paraId="599837D1">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60</w:t>
            </w:r>
          </w:p>
        </w:tc>
        <w:tc>
          <w:tcPr>
            <w:tcW w:w="495" w:type="pct"/>
            <w:gridSpan w:val="2"/>
            <w:tcBorders>
              <w:tl2br w:val="nil"/>
              <w:tr2bl w:val="nil"/>
            </w:tcBorders>
            <w:noWrap w:val="0"/>
            <w:vAlign w:val="center"/>
          </w:tcPr>
          <w:p w14:paraId="7B261C52">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s="Times New Roman"/>
                <w:color w:val="auto"/>
                <w:kern w:val="2"/>
                <w:sz w:val="21"/>
                <w:szCs w:val="21"/>
                <w:lang w:val="en-US" w:eastAsia="zh-CN" w:bidi="ar-SA"/>
              </w:rPr>
              <w:t>瓶/年</w:t>
            </w:r>
          </w:p>
        </w:tc>
        <w:tc>
          <w:tcPr>
            <w:tcW w:w="553" w:type="pct"/>
            <w:gridSpan w:val="2"/>
            <w:tcBorders>
              <w:tl2br w:val="nil"/>
              <w:tr2bl w:val="nil"/>
            </w:tcBorders>
            <w:noWrap w:val="0"/>
            <w:vAlign w:val="center"/>
          </w:tcPr>
          <w:p w14:paraId="04344C8D">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1C36EF38">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268B419A">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39141EFC">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211" w:type="pct"/>
            <w:tcBorders>
              <w:tl2br w:val="nil"/>
              <w:tr2bl w:val="nil"/>
            </w:tcBorders>
            <w:noWrap w:val="0"/>
            <w:vAlign w:val="center"/>
          </w:tcPr>
          <w:p w14:paraId="0FC5BCF0">
            <w:pPr>
              <w:pStyle w:val="13"/>
              <w:keepNext w:val="0"/>
              <w:keepLines w:val="0"/>
              <w:pageBreakBefore w:val="0"/>
              <w:widowControl w:val="0"/>
              <w:kinsoku/>
              <w:wordWrap/>
              <w:overflowPunct/>
              <w:topLinePunct w:val="0"/>
              <w:autoSpaceDE/>
              <w:autoSpaceDN/>
              <w:bidi w:val="0"/>
              <w:adjustRightInd w:val="0"/>
              <w:snapToGrid w:val="0"/>
              <w:spacing w:beforeAutospacing="0" w:after="0" w:afterAutospacing="0" w:line="240" w:lineRule="auto"/>
              <w:ind w:left="0" w:leftChars="0" w:right="0" w:rightChars="0"/>
              <w:jc w:val="center"/>
              <w:textAlignment w:val="auto"/>
              <w:rPr>
                <w:rFonts w:hint="eastAsia" w:cs="Times New Roman"/>
                <w:color w:val="000000"/>
                <w:sz w:val="21"/>
                <w:szCs w:val="21"/>
                <w:lang w:val="en-US" w:eastAsia="zh-CN"/>
              </w:rPr>
            </w:pPr>
            <w:r>
              <w:rPr>
                <w:rFonts w:hint="eastAsia" w:cs="Times New Roman"/>
                <w:bCs/>
                <w:color w:val="auto"/>
                <w:sz w:val="21"/>
                <w:szCs w:val="21"/>
                <w:lang w:val="en-US" w:eastAsia="zh-CN"/>
              </w:rPr>
              <w:t>31</w:t>
            </w:r>
          </w:p>
        </w:tc>
        <w:tc>
          <w:tcPr>
            <w:tcW w:w="356" w:type="pct"/>
            <w:tcBorders>
              <w:tl2br w:val="nil"/>
              <w:tr2bl w:val="nil"/>
            </w:tcBorders>
            <w:noWrap w:val="0"/>
            <w:vAlign w:val="center"/>
          </w:tcPr>
          <w:p w14:paraId="6507AFB9">
            <w:pPr>
              <w:ind w:left="-107" w:leftChars="-51" w:right="-107" w:rightChars="-51"/>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辅料</w:t>
            </w:r>
          </w:p>
        </w:tc>
        <w:tc>
          <w:tcPr>
            <w:tcW w:w="775" w:type="pct"/>
            <w:tcBorders>
              <w:tl2br w:val="nil"/>
              <w:tr2bl w:val="nil"/>
            </w:tcBorders>
            <w:noWrap w:val="0"/>
            <w:vAlign w:val="center"/>
          </w:tcPr>
          <w:p w14:paraId="2E9DF6A5">
            <w:pPr>
              <w:keepNext w:val="0"/>
              <w:keepLines w:val="0"/>
              <w:pageBreakBefore w:val="0"/>
              <w:widowControl w:val="0"/>
              <w:bidi w:val="0"/>
              <w:spacing w:beforeAutospacing="0" w:afterAutospacing="0"/>
              <w:ind w:left="0" w:leftChars="0" w:right="0" w:rightChars="0"/>
              <w:jc w:val="center"/>
              <w:rPr>
                <w:rFonts w:hint="eastAsia" w:cs="Times New Roman"/>
                <w:b w:val="0"/>
                <w:bCs/>
                <w:color w:val="auto"/>
                <w:kern w:val="2"/>
                <w:sz w:val="21"/>
                <w:szCs w:val="21"/>
                <w:highlight w:val="none"/>
                <w:lang w:val="en-US" w:eastAsia="zh-CN" w:bidi="ar-SA"/>
              </w:rPr>
            </w:pPr>
            <w:r>
              <w:rPr>
                <w:rFonts w:hint="eastAsia"/>
                <w:color w:val="auto"/>
                <w:highlight w:val="none"/>
                <w:lang w:val="en-US" w:eastAsia="zh-CN"/>
              </w:rPr>
              <w:t>单过硫酸氢钾</w:t>
            </w:r>
          </w:p>
        </w:tc>
        <w:tc>
          <w:tcPr>
            <w:tcW w:w="1890" w:type="dxa"/>
            <w:gridSpan w:val="2"/>
            <w:tcBorders>
              <w:tl2br w:val="nil"/>
              <w:tr2bl w:val="nil"/>
            </w:tcBorders>
            <w:noWrap w:val="0"/>
            <w:vAlign w:val="center"/>
          </w:tcPr>
          <w:p w14:paraId="09E696D9">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3.5</w:t>
            </w:r>
          </w:p>
        </w:tc>
        <w:tc>
          <w:tcPr>
            <w:tcW w:w="1995" w:type="dxa"/>
            <w:gridSpan w:val="3"/>
            <w:tcBorders>
              <w:tl2br w:val="nil"/>
              <w:tr2bl w:val="nil"/>
            </w:tcBorders>
            <w:noWrap w:val="0"/>
            <w:vAlign w:val="center"/>
          </w:tcPr>
          <w:p w14:paraId="2E030279">
            <w:pPr>
              <w:keepNext w:val="0"/>
              <w:keepLines w:val="0"/>
              <w:pageBreakBefore w:val="0"/>
              <w:widowControl w:val="0"/>
              <w:kinsoku/>
              <w:wordWrap/>
              <w:overflowPunct/>
              <w:topLinePunct w:val="0"/>
              <w:autoSpaceDE/>
              <w:autoSpaceDN/>
              <w:bidi w:val="0"/>
              <w:spacing w:beforeAutospacing="0" w:afterAutospacing="0"/>
              <w:ind w:left="0" w:leftChars="0" w:right="0" w:rightChars="0"/>
              <w:jc w:val="center"/>
              <w:textAlignment w:val="auto"/>
              <w:rPr>
                <w:rFonts w:hint="eastAsia" w:cs="Times New Roman"/>
                <w:color w:val="000000"/>
                <w:sz w:val="21"/>
                <w:szCs w:val="21"/>
                <w:lang w:val="en-US" w:eastAsia="zh-CN"/>
              </w:rPr>
            </w:pPr>
            <w:r>
              <w:rPr>
                <w:rFonts w:hint="eastAsia" w:cs="Times New Roman"/>
                <w:color w:val="auto"/>
                <w:kern w:val="2"/>
                <w:sz w:val="21"/>
                <w:szCs w:val="21"/>
                <w:lang w:val="en-US" w:eastAsia="zh-CN" w:bidi="ar-SA"/>
              </w:rPr>
              <w:t>3.5</w:t>
            </w:r>
          </w:p>
        </w:tc>
        <w:tc>
          <w:tcPr>
            <w:tcW w:w="495" w:type="pct"/>
            <w:gridSpan w:val="2"/>
            <w:tcBorders>
              <w:tl2br w:val="nil"/>
              <w:tr2bl w:val="nil"/>
            </w:tcBorders>
            <w:noWrap w:val="0"/>
            <w:vAlign w:val="center"/>
          </w:tcPr>
          <w:p w14:paraId="14828B60">
            <w:pPr>
              <w:keepNext w:val="0"/>
              <w:keepLines w:val="0"/>
              <w:pageBreakBefore w:val="0"/>
              <w:widowControl w:val="0"/>
              <w:bidi w:val="0"/>
              <w:spacing w:beforeAutospacing="0" w:afterAutospacing="0"/>
              <w:ind w:left="0" w:leftChars="0" w:right="0" w:rightChars="0"/>
              <w:jc w:val="center"/>
              <w:rPr>
                <w:rFonts w:hint="eastAsia" w:ascii="Times New Roman" w:hAnsi="Times New Roman" w:cs="Times New Roman"/>
                <w:b w:val="0"/>
                <w:bCs w:val="0"/>
                <w:color w:val="auto"/>
                <w:kern w:val="0"/>
                <w:sz w:val="21"/>
                <w:szCs w:val="21"/>
                <w:lang w:val="en-US" w:eastAsia="zh-CN"/>
              </w:rPr>
            </w:pPr>
            <w:r>
              <w:rPr>
                <w:rFonts w:hint="eastAsia" w:cs="Times New Roman"/>
                <w:color w:val="auto"/>
                <w:kern w:val="2"/>
                <w:sz w:val="21"/>
                <w:szCs w:val="21"/>
                <w:lang w:val="en-US" w:eastAsia="zh-CN" w:bidi="ar-SA"/>
              </w:rPr>
              <w:t>吨/年</w:t>
            </w:r>
          </w:p>
        </w:tc>
        <w:tc>
          <w:tcPr>
            <w:tcW w:w="553" w:type="pct"/>
            <w:gridSpan w:val="2"/>
            <w:tcBorders>
              <w:tl2br w:val="nil"/>
              <w:tr2bl w:val="nil"/>
            </w:tcBorders>
            <w:noWrap w:val="0"/>
            <w:vAlign w:val="center"/>
          </w:tcPr>
          <w:p w14:paraId="1020DFB4">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859" w:type="pct"/>
            <w:gridSpan w:val="3"/>
            <w:tcBorders>
              <w:tl2br w:val="nil"/>
              <w:tr2bl w:val="nil"/>
            </w:tcBorders>
            <w:noWrap w:val="0"/>
            <w:vAlign w:val="center"/>
          </w:tcPr>
          <w:p w14:paraId="26E1C0A9">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380" w:type="pct"/>
            <w:gridSpan w:val="2"/>
            <w:tcBorders>
              <w:tl2br w:val="nil"/>
              <w:tr2bl w:val="nil"/>
            </w:tcBorders>
            <w:noWrap w:val="0"/>
            <w:vAlign w:val="center"/>
          </w:tcPr>
          <w:p w14:paraId="336390A8">
            <w:pPr>
              <w:ind w:left="-107" w:leftChars="-51" w:right="-107" w:rightChars="-51"/>
              <w:jc w:val="center"/>
              <w:rPr>
                <w:rFonts w:hint="eastAsia" w:ascii="Times New Roman" w:hAnsi="Times New Roman" w:eastAsia="宋体" w:cs="Times New Roman"/>
                <w:color w:val="000000"/>
                <w:sz w:val="21"/>
                <w:szCs w:val="21"/>
                <w:lang w:val="en-US" w:eastAsia="zh-CN"/>
              </w:rPr>
            </w:pPr>
          </w:p>
        </w:tc>
      </w:tr>
      <w:tr w14:paraId="1FB07880">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3" w:type="pct"/>
          <w:trHeight w:val="0" w:hRule="atLeast"/>
          <w:jc w:val="center"/>
        </w:trPr>
        <w:tc>
          <w:tcPr>
            <w:tcW w:w="4996" w:type="pct"/>
            <w:gridSpan w:val="17"/>
            <w:tcBorders>
              <w:tl2br w:val="nil"/>
              <w:tr2bl w:val="nil"/>
            </w:tcBorders>
            <w:noWrap w:val="0"/>
            <w:vAlign w:val="center"/>
          </w:tcPr>
          <w:p w14:paraId="583B1FC4">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燃料</w:t>
            </w:r>
          </w:p>
        </w:tc>
      </w:tr>
      <w:tr w14:paraId="407367B2">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211" w:type="pct"/>
            <w:tcBorders>
              <w:tl2br w:val="nil"/>
              <w:tr2bl w:val="nil"/>
            </w:tcBorders>
            <w:noWrap w:val="0"/>
            <w:vAlign w:val="center"/>
          </w:tcPr>
          <w:p w14:paraId="793412A8">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序号</w:t>
            </w:r>
          </w:p>
        </w:tc>
        <w:tc>
          <w:tcPr>
            <w:tcW w:w="356" w:type="pct"/>
            <w:tcBorders>
              <w:tl2br w:val="nil"/>
              <w:tr2bl w:val="nil"/>
            </w:tcBorders>
            <w:noWrap w:val="0"/>
            <w:vAlign w:val="center"/>
          </w:tcPr>
          <w:p w14:paraId="4BA109AA">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燃料名称</w:t>
            </w:r>
          </w:p>
        </w:tc>
        <w:tc>
          <w:tcPr>
            <w:tcW w:w="775" w:type="pct"/>
            <w:tcBorders>
              <w:tl2br w:val="nil"/>
              <w:tr2bl w:val="nil"/>
            </w:tcBorders>
            <w:noWrap w:val="0"/>
            <w:vAlign w:val="center"/>
          </w:tcPr>
          <w:p w14:paraId="1FA832EE">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设计年使用量</w:t>
            </w:r>
          </w:p>
        </w:tc>
        <w:tc>
          <w:tcPr>
            <w:tcW w:w="274" w:type="pct"/>
            <w:tcBorders>
              <w:tl2br w:val="nil"/>
              <w:tr2bl w:val="nil"/>
            </w:tcBorders>
            <w:noWrap w:val="0"/>
            <w:vAlign w:val="center"/>
          </w:tcPr>
          <w:p w14:paraId="4327C66C">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年最大使用量</w:t>
            </w:r>
          </w:p>
        </w:tc>
        <w:tc>
          <w:tcPr>
            <w:tcW w:w="405" w:type="pct"/>
            <w:gridSpan w:val="2"/>
            <w:tcBorders>
              <w:tl2br w:val="nil"/>
              <w:tr2bl w:val="nil"/>
            </w:tcBorders>
            <w:noWrap w:val="0"/>
            <w:vAlign w:val="center"/>
          </w:tcPr>
          <w:p w14:paraId="14355455">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计量单位</w:t>
            </w:r>
          </w:p>
        </w:tc>
        <w:tc>
          <w:tcPr>
            <w:tcW w:w="395" w:type="pct"/>
            <w:tcBorders>
              <w:tl2br w:val="nil"/>
              <w:tr2bl w:val="nil"/>
            </w:tcBorders>
            <w:noWrap w:val="0"/>
            <w:vAlign w:val="center"/>
          </w:tcPr>
          <w:p w14:paraId="0BAA08D9">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灰分(%)</w:t>
            </w:r>
          </w:p>
        </w:tc>
        <w:tc>
          <w:tcPr>
            <w:tcW w:w="363" w:type="pct"/>
            <w:gridSpan w:val="2"/>
            <w:tcBorders>
              <w:tl2br w:val="nil"/>
              <w:tr2bl w:val="nil"/>
            </w:tcBorders>
            <w:noWrap w:val="0"/>
            <w:vAlign w:val="center"/>
          </w:tcPr>
          <w:p w14:paraId="7D23650C">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硫分(%)</w:t>
            </w:r>
          </w:p>
        </w:tc>
        <w:tc>
          <w:tcPr>
            <w:tcW w:w="490" w:type="pct"/>
            <w:gridSpan w:val="2"/>
            <w:tcBorders>
              <w:tl2br w:val="nil"/>
              <w:tr2bl w:val="nil"/>
            </w:tcBorders>
            <w:noWrap w:val="0"/>
            <w:vAlign w:val="center"/>
          </w:tcPr>
          <w:p w14:paraId="3F39A2AF">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挥发分(%)</w:t>
            </w:r>
          </w:p>
        </w:tc>
        <w:tc>
          <w:tcPr>
            <w:tcW w:w="537" w:type="pct"/>
            <w:gridSpan w:val="2"/>
            <w:tcBorders>
              <w:tl2br w:val="nil"/>
              <w:tr2bl w:val="nil"/>
            </w:tcBorders>
            <w:noWrap w:val="0"/>
            <w:vAlign w:val="center"/>
          </w:tcPr>
          <w:p w14:paraId="12C6ABA9">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低位热值（（MJ/m³））</w:t>
            </w:r>
          </w:p>
        </w:tc>
        <w:tc>
          <w:tcPr>
            <w:tcW w:w="395" w:type="pct"/>
            <w:tcBorders>
              <w:tl2br w:val="nil"/>
              <w:tr2bl w:val="nil"/>
            </w:tcBorders>
            <w:noWrap w:val="0"/>
            <w:vAlign w:val="center"/>
          </w:tcPr>
          <w:p w14:paraId="375FBA53">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有毒有害物质</w:t>
            </w:r>
          </w:p>
        </w:tc>
        <w:tc>
          <w:tcPr>
            <w:tcW w:w="434" w:type="pct"/>
            <w:gridSpan w:val="2"/>
            <w:tcBorders>
              <w:tl2br w:val="nil"/>
              <w:tr2bl w:val="nil"/>
            </w:tcBorders>
            <w:noWrap w:val="0"/>
            <w:vAlign w:val="center"/>
          </w:tcPr>
          <w:p w14:paraId="64CD48CC">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有毒有害物质成分占比(%)</w:t>
            </w:r>
          </w:p>
        </w:tc>
        <w:tc>
          <w:tcPr>
            <w:tcW w:w="360" w:type="pct"/>
            <w:gridSpan w:val="2"/>
            <w:tcBorders>
              <w:tl2br w:val="nil"/>
              <w:tr2bl w:val="nil"/>
            </w:tcBorders>
            <w:noWrap w:val="0"/>
            <w:vAlign w:val="center"/>
          </w:tcPr>
          <w:p w14:paraId="6E4F4EF9">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其他信息</w:t>
            </w:r>
          </w:p>
        </w:tc>
      </w:tr>
      <w:tr w14:paraId="73A0E291">
        <w:tblPrEx>
          <w:tblBorders>
            <w:top w:val="single" w:color="auto" w:sz="8" w:space="0"/>
            <w:left w:val="single" w:color="auto" w:sz="8" w:space="0"/>
            <w:bottom w:val="single" w:color="auto" w:sz="6"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211" w:type="pct"/>
            <w:tcBorders>
              <w:tl2br w:val="nil"/>
              <w:tr2bl w:val="nil"/>
            </w:tcBorders>
            <w:noWrap w:val="0"/>
            <w:vAlign w:val="center"/>
          </w:tcPr>
          <w:p w14:paraId="0368437A">
            <w:pPr>
              <w:ind w:left="-107" w:leftChars="-51" w:right="-107" w:rightChars="-51"/>
              <w:jc w:val="center"/>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lang w:val="en-US" w:eastAsia="zh-CN"/>
              </w:rPr>
              <w:t>1</w:t>
            </w:r>
          </w:p>
        </w:tc>
        <w:tc>
          <w:tcPr>
            <w:tcW w:w="356" w:type="pct"/>
            <w:tcBorders>
              <w:tl2br w:val="nil"/>
              <w:tr2bl w:val="nil"/>
            </w:tcBorders>
            <w:noWrap w:val="0"/>
            <w:vAlign w:val="center"/>
          </w:tcPr>
          <w:p w14:paraId="6153E82C">
            <w:pPr>
              <w:ind w:left="-107" w:leftChars="-51" w:right="-107" w:rightChars="-51"/>
              <w:jc w:val="center"/>
              <w:rPr>
                <w:rFonts w:hint="default" w:ascii="Times New Roman" w:hAnsi="Times New Roman" w:eastAsia="宋体" w:cs="Times New Roman"/>
                <w:color w:val="000000"/>
                <w:szCs w:val="21"/>
                <w:lang w:val="en-US" w:eastAsia="zh-CN"/>
              </w:rPr>
            </w:pPr>
            <w:r>
              <w:rPr>
                <w:rFonts w:hint="eastAsia" w:ascii="宋体" w:hAnsi="宋体"/>
                <w:color w:val="000000"/>
                <w:szCs w:val="21"/>
                <w:lang w:val="en-US" w:eastAsia="zh-CN"/>
              </w:rPr>
              <w:t>-</w:t>
            </w:r>
          </w:p>
        </w:tc>
        <w:tc>
          <w:tcPr>
            <w:tcW w:w="775" w:type="pct"/>
            <w:tcBorders>
              <w:tl2br w:val="nil"/>
              <w:tr2bl w:val="nil"/>
            </w:tcBorders>
            <w:noWrap w:val="0"/>
            <w:vAlign w:val="center"/>
          </w:tcPr>
          <w:p w14:paraId="20A0BA84">
            <w:pPr>
              <w:ind w:left="-107" w:leftChars="-51" w:right="-107" w:rightChars="-51"/>
              <w:jc w:val="center"/>
              <w:rPr>
                <w:rFonts w:hint="default" w:ascii="Times New Roman" w:hAnsi="Times New Roman" w:eastAsia="宋体" w:cs="Times New Roman"/>
                <w:color w:val="000000"/>
                <w:szCs w:val="21"/>
                <w:lang w:val="en-US" w:eastAsia="zh-CN"/>
              </w:rPr>
            </w:pPr>
            <w:r>
              <w:rPr>
                <w:rFonts w:hint="eastAsia" w:ascii="宋体" w:hAnsi="宋体"/>
                <w:color w:val="000000"/>
                <w:szCs w:val="21"/>
                <w:lang w:val="en-US" w:eastAsia="zh-CN"/>
              </w:rPr>
              <w:t>-</w:t>
            </w:r>
          </w:p>
        </w:tc>
        <w:tc>
          <w:tcPr>
            <w:tcW w:w="274" w:type="pct"/>
            <w:tcBorders>
              <w:tl2br w:val="nil"/>
              <w:tr2bl w:val="nil"/>
            </w:tcBorders>
            <w:noWrap w:val="0"/>
            <w:vAlign w:val="center"/>
          </w:tcPr>
          <w:p w14:paraId="7F0B1C4A">
            <w:pPr>
              <w:ind w:left="-107" w:leftChars="-51" w:right="-107" w:rightChars="-51"/>
              <w:jc w:val="center"/>
              <w:rPr>
                <w:rFonts w:hint="default" w:ascii="Times New Roman" w:hAnsi="Times New Roman" w:cs="Times New Roman"/>
                <w:color w:val="000000"/>
                <w:szCs w:val="21"/>
              </w:rPr>
            </w:pPr>
            <w:r>
              <w:rPr>
                <w:rFonts w:hint="eastAsia" w:ascii="宋体" w:hAnsi="宋体"/>
                <w:color w:val="000000"/>
                <w:szCs w:val="21"/>
                <w:lang w:val="en-US" w:eastAsia="zh-CN"/>
              </w:rPr>
              <w:t>-</w:t>
            </w:r>
          </w:p>
        </w:tc>
        <w:tc>
          <w:tcPr>
            <w:tcW w:w="405" w:type="pct"/>
            <w:gridSpan w:val="2"/>
            <w:tcBorders>
              <w:tl2br w:val="nil"/>
              <w:tr2bl w:val="nil"/>
            </w:tcBorders>
            <w:noWrap w:val="0"/>
            <w:vAlign w:val="center"/>
          </w:tcPr>
          <w:p w14:paraId="49423D8A">
            <w:pPr>
              <w:ind w:left="-107" w:leftChars="-51" w:right="-107" w:rightChars="-51"/>
              <w:jc w:val="center"/>
              <w:rPr>
                <w:rFonts w:ascii="宋体" w:hAnsi="宋体"/>
                <w:color w:val="000000"/>
                <w:szCs w:val="21"/>
              </w:rPr>
            </w:pPr>
            <w:r>
              <w:rPr>
                <w:rFonts w:hint="eastAsia" w:ascii="宋体" w:hAnsi="宋体"/>
                <w:color w:val="000000"/>
                <w:szCs w:val="21"/>
                <w:lang w:val="en-US" w:eastAsia="zh-CN"/>
              </w:rPr>
              <w:t>-</w:t>
            </w:r>
          </w:p>
        </w:tc>
        <w:tc>
          <w:tcPr>
            <w:tcW w:w="395" w:type="pct"/>
            <w:tcBorders>
              <w:tl2br w:val="nil"/>
              <w:tr2bl w:val="nil"/>
            </w:tcBorders>
            <w:noWrap w:val="0"/>
            <w:vAlign w:val="center"/>
          </w:tcPr>
          <w:p w14:paraId="5867F917">
            <w:pPr>
              <w:ind w:left="-107" w:leftChars="-51" w:right="-107" w:rightChars="-51"/>
              <w:jc w:val="center"/>
              <w:rPr>
                <w:rFonts w:ascii="宋体" w:hAnsi="宋体"/>
                <w:color w:val="000000"/>
                <w:szCs w:val="21"/>
              </w:rPr>
            </w:pPr>
            <w:r>
              <w:rPr>
                <w:rFonts w:hint="eastAsia" w:ascii="宋体" w:hAnsi="宋体"/>
                <w:color w:val="000000"/>
                <w:szCs w:val="21"/>
                <w:lang w:val="en-US" w:eastAsia="zh-CN"/>
              </w:rPr>
              <w:t>-</w:t>
            </w:r>
          </w:p>
        </w:tc>
        <w:tc>
          <w:tcPr>
            <w:tcW w:w="363" w:type="pct"/>
            <w:gridSpan w:val="2"/>
            <w:tcBorders>
              <w:tl2br w:val="nil"/>
              <w:tr2bl w:val="nil"/>
            </w:tcBorders>
            <w:noWrap w:val="0"/>
            <w:vAlign w:val="center"/>
          </w:tcPr>
          <w:p w14:paraId="599C69D3">
            <w:pPr>
              <w:ind w:left="-107" w:leftChars="-51" w:right="-107" w:rightChars="-51"/>
              <w:jc w:val="center"/>
              <w:rPr>
                <w:rFonts w:hint="default" w:ascii="Times New Roman" w:hAnsi="Times New Roman" w:eastAsia="宋体" w:cs="Times New Roman"/>
                <w:color w:val="000000"/>
                <w:szCs w:val="21"/>
                <w:lang w:val="en-US" w:eastAsia="zh-CN"/>
              </w:rPr>
            </w:pPr>
            <w:r>
              <w:rPr>
                <w:rFonts w:hint="eastAsia" w:ascii="宋体" w:hAnsi="宋体"/>
                <w:color w:val="000000"/>
                <w:szCs w:val="21"/>
                <w:lang w:val="en-US" w:eastAsia="zh-CN"/>
              </w:rPr>
              <w:t>-</w:t>
            </w:r>
          </w:p>
        </w:tc>
        <w:tc>
          <w:tcPr>
            <w:tcW w:w="490" w:type="pct"/>
            <w:gridSpan w:val="2"/>
            <w:tcBorders>
              <w:tl2br w:val="nil"/>
              <w:tr2bl w:val="nil"/>
            </w:tcBorders>
            <w:noWrap w:val="0"/>
            <w:vAlign w:val="center"/>
          </w:tcPr>
          <w:p w14:paraId="5846ADF2">
            <w:pPr>
              <w:ind w:left="-107" w:leftChars="-51" w:right="-107" w:rightChars="-51"/>
              <w:jc w:val="center"/>
              <w:rPr>
                <w:rFonts w:ascii="宋体" w:hAnsi="宋体"/>
                <w:color w:val="000000"/>
                <w:szCs w:val="21"/>
              </w:rPr>
            </w:pPr>
            <w:r>
              <w:rPr>
                <w:rFonts w:hint="eastAsia" w:ascii="宋体" w:hAnsi="宋体"/>
                <w:color w:val="000000"/>
                <w:szCs w:val="21"/>
                <w:lang w:val="en-US" w:eastAsia="zh-CN"/>
              </w:rPr>
              <w:t>-</w:t>
            </w:r>
          </w:p>
        </w:tc>
        <w:tc>
          <w:tcPr>
            <w:tcW w:w="537" w:type="pct"/>
            <w:gridSpan w:val="2"/>
            <w:tcBorders>
              <w:tl2br w:val="nil"/>
              <w:tr2bl w:val="nil"/>
            </w:tcBorders>
            <w:noWrap w:val="0"/>
            <w:vAlign w:val="center"/>
          </w:tcPr>
          <w:p w14:paraId="29B414D2">
            <w:pPr>
              <w:ind w:left="-107" w:leftChars="-51" w:right="-107" w:rightChars="-51"/>
              <w:jc w:val="center"/>
              <w:rPr>
                <w:rFonts w:ascii="宋体" w:hAnsi="宋体"/>
                <w:color w:val="000000"/>
                <w:szCs w:val="21"/>
              </w:rPr>
            </w:pPr>
            <w:r>
              <w:rPr>
                <w:rFonts w:hint="eastAsia" w:ascii="宋体" w:hAnsi="宋体"/>
                <w:color w:val="000000"/>
                <w:szCs w:val="21"/>
                <w:lang w:val="en-US" w:eastAsia="zh-CN"/>
              </w:rPr>
              <w:t>-</w:t>
            </w:r>
          </w:p>
        </w:tc>
        <w:tc>
          <w:tcPr>
            <w:tcW w:w="395" w:type="pct"/>
            <w:tcBorders>
              <w:tl2br w:val="nil"/>
              <w:tr2bl w:val="nil"/>
            </w:tcBorders>
            <w:noWrap w:val="0"/>
            <w:vAlign w:val="center"/>
          </w:tcPr>
          <w:p w14:paraId="016B4883">
            <w:pPr>
              <w:ind w:left="-107" w:leftChars="-51" w:right="-107" w:rightChars="-51"/>
              <w:jc w:val="center"/>
              <w:rPr>
                <w:rFonts w:ascii="宋体" w:hAnsi="宋体"/>
                <w:color w:val="000000"/>
                <w:szCs w:val="21"/>
              </w:rPr>
            </w:pPr>
            <w:r>
              <w:rPr>
                <w:rFonts w:hint="eastAsia" w:ascii="宋体" w:hAnsi="宋体"/>
                <w:color w:val="000000"/>
                <w:szCs w:val="21"/>
                <w:lang w:val="en-US" w:eastAsia="zh-CN"/>
              </w:rPr>
              <w:t>-</w:t>
            </w:r>
          </w:p>
        </w:tc>
        <w:tc>
          <w:tcPr>
            <w:tcW w:w="434" w:type="pct"/>
            <w:gridSpan w:val="2"/>
            <w:tcBorders>
              <w:tl2br w:val="nil"/>
              <w:tr2bl w:val="nil"/>
            </w:tcBorders>
            <w:noWrap w:val="0"/>
            <w:vAlign w:val="center"/>
          </w:tcPr>
          <w:p w14:paraId="17E6D6C2">
            <w:pPr>
              <w:ind w:left="-107" w:leftChars="-51" w:right="-107" w:rightChars="-51"/>
              <w:jc w:val="center"/>
              <w:rPr>
                <w:rFonts w:ascii="宋体" w:hAnsi="宋体"/>
                <w:color w:val="000000"/>
                <w:szCs w:val="21"/>
              </w:rPr>
            </w:pPr>
            <w:r>
              <w:rPr>
                <w:rFonts w:hint="eastAsia" w:ascii="宋体" w:hAnsi="宋体"/>
                <w:color w:val="000000"/>
                <w:szCs w:val="21"/>
                <w:lang w:val="en-US" w:eastAsia="zh-CN"/>
              </w:rPr>
              <w:t>-</w:t>
            </w:r>
          </w:p>
        </w:tc>
        <w:tc>
          <w:tcPr>
            <w:tcW w:w="360" w:type="pct"/>
            <w:gridSpan w:val="2"/>
            <w:tcBorders>
              <w:tl2br w:val="nil"/>
              <w:tr2bl w:val="nil"/>
            </w:tcBorders>
            <w:noWrap w:val="0"/>
            <w:vAlign w:val="center"/>
          </w:tcPr>
          <w:p w14:paraId="4D22E787">
            <w:pPr>
              <w:ind w:left="-107" w:leftChars="-51" w:right="-107" w:rightChars="-51"/>
              <w:jc w:val="center"/>
              <w:rPr>
                <w:rFonts w:ascii="宋体" w:hAnsi="宋体"/>
                <w:color w:val="000000"/>
                <w:szCs w:val="21"/>
              </w:rPr>
            </w:pPr>
            <w:r>
              <w:rPr>
                <w:rFonts w:hint="eastAsia" w:ascii="宋体" w:hAnsi="宋体"/>
                <w:color w:val="000000"/>
                <w:szCs w:val="21"/>
                <w:lang w:val="en-US" w:eastAsia="zh-CN"/>
              </w:rPr>
              <w:t>-</w:t>
            </w:r>
          </w:p>
        </w:tc>
      </w:tr>
    </w:tbl>
    <w:p w14:paraId="570718E3">
      <w:pPr>
        <w:jc w:val="center"/>
        <w:rPr>
          <w:rFonts w:hint="default" w:ascii="Times New Roman" w:hAnsi="Times New Roman" w:eastAsia="宋体" w:cs="Times New Roman"/>
          <w:b/>
          <w:color w:val="auto"/>
          <w:kern w:val="2"/>
          <w:sz w:val="30"/>
          <w:szCs w:val="30"/>
          <w:lang w:val="en-US" w:eastAsia="zh-CN" w:bidi="ar-SA"/>
        </w:rPr>
      </w:pPr>
      <w:r>
        <w:rPr>
          <w:rFonts w:hint="eastAsia" w:ascii="Times New Roman" w:hAnsi="Times New Roman" w:eastAsia="宋体" w:cs="Times New Roman"/>
          <w:b/>
          <w:color w:val="auto"/>
          <w:kern w:val="2"/>
          <w:sz w:val="30"/>
          <w:szCs w:val="30"/>
          <w:lang w:val="en-US" w:eastAsia="zh-CN" w:bidi="ar-SA"/>
        </w:rPr>
        <w:t>表3  建设项目主要生产设施一览表</w:t>
      </w:r>
    </w:p>
    <w:tbl>
      <w:tblPr>
        <w:tblStyle w:val="27"/>
        <w:tblW w:w="4996" w:type="pct"/>
        <w:jc w:val="center"/>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330"/>
        <w:gridCol w:w="1482"/>
        <w:gridCol w:w="1376"/>
        <w:gridCol w:w="1314"/>
        <w:gridCol w:w="2457"/>
        <w:gridCol w:w="1667"/>
        <w:gridCol w:w="1018"/>
        <w:gridCol w:w="711"/>
        <w:gridCol w:w="816"/>
        <w:gridCol w:w="1112"/>
        <w:gridCol w:w="1303"/>
        <w:gridCol w:w="623"/>
      </w:tblGrid>
      <w:tr w14:paraId="1B603CCD">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116" w:type="pct"/>
            <w:vMerge w:val="restart"/>
            <w:tcBorders>
              <w:tl2br w:val="nil"/>
              <w:tr2bl w:val="nil"/>
            </w:tcBorders>
            <w:noWrap w:val="0"/>
            <w:vAlign w:val="center"/>
          </w:tcPr>
          <w:p w14:paraId="44269298">
            <w:pPr>
              <w:adjustRightInd w:val="0"/>
              <w:snapToGrid w:val="0"/>
              <w:ind w:left="-107" w:leftChars="-51" w:right="-107" w:rightChars="-51"/>
              <w:jc w:val="center"/>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序</w:t>
            </w:r>
          </w:p>
          <w:p w14:paraId="0EBC31EE">
            <w:pPr>
              <w:adjustRightInd w:val="0"/>
              <w:snapToGrid w:val="0"/>
              <w:ind w:left="-107" w:leftChars="-51" w:right="-107" w:rightChars="-51"/>
              <w:jc w:val="center"/>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号</w:t>
            </w:r>
          </w:p>
        </w:tc>
        <w:tc>
          <w:tcPr>
            <w:tcW w:w="521" w:type="pct"/>
            <w:vMerge w:val="restart"/>
            <w:tcBorders>
              <w:tl2br w:val="nil"/>
              <w:tr2bl w:val="nil"/>
            </w:tcBorders>
            <w:noWrap w:val="0"/>
            <w:vAlign w:val="center"/>
          </w:tcPr>
          <w:p w14:paraId="5CCC931C">
            <w:pPr>
              <w:adjustRightInd w:val="0"/>
              <w:snapToGrid w:val="0"/>
              <w:ind w:left="-107" w:leftChars="-51" w:right="-107" w:rightChars="-51"/>
              <w:jc w:val="center"/>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生产线名称</w:t>
            </w:r>
          </w:p>
        </w:tc>
        <w:tc>
          <w:tcPr>
            <w:tcW w:w="484" w:type="pct"/>
            <w:vMerge w:val="restart"/>
            <w:tcBorders>
              <w:tl2br w:val="nil"/>
              <w:tr2bl w:val="nil"/>
            </w:tcBorders>
            <w:noWrap w:val="0"/>
            <w:vAlign w:val="center"/>
          </w:tcPr>
          <w:p w14:paraId="2D842CC3">
            <w:pPr>
              <w:adjustRightInd w:val="0"/>
              <w:snapToGrid w:val="0"/>
              <w:ind w:left="-107" w:leftChars="-51" w:right="-107" w:rightChars="-51"/>
              <w:jc w:val="center"/>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主要生产单元名称</w:t>
            </w:r>
          </w:p>
          <w:p w14:paraId="4140ACEA">
            <w:pPr>
              <w:adjustRightInd w:val="0"/>
              <w:snapToGrid w:val="0"/>
              <w:ind w:left="-107" w:leftChars="-51" w:right="-107" w:rightChars="-51"/>
              <w:jc w:val="center"/>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（总平图中标识）</w:t>
            </w:r>
          </w:p>
        </w:tc>
        <w:tc>
          <w:tcPr>
            <w:tcW w:w="462" w:type="pct"/>
            <w:vMerge w:val="restart"/>
            <w:tcBorders>
              <w:tl2br w:val="nil"/>
              <w:tr2bl w:val="nil"/>
            </w:tcBorders>
            <w:noWrap w:val="0"/>
            <w:vAlign w:val="center"/>
          </w:tcPr>
          <w:p w14:paraId="59B72396">
            <w:pPr>
              <w:adjustRightInd w:val="0"/>
              <w:snapToGrid w:val="0"/>
              <w:ind w:left="-107" w:leftChars="-51" w:right="-107" w:rightChars="-51"/>
              <w:jc w:val="center"/>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主要工艺名称</w:t>
            </w:r>
          </w:p>
          <w:p w14:paraId="3B580782">
            <w:pPr>
              <w:adjustRightInd w:val="0"/>
              <w:snapToGrid w:val="0"/>
              <w:ind w:left="-107" w:leftChars="-51" w:right="-107" w:rightChars="-51"/>
              <w:jc w:val="center"/>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（工艺流程图中标识）</w:t>
            </w:r>
          </w:p>
        </w:tc>
        <w:tc>
          <w:tcPr>
            <w:tcW w:w="864" w:type="pct"/>
            <w:vMerge w:val="restart"/>
            <w:tcBorders>
              <w:tl2br w:val="nil"/>
              <w:tr2bl w:val="nil"/>
            </w:tcBorders>
            <w:noWrap w:val="0"/>
            <w:vAlign w:val="center"/>
          </w:tcPr>
          <w:p w14:paraId="35A50A4D">
            <w:pPr>
              <w:adjustRightInd w:val="0"/>
              <w:snapToGrid w:val="0"/>
              <w:ind w:left="-107" w:leftChars="-51" w:right="-107" w:rightChars="-51"/>
              <w:jc w:val="center"/>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生产设施名称</w:t>
            </w:r>
          </w:p>
        </w:tc>
        <w:tc>
          <w:tcPr>
            <w:tcW w:w="586" w:type="pct"/>
            <w:vMerge w:val="restart"/>
            <w:tcBorders>
              <w:tl2br w:val="nil"/>
              <w:tr2bl w:val="nil"/>
            </w:tcBorders>
            <w:noWrap w:val="0"/>
            <w:vAlign w:val="center"/>
          </w:tcPr>
          <w:p w14:paraId="2D4CED2F">
            <w:pPr>
              <w:adjustRightInd w:val="0"/>
              <w:snapToGrid w:val="0"/>
              <w:ind w:left="-107" w:leftChars="-51" w:right="-107" w:rightChars="-51"/>
              <w:jc w:val="center"/>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生产</w:t>
            </w:r>
          </w:p>
          <w:p w14:paraId="1FEE2A18">
            <w:pPr>
              <w:adjustRightInd w:val="0"/>
              <w:snapToGrid w:val="0"/>
              <w:ind w:left="-107" w:leftChars="-51" w:right="-107" w:rightChars="-51"/>
              <w:jc w:val="center"/>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设施</w:t>
            </w:r>
          </w:p>
          <w:p w14:paraId="5A77224A">
            <w:pPr>
              <w:adjustRightInd w:val="0"/>
              <w:snapToGrid w:val="0"/>
              <w:ind w:left="-107" w:leftChars="-51" w:right="-107" w:rightChars="-51"/>
              <w:jc w:val="center"/>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编号</w:t>
            </w:r>
          </w:p>
        </w:tc>
        <w:tc>
          <w:tcPr>
            <w:tcW w:w="1286" w:type="pct"/>
            <w:gridSpan w:val="4"/>
            <w:tcBorders>
              <w:tl2br w:val="nil"/>
              <w:tr2bl w:val="nil"/>
            </w:tcBorders>
            <w:noWrap w:val="0"/>
            <w:vAlign w:val="center"/>
          </w:tcPr>
          <w:p w14:paraId="1DE0A524">
            <w:pPr>
              <w:adjustRightInd w:val="0"/>
              <w:snapToGrid w:val="0"/>
              <w:ind w:left="-107" w:leftChars="-51" w:right="-107" w:rightChars="-51"/>
              <w:jc w:val="center"/>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设施参数</w:t>
            </w:r>
          </w:p>
        </w:tc>
        <w:tc>
          <w:tcPr>
            <w:tcW w:w="458" w:type="pct"/>
            <w:vMerge w:val="restart"/>
            <w:tcBorders>
              <w:tl2br w:val="nil"/>
              <w:tr2bl w:val="nil"/>
            </w:tcBorders>
            <w:noWrap w:val="0"/>
            <w:vAlign w:val="center"/>
          </w:tcPr>
          <w:p w14:paraId="18F94AAB">
            <w:pPr>
              <w:adjustRightInd w:val="0"/>
              <w:snapToGrid w:val="0"/>
              <w:ind w:left="-107" w:leftChars="-51" w:right="-107" w:rightChars="-51"/>
              <w:jc w:val="center"/>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其他设施信息</w:t>
            </w:r>
          </w:p>
        </w:tc>
        <w:tc>
          <w:tcPr>
            <w:tcW w:w="219" w:type="pct"/>
            <w:vMerge w:val="restart"/>
            <w:tcBorders>
              <w:tl2br w:val="nil"/>
              <w:tr2bl w:val="nil"/>
            </w:tcBorders>
            <w:noWrap w:val="0"/>
            <w:vAlign w:val="center"/>
          </w:tcPr>
          <w:p w14:paraId="5342665B">
            <w:pPr>
              <w:adjustRightInd w:val="0"/>
              <w:snapToGrid w:val="0"/>
              <w:ind w:left="-107" w:leftChars="-51" w:right="-107" w:rightChars="-51"/>
              <w:jc w:val="center"/>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备注</w:t>
            </w:r>
          </w:p>
        </w:tc>
      </w:tr>
      <w:tr w14:paraId="34CF4BE1">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116" w:type="pct"/>
            <w:vMerge w:val="continue"/>
            <w:tcBorders>
              <w:tl2br w:val="nil"/>
              <w:tr2bl w:val="nil"/>
            </w:tcBorders>
            <w:noWrap w:val="0"/>
            <w:vAlign w:val="center"/>
          </w:tcPr>
          <w:p w14:paraId="08638B79">
            <w:pPr>
              <w:adjustRightInd w:val="0"/>
              <w:snapToGrid w:val="0"/>
              <w:ind w:left="-107" w:leftChars="-51" w:right="-107" w:rightChars="-51"/>
              <w:jc w:val="center"/>
              <w:rPr>
                <w:rFonts w:hint="eastAsia" w:ascii="Times New Roman" w:hAnsi="Times New Roman" w:eastAsia="宋体" w:cs="Times New Roman"/>
                <w:b/>
                <w:color w:val="auto"/>
                <w:sz w:val="21"/>
                <w:szCs w:val="21"/>
              </w:rPr>
            </w:pPr>
          </w:p>
        </w:tc>
        <w:tc>
          <w:tcPr>
            <w:tcW w:w="521" w:type="pct"/>
            <w:vMerge w:val="continue"/>
            <w:tcBorders>
              <w:tl2br w:val="nil"/>
              <w:tr2bl w:val="nil"/>
            </w:tcBorders>
            <w:noWrap w:val="0"/>
            <w:vAlign w:val="center"/>
          </w:tcPr>
          <w:p w14:paraId="443C96B7">
            <w:pPr>
              <w:adjustRightInd w:val="0"/>
              <w:snapToGrid w:val="0"/>
              <w:ind w:left="-107" w:leftChars="-51" w:right="-107" w:rightChars="-51"/>
              <w:jc w:val="center"/>
              <w:rPr>
                <w:rFonts w:hint="eastAsia" w:ascii="Times New Roman" w:hAnsi="Times New Roman" w:eastAsia="宋体" w:cs="Times New Roman"/>
                <w:b/>
                <w:color w:val="auto"/>
                <w:sz w:val="21"/>
                <w:szCs w:val="21"/>
              </w:rPr>
            </w:pPr>
          </w:p>
        </w:tc>
        <w:tc>
          <w:tcPr>
            <w:tcW w:w="484" w:type="pct"/>
            <w:vMerge w:val="continue"/>
            <w:tcBorders>
              <w:tl2br w:val="nil"/>
              <w:tr2bl w:val="nil"/>
            </w:tcBorders>
            <w:noWrap w:val="0"/>
            <w:vAlign w:val="center"/>
          </w:tcPr>
          <w:p w14:paraId="19212F5F">
            <w:pPr>
              <w:adjustRightInd w:val="0"/>
              <w:snapToGrid w:val="0"/>
              <w:ind w:left="-107" w:leftChars="-51" w:right="-107" w:rightChars="-51"/>
              <w:jc w:val="center"/>
              <w:rPr>
                <w:rFonts w:hint="eastAsia" w:ascii="Times New Roman" w:hAnsi="Times New Roman" w:eastAsia="宋体" w:cs="Times New Roman"/>
                <w:b/>
                <w:color w:val="auto"/>
                <w:sz w:val="21"/>
                <w:szCs w:val="21"/>
              </w:rPr>
            </w:pPr>
          </w:p>
        </w:tc>
        <w:tc>
          <w:tcPr>
            <w:tcW w:w="462" w:type="pct"/>
            <w:vMerge w:val="continue"/>
            <w:tcBorders>
              <w:tl2br w:val="nil"/>
              <w:tr2bl w:val="nil"/>
            </w:tcBorders>
            <w:noWrap w:val="0"/>
            <w:vAlign w:val="center"/>
          </w:tcPr>
          <w:p w14:paraId="4B56F4D9">
            <w:pPr>
              <w:adjustRightInd w:val="0"/>
              <w:snapToGrid w:val="0"/>
              <w:ind w:left="-107" w:leftChars="-51" w:right="-107" w:rightChars="-51"/>
              <w:jc w:val="center"/>
              <w:rPr>
                <w:rFonts w:hint="eastAsia" w:ascii="Times New Roman" w:hAnsi="Times New Roman" w:eastAsia="宋体" w:cs="Times New Roman"/>
                <w:b/>
                <w:color w:val="auto"/>
                <w:sz w:val="21"/>
                <w:szCs w:val="21"/>
              </w:rPr>
            </w:pPr>
          </w:p>
        </w:tc>
        <w:tc>
          <w:tcPr>
            <w:tcW w:w="864" w:type="pct"/>
            <w:vMerge w:val="continue"/>
            <w:tcBorders>
              <w:tl2br w:val="nil"/>
              <w:tr2bl w:val="nil"/>
            </w:tcBorders>
            <w:noWrap w:val="0"/>
            <w:vAlign w:val="center"/>
          </w:tcPr>
          <w:p w14:paraId="502B750D">
            <w:pPr>
              <w:adjustRightInd w:val="0"/>
              <w:snapToGrid w:val="0"/>
              <w:ind w:left="-107" w:leftChars="-51" w:right="-107" w:rightChars="-51"/>
              <w:jc w:val="center"/>
              <w:rPr>
                <w:rFonts w:hint="eastAsia" w:ascii="Times New Roman" w:hAnsi="Times New Roman" w:eastAsia="宋体" w:cs="Times New Roman"/>
                <w:b/>
                <w:color w:val="auto"/>
                <w:sz w:val="21"/>
                <w:szCs w:val="21"/>
              </w:rPr>
            </w:pPr>
          </w:p>
        </w:tc>
        <w:tc>
          <w:tcPr>
            <w:tcW w:w="586" w:type="pct"/>
            <w:vMerge w:val="continue"/>
            <w:tcBorders>
              <w:tl2br w:val="nil"/>
              <w:tr2bl w:val="nil"/>
            </w:tcBorders>
            <w:noWrap w:val="0"/>
            <w:vAlign w:val="center"/>
          </w:tcPr>
          <w:p w14:paraId="29355215">
            <w:pPr>
              <w:adjustRightInd w:val="0"/>
              <w:snapToGrid w:val="0"/>
              <w:ind w:left="-107" w:leftChars="-51" w:right="-107" w:rightChars="-51"/>
              <w:jc w:val="center"/>
              <w:rPr>
                <w:rFonts w:hint="eastAsia" w:ascii="Times New Roman" w:hAnsi="Times New Roman" w:eastAsia="宋体" w:cs="Times New Roman"/>
                <w:b/>
                <w:color w:val="auto"/>
                <w:sz w:val="21"/>
                <w:szCs w:val="21"/>
              </w:rPr>
            </w:pPr>
          </w:p>
        </w:tc>
        <w:tc>
          <w:tcPr>
            <w:tcW w:w="358" w:type="pct"/>
            <w:tcBorders>
              <w:tl2br w:val="nil"/>
              <w:tr2bl w:val="nil"/>
            </w:tcBorders>
            <w:noWrap w:val="0"/>
            <w:vAlign w:val="center"/>
          </w:tcPr>
          <w:p w14:paraId="008865E1">
            <w:pPr>
              <w:adjustRightInd w:val="0"/>
              <w:snapToGrid w:val="0"/>
              <w:ind w:left="-107" w:leftChars="-51" w:right="-107" w:rightChars="-51"/>
              <w:jc w:val="center"/>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参数</w:t>
            </w:r>
          </w:p>
          <w:p w14:paraId="55435E83">
            <w:pPr>
              <w:adjustRightInd w:val="0"/>
              <w:snapToGrid w:val="0"/>
              <w:ind w:left="-107" w:leftChars="-51" w:right="-107" w:rightChars="-51"/>
              <w:jc w:val="center"/>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名称</w:t>
            </w:r>
          </w:p>
        </w:tc>
        <w:tc>
          <w:tcPr>
            <w:tcW w:w="250" w:type="pct"/>
            <w:tcBorders>
              <w:tl2br w:val="nil"/>
              <w:tr2bl w:val="nil"/>
            </w:tcBorders>
            <w:noWrap w:val="0"/>
            <w:vAlign w:val="center"/>
          </w:tcPr>
          <w:p w14:paraId="14E85592">
            <w:pPr>
              <w:adjustRightInd w:val="0"/>
              <w:snapToGrid w:val="0"/>
              <w:ind w:left="-107" w:leftChars="-51" w:right="-107" w:rightChars="-51"/>
              <w:jc w:val="center"/>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计量</w:t>
            </w:r>
          </w:p>
          <w:p w14:paraId="0B8ED80E">
            <w:pPr>
              <w:adjustRightInd w:val="0"/>
              <w:snapToGrid w:val="0"/>
              <w:ind w:left="-107" w:leftChars="-51" w:right="-107" w:rightChars="-51"/>
              <w:jc w:val="center"/>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单位</w:t>
            </w:r>
          </w:p>
        </w:tc>
        <w:tc>
          <w:tcPr>
            <w:tcW w:w="287" w:type="pct"/>
            <w:tcBorders>
              <w:tl2br w:val="nil"/>
              <w:tr2bl w:val="nil"/>
            </w:tcBorders>
            <w:noWrap w:val="0"/>
            <w:vAlign w:val="center"/>
          </w:tcPr>
          <w:p w14:paraId="318A67FF">
            <w:pPr>
              <w:adjustRightInd w:val="0"/>
              <w:snapToGrid w:val="0"/>
              <w:ind w:left="-107" w:leftChars="-51" w:right="-107" w:rightChars="-51"/>
              <w:jc w:val="center"/>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设计值</w:t>
            </w:r>
          </w:p>
        </w:tc>
        <w:tc>
          <w:tcPr>
            <w:tcW w:w="390" w:type="pct"/>
            <w:tcBorders>
              <w:tl2br w:val="nil"/>
              <w:tr2bl w:val="nil"/>
            </w:tcBorders>
            <w:noWrap w:val="0"/>
            <w:vAlign w:val="center"/>
          </w:tcPr>
          <w:p w14:paraId="7C46849F">
            <w:pPr>
              <w:adjustRightInd w:val="0"/>
              <w:snapToGrid w:val="0"/>
              <w:ind w:left="-107" w:leftChars="-51" w:right="-107" w:rightChars="-51"/>
              <w:jc w:val="center"/>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其他设施</w:t>
            </w:r>
          </w:p>
          <w:p w14:paraId="0E6B6926">
            <w:pPr>
              <w:adjustRightInd w:val="0"/>
              <w:snapToGrid w:val="0"/>
              <w:ind w:left="-107" w:leftChars="-51" w:right="-107" w:rightChars="-51"/>
              <w:jc w:val="center"/>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参数信息</w:t>
            </w:r>
          </w:p>
        </w:tc>
        <w:tc>
          <w:tcPr>
            <w:tcW w:w="458" w:type="pct"/>
            <w:vMerge w:val="continue"/>
            <w:tcBorders>
              <w:tl2br w:val="nil"/>
              <w:tr2bl w:val="nil"/>
            </w:tcBorders>
            <w:noWrap w:val="0"/>
            <w:vAlign w:val="center"/>
          </w:tcPr>
          <w:p w14:paraId="6F3B3F40">
            <w:pPr>
              <w:widowControl/>
              <w:jc w:val="left"/>
              <w:rPr>
                <w:rFonts w:ascii="宋体" w:hAnsi="宋体"/>
                <w:b/>
                <w:color w:val="auto"/>
                <w:sz w:val="18"/>
                <w:szCs w:val="18"/>
              </w:rPr>
            </w:pPr>
          </w:p>
        </w:tc>
        <w:tc>
          <w:tcPr>
            <w:tcW w:w="219" w:type="pct"/>
            <w:vMerge w:val="continue"/>
            <w:tcBorders>
              <w:tl2br w:val="nil"/>
              <w:tr2bl w:val="nil"/>
            </w:tcBorders>
            <w:noWrap w:val="0"/>
            <w:vAlign w:val="center"/>
          </w:tcPr>
          <w:p w14:paraId="27645721">
            <w:pPr>
              <w:widowControl/>
              <w:jc w:val="left"/>
              <w:rPr>
                <w:rFonts w:ascii="宋体" w:hAnsi="宋体"/>
                <w:b/>
                <w:color w:val="auto"/>
                <w:sz w:val="18"/>
                <w:szCs w:val="18"/>
              </w:rPr>
            </w:pPr>
          </w:p>
        </w:tc>
      </w:tr>
      <w:tr w14:paraId="60F45731">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116" w:type="pct"/>
            <w:tcBorders>
              <w:tl2br w:val="nil"/>
              <w:tr2bl w:val="nil"/>
            </w:tcBorders>
            <w:noWrap w:val="0"/>
            <w:vAlign w:val="center"/>
          </w:tcPr>
          <w:p w14:paraId="28A9DE3D">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521" w:type="pct"/>
            <w:vMerge w:val="restart"/>
            <w:tcBorders>
              <w:tl2br w:val="nil"/>
              <w:tr2bl w:val="nil"/>
            </w:tcBorders>
            <w:noWrap w:val="0"/>
            <w:vAlign w:val="center"/>
          </w:tcPr>
          <w:p w14:paraId="5A2299F9">
            <w:pPr>
              <w:ind w:left="-107" w:leftChars="-51" w:right="-107" w:rightChars="-51"/>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000000"/>
                <w:sz w:val="21"/>
                <w:szCs w:val="21"/>
                <w:lang w:val="en-US" w:eastAsia="zh-CN"/>
              </w:rPr>
              <w:t>综合医院</w:t>
            </w:r>
          </w:p>
        </w:tc>
        <w:tc>
          <w:tcPr>
            <w:tcW w:w="484" w:type="pct"/>
            <w:vMerge w:val="restart"/>
            <w:tcBorders>
              <w:tl2br w:val="nil"/>
              <w:tr2bl w:val="nil"/>
            </w:tcBorders>
            <w:noWrap w:val="0"/>
            <w:vAlign w:val="center"/>
          </w:tcPr>
          <w:p w14:paraId="7FB4BA3C">
            <w:pPr>
              <w:ind w:left="-107" w:leftChars="-51" w:right="-107" w:rightChars="-51"/>
              <w:jc w:val="center"/>
              <w:rPr>
                <w:rFonts w:hint="default" w:cs="Times New Roman"/>
                <w:color w:val="auto"/>
                <w:sz w:val="21"/>
                <w:szCs w:val="21"/>
                <w:lang w:val="en-US" w:eastAsia="zh-CN"/>
              </w:rPr>
            </w:pPr>
            <w:r>
              <w:rPr>
                <w:rFonts w:hint="eastAsia" w:cs="Times New Roman"/>
                <w:color w:val="auto"/>
                <w:sz w:val="21"/>
                <w:szCs w:val="21"/>
                <w:lang w:val="en-US" w:eastAsia="zh-CN"/>
              </w:rPr>
              <w:t>住院综合楼裙房</w:t>
            </w:r>
          </w:p>
        </w:tc>
        <w:tc>
          <w:tcPr>
            <w:tcW w:w="462" w:type="pct"/>
            <w:vMerge w:val="restart"/>
            <w:tcBorders>
              <w:tl2br w:val="nil"/>
              <w:tr2bl w:val="nil"/>
            </w:tcBorders>
            <w:noWrap w:val="0"/>
            <w:vAlign w:val="center"/>
          </w:tcPr>
          <w:p w14:paraId="692812ED">
            <w:pPr>
              <w:ind w:left="-107" w:leftChars="-51" w:right="-107" w:rightChars="-51"/>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医技检查</w:t>
            </w:r>
          </w:p>
        </w:tc>
        <w:tc>
          <w:tcPr>
            <w:tcW w:w="864" w:type="pct"/>
            <w:tcBorders>
              <w:tl2br w:val="nil"/>
              <w:tr2bl w:val="nil"/>
            </w:tcBorders>
            <w:noWrap w:val="0"/>
            <w:vAlign w:val="center"/>
          </w:tcPr>
          <w:p w14:paraId="4EA30DA4">
            <w:pPr>
              <w:pStyle w:val="22"/>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sz w:val="21"/>
                <w:szCs w:val="21"/>
                <w:lang w:eastAsia="zh-CN"/>
              </w:rPr>
              <w:t>数字化</w:t>
            </w:r>
            <w:r>
              <w:rPr>
                <w:rFonts w:hint="eastAsia" w:ascii="Times New Roman" w:hAnsi="Times New Roman" w:eastAsia="宋体" w:cs="Times New Roman"/>
                <w:sz w:val="21"/>
                <w:szCs w:val="21"/>
                <w:lang w:val="en-US" w:eastAsia="zh-CN"/>
              </w:rPr>
              <w:t>X射线摄影系统（DR）</w:t>
            </w:r>
          </w:p>
        </w:tc>
        <w:tc>
          <w:tcPr>
            <w:tcW w:w="586" w:type="pct"/>
            <w:tcBorders>
              <w:tl2br w:val="nil"/>
              <w:tr2bl w:val="nil"/>
            </w:tcBorders>
            <w:noWrap w:val="0"/>
            <w:vAlign w:val="center"/>
          </w:tcPr>
          <w:p w14:paraId="25BEE97B">
            <w:pPr>
              <w:ind w:left="-107" w:leftChars="-51" w:right="-107" w:rightChars="-51"/>
              <w:jc w:val="center"/>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MF0001</w:t>
            </w:r>
          </w:p>
        </w:tc>
        <w:tc>
          <w:tcPr>
            <w:tcW w:w="358" w:type="pct"/>
            <w:tcBorders>
              <w:tl2br w:val="nil"/>
              <w:tr2bl w:val="nil"/>
            </w:tcBorders>
            <w:noWrap w:val="0"/>
            <w:vAlign w:val="center"/>
          </w:tcPr>
          <w:p w14:paraId="7D4D9988">
            <w:pPr>
              <w:ind w:left="-107" w:leftChars="-51" w:right="-107" w:rightChars="-51"/>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w:t>
            </w:r>
          </w:p>
        </w:tc>
        <w:tc>
          <w:tcPr>
            <w:tcW w:w="250" w:type="pct"/>
            <w:tcBorders>
              <w:tl2br w:val="nil"/>
              <w:tr2bl w:val="nil"/>
            </w:tcBorders>
            <w:noWrap w:val="0"/>
            <w:vAlign w:val="center"/>
          </w:tcPr>
          <w:p w14:paraId="507AD577">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default" w:eastAsia="宋体" w:cs="Times New Roman"/>
                <w:color w:val="auto"/>
                <w:sz w:val="21"/>
                <w:szCs w:val="21"/>
                <w:lang w:val="en-US" w:eastAsia="zh-CN"/>
              </w:rPr>
            </w:pPr>
            <w:r>
              <w:rPr>
                <w:rFonts w:hint="eastAsia" w:cs="Times New Roman"/>
                <w:color w:val="auto"/>
                <w:sz w:val="21"/>
                <w:szCs w:val="21"/>
                <w:lang w:val="en-US" w:eastAsia="zh-CN"/>
              </w:rPr>
              <w:t>/</w:t>
            </w:r>
          </w:p>
        </w:tc>
        <w:tc>
          <w:tcPr>
            <w:tcW w:w="287" w:type="pct"/>
            <w:tcBorders>
              <w:tl2br w:val="nil"/>
              <w:tr2bl w:val="nil"/>
            </w:tcBorders>
            <w:noWrap w:val="0"/>
            <w:vAlign w:val="center"/>
          </w:tcPr>
          <w:p w14:paraId="1C69E7FA">
            <w:pPr>
              <w:ind w:left="-107" w:leftChars="-51" w:right="-107" w:rightChars="-51"/>
              <w:jc w:val="center"/>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w:t>
            </w:r>
          </w:p>
        </w:tc>
        <w:tc>
          <w:tcPr>
            <w:tcW w:w="390" w:type="pct"/>
            <w:tcBorders>
              <w:tl2br w:val="nil"/>
              <w:tr2bl w:val="nil"/>
            </w:tcBorders>
            <w:noWrap w:val="0"/>
            <w:vAlign w:val="center"/>
          </w:tcPr>
          <w:p w14:paraId="58AA6B0F">
            <w:pPr>
              <w:ind w:left="-107" w:leftChars="-51" w:right="-107" w:rightChars="-51"/>
              <w:jc w:val="center"/>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w:t>
            </w:r>
          </w:p>
        </w:tc>
        <w:tc>
          <w:tcPr>
            <w:tcW w:w="458" w:type="pct"/>
            <w:tcBorders>
              <w:tl2br w:val="nil"/>
              <w:tr2bl w:val="nil"/>
            </w:tcBorders>
            <w:noWrap w:val="0"/>
            <w:vAlign w:val="center"/>
          </w:tcPr>
          <w:p w14:paraId="4C8FC12C">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default" w:eastAsia="宋体" w:cs="Times New Roman"/>
                <w:color w:val="auto"/>
                <w:sz w:val="21"/>
                <w:szCs w:val="21"/>
                <w:lang w:val="en-US" w:eastAsia="zh-CN"/>
              </w:rPr>
            </w:pPr>
            <w:r>
              <w:rPr>
                <w:rFonts w:hint="eastAsia" w:cs="Times New Roman"/>
                <w:color w:val="auto"/>
                <w:sz w:val="21"/>
                <w:szCs w:val="21"/>
                <w:lang w:val="en-US" w:eastAsia="zh-CN"/>
              </w:rPr>
              <w:t>/</w:t>
            </w:r>
          </w:p>
        </w:tc>
        <w:tc>
          <w:tcPr>
            <w:tcW w:w="219" w:type="pct"/>
            <w:tcBorders>
              <w:tl2br w:val="nil"/>
              <w:tr2bl w:val="nil"/>
            </w:tcBorders>
            <w:noWrap w:val="0"/>
            <w:vAlign w:val="center"/>
          </w:tcPr>
          <w:p w14:paraId="7086201A">
            <w:pPr>
              <w:ind w:left="-107" w:leftChars="-51" w:right="-107" w:rightChars="-51"/>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w:t>
            </w:r>
          </w:p>
        </w:tc>
      </w:tr>
      <w:tr w14:paraId="4230EF34">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116" w:type="pct"/>
            <w:tcBorders>
              <w:tl2br w:val="nil"/>
              <w:tr2bl w:val="nil"/>
            </w:tcBorders>
            <w:noWrap w:val="0"/>
            <w:vAlign w:val="center"/>
          </w:tcPr>
          <w:p w14:paraId="0894F322">
            <w:pPr>
              <w:jc w:val="center"/>
              <w:rPr>
                <w:rFonts w:hint="eastAsia" w:ascii="Times New Roman" w:hAnsi="Times New Roman" w:eastAsia="宋体" w:cs="Times New Roman"/>
                <w:color w:val="auto"/>
                <w:sz w:val="21"/>
                <w:szCs w:val="21"/>
                <w:lang w:val="en-US" w:eastAsia="zh-CN"/>
              </w:rPr>
            </w:pPr>
          </w:p>
        </w:tc>
        <w:tc>
          <w:tcPr>
            <w:tcW w:w="521" w:type="pct"/>
            <w:vMerge w:val="continue"/>
            <w:tcBorders>
              <w:tl2br w:val="nil"/>
              <w:tr2bl w:val="nil"/>
            </w:tcBorders>
            <w:noWrap w:val="0"/>
            <w:vAlign w:val="center"/>
          </w:tcPr>
          <w:p w14:paraId="6ADE01E4">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484" w:type="pct"/>
            <w:vMerge w:val="continue"/>
            <w:tcBorders>
              <w:tl2br w:val="nil"/>
              <w:tr2bl w:val="nil"/>
            </w:tcBorders>
            <w:noWrap w:val="0"/>
            <w:vAlign w:val="center"/>
          </w:tcPr>
          <w:p w14:paraId="57B89CCF">
            <w:pPr>
              <w:ind w:left="-107" w:leftChars="-51" w:right="-107" w:rightChars="-51"/>
              <w:jc w:val="center"/>
              <w:rPr>
                <w:rFonts w:hint="eastAsia" w:cs="Times New Roman"/>
                <w:color w:val="auto"/>
                <w:sz w:val="21"/>
                <w:szCs w:val="21"/>
                <w:lang w:val="en-US" w:eastAsia="zh-CN"/>
              </w:rPr>
            </w:pPr>
          </w:p>
        </w:tc>
        <w:tc>
          <w:tcPr>
            <w:tcW w:w="462" w:type="pct"/>
            <w:vMerge w:val="continue"/>
            <w:tcBorders>
              <w:tl2br w:val="nil"/>
              <w:tr2bl w:val="nil"/>
            </w:tcBorders>
            <w:noWrap w:val="0"/>
            <w:vAlign w:val="center"/>
          </w:tcPr>
          <w:p w14:paraId="52199A5B">
            <w:pPr>
              <w:ind w:left="-107" w:leftChars="-51" w:right="-107" w:rightChars="-51"/>
              <w:jc w:val="center"/>
              <w:rPr>
                <w:rFonts w:hint="eastAsia" w:cs="Times New Roman"/>
                <w:color w:val="auto"/>
                <w:sz w:val="21"/>
                <w:szCs w:val="21"/>
                <w:lang w:val="en-US" w:eastAsia="zh-CN"/>
              </w:rPr>
            </w:pPr>
          </w:p>
        </w:tc>
        <w:tc>
          <w:tcPr>
            <w:tcW w:w="864" w:type="pct"/>
            <w:tcBorders>
              <w:tl2br w:val="nil"/>
              <w:tr2bl w:val="nil"/>
            </w:tcBorders>
            <w:noWrap w:val="0"/>
            <w:vAlign w:val="center"/>
          </w:tcPr>
          <w:p w14:paraId="3E16A7C3">
            <w:pPr>
              <w:pStyle w:val="22"/>
              <w:jc w:val="center"/>
              <w:rPr>
                <w:rFonts w:hint="eastAsia" w:cs="Times New Roman"/>
                <w:color w:val="auto"/>
                <w:sz w:val="21"/>
                <w:szCs w:val="21"/>
                <w:lang w:val="en-US" w:eastAsia="zh-CN"/>
              </w:rPr>
            </w:pPr>
            <w:r>
              <w:rPr>
                <w:rFonts w:hint="default" w:ascii="Times New Roman" w:hAnsi="Times New Roman" w:eastAsia="宋体" w:cs="Times New Roman"/>
                <w:sz w:val="21"/>
                <w:szCs w:val="21"/>
                <w:lang w:eastAsia="zh-CN"/>
              </w:rPr>
              <w:t>医用</w:t>
            </w:r>
            <w:r>
              <w:rPr>
                <w:rFonts w:hint="default" w:ascii="Times New Roman" w:hAnsi="Times New Roman" w:eastAsia="宋体" w:cs="Times New Roman"/>
                <w:sz w:val="21"/>
                <w:szCs w:val="21"/>
                <w:lang w:val="en-US" w:eastAsia="zh-CN"/>
              </w:rPr>
              <w:t>B型</w:t>
            </w:r>
            <w:r>
              <w:rPr>
                <w:rFonts w:hint="default" w:ascii="Times New Roman" w:hAnsi="Times New Roman" w:eastAsia="宋体" w:cs="Times New Roman"/>
                <w:sz w:val="21"/>
                <w:szCs w:val="21"/>
                <w:lang w:eastAsia="zh-CN"/>
              </w:rPr>
              <w:t>超声诊断仪（</w:t>
            </w:r>
            <w:r>
              <w:rPr>
                <w:rFonts w:hint="default" w:ascii="Times New Roman" w:hAnsi="Times New Roman" w:eastAsia="宋体" w:cs="Times New Roman"/>
                <w:sz w:val="21"/>
                <w:szCs w:val="21"/>
                <w:lang w:val="en-US" w:eastAsia="zh-CN"/>
              </w:rPr>
              <w:t>B超</w:t>
            </w:r>
            <w:r>
              <w:rPr>
                <w:rFonts w:hint="default" w:ascii="Times New Roman" w:hAnsi="Times New Roman" w:eastAsia="宋体" w:cs="Times New Roman"/>
                <w:sz w:val="21"/>
                <w:szCs w:val="21"/>
                <w:lang w:eastAsia="zh-CN"/>
              </w:rPr>
              <w:t>）</w:t>
            </w:r>
          </w:p>
        </w:tc>
        <w:tc>
          <w:tcPr>
            <w:tcW w:w="586" w:type="pct"/>
            <w:tcBorders>
              <w:tl2br w:val="nil"/>
              <w:tr2bl w:val="nil"/>
            </w:tcBorders>
            <w:noWrap w:val="0"/>
            <w:vAlign w:val="center"/>
          </w:tcPr>
          <w:p w14:paraId="618AA7E6">
            <w:pPr>
              <w:ind w:left="-107" w:leftChars="-51" w:right="-107" w:rightChars="-51"/>
              <w:jc w:val="center"/>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MF0002~MF0003</w:t>
            </w:r>
          </w:p>
        </w:tc>
        <w:tc>
          <w:tcPr>
            <w:tcW w:w="358" w:type="pct"/>
            <w:tcBorders>
              <w:tl2br w:val="nil"/>
              <w:tr2bl w:val="nil"/>
            </w:tcBorders>
            <w:noWrap w:val="0"/>
            <w:vAlign w:val="center"/>
          </w:tcPr>
          <w:p w14:paraId="7D7E6738">
            <w:pPr>
              <w:ind w:left="-107" w:leftChars="-51" w:right="-107" w:rightChars="-51"/>
              <w:jc w:val="center"/>
              <w:rPr>
                <w:rFonts w:hint="default" w:cs="Times New Roman"/>
                <w:color w:val="auto"/>
                <w:sz w:val="21"/>
                <w:szCs w:val="21"/>
                <w:lang w:val="en-US" w:eastAsia="zh-CN"/>
              </w:rPr>
            </w:pPr>
            <w:r>
              <w:rPr>
                <w:rFonts w:hint="eastAsia" w:eastAsia="宋体" w:cs="Times New Roman"/>
                <w:color w:val="auto"/>
                <w:sz w:val="21"/>
                <w:szCs w:val="21"/>
                <w:lang w:val="en-US" w:eastAsia="zh-CN"/>
              </w:rPr>
              <w:t>/</w:t>
            </w:r>
          </w:p>
        </w:tc>
        <w:tc>
          <w:tcPr>
            <w:tcW w:w="250" w:type="pct"/>
            <w:tcBorders>
              <w:tl2br w:val="nil"/>
              <w:tr2bl w:val="nil"/>
            </w:tcBorders>
            <w:noWrap w:val="0"/>
            <w:vAlign w:val="center"/>
          </w:tcPr>
          <w:p w14:paraId="08736D06">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eastAsia" w:eastAsia="宋体" w:cs="Times New Roman"/>
                <w:color w:val="auto"/>
                <w:sz w:val="21"/>
                <w:szCs w:val="21"/>
                <w:lang w:val="en-US" w:eastAsia="zh-CN"/>
              </w:rPr>
            </w:pPr>
            <w:r>
              <w:rPr>
                <w:rFonts w:hint="eastAsia" w:cs="Times New Roman"/>
                <w:color w:val="auto"/>
                <w:sz w:val="21"/>
                <w:szCs w:val="21"/>
                <w:lang w:val="en-US" w:eastAsia="zh-CN"/>
              </w:rPr>
              <w:t>/</w:t>
            </w:r>
          </w:p>
        </w:tc>
        <w:tc>
          <w:tcPr>
            <w:tcW w:w="287" w:type="pct"/>
            <w:tcBorders>
              <w:tl2br w:val="nil"/>
              <w:tr2bl w:val="nil"/>
            </w:tcBorders>
            <w:noWrap w:val="0"/>
            <w:vAlign w:val="center"/>
          </w:tcPr>
          <w:p w14:paraId="4803BFC7">
            <w:pPr>
              <w:ind w:left="-107" w:leftChars="-51" w:right="-107" w:rightChars="-51"/>
              <w:jc w:val="center"/>
              <w:rPr>
                <w:rFonts w:hint="eastAsia" w:cs="Times New Roman"/>
                <w:color w:val="auto"/>
                <w:sz w:val="21"/>
                <w:szCs w:val="21"/>
                <w:lang w:val="en-US" w:eastAsia="zh-CN"/>
              </w:rPr>
            </w:pPr>
            <w:r>
              <w:rPr>
                <w:rFonts w:hint="eastAsia" w:eastAsia="宋体" w:cs="Times New Roman"/>
                <w:color w:val="auto"/>
                <w:sz w:val="21"/>
                <w:szCs w:val="21"/>
                <w:lang w:val="en-US" w:eastAsia="zh-CN"/>
              </w:rPr>
              <w:t>/</w:t>
            </w:r>
          </w:p>
        </w:tc>
        <w:tc>
          <w:tcPr>
            <w:tcW w:w="390" w:type="pct"/>
            <w:tcBorders>
              <w:tl2br w:val="nil"/>
              <w:tr2bl w:val="nil"/>
            </w:tcBorders>
            <w:noWrap w:val="0"/>
            <w:vAlign w:val="center"/>
          </w:tcPr>
          <w:p w14:paraId="6D86B034">
            <w:pPr>
              <w:ind w:left="-107" w:leftChars="-51" w:right="-107" w:rightChars="-51"/>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w:t>
            </w:r>
          </w:p>
        </w:tc>
        <w:tc>
          <w:tcPr>
            <w:tcW w:w="458" w:type="pct"/>
            <w:tcBorders>
              <w:tl2br w:val="nil"/>
              <w:tr2bl w:val="nil"/>
            </w:tcBorders>
            <w:noWrap w:val="0"/>
            <w:vAlign w:val="center"/>
          </w:tcPr>
          <w:p w14:paraId="3D7B9F7D">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219" w:type="pct"/>
            <w:tcBorders>
              <w:tl2br w:val="nil"/>
              <w:tr2bl w:val="nil"/>
            </w:tcBorders>
            <w:noWrap w:val="0"/>
            <w:vAlign w:val="center"/>
          </w:tcPr>
          <w:p w14:paraId="4124BBA3">
            <w:pPr>
              <w:ind w:left="-107" w:leftChars="-51" w:right="-107" w:rightChars="-51"/>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w:t>
            </w:r>
          </w:p>
        </w:tc>
      </w:tr>
      <w:tr w14:paraId="13CFAB61">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116" w:type="pct"/>
            <w:tcBorders>
              <w:tl2br w:val="nil"/>
              <w:tr2bl w:val="nil"/>
            </w:tcBorders>
            <w:noWrap w:val="0"/>
            <w:vAlign w:val="center"/>
          </w:tcPr>
          <w:p w14:paraId="39B3329E">
            <w:pPr>
              <w:jc w:val="center"/>
              <w:rPr>
                <w:rFonts w:hint="eastAsia" w:ascii="Times New Roman" w:hAnsi="Times New Roman" w:eastAsia="宋体" w:cs="Times New Roman"/>
                <w:color w:val="auto"/>
                <w:sz w:val="21"/>
                <w:szCs w:val="21"/>
                <w:lang w:val="en-US" w:eastAsia="zh-CN"/>
              </w:rPr>
            </w:pPr>
          </w:p>
        </w:tc>
        <w:tc>
          <w:tcPr>
            <w:tcW w:w="521" w:type="pct"/>
            <w:vMerge w:val="continue"/>
            <w:tcBorders>
              <w:tl2br w:val="nil"/>
              <w:tr2bl w:val="nil"/>
            </w:tcBorders>
            <w:noWrap w:val="0"/>
            <w:vAlign w:val="center"/>
          </w:tcPr>
          <w:p w14:paraId="32B1E4F6">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484" w:type="pct"/>
            <w:vMerge w:val="continue"/>
            <w:tcBorders>
              <w:tl2br w:val="nil"/>
              <w:tr2bl w:val="nil"/>
            </w:tcBorders>
            <w:noWrap w:val="0"/>
            <w:vAlign w:val="center"/>
          </w:tcPr>
          <w:p w14:paraId="239B7B1D">
            <w:pPr>
              <w:ind w:left="-107" w:leftChars="-51" w:right="-107" w:rightChars="-51"/>
              <w:jc w:val="center"/>
              <w:rPr>
                <w:rFonts w:hint="eastAsia" w:cs="Times New Roman"/>
                <w:color w:val="auto"/>
                <w:sz w:val="21"/>
                <w:szCs w:val="21"/>
                <w:lang w:val="en-US" w:eastAsia="zh-CN"/>
              </w:rPr>
            </w:pPr>
          </w:p>
        </w:tc>
        <w:tc>
          <w:tcPr>
            <w:tcW w:w="462" w:type="pct"/>
            <w:vMerge w:val="continue"/>
            <w:tcBorders>
              <w:tl2br w:val="nil"/>
              <w:tr2bl w:val="nil"/>
            </w:tcBorders>
            <w:noWrap w:val="0"/>
            <w:vAlign w:val="center"/>
          </w:tcPr>
          <w:p w14:paraId="4FD84F4F">
            <w:pPr>
              <w:ind w:left="-107" w:leftChars="-51" w:right="-107" w:rightChars="-51"/>
              <w:jc w:val="center"/>
              <w:rPr>
                <w:rFonts w:hint="eastAsia" w:cs="Times New Roman"/>
                <w:color w:val="auto"/>
                <w:sz w:val="21"/>
                <w:szCs w:val="21"/>
                <w:lang w:val="en-US" w:eastAsia="zh-CN"/>
              </w:rPr>
            </w:pPr>
          </w:p>
        </w:tc>
        <w:tc>
          <w:tcPr>
            <w:tcW w:w="864" w:type="pct"/>
            <w:tcBorders>
              <w:tl2br w:val="nil"/>
              <w:tr2bl w:val="nil"/>
            </w:tcBorders>
            <w:noWrap w:val="0"/>
            <w:vAlign w:val="center"/>
          </w:tcPr>
          <w:p w14:paraId="101E6FDB">
            <w:pPr>
              <w:pStyle w:val="22"/>
              <w:jc w:val="center"/>
              <w:rPr>
                <w:rFonts w:hint="eastAsia" w:cs="Times New Roman"/>
                <w:color w:val="auto"/>
                <w:sz w:val="21"/>
                <w:szCs w:val="21"/>
                <w:lang w:val="en-US" w:eastAsia="zh-CN"/>
              </w:rPr>
            </w:pPr>
            <w:r>
              <w:rPr>
                <w:rFonts w:hint="default" w:ascii="Times New Roman" w:hAnsi="Times New Roman" w:eastAsia="宋体" w:cs="Times New Roman"/>
                <w:sz w:val="21"/>
                <w:szCs w:val="21"/>
                <w:lang w:eastAsia="zh-CN"/>
              </w:rPr>
              <w:t>移动式</w:t>
            </w:r>
            <w:r>
              <w:rPr>
                <w:rFonts w:hint="default" w:ascii="Times New Roman" w:hAnsi="Times New Roman" w:eastAsia="宋体" w:cs="Times New Roman"/>
                <w:sz w:val="21"/>
                <w:szCs w:val="21"/>
                <w:lang w:val="en-US" w:eastAsia="zh-CN"/>
              </w:rPr>
              <w:t>C形臂X射线机</w:t>
            </w:r>
          </w:p>
        </w:tc>
        <w:tc>
          <w:tcPr>
            <w:tcW w:w="586" w:type="pct"/>
            <w:tcBorders>
              <w:tl2br w:val="nil"/>
              <w:tr2bl w:val="nil"/>
            </w:tcBorders>
            <w:noWrap w:val="0"/>
            <w:vAlign w:val="center"/>
          </w:tcPr>
          <w:p w14:paraId="0084AA75">
            <w:pPr>
              <w:ind w:left="-107" w:leftChars="-51" w:right="-107" w:rightChars="-51"/>
              <w:jc w:val="center"/>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MF0004</w:t>
            </w:r>
          </w:p>
        </w:tc>
        <w:tc>
          <w:tcPr>
            <w:tcW w:w="358" w:type="pct"/>
            <w:tcBorders>
              <w:tl2br w:val="nil"/>
              <w:tr2bl w:val="nil"/>
            </w:tcBorders>
            <w:noWrap w:val="0"/>
            <w:vAlign w:val="center"/>
          </w:tcPr>
          <w:p w14:paraId="58618633">
            <w:pPr>
              <w:ind w:left="-107" w:leftChars="-51" w:right="-107" w:rightChars="-51"/>
              <w:jc w:val="center"/>
              <w:rPr>
                <w:rFonts w:hint="eastAsia" w:cs="Times New Roman"/>
                <w:color w:val="auto"/>
                <w:sz w:val="21"/>
                <w:szCs w:val="21"/>
                <w:lang w:val="en-US" w:eastAsia="zh-CN"/>
              </w:rPr>
            </w:pPr>
            <w:r>
              <w:rPr>
                <w:rFonts w:hint="eastAsia" w:eastAsia="宋体" w:cs="Times New Roman"/>
                <w:color w:val="auto"/>
                <w:sz w:val="21"/>
                <w:szCs w:val="21"/>
                <w:lang w:val="en-US" w:eastAsia="zh-CN"/>
              </w:rPr>
              <w:t>/</w:t>
            </w:r>
          </w:p>
        </w:tc>
        <w:tc>
          <w:tcPr>
            <w:tcW w:w="250" w:type="pct"/>
            <w:tcBorders>
              <w:tl2br w:val="nil"/>
              <w:tr2bl w:val="nil"/>
            </w:tcBorders>
            <w:noWrap w:val="0"/>
            <w:vAlign w:val="center"/>
          </w:tcPr>
          <w:p w14:paraId="23CC8971">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eastAsia" w:eastAsia="宋体" w:cs="Times New Roman"/>
                <w:color w:val="auto"/>
                <w:sz w:val="21"/>
                <w:szCs w:val="21"/>
                <w:lang w:val="en-US" w:eastAsia="zh-CN"/>
              </w:rPr>
            </w:pPr>
            <w:r>
              <w:rPr>
                <w:rFonts w:hint="eastAsia" w:cs="Times New Roman"/>
                <w:color w:val="auto"/>
                <w:sz w:val="21"/>
                <w:szCs w:val="21"/>
                <w:lang w:val="en-US" w:eastAsia="zh-CN"/>
              </w:rPr>
              <w:t>/</w:t>
            </w:r>
          </w:p>
        </w:tc>
        <w:tc>
          <w:tcPr>
            <w:tcW w:w="287" w:type="pct"/>
            <w:tcBorders>
              <w:tl2br w:val="nil"/>
              <w:tr2bl w:val="nil"/>
            </w:tcBorders>
            <w:noWrap w:val="0"/>
            <w:vAlign w:val="center"/>
          </w:tcPr>
          <w:p w14:paraId="520942DE">
            <w:pPr>
              <w:ind w:left="-107" w:leftChars="-51" w:right="-107" w:rightChars="-51"/>
              <w:jc w:val="center"/>
              <w:rPr>
                <w:rFonts w:hint="eastAsia" w:cs="Times New Roman"/>
                <w:color w:val="auto"/>
                <w:sz w:val="21"/>
                <w:szCs w:val="21"/>
                <w:lang w:val="en-US" w:eastAsia="zh-CN"/>
              </w:rPr>
            </w:pPr>
            <w:r>
              <w:rPr>
                <w:rFonts w:hint="eastAsia" w:eastAsia="宋体" w:cs="Times New Roman"/>
                <w:color w:val="auto"/>
                <w:sz w:val="21"/>
                <w:szCs w:val="21"/>
                <w:lang w:val="en-US" w:eastAsia="zh-CN"/>
              </w:rPr>
              <w:t>/</w:t>
            </w:r>
          </w:p>
        </w:tc>
        <w:tc>
          <w:tcPr>
            <w:tcW w:w="390" w:type="pct"/>
            <w:tcBorders>
              <w:tl2br w:val="nil"/>
              <w:tr2bl w:val="nil"/>
            </w:tcBorders>
            <w:noWrap w:val="0"/>
            <w:vAlign w:val="center"/>
          </w:tcPr>
          <w:p w14:paraId="3D6EA58E">
            <w:pPr>
              <w:ind w:left="-107" w:leftChars="-51" w:right="-107" w:rightChars="-51"/>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w:t>
            </w:r>
          </w:p>
        </w:tc>
        <w:tc>
          <w:tcPr>
            <w:tcW w:w="458" w:type="pct"/>
            <w:tcBorders>
              <w:tl2br w:val="nil"/>
              <w:tr2bl w:val="nil"/>
            </w:tcBorders>
            <w:noWrap w:val="0"/>
            <w:vAlign w:val="center"/>
          </w:tcPr>
          <w:p w14:paraId="43A457F3">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219" w:type="pct"/>
            <w:tcBorders>
              <w:tl2br w:val="nil"/>
              <w:tr2bl w:val="nil"/>
            </w:tcBorders>
            <w:noWrap w:val="0"/>
            <w:vAlign w:val="center"/>
          </w:tcPr>
          <w:p w14:paraId="73CE8110">
            <w:pPr>
              <w:ind w:left="-107" w:leftChars="-51" w:right="-107" w:rightChars="-51"/>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w:t>
            </w:r>
          </w:p>
        </w:tc>
      </w:tr>
      <w:tr w14:paraId="1A2367CF">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116" w:type="pct"/>
            <w:tcBorders>
              <w:tl2br w:val="nil"/>
              <w:tr2bl w:val="nil"/>
            </w:tcBorders>
            <w:noWrap w:val="0"/>
            <w:vAlign w:val="center"/>
          </w:tcPr>
          <w:p w14:paraId="67E4844A">
            <w:pPr>
              <w:jc w:val="center"/>
              <w:rPr>
                <w:rFonts w:hint="eastAsia" w:ascii="Times New Roman" w:hAnsi="Times New Roman" w:eastAsia="宋体" w:cs="Times New Roman"/>
                <w:color w:val="auto"/>
                <w:sz w:val="21"/>
                <w:szCs w:val="21"/>
                <w:lang w:val="en-US" w:eastAsia="zh-CN"/>
              </w:rPr>
            </w:pPr>
          </w:p>
        </w:tc>
        <w:tc>
          <w:tcPr>
            <w:tcW w:w="521" w:type="pct"/>
            <w:vMerge w:val="continue"/>
            <w:tcBorders>
              <w:tl2br w:val="nil"/>
              <w:tr2bl w:val="nil"/>
            </w:tcBorders>
            <w:noWrap w:val="0"/>
            <w:vAlign w:val="center"/>
          </w:tcPr>
          <w:p w14:paraId="516A5487">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484" w:type="pct"/>
            <w:vMerge w:val="continue"/>
            <w:tcBorders>
              <w:tl2br w:val="nil"/>
              <w:tr2bl w:val="nil"/>
            </w:tcBorders>
            <w:noWrap w:val="0"/>
            <w:vAlign w:val="center"/>
          </w:tcPr>
          <w:p w14:paraId="753B66DB">
            <w:pPr>
              <w:ind w:left="-107" w:leftChars="-51" w:right="-107" w:rightChars="-51"/>
              <w:jc w:val="center"/>
              <w:rPr>
                <w:rFonts w:hint="eastAsia" w:cs="Times New Roman"/>
                <w:color w:val="auto"/>
                <w:sz w:val="21"/>
                <w:szCs w:val="21"/>
                <w:lang w:val="en-US" w:eastAsia="zh-CN"/>
              </w:rPr>
            </w:pPr>
          </w:p>
        </w:tc>
        <w:tc>
          <w:tcPr>
            <w:tcW w:w="462" w:type="pct"/>
            <w:vMerge w:val="continue"/>
            <w:tcBorders>
              <w:tl2br w:val="nil"/>
              <w:tr2bl w:val="nil"/>
            </w:tcBorders>
            <w:noWrap w:val="0"/>
            <w:vAlign w:val="center"/>
          </w:tcPr>
          <w:p w14:paraId="21BF653E">
            <w:pPr>
              <w:ind w:left="-107" w:leftChars="-51" w:right="-107" w:rightChars="-51"/>
              <w:jc w:val="center"/>
              <w:rPr>
                <w:rFonts w:hint="eastAsia" w:cs="Times New Roman"/>
                <w:color w:val="auto"/>
                <w:sz w:val="21"/>
                <w:szCs w:val="21"/>
                <w:lang w:val="en-US" w:eastAsia="zh-CN"/>
              </w:rPr>
            </w:pPr>
          </w:p>
        </w:tc>
        <w:tc>
          <w:tcPr>
            <w:tcW w:w="864" w:type="pct"/>
            <w:tcBorders>
              <w:tl2br w:val="nil"/>
              <w:tr2bl w:val="nil"/>
            </w:tcBorders>
            <w:noWrap w:val="0"/>
            <w:vAlign w:val="center"/>
          </w:tcPr>
          <w:p w14:paraId="1038645C">
            <w:pPr>
              <w:pStyle w:val="22"/>
              <w:jc w:val="center"/>
              <w:rPr>
                <w:rFonts w:hint="eastAsia" w:cs="Times New Roman"/>
                <w:color w:val="auto"/>
                <w:sz w:val="21"/>
                <w:szCs w:val="21"/>
                <w:lang w:val="en-US" w:eastAsia="zh-CN"/>
              </w:rPr>
            </w:pPr>
            <w:r>
              <w:rPr>
                <w:rFonts w:hint="eastAsia" w:ascii="Times New Roman" w:hAnsi="Times New Roman" w:eastAsia="宋体" w:cs="Times New Roman"/>
                <w:sz w:val="21"/>
                <w:szCs w:val="21"/>
                <w:lang w:eastAsia="zh-CN"/>
              </w:rPr>
              <w:t>数字减影血管造影（</w:t>
            </w:r>
            <w:r>
              <w:rPr>
                <w:rFonts w:hint="eastAsia" w:ascii="Times New Roman" w:hAnsi="Times New Roman" w:eastAsia="宋体" w:cs="Times New Roman"/>
                <w:sz w:val="21"/>
                <w:szCs w:val="21"/>
                <w:lang w:val="en-US" w:eastAsia="zh-CN"/>
              </w:rPr>
              <w:t>DSA</w:t>
            </w:r>
            <w:r>
              <w:rPr>
                <w:rFonts w:hint="eastAsia" w:ascii="Times New Roman" w:hAnsi="Times New Roman" w:eastAsia="宋体" w:cs="Times New Roman"/>
                <w:sz w:val="21"/>
                <w:szCs w:val="21"/>
                <w:lang w:eastAsia="zh-CN"/>
              </w:rPr>
              <w:t>）</w:t>
            </w:r>
          </w:p>
        </w:tc>
        <w:tc>
          <w:tcPr>
            <w:tcW w:w="586" w:type="pct"/>
            <w:tcBorders>
              <w:tl2br w:val="nil"/>
              <w:tr2bl w:val="nil"/>
            </w:tcBorders>
            <w:noWrap w:val="0"/>
            <w:vAlign w:val="center"/>
          </w:tcPr>
          <w:p w14:paraId="3ACFA269">
            <w:pPr>
              <w:ind w:left="-107" w:leftChars="-51" w:right="-107" w:rightChars="-51"/>
              <w:jc w:val="center"/>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MF0005</w:t>
            </w:r>
          </w:p>
        </w:tc>
        <w:tc>
          <w:tcPr>
            <w:tcW w:w="358" w:type="pct"/>
            <w:tcBorders>
              <w:tl2br w:val="nil"/>
              <w:tr2bl w:val="nil"/>
            </w:tcBorders>
            <w:noWrap w:val="0"/>
            <w:vAlign w:val="center"/>
          </w:tcPr>
          <w:p w14:paraId="7B34FAC6">
            <w:pPr>
              <w:ind w:left="-107" w:leftChars="-51" w:right="-107" w:rightChars="-51"/>
              <w:jc w:val="center"/>
              <w:rPr>
                <w:rFonts w:hint="eastAsia" w:cs="Times New Roman"/>
                <w:color w:val="auto"/>
                <w:sz w:val="21"/>
                <w:szCs w:val="21"/>
                <w:lang w:val="en-US" w:eastAsia="zh-CN"/>
              </w:rPr>
            </w:pPr>
            <w:r>
              <w:rPr>
                <w:rFonts w:hint="eastAsia" w:eastAsia="宋体" w:cs="Times New Roman"/>
                <w:color w:val="auto"/>
                <w:sz w:val="21"/>
                <w:szCs w:val="21"/>
                <w:lang w:val="en-US" w:eastAsia="zh-CN"/>
              </w:rPr>
              <w:t>/</w:t>
            </w:r>
          </w:p>
        </w:tc>
        <w:tc>
          <w:tcPr>
            <w:tcW w:w="250" w:type="pct"/>
            <w:tcBorders>
              <w:tl2br w:val="nil"/>
              <w:tr2bl w:val="nil"/>
            </w:tcBorders>
            <w:noWrap w:val="0"/>
            <w:vAlign w:val="center"/>
          </w:tcPr>
          <w:p w14:paraId="3172AED1">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eastAsia" w:eastAsia="宋体" w:cs="Times New Roman"/>
                <w:color w:val="auto"/>
                <w:sz w:val="21"/>
                <w:szCs w:val="21"/>
                <w:lang w:val="en-US" w:eastAsia="zh-CN"/>
              </w:rPr>
            </w:pPr>
            <w:r>
              <w:rPr>
                <w:rFonts w:hint="eastAsia" w:cs="Times New Roman"/>
                <w:color w:val="auto"/>
                <w:sz w:val="21"/>
                <w:szCs w:val="21"/>
                <w:lang w:val="en-US" w:eastAsia="zh-CN"/>
              </w:rPr>
              <w:t>/</w:t>
            </w:r>
          </w:p>
        </w:tc>
        <w:tc>
          <w:tcPr>
            <w:tcW w:w="287" w:type="pct"/>
            <w:tcBorders>
              <w:tl2br w:val="nil"/>
              <w:tr2bl w:val="nil"/>
            </w:tcBorders>
            <w:noWrap w:val="0"/>
            <w:vAlign w:val="center"/>
          </w:tcPr>
          <w:p w14:paraId="5465CB69">
            <w:pPr>
              <w:ind w:left="-107" w:leftChars="-51" w:right="-107" w:rightChars="-51"/>
              <w:jc w:val="center"/>
              <w:rPr>
                <w:rFonts w:hint="eastAsia" w:cs="Times New Roman"/>
                <w:color w:val="auto"/>
                <w:sz w:val="21"/>
                <w:szCs w:val="21"/>
                <w:lang w:val="en-US" w:eastAsia="zh-CN"/>
              </w:rPr>
            </w:pPr>
            <w:r>
              <w:rPr>
                <w:rFonts w:hint="eastAsia" w:eastAsia="宋体" w:cs="Times New Roman"/>
                <w:color w:val="auto"/>
                <w:sz w:val="21"/>
                <w:szCs w:val="21"/>
                <w:lang w:val="en-US" w:eastAsia="zh-CN"/>
              </w:rPr>
              <w:t>/</w:t>
            </w:r>
          </w:p>
        </w:tc>
        <w:tc>
          <w:tcPr>
            <w:tcW w:w="390" w:type="pct"/>
            <w:tcBorders>
              <w:tl2br w:val="nil"/>
              <w:tr2bl w:val="nil"/>
            </w:tcBorders>
            <w:noWrap w:val="0"/>
            <w:vAlign w:val="center"/>
          </w:tcPr>
          <w:p w14:paraId="7D89EF71">
            <w:pPr>
              <w:ind w:left="-107" w:leftChars="-51" w:right="-107" w:rightChars="-51"/>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w:t>
            </w:r>
          </w:p>
        </w:tc>
        <w:tc>
          <w:tcPr>
            <w:tcW w:w="458" w:type="pct"/>
            <w:tcBorders>
              <w:tl2br w:val="nil"/>
              <w:tr2bl w:val="nil"/>
            </w:tcBorders>
            <w:noWrap w:val="0"/>
            <w:vAlign w:val="center"/>
          </w:tcPr>
          <w:p w14:paraId="35FABC9A">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219" w:type="pct"/>
            <w:tcBorders>
              <w:tl2br w:val="nil"/>
              <w:tr2bl w:val="nil"/>
            </w:tcBorders>
            <w:noWrap w:val="0"/>
            <w:vAlign w:val="center"/>
          </w:tcPr>
          <w:p w14:paraId="565B70BB">
            <w:pPr>
              <w:ind w:left="-107" w:leftChars="-51" w:right="-107" w:rightChars="-51"/>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w:t>
            </w:r>
          </w:p>
        </w:tc>
      </w:tr>
      <w:tr w14:paraId="758F8AE5">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116" w:type="pct"/>
            <w:tcBorders>
              <w:tl2br w:val="nil"/>
              <w:tr2bl w:val="nil"/>
            </w:tcBorders>
            <w:noWrap w:val="0"/>
            <w:vAlign w:val="center"/>
          </w:tcPr>
          <w:p w14:paraId="76505105">
            <w:pPr>
              <w:jc w:val="center"/>
              <w:rPr>
                <w:rFonts w:hint="eastAsia" w:ascii="Times New Roman" w:hAnsi="Times New Roman" w:eastAsia="宋体" w:cs="Times New Roman"/>
                <w:color w:val="auto"/>
                <w:sz w:val="21"/>
                <w:szCs w:val="21"/>
                <w:lang w:val="en-US" w:eastAsia="zh-CN"/>
              </w:rPr>
            </w:pPr>
          </w:p>
        </w:tc>
        <w:tc>
          <w:tcPr>
            <w:tcW w:w="521" w:type="pct"/>
            <w:vMerge w:val="continue"/>
            <w:tcBorders>
              <w:tl2br w:val="nil"/>
              <w:tr2bl w:val="nil"/>
            </w:tcBorders>
            <w:noWrap w:val="0"/>
            <w:vAlign w:val="center"/>
          </w:tcPr>
          <w:p w14:paraId="0333E399">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484" w:type="pct"/>
            <w:vMerge w:val="continue"/>
            <w:tcBorders>
              <w:tl2br w:val="nil"/>
              <w:tr2bl w:val="nil"/>
            </w:tcBorders>
            <w:noWrap w:val="0"/>
            <w:vAlign w:val="center"/>
          </w:tcPr>
          <w:p w14:paraId="21343EEF">
            <w:pPr>
              <w:ind w:left="-107" w:leftChars="-51" w:right="-107" w:rightChars="-51"/>
              <w:jc w:val="center"/>
              <w:rPr>
                <w:rFonts w:hint="eastAsia" w:cs="Times New Roman"/>
                <w:color w:val="auto"/>
                <w:sz w:val="21"/>
                <w:szCs w:val="21"/>
                <w:lang w:val="en-US" w:eastAsia="zh-CN"/>
              </w:rPr>
            </w:pPr>
          </w:p>
        </w:tc>
        <w:tc>
          <w:tcPr>
            <w:tcW w:w="462" w:type="pct"/>
            <w:vMerge w:val="continue"/>
            <w:tcBorders>
              <w:tl2br w:val="nil"/>
              <w:tr2bl w:val="nil"/>
            </w:tcBorders>
            <w:noWrap w:val="0"/>
            <w:vAlign w:val="center"/>
          </w:tcPr>
          <w:p w14:paraId="242FAA93">
            <w:pPr>
              <w:ind w:left="-107" w:leftChars="-51" w:right="-107" w:rightChars="-51"/>
              <w:jc w:val="center"/>
              <w:rPr>
                <w:rFonts w:hint="eastAsia" w:cs="Times New Roman"/>
                <w:color w:val="auto"/>
                <w:sz w:val="21"/>
                <w:szCs w:val="21"/>
                <w:lang w:val="en-US" w:eastAsia="zh-CN"/>
              </w:rPr>
            </w:pPr>
          </w:p>
        </w:tc>
        <w:tc>
          <w:tcPr>
            <w:tcW w:w="864" w:type="pct"/>
            <w:tcBorders>
              <w:tl2br w:val="nil"/>
              <w:tr2bl w:val="nil"/>
            </w:tcBorders>
            <w:noWrap w:val="0"/>
            <w:vAlign w:val="center"/>
          </w:tcPr>
          <w:p w14:paraId="28E263A7">
            <w:pPr>
              <w:pStyle w:val="22"/>
              <w:jc w:val="center"/>
              <w:rPr>
                <w:rFonts w:hint="eastAsia" w:cs="Times New Roman"/>
                <w:color w:val="auto"/>
                <w:sz w:val="21"/>
                <w:szCs w:val="21"/>
                <w:lang w:val="en-US" w:eastAsia="zh-CN"/>
              </w:rPr>
            </w:pPr>
            <w:r>
              <w:rPr>
                <w:rFonts w:hint="eastAsia" w:ascii="Times New Roman" w:hAnsi="Times New Roman" w:eastAsia="宋体" w:cs="Times New Roman"/>
                <w:sz w:val="21"/>
                <w:szCs w:val="21"/>
                <w:lang w:eastAsia="zh-CN"/>
              </w:rPr>
              <w:t>乳腺</w:t>
            </w:r>
            <w:r>
              <w:rPr>
                <w:rFonts w:hint="eastAsia" w:ascii="Times New Roman" w:hAnsi="Times New Roman" w:eastAsia="宋体" w:cs="Times New Roman"/>
                <w:sz w:val="21"/>
                <w:szCs w:val="21"/>
                <w:lang w:val="en-US" w:eastAsia="zh-CN"/>
              </w:rPr>
              <w:t>X射线机</w:t>
            </w:r>
          </w:p>
        </w:tc>
        <w:tc>
          <w:tcPr>
            <w:tcW w:w="586" w:type="pct"/>
            <w:tcBorders>
              <w:tl2br w:val="nil"/>
              <w:tr2bl w:val="nil"/>
            </w:tcBorders>
            <w:noWrap w:val="0"/>
            <w:vAlign w:val="center"/>
          </w:tcPr>
          <w:p w14:paraId="5D46216F">
            <w:pPr>
              <w:ind w:left="-107" w:leftChars="-51" w:right="-107" w:rightChars="-51"/>
              <w:jc w:val="center"/>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MF0006</w:t>
            </w:r>
          </w:p>
        </w:tc>
        <w:tc>
          <w:tcPr>
            <w:tcW w:w="358" w:type="pct"/>
            <w:tcBorders>
              <w:tl2br w:val="nil"/>
              <w:tr2bl w:val="nil"/>
            </w:tcBorders>
            <w:noWrap w:val="0"/>
            <w:vAlign w:val="center"/>
          </w:tcPr>
          <w:p w14:paraId="3FABFAA7">
            <w:pPr>
              <w:ind w:left="-107" w:leftChars="-51" w:right="-107" w:rightChars="-51"/>
              <w:jc w:val="center"/>
              <w:rPr>
                <w:rFonts w:hint="eastAsia" w:cs="Times New Roman"/>
                <w:color w:val="auto"/>
                <w:sz w:val="21"/>
                <w:szCs w:val="21"/>
                <w:lang w:val="en-US" w:eastAsia="zh-CN"/>
              </w:rPr>
            </w:pPr>
            <w:r>
              <w:rPr>
                <w:rFonts w:hint="eastAsia" w:eastAsia="宋体" w:cs="Times New Roman"/>
                <w:color w:val="auto"/>
                <w:sz w:val="21"/>
                <w:szCs w:val="21"/>
                <w:lang w:val="en-US" w:eastAsia="zh-CN"/>
              </w:rPr>
              <w:t>/</w:t>
            </w:r>
          </w:p>
        </w:tc>
        <w:tc>
          <w:tcPr>
            <w:tcW w:w="250" w:type="pct"/>
            <w:tcBorders>
              <w:tl2br w:val="nil"/>
              <w:tr2bl w:val="nil"/>
            </w:tcBorders>
            <w:noWrap w:val="0"/>
            <w:vAlign w:val="center"/>
          </w:tcPr>
          <w:p w14:paraId="14E01C4D">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eastAsia" w:eastAsia="宋体" w:cs="Times New Roman"/>
                <w:color w:val="auto"/>
                <w:sz w:val="21"/>
                <w:szCs w:val="21"/>
                <w:lang w:val="en-US" w:eastAsia="zh-CN"/>
              </w:rPr>
            </w:pPr>
            <w:r>
              <w:rPr>
                <w:rFonts w:hint="eastAsia" w:cs="Times New Roman"/>
                <w:color w:val="auto"/>
                <w:sz w:val="21"/>
                <w:szCs w:val="21"/>
                <w:lang w:val="en-US" w:eastAsia="zh-CN"/>
              </w:rPr>
              <w:t>/</w:t>
            </w:r>
          </w:p>
        </w:tc>
        <w:tc>
          <w:tcPr>
            <w:tcW w:w="287" w:type="pct"/>
            <w:tcBorders>
              <w:tl2br w:val="nil"/>
              <w:tr2bl w:val="nil"/>
            </w:tcBorders>
            <w:noWrap w:val="0"/>
            <w:vAlign w:val="center"/>
          </w:tcPr>
          <w:p w14:paraId="4C553B56">
            <w:pPr>
              <w:ind w:left="-107" w:leftChars="-51" w:right="-107" w:rightChars="-51"/>
              <w:jc w:val="center"/>
              <w:rPr>
                <w:rFonts w:hint="eastAsia" w:cs="Times New Roman"/>
                <w:color w:val="auto"/>
                <w:sz w:val="21"/>
                <w:szCs w:val="21"/>
                <w:lang w:val="en-US" w:eastAsia="zh-CN"/>
              </w:rPr>
            </w:pPr>
            <w:r>
              <w:rPr>
                <w:rFonts w:hint="eastAsia" w:eastAsia="宋体" w:cs="Times New Roman"/>
                <w:color w:val="auto"/>
                <w:sz w:val="21"/>
                <w:szCs w:val="21"/>
                <w:lang w:val="en-US" w:eastAsia="zh-CN"/>
              </w:rPr>
              <w:t>/</w:t>
            </w:r>
          </w:p>
        </w:tc>
        <w:tc>
          <w:tcPr>
            <w:tcW w:w="390" w:type="pct"/>
            <w:tcBorders>
              <w:tl2br w:val="nil"/>
              <w:tr2bl w:val="nil"/>
            </w:tcBorders>
            <w:noWrap w:val="0"/>
            <w:vAlign w:val="center"/>
          </w:tcPr>
          <w:p w14:paraId="2A952049">
            <w:pPr>
              <w:ind w:left="-107" w:leftChars="-51" w:right="-107" w:rightChars="-51"/>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w:t>
            </w:r>
          </w:p>
        </w:tc>
        <w:tc>
          <w:tcPr>
            <w:tcW w:w="458" w:type="pct"/>
            <w:tcBorders>
              <w:tl2br w:val="nil"/>
              <w:tr2bl w:val="nil"/>
            </w:tcBorders>
            <w:noWrap w:val="0"/>
            <w:vAlign w:val="center"/>
          </w:tcPr>
          <w:p w14:paraId="2B1F6DCA">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219" w:type="pct"/>
            <w:tcBorders>
              <w:tl2br w:val="nil"/>
              <w:tr2bl w:val="nil"/>
            </w:tcBorders>
            <w:noWrap w:val="0"/>
            <w:vAlign w:val="center"/>
          </w:tcPr>
          <w:p w14:paraId="540D4802">
            <w:pPr>
              <w:ind w:left="-107" w:leftChars="-51" w:right="-107" w:rightChars="-51"/>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w:t>
            </w:r>
          </w:p>
        </w:tc>
      </w:tr>
      <w:tr w14:paraId="7BE2DA98">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116" w:type="pct"/>
            <w:tcBorders>
              <w:tl2br w:val="nil"/>
              <w:tr2bl w:val="nil"/>
            </w:tcBorders>
            <w:noWrap w:val="0"/>
            <w:vAlign w:val="center"/>
          </w:tcPr>
          <w:p w14:paraId="264A5303">
            <w:pPr>
              <w:jc w:val="center"/>
              <w:rPr>
                <w:rFonts w:hint="eastAsia" w:ascii="Times New Roman" w:hAnsi="Times New Roman" w:eastAsia="宋体" w:cs="Times New Roman"/>
                <w:color w:val="auto"/>
                <w:sz w:val="21"/>
                <w:szCs w:val="21"/>
                <w:lang w:val="en-US" w:eastAsia="zh-CN"/>
              </w:rPr>
            </w:pPr>
          </w:p>
        </w:tc>
        <w:tc>
          <w:tcPr>
            <w:tcW w:w="521" w:type="pct"/>
            <w:vMerge w:val="continue"/>
            <w:tcBorders>
              <w:tl2br w:val="nil"/>
              <w:tr2bl w:val="nil"/>
            </w:tcBorders>
            <w:noWrap w:val="0"/>
            <w:vAlign w:val="center"/>
          </w:tcPr>
          <w:p w14:paraId="4F12585C">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484" w:type="pct"/>
            <w:vMerge w:val="continue"/>
            <w:tcBorders>
              <w:tl2br w:val="nil"/>
              <w:tr2bl w:val="nil"/>
            </w:tcBorders>
            <w:noWrap w:val="0"/>
            <w:vAlign w:val="center"/>
          </w:tcPr>
          <w:p w14:paraId="6504274B">
            <w:pPr>
              <w:ind w:left="-107" w:leftChars="-51" w:right="-107" w:rightChars="-51"/>
              <w:jc w:val="center"/>
              <w:rPr>
                <w:rFonts w:hint="eastAsia" w:cs="Times New Roman"/>
                <w:color w:val="auto"/>
                <w:sz w:val="21"/>
                <w:szCs w:val="21"/>
                <w:lang w:val="en-US" w:eastAsia="zh-CN"/>
              </w:rPr>
            </w:pPr>
          </w:p>
        </w:tc>
        <w:tc>
          <w:tcPr>
            <w:tcW w:w="462" w:type="pct"/>
            <w:vMerge w:val="continue"/>
            <w:tcBorders>
              <w:tl2br w:val="nil"/>
              <w:tr2bl w:val="nil"/>
            </w:tcBorders>
            <w:noWrap w:val="0"/>
            <w:vAlign w:val="center"/>
          </w:tcPr>
          <w:p w14:paraId="7860F508">
            <w:pPr>
              <w:ind w:left="-107" w:leftChars="-51" w:right="-107" w:rightChars="-51"/>
              <w:jc w:val="center"/>
              <w:rPr>
                <w:rFonts w:hint="eastAsia" w:cs="Times New Roman"/>
                <w:color w:val="auto"/>
                <w:sz w:val="21"/>
                <w:szCs w:val="21"/>
                <w:lang w:val="en-US" w:eastAsia="zh-CN"/>
              </w:rPr>
            </w:pPr>
          </w:p>
        </w:tc>
        <w:tc>
          <w:tcPr>
            <w:tcW w:w="864" w:type="pct"/>
            <w:tcBorders>
              <w:tl2br w:val="nil"/>
              <w:tr2bl w:val="nil"/>
            </w:tcBorders>
            <w:noWrap w:val="0"/>
            <w:vAlign w:val="center"/>
          </w:tcPr>
          <w:p w14:paraId="71E524C9">
            <w:pPr>
              <w:pStyle w:val="22"/>
              <w:jc w:val="center"/>
              <w:rPr>
                <w:rFonts w:hint="eastAsia" w:cs="Times New Roman"/>
                <w:color w:val="auto"/>
                <w:sz w:val="21"/>
                <w:szCs w:val="21"/>
                <w:lang w:val="en-US" w:eastAsia="zh-CN"/>
              </w:rPr>
            </w:pPr>
            <w:r>
              <w:rPr>
                <w:rFonts w:hint="default" w:ascii="Times New Roman" w:hAnsi="Times New Roman" w:eastAsia="宋体" w:cs="Times New Roman"/>
                <w:sz w:val="21"/>
                <w:szCs w:val="21"/>
                <w:lang w:val="en-US" w:eastAsia="zh-CN"/>
              </w:rPr>
              <w:t>医用床边数字化X</w:t>
            </w:r>
            <w:r>
              <w:rPr>
                <w:rFonts w:hint="eastAsia" w:ascii="Times New Roman" w:hAnsi="Times New Roman" w:eastAsia="宋体" w:cs="Times New Roman"/>
                <w:sz w:val="21"/>
                <w:szCs w:val="21"/>
                <w:lang w:val="en-US" w:eastAsia="zh-CN"/>
              </w:rPr>
              <w:t>射线摄影机（移动</w:t>
            </w:r>
            <w:r>
              <w:rPr>
                <w:rFonts w:hint="default" w:ascii="Times New Roman" w:hAnsi="Times New Roman" w:eastAsia="宋体" w:cs="Times New Roman"/>
                <w:sz w:val="21"/>
                <w:szCs w:val="21"/>
                <w:lang w:val="en-US" w:eastAsia="zh-CN"/>
              </w:rPr>
              <w:t>DR</w:t>
            </w:r>
            <w:r>
              <w:rPr>
                <w:rFonts w:hint="eastAsia" w:ascii="Times New Roman" w:hAnsi="Times New Roman" w:eastAsia="宋体" w:cs="Times New Roman"/>
                <w:sz w:val="21"/>
                <w:szCs w:val="21"/>
                <w:lang w:val="en-US" w:eastAsia="zh-CN"/>
              </w:rPr>
              <w:t>）</w:t>
            </w:r>
          </w:p>
        </w:tc>
        <w:tc>
          <w:tcPr>
            <w:tcW w:w="586" w:type="pct"/>
            <w:tcBorders>
              <w:tl2br w:val="nil"/>
              <w:tr2bl w:val="nil"/>
            </w:tcBorders>
            <w:noWrap w:val="0"/>
            <w:vAlign w:val="center"/>
          </w:tcPr>
          <w:p w14:paraId="25233CF6">
            <w:pPr>
              <w:ind w:left="-107" w:leftChars="-51" w:right="-107" w:rightChars="-51"/>
              <w:jc w:val="center"/>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MF0007</w:t>
            </w:r>
          </w:p>
        </w:tc>
        <w:tc>
          <w:tcPr>
            <w:tcW w:w="358" w:type="pct"/>
            <w:tcBorders>
              <w:tl2br w:val="nil"/>
              <w:tr2bl w:val="nil"/>
            </w:tcBorders>
            <w:noWrap w:val="0"/>
            <w:vAlign w:val="center"/>
          </w:tcPr>
          <w:p w14:paraId="68457FC5">
            <w:pPr>
              <w:ind w:left="-107" w:leftChars="-51" w:right="-107" w:rightChars="-51"/>
              <w:jc w:val="center"/>
              <w:rPr>
                <w:rFonts w:hint="eastAsia" w:cs="Times New Roman"/>
                <w:color w:val="auto"/>
                <w:sz w:val="21"/>
                <w:szCs w:val="21"/>
                <w:lang w:val="en-US" w:eastAsia="zh-CN"/>
              </w:rPr>
            </w:pPr>
            <w:r>
              <w:rPr>
                <w:rFonts w:hint="eastAsia" w:eastAsia="宋体" w:cs="Times New Roman"/>
                <w:color w:val="auto"/>
                <w:sz w:val="21"/>
                <w:szCs w:val="21"/>
                <w:lang w:val="en-US" w:eastAsia="zh-CN"/>
              </w:rPr>
              <w:t>/</w:t>
            </w:r>
          </w:p>
        </w:tc>
        <w:tc>
          <w:tcPr>
            <w:tcW w:w="250" w:type="pct"/>
            <w:tcBorders>
              <w:tl2br w:val="nil"/>
              <w:tr2bl w:val="nil"/>
            </w:tcBorders>
            <w:noWrap w:val="0"/>
            <w:vAlign w:val="center"/>
          </w:tcPr>
          <w:p w14:paraId="223B0B60">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eastAsia" w:eastAsia="宋体" w:cs="Times New Roman"/>
                <w:color w:val="auto"/>
                <w:sz w:val="21"/>
                <w:szCs w:val="21"/>
                <w:lang w:val="en-US" w:eastAsia="zh-CN"/>
              </w:rPr>
            </w:pPr>
            <w:r>
              <w:rPr>
                <w:rFonts w:hint="eastAsia" w:cs="Times New Roman"/>
                <w:color w:val="auto"/>
                <w:sz w:val="21"/>
                <w:szCs w:val="21"/>
                <w:lang w:val="en-US" w:eastAsia="zh-CN"/>
              </w:rPr>
              <w:t>/</w:t>
            </w:r>
          </w:p>
        </w:tc>
        <w:tc>
          <w:tcPr>
            <w:tcW w:w="287" w:type="pct"/>
            <w:tcBorders>
              <w:tl2br w:val="nil"/>
              <w:tr2bl w:val="nil"/>
            </w:tcBorders>
            <w:noWrap w:val="0"/>
            <w:vAlign w:val="center"/>
          </w:tcPr>
          <w:p w14:paraId="7DD2D711">
            <w:pPr>
              <w:ind w:left="-107" w:leftChars="-51" w:right="-107" w:rightChars="-51"/>
              <w:jc w:val="center"/>
              <w:rPr>
                <w:rFonts w:hint="eastAsia" w:cs="Times New Roman"/>
                <w:color w:val="auto"/>
                <w:sz w:val="21"/>
                <w:szCs w:val="21"/>
                <w:lang w:val="en-US" w:eastAsia="zh-CN"/>
              </w:rPr>
            </w:pPr>
            <w:r>
              <w:rPr>
                <w:rFonts w:hint="eastAsia" w:eastAsia="宋体" w:cs="Times New Roman"/>
                <w:color w:val="auto"/>
                <w:sz w:val="21"/>
                <w:szCs w:val="21"/>
                <w:lang w:val="en-US" w:eastAsia="zh-CN"/>
              </w:rPr>
              <w:t>/</w:t>
            </w:r>
          </w:p>
        </w:tc>
        <w:tc>
          <w:tcPr>
            <w:tcW w:w="390" w:type="pct"/>
            <w:tcBorders>
              <w:tl2br w:val="nil"/>
              <w:tr2bl w:val="nil"/>
            </w:tcBorders>
            <w:noWrap w:val="0"/>
            <w:vAlign w:val="center"/>
          </w:tcPr>
          <w:p w14:paraId="7CE19D1D">
            <w:pPr>
              <w:ind w:left="-107" w:leftChars="-51" w:right="-107" w:rightChars="-51"/>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w:t>
            </w:r>
          </w:p>
        </w:tc>
        <w:tc>
          <w:tcPr>
            <w:tcW w:w="458" w:type="pct"/>
            <w:tcBorders>
              <w:tl2br w:val="nil"/>
              <w:tr2bl w:val="nil"/>
            </w:tcBorders>
            <w:noWrap w:val="0"/>
            <w:vAlign w:val="center"/>
          </w:tcPr>
          <w:p w14:paraId="4988EBFB">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219" w:type="pct"/>
            <w:tcBorders>
              <w:tl2br w:val="nil"/>
              <w:tr2bl w:val="nil"/>
            </w:tcBorders>
            <w:noWrap w:val="0"/>
            <w:vAlign w:val="center"/>
          </w:tcPr>
          <w:p w14:paraId="440C82E6">
            <w:pPr>
              <w:ind w:left="-107" w:leftChars="-51" w:right="-107" w:rightChars="-51"/>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w:t>
            </w:r>
          </w:p>
        </w:tc>
      </w:tr>
      <w:tr w14:paraId="67E13717">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116" w:type="pct"/>
            <w:tcBorders>
              <w:tl2br w:val="nil"/>
              <w:tr2bl w:val="nil"/>
            </w:tcBorders>
            <w:noWrap w:val="0"/>
            <w:vAlign w:val="center"/>
          </w:tcPr>
          <w:p w14:paraId="0A0CD4D3">
            <w:pPr>
              <w:jc w:val="center"/>
              <w:rPr>
                <w:rFonts w:hint="eastAsia" w:ascii="Times New Roman" w:hAnsi="Times New Roman" w:eastAsia="宋体" w:cs="Times New Roman"/>
                <w:color w:val="auto"/>
                <w:sz w:val="21"/>
                <w:szCs w:val="21"/>
                <w:lang w:val="en-US" w:eastAsia="zh-CN"/>
              </w:rPr>
            </w:pPr>
          </w:p>
        </w:tc>
        <w:tc>
          <w:tcPr>
            <w:tcW w:w="521" w:type="pct"/>
            <w:vMerge w:val="continue"/>
            <w:tcBorders>
              <w:tl2br w:val="nil"/>
              <w:tr2bl w:val="nil"/>
            </w:tcBorders>
            <w:noWrap w:val="0"/>
            <w:vAlign w:val="center"/>
          </w:tcPr>
          <w:p w14:paraId="10F0A52F">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484" w:type="pct"/>
            <w:vMerge w:val="continue"/>
            <w:tcBorders>
              <w:tl2br w:val="nil"/>
              <w:tr2bl w:val="nil"/>
            </w:tcBorders>
            <w:noWrap w:val="0"/>
            <w:vAlign w:val="center"/>
          </w:tcPr>
          <w:p w14:paraId="61BB96EC">
            <w:pPr>
              <w:ind w:left="-107" w:leftChars="-51" w:right="-107" w:rightChars="-51"/>
              <w:jc w:val="center"/>
              <w:rPr>
                <w:rFonts w:hint="eastAsia" w:cs="Times New Roman"/>
                <w:color w:val="auto"/>
                <w:sz w:val="21"/>
                <w:szCs w:val="21"/>
                <w:lang w:val="en-US" w:eastAsia="zh-CN"/>
              </w:rPr>
            </w:pPr>
          </w:p>
        </w:tc>
        <w:tc>
          <w:tcPr>
            <w:tcW w:w="462" w:type="pct"/>
            <w:vMerge w:val="restart"/>
            <w:tcBorders>
              <w:tl2br w:val="nil"/>
              <w:tr2bl w:val="nil"/>
            </w:tcBorders>
            <w:noWrap w:val="0"/>
            <w:vAlign w:val="center"/>
          </w:tcPr>
          <w:p w14:paraId="0190926A">
            <w:pPr>
              <w:ind w:left="-107" w:leftChars="-51" w:right="-107" w:rightChars="-51"/>
              <w:jc w:val="center"/>
              <w:rPr>
                <w:rFonts w:hint="default" w:cs="Times New Roman"/>
                <w:color w:val="auto"/>
                <w:sz w:val="21"/>
                <w:szCs w:val="21"/>
                <w:lang w:val="en-US" w:eastAsia="zh-CN"/>
              </w:rPr>
            </w:pPr>
            <w:r>
              <w:rPr>
                <w:rFonts w:hint="eastAsia" w:cs="Times New Roman"/>
                <w:color w:val="auto"/>
                <w:sz w:val="21"/>
                <w:szCs w:val="21"/>
                <w:lang w:val="en-US" w:eastAsia="zh-CN"/>
              </w:rPr>
              <w:t>医疗器械洗消</w:t>
            </w:r>
          </w:p>
        </w:tc>
        <w:tc>
          <w:tcPr>
            <w:tcW w:w="864" w:type="pct"/>
            <w:tcBorders>
              <w:tl2br w:val="nil"/>
              <w:tr2bl w:val="nil"/>
            </w:tcBorders>
            <w:noWrap w:val="0"/>
            <w:vAlign w:val="center"/>
          </w:tcPr>
          <w:p w14:paraId="44902F4D">
            <w:pPr>
              <w:pStyle w:val="22"/>
              <w:jc w:val="center"/>
              <w:rPr>
                <w:rFonts w:hint="eastAsia" w:cs="Times New Roman"/>
                <w:color w:val="auto"/>
                <w:sz w:val="21"/>
                <w:szCs w:val="21"/>
                <w:lang w:val="en-US" w:eastAsia="zh-CN"/>
              </w:rPr>
            </w:pPr>
            <w:r>
              <w:rPr>
                <w:rFonts w:hint="eastAsia" w:ascii="Times New Roman" w:hAnsi="Times New Roman" w:eastAsia="宋体" w:cs="Times New Roman"/>
                <w:sz w:val="21"/>
                <w:szCs w:val="21"/>
                <w:lang w:val="en-US" w:eastAsia="zh-CN"/>
              </w:rPr>
              <w:t>平移门脉动真空灭菌器</w:t>
            </w:r>
          </w:p>
        </w:tc>
        <w:tc>
          <w:tcPr>
            <w:tcW w:w="586" w:type="pct"/>
            <w:tcBorders>
              <w:tl2br w:val="nil"/>
              <w:tr2bl w:val="nil"/>
            </w:tcBorders>
            <w:noWrap w:val="0"/>
            <w:vAlign w:val="center"/>
          </w:tcPr>
          <w:p w14:paraId="12505B20">
            <w:pPr>
              <w:ind w:left="-107" w:leftChars="-51" w:right="-107" w:rightChars="-51"/>
              <w:jc w:val="center"/>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MF0008~MF0009</w:t>
            </w:r>
          </w:p>
        </w:tc>
        <w:tc>
          <w:tcPr>
            <w:tcW w:w="358" w:type="pct"/>
            <w:tcBorders>
              <w:tl2br w:val="nil"/>
              <w:tr2bl w:val="nil"/>
            </w:tcBorders>
            <w:noWrap w:val="0"/>
            <w:vAlign w:val="center"/>
          </w:tcPr>
          <w:p w14:paraId="22D4A3F1">
            <w:pPr>
              <w:ind w:left="-107" w:leftChars="-51" w:right="-107" w:rightChars="-51"/>
              <w:jc w:val="center"/>
              <w:rPr>
                <w:rFonts w:hint="eastAsia" w:cs="Times New Roman"/>
                <w:color w:val="auto"/>
                <w:sz w:val="21"/>
                <w:szCs w:val="21"/>
                <w:lang w:val="en-US" w:eastAsia="zh-CN"/>
              </w:rPr>
            </w:pPr>
            <w:r>
              <w:rPr>
                <w:rFonts w:hint="eastAsia" w:eastAsia="宋体" w:cs="Times New Roman"/>
                <w:color w:val="auto"/>
                <w:sz w:val="21"/>
                <w:szCs w:val="21"/>
                <w:lang w:val="en-US" w:eastAsia="zh-CN"/>
              </w:rPr>
              <w:t>/</w:t>
            </w:r>
          </w:p>
        </w:tc>
        <w:tc>
          <w:tcPr>
            <w:tcW w:w="250" w:type="pct"/>
            <w:tcBorders>
              <w:tl2br w:val="nil"/>
              <w:tr2bl w:val="nil"/>
            </w:tcBorders>
            <w:noWrap w:val="0"/>
            <w:vAlign w:val="center"/>
          </w:tcPr>
          <w:p w14:paraId="20457E0B">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eastAsia" w:eastAsia="宋体" w:cs="Times New Roman"/>
                <w:color w:val="auto"/>
                <w:sz w:val="21"/>
                <w:szCs w:val="21"/>
                <w:lang w:val="en-US" w:eastAsia="zh-CN"/>
              </w:rPr>
            </w:pPr>
            <w:r>
              <w:rPr>
                <w:rFonts w:hint="eastAsia" w:cs="Times New Roman"/>
                <w:color w:val="auto"/>
                <w:sz w:val="21"/>
                <w:szCs w:val="21"/>
                <w:lang w:val="en-US" w:eastAsia="zh-CN"/>
              </w:rPr>
              <w:t>/</w:t>
            </w:r>
          </w:p>
        </w:tc>
        <w:tc>
          <w:tcPr>
            <w:tcW w:w="287" w:type="pct"/>
            <w:tcBorders>
              <w:tl2br w:val="nil"/>
              <w:tr2bl w:val="nil"/>
            </w:tcBorders>
            <w:noWrap w:val="0"/>
            <w:vAlign w:val="center"/>
          </w:tcPr>
          <w:p w14:paraId="50D5BF0F">
            <w:pPr>
              <w:ind w:left="-107" w:leftChars="-51" w:right="-107" w:rightChars="-51"/>
              <w:jc w:val="center"/>
              <w:rPr>
                <w:rFonts w:hint="eastAsia" w:cs="Times New Roman"/>
                <w:color w:val="auto"/>
                <w:sz w:val="21"/>
                <w:szCs w:val="21"/>
                <w:lang w:val="en-US" w:eastAsia="zh-CN"/>
              </w:rPr>
            </w:pPr>
            <w:r>
              <w:rPr>
                <w:rFonts w:hint="eastAsia" w:eastAsia="宋体" w:cs="Times New Roman"/>
                <w:color w:val="auto"/>
                <w:sz w:val="21"/>
                <w:szCs w:val="21"/>
                <w:lang w:val="en-US" w:eastAsia="zh-CN"/>
              </w:rPr>
              <w:t>/</w:t>
            </w:r>
          </w:p>
        </w:tc>
        <w:tc>
          <w:tcPr>
            <w:tcW w:w="390" w:type="pct"/>
            <w:tcBorders>
              <w:tl2br w:val="nil"/>
              <w:tr2bl w:val="nil"/>
            </w:tcBorders>
            <w:noWrap w:val="0"/>
            <w:vAlign w:val="center"/>
          </w:tcPr>
          <w:p w14:paraId="03529D2F">
            <w:pPr>
              <w:ind w:left="-107" w:leftChars="-51" w:right="-107" w:rightChars="-51"/>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w:t>
            </w:r>
          </w:p>
        </w:tc>
        <w:tc>
          <w:tcPr>
            <w:tcW w:w="458" w:type="pct"/>
            <w:tcBorders>
              <w:tl2br w:val="nil"/>
              <w:tr2bl w:val="nil"/>
            </w:tcBorders>
            <w:noWrap w:val="0"/>
            <w:vAlign w:val="center"/>
          </w:tcPr>
          <w:p w14:paraId="5C2010EB">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219" w:type="pct"/>
            <w:tcBorders>
              <w:tl2br w:val="nil"/>
              <w:tr2bl w:val="nil"/>
            </w:tcBorders>
            <w:noWrap w:val="0"/>
            <w:vAlign w:val="center"/>
          </w:tcPr>
          <w:p w14:paraId="7103ED8F">
            <w:pPr>
              <w:ind w:left="-107" w:leftChars="-51" w:right="-107" w:rightChars="-51"/>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w:t>
            </w:r>
          </w:p>
        </w:tc>
      </w:tr>
      <w:tr w14:paraId="03CEFD04">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116" w:type="pct"/>
            <w:tcBorders>
              <w:tl2br w:val="nil"/>
              <w:tr2bl w:val="nil"/>
            </w:tcBorders>
            <w:noWrap w:val="0"/>
            <w:vAlign w:val="center"/>
          </w:tcPr>
          <w:p w14:paraId="6E9B2FDC">
            <w:pPr>
              <w:jc w:val="center"/>
              <w:rPr>
                <w:rFonts w:hint="eastAsia" w:ascii="Times New Roman" w:hAnsi="Times New Roman" w:eastAsia="宋体" w:cs="Times New Roman"/>
                <w:color w:val="auto"/>
                <w:sz w:val="21"/>
                <w:szCs w:val="21"/>
                <w:lang w:val="en-US" w:eastAsia="zh-CN"/>
              </w:rPr>
            </w:pPr>
          </w:p>
        </w:tc>
        <w:tc>
          <w:tcPr>
            <w:tcW w:w="521" w:type="pct"/>
            <w:vMerge w:val="continue"/>
            <w:tcBorders>
              <w:tl2br w:val="nil"/>
              <w:tr2bl w:val="nil"/>
            </w:tcBorders>
            <w:noWrap w:val="0"/>
            <w:vAlign w:val="center"/>
          </w:tcPr>
          <w:p w14:paraId="35447493">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484" w:type="pct"/>
            <w:vMerge w:val="continue"/>
            <w:tcBorders>
              <w:tl2br w:val="nil"/>
              <w:tr2bl w:val="nil"/>
            </w:tcBorders>
            <w:noWrap w:val="0"/>
            <w:vAlign w:val="center"/>
          </w:tcPr>
          <w:p w14:paraId="74DFDF51">
            <w:pPr>
              <w:ind w:left="-107" w:leftChars="-51" w:right="-107" w:rightChars="-51"/>
              <w:jc w:val="center"/>
              <w:rPr>
                <w:rFonts w:hint="eastAsia" w:cs="Times New Roman"/>
                <w:color w:val="auto"/>
                <w:sz w:val="21"/>
                <w:szCs w:val="21"/>
                <w:lang w:val="en-US" w:eastAsia="zh-CN"/>
              </w:rPr>
            </w:pPr>
          </w:p>
        </w:tc>
        <w:tc>
          <w:tcPr>
            <w:tcW w:w="462" w:type="pct"/>
            <w:vMerge w:val="continue"/>
            <w:tcBorders>
              <w:tl2br w:val="nil"/>
              <w:tr2bl w:val="nil"/>
            </w:tcBorders>
            <w:noWrap w:val="0"/>
            <w:vAlign w:val="center"/>
          </w:tcPr>
          <w:p w14:paraId="48BAD335">
            <w:pPr>
              <w:ind w:left="-107" w:leftChars="-51" w:right="-107" w:rightChars="-51"/>
              <w:jc w:val="center"/>
              <w:rPr>
                <w:rFonts w:hint="eastAsia" w:cs="Times New Roman"/>
                <w:color w:val="auto"/>
                <w:sz w:val="21"/>
                <w:szCs w:val="21"/>
                <w:lang w:val="en-US" w:eastAsia="zh-CN"/>
              </w:rPr>
            </w:pPr>
          </w:p>
        </w:tc>
        <w:tc>
          <w:tcPr>
            <w:tcW w:w="864" w:type="pct"/>
            <w:tcBorders>
              <w:tl2br w:val="nil"/>
              <w:tr2bl w:val="nil"/>
            </w:tcBorders>
            <w:noWrap w:val="0"/>
            <w:vAlign w:val="center"/>
          </w:tcPr>
          <w:p w14:paraId="6F5B2844">
            <w:pPr>
              <w:pStyle w:val="22"/>
              <w:jc w:val="center"/>
              <w:rPr>
                <w:rFonts w:hint="eastAsia" w:cs="Times New Roman"/>
                <w:color w:val="auto"/>
                <w:sz w:val="21"/>
                <w:szCs w:val="21"/>
                <w:lang w:val="en-US" w:eastAsia="zh-CN"/>
              </w:rPr>
            </w:pPr>
            <w:r>
              <w:rPr>
                <w:rFonts w:hint="eastAsia" w:ascii="Times New Roman" w:hAnsi="Times New Roman" w:eastAsia="宋体" w:cs="Times New Roman"/>
                <w:sz w:val="21"/>
                <w:szCs w:val="21"/>
                <w:lang w:val="en-US" w:eastAsia="zh-CN"/>
              </w:rPr>
              <w:t>全自动清洗消毒器</w:t>
            </w:r>
          </w:p>
        </w:tc>
        <w:tc>
          <w:tcPr>
            <w:tcW w:w="586" w:type="pct"/>
            <w:tcBorders>
              <w:tl2br w:val="nil"/>
              <w:tr2bl w:val="nil"/>
            </w:tcBorders>
            <w:noWrap w:val="0"/>
            <w:vAlign w:val="center"/>
          </w:tcPr>
          <w:p w14:paraId="6E61A7BB">
            <w:pPr>
              <w:ind w:left="-107" w:leftChars="-51" w:right="-107" w:rightChars="-51"/>
              <w:jc w:val="center"/>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MF0010</w:t>
            </w:r>
          </w:p>
        </w:tc>
        <w:tc>
          <w:tcPr>
            <w:tcW w:w="358" w:type="pct"/>
            <w:tcBorders>
              <w:tl2br w:val="nil"/>
              <w:tr2bl w:val="nil"/>
            </w:tcBorders>
            <w:noWrap w:val="0"/>
            <w:vAlign w:val="center"/>
          </w:tcPr>
          <w:p w14:paraId="005B6F25">
            <w:pPr>
              <w:ind w:left="-107" w:leftChars="-51" w:right="-107" w:rightChars="-51"/>
              <w:jc w:val="center"/>
              <w:rPr>
                <w:rFonts w:hint="eastAsia" w:cs="Times New Roman"/>
                <w:color w:val="auto"/>
                <w:sz w:val="21"/>
                <w:szCs w:val="21"/>
                <w:lang w:val="en-US" w:eastAsia="zh-CN"/>
              </w:rPr>
            </w:pPr>
            <w:r>
              <w:rPr>
                <w:rFonts w:hint="eastAsia" w:eastAsia="宋体" w:cs="Times New Roman"/>
                <w:color w:val="auto"/>
                <w:sz w:val="21"/>
                <w:szCs w:val="21"/>
                <w:lang w:val="en-US" w:eastAsia="zh-CN"/>
              </w:rPr>
              <w:t>/</w:t>
            </w:r>
          </w:p>
        </w:tc>
        <w:tc>
          <w:tcPr>
            <w:tcW w:w="250" w:type="pct"/>
            <w:tcBorders>
              <w:tl2br w:val="nil"/>
              <w:tr2bl w:val="nil"/>
            </w:tcBorders>
            <w:noWrap w:val="0"/>
            <w:vAlign w:val="center"/>
          </w:tcPr>
          <w:p w14:paraId="08B022D2">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eastAsia" w:eastAsia="宋体" w:cs="Times New Roman"/>
                <w:color w:val="auto"/>
                <w:sz w:val="21"/>
                <w:szCs w:val="21"/>
                <w:lang w:val="en-US" w:eastAsia="zh-CN"/>
              </w:rPr>
            </w:pPr>
            <w:r>
              <w:rPr>
                <w:rFonts w:hint="eastAsia" w:cs="Times New Roman"/>
                <w:color w:val="auto"/>
                <w:sz w:val="21"/>
                <w:szCs w:val="21"/>
                <w:lang w:val="en-US" w:eastAsia="zh-CN"/>
              </w:rPr>
              <w:t>/</w:t>
            </w:r>
          </w:p>
        </w:tc>
        <w:tc>
          <w:tcPr>
            <w:tcW w:w="287" w:type="pct"/>
            <w:tcBorders>
              <w:tl2br w:val="nil"/>
              <w:tr2bl w:val="nil"/>
            </w:tcBorders>
            <w:noWrap w:val="0"/>
            <w:vAlign w:val="center"/>
          </w:tcPr>
          <w:p w14:paraId="4B87E66C">
            <w:pPr>
              <w:ind w:left="-107" w:leftChars="-51" w:right="-107" w:rightChars="-51"/>
              <w:jc w:val="center"/>
              <w:rPr>
                <w:rFonts w:hint="eastAsia" w:cs="Times New Roman"/>
                <w:color w:val="auto"/>
                <w:sz w:val="21"/>
                <w:szCs w:val="21"/>
                <w:lang w:val="en-US" w:eastAsia="zh-CN"/>
              </w:rPr>
            </w:pPr>
            <w:r>
              <w:rPr>
                <w:rFonts w:hint="eastAsia" w:eastAsia="宋体" w:cs="Times New Roman"/>
                <w:color w:val="auto"/>
                <w:sz w:val="21"/>
                <w:szCs w:val="21"/>
                <w:lang w:val="en-US" w:eastAsia="zh-CN"/>
              </w:rPr>
              <w:t>/</w:t>
            </w:r>
          </w:p>
        </w:tc>
        <w:tc>
          <w:tcPr>
            <w:tcW w:w="390" w:type="pct"/>
            <w:tcBorders>
              <w:tl2br w:val="nil"/>
              <w:tr2bl w:val="nil"/>
            </w:tcBorders>
            <w:noWrap w:val="0"/>
            <w:vAlign w:val="center"/>
          </w:tcPr>
          <w:p w14:paraId="419B2137">
            <w:pPr>
              <w:ind w:left="-107" w:leftChars="-51" w:right="-107" w:rightChars="-51"/>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w:t>
            </w:r>
          </w:p>
        </w:tc>
        <w:tc>
          <w:tcPr>
            <w:tcW w:w="458" w:type="pct"/>
            <w:tcBorders>
              <w:tl2br w:val="nil"/>
              <w:tr2bl w:val="nil"/>
            </w:tcBorders>
            <w:noWrap w:val="0"/>
            <w:vAlign w:val="center"/>
          </w:tcPr>
          <w:p w14:paraId="0FEDDAA7">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219" w:type="pct"/>
            <w:tcBorders>
              <w:tl2br w:val="nil"/>
              <w:tr2bl w:val="nil"/>
            </w:tcBorders>
            <w:noWrap w:val="0"/>
            <w:vAlign w:val="center"/>
          </w:tcPr>
          <w:p w14:paraId="66F983E4">
            <w:pPr>
              <w:ind w:left="-107" w:leftChars="-51" w:right="-107" w:rightChars="-51"/>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w:t>
            </w:r>
          </w:p>
        </w:tc>
      </w:tr>
      <w:tr w14:paraId="54871312">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116" w:type="pct"/>
            <w:tcBorders>
              <w:tl2br w:val="nil"/>
              <w:tr2bl w:val="nil"/>
            </w:tcBorders>
            <w:noWrap w:val="0"/>
            <w:vAlign w:val="center"/>
          </w:tcPr>
          <w:p w14:paraId="2FB0497E">
            <w:pPr>
              <w:jc w:val="center"/>
              <w:rPr>
                <w:rFonts w:hint="eastAsia" w:ascii="Times New Roman" w:hAnsi="Times New Roman" w:eastAsia="宋体" w:cs="Times New Roman"/>
                <w:color w:val="auto"/>
                <w:sz w:val="21"/>
                <w:szCs w:val="21"/>
                <w:lang w:val="en-US" w:eastAsia="zh-CN"/>
              </w:rPr>
            </w:pPr>
          </w:p>
        </w:tc>
        <w:tc>
          <w:tcPr>
            <w:tcW w:w="521" w:type="pct"/>
            <w:vMerge w:val="continue"/>
            <w:tcBorders>
              <w:tl2br w:val="nil"/>
              <w:tr2bl w:val="nil"/>
            </w:tcBorders>
            <w:noWrap w:val="0"/>
            <w:vAlign w:val="center"/>
          </w:tcPr>
          <w:p w14:paraId="4699CC69">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484" w:type="pct"/>
            <w:vMerge w:val="continue"/>
            <w:tcBorders>
              <w:tl2br w:val="nil"/>
              <w:tr2bl w:val="nil"/>
            </w:tcBorders>
            <w:noWrap w:val="0"/>
            <w:vAlign w:val="center"/>
          </w:tcPr>
          <w:p w14:paraId="677FD3C0">
            <w:pPr>
              <w:ind w:left="-107" w:leftChars="-51" w:right="-107" w:rightChars="-51"/>
              <w:jc w:val="center"/>
              <w:rPr>
                <w:rFonts w:hint="eastAsia" w:cs="Times New Roman"/>
                <w:color w:val="auto"/>
                <w:sz w:val="21"/>
                <w:szCs w:val="21"/>
                <w:lang w:val="en-US" w:eastAsia="zh-CN"/>
              </w:rPr>
            </w:pPr>
          </w:p>
        </w:tc>
        <w:tc>
          <w:tcPr>
            <w:tcW w:w="462" w:type="pct"/>
            <w:vMerge w:val="continue"/>
            <w:tcBorders>
              <w:tl2br w:val="nil"/>
              <w:tr2bl w:val="nil"/>
            </w:tcBorders>
            <w:noWrap w:val="0"/>
            <w:vAlign w:val="center"/>
          </w:tcPr>
          <w:p w14:paraId="081FCD44">
            <w:pPr>
              <w:ind w:left="-107" w:leftChars="-51" w:right="-107" w:rightChars="-51"/>
              <w:jc w:val="center"/>
              <w:rPr>
                <w:rFonts w:hint="eastAsia" w:cs="Times New Roman"/>
                <w:color w:val="auto"/>
                <w:sz w:val="21"/>
                <w:szCs w:val="21"/>
                <w:lang w:val="en-US" w:eastAsia="zh-CN"/>
              </w:rPr>
            </w:pPr>
          </w:p>
        </w:tc>
        <w:tc>
          <w:tcPr>
            <w:tcW w:w="864" w:type="pct"/>
            <w:tcBorders>
              <w:tl2br w:val="nil"/>
              <w:tr2bl w:val="nil"/>
            </w:tcBorders>
            <w:noWrap w:val="0"/>
            <w:vAlign w:val="center"/>
          </w:tcPr>
          <w:p w14:paraId="2BBDE3F5">
            <w:pPr>
              <w:pStyle w:val="22"/>
              <w:jc w:val="center"/>
              <w:rPr>
                <w:rFonts w:hint="eastAsia" w:cs="Times New Roman"/>
                <w:color w:val="auto"/>
                <w:sz w:val="21"/>
                <w:szCs w:val="21"/>
                <w:lang w:val="en-US" w:eastAsia="zh-CN"/>
              </w:rPr>
            </w:pPr>
            <w:r>
              <w:rPr>
                <w:rFonts w:hint="eastAsia" w:ascii="Times New Roman" w:hAnsi="Times New Roman" w:eastAsia="宋体" w:cs="Times New Roman"/>
                <w:sz w:val="21"/>
                <w:szCs w:val="21"/>
                <w:lang w:val="en-US" w:eastAsia="zh-CN"/>
              </w:rPr>
              <w:t>低温等离子灭菌器</w:t>
            </w:r>
          </w:p>
        </w:tc>
        <w:tc>
          <w:tcPr>
            <w:tcW w:w="586" w:type="pct"/>
            <w:tcBorders>
              <w:tl2br w:val="nil"/>
              <w:tr2bl w:val="nil"/>
            </w:tcBorders>
            <w:noWrap w:val="0"/>
            <w:vAlign w:val="center"/>
          </w:tcPr>
          <w:p w14:paraId="7E58AC7B">
            <w:pPr>
              <w:ind w:left="-107" w:leftChars="-51" w:right="-107" w:rightChars="-51"/>
              <w:jc w:val="center"/>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MF0011</w:t>
            </w:r>
          </w:p>
        </w:tc>
        <w:tc>
          <w:tcPr>
            <w:tcW w:w="358" w:type="pct"/>
            <w:tcBorders>
              <w:tl2br w:val="nil"/>
              <w:tr2bl w:val="nil"/>
            </w:tcBorders>
            <w:noWrap w:val="0"/>
            <w:vAlign w:val="center"/>
          </w:tcPr>
          <w:p w14:paraId="4CD5DA89">
            <w:pPr>
              <w:ind w:left="-107" w:leftChars="-51" w:right="-107" w:rightChars="-51"/>
              <w:jc w:val="center"/>
              <w:rPr>
                <w:rFonts w:hint="eastAsia" w:cs="Times New Roman"/>
                <w:color w:val="auto"/>
                <w:sz w:val="21"/>
                <w:szCs w:val="21"/>
                <w:lang w:val="en-US" w:eastAsia="zh-CN"/>
              </w:rPr>
            </w:pPr>
            <w:r>
              <w:rPr>
                <w:rFonts w:hint="eastAsia" w:eastAsia="宋体" w:cs="Times New Roman"/>
                <w:color w:val="auto"/>
                <w:sz w:val="21"/>
                <w:szCs w:val="21"/>
                <w:lang w:val="en-US" w:eastAsia="zh-CN"/>
              </w:rPr>
              <w:t>/</w:t>
            </w:r>
          </w:p>
        </w:tc>
        <w:tc>
          <w:tcPr>
            <w:tcW w:w="250" w:type="pct"/>
            <w:tcBorders>
              <w:tl2br w:val="nil"/>
              <w:tr2bl w:val="nil"/>
            </w:tcBorders>
            <w:noWrap w:val="0"/>
            <w:vAlign w:val="center"/>
          </w:tcPr>
          <w:p w14:paraId="2AE94D5E">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eastAsia" w:eastAsia="宋体" w:cs="Times New Roman"/>
                <w:color w:val="auto"/>
                <w:sz w:val="21"/>
                <w:szCs w:val="21"/>
                <w:lang w:val="en-US" w:eastAsia="zh-CN"/>
              </w:rPr>
            </w:pPr>
            <w:r>
              <w:rPr>
                <w:rFonts w:hint="eastAsia" w:cs="Times New Roman"/>
                <w:color w:val="auto"/>
                <w:sz w:val="21"/>
                <w:szCs w:val="21"/>
                <w:lang w:val="en-US" w:eastAsia="zh-CN"/>
              </w:rPr>
              <w:t>/</w:t>
            </w:r>
          </w:p>
        </w:tc>
        <w:tc>
          <w:tcPr>
            <w:tcW w:w="287" w:type="pct"/>
            <w:tcBorders>
              <w:tl2br w:val="nil"/>
              <w:tr2bl w:val="nil"/>
            </w:tcBorders>
            <w:noWrap w:val="0"/>
            <w:vAlign w:val="center"/>
          </w:tcPr>
          <w:p w14:paraId="4147D1F6">
            <w:pPr>
              <w:ind w:left="-107" w:leftChars="-51" w:right="-107" w:rightChars="-51"/>
              <w:jc w:val="center"/>
              <w:rPr>
                <w:rFonts w:hint="eastAsia" w:cs="Times New Roman"/>
                <w:color w:val="auto"/>
                <w:sz w:val="21"/>
                <w:szCs w:val="21"/>
                <w:lang w:val="en-US" w:eastAsia="zh-CN"/>
              </w:rPr>
            </w:pPr>
            <w:r>
              <w:rPr>
                <w:rFonts w:hint="eastAsia" w:eastAsia="宋体" w:cs="Times New Roman"/>
                <w:color w:val="auto"/>
                <w:sz w:val="21"/>
                <w:szCs w:val="21"/>
                <w:lang w:val="en-US" w:eastAsia="zh-CN"/>
              </w:rPr>
              <w:t>/</w:t>
            </w:r>
          </w:p>
        </w:tc>
        <w:tc>
          <w:tcPr>
            <w:tcW w:w="390" w:type="pct"/>
            <w:tcBorders>
              <w:tl2br w:val="nil"/>
              <w:tr2bl w:val="nil"/>
            </w:tcBorders>
            <w:noWrap w:val="0"/>
            <w:vAlign w:val="center"/>
          </w:tcPr>
          <w:p w14:paraId="73445364">
            <w:pPr>
              <w:ind w:left="-107" w:leftChars="-51" w:right="-107" w:rightChars="-51"/>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w:t>
            </w:r>
          </w:p>
        </w:tc>
        <w:tc>
          <w:tcPr>
            <w:tcW w:w="458" w:type="pct"/>
            <w:tcBorders>
              <w:tl2br w:val="nil"/>
              <w:tr2bl w:val="nil"/>
            </w:tcBorders>
            <w:noWrap w:val="0"/>
            <w:vAlign w:val="center"/>
          </w:tcPr>
          <w:p w14:paraId="75E0424C">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219" w:type="pct"/>
            <w:tcBorders>
              <w:tl2br w:val="nil"/>
              <w:tr2bl w:val="nil"/>
            </w:tcBorders>
            <w:noWrap w:val="0"/>
            <w:vAlign w:val="center"/>
          </w:tcPr>
          <w:p w14:paraId="5503C086">
            <w:pPr>
              <w:ind w:left="-107" w:leftChars="-51" w:right="-107" w:rightChars="-51"/>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w:t>
            </w:r>
          </w:p>
        </w:tc>
      </w:tr>
      <w:tr w14:paraId="781C13A3">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116" w:type="pct"/>
            <w:tcBorders>
              <w:tl2br w:val="nil"/>
              <w:tr2bl w:val="nil"/>
            </w:tcBorders>
            <w:noWrap w:val="0"/>
            <w:vAlign w:val="center"/>
          </w:tcPr>
          <w:p w14:paraId="125CCDF8">
            <w:pPr>
              <w:jc w:val="center"/>
              <w:rPr>
                <w:rFonts w:hint="eastAsia" w:ascii="Times New Roman" w:hAnsi="Times New Roman" w:eastAsia="宋体" w:cs="Times New Roman"/>
                <w:color w:val="auto"/>
                <w:sz w:val="21"/>
                <w:szCs w:val="21"/>
                <w:lang w:val="en-US" w:eastAsia="zh-CN"/>
              </w:rPr>
            </w:pPr>
          </w:p>
        </w:tc>
        <w:tc>
          <w:tcPr>
            <w:tcW w:w="521" w:type="pct"/>
            <w:vMerge w:val="continue"/>
            <w:tcBorders>
              <w:tl2br w:val="nil"/>
              <w:tr2bl w:val="nil"/>
            </w:tcBorders>
            <w:noWrap w:val="0"/>
            <w:vAlign w:val="center"/>
          </w:tcPr>
          <w:p w14:paraId="61BB02F0">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484" w:type="pct"/>
            <w:vMerge w:val="continue"/>
            <w:tcBorders>
              <w:tl2br w:val="nil"/>
              <w:tr2bl w:val="nil"/>
            </w:tcBorders>
            <w:noWrap w:val="0"/>
            <w:vAlign w:val="center"/>
          </w:tcPr>
          <w:p w14:paraId="0E31208A">
            <w:pPr>
              <w:ind w:left="-107" w:leftChars="-51" w:right="-107" w:rightChars="-51"/>
              <w:jc w:val="center"/>
              <w:rPr>
                <w:rFonts w:hint="eastAsia" w:cs="Times New Roman"/>
                <w:color w:val="auto"/>
                <w:sz w:val="21"/>
                <w:szCs w:val="21"/>
                <w:lang w:val="en-US" w:eastAsia="zh-CN"/>
              </w:rPr>
            </w:pPr>
          </w:p>
        </w:tc>
        <w:tc>
          <w:tcPr>
            <w:tcW w:w="462" w:type="pct"/>
            <w:vMerge w:val="continue"/>
            <w:tcBorders>
              <w:tl2br w:val="nil"/>
              <w:tr2bl w:val="nil"/>
            </w:tcBorders>
            <w:noWrap w:val="0"/>
            <w:vAlign w:val="center"/>
          </w:tcPr>
          <w:p w14:paraId="4B2FE3AE">
            <w:pPr>
              <w:ind w:left="-107" w:leftChars="-51" w:right="-107" w:rightChars="-51"/>
              <w:jc w:val="center"/>
              <w:rPr>
                <w:rFonts w:hint="eastAsia" w:cs="Times New Roman"/>
                <w:color w:val="auto"/>
                <w:sz w:val="21"/>
                <w:szCs w:val="21"/>
                <w:lang w:val="en-US" w:eastAsia="zh-CN"/>
              </w:rPr>
            </w:pPr>
          </w:p>
        </w:tc>
        <w:tc>
          <w:tcPr>
            <w:tcW w:w="864" w:type="pct"/>
            <w:tcBorders>
              <w:tl2br w:val="nil"/>
              <w:tr2bl w:val="nil"/>
            </w:tcBorders>
            <w:noWrap w:val="0"/>
            <w:vAlign w:val="center"/>
          </w:tcPr>
          <w:p w14:paraId="3C200506">
            <w:pPr>
              <w:pStyle w:val="22"/>
              <w:jc w:val="center"/>
              <w:rPr>
                <w:rFonts w:hint="eastAsia" w:cs="Times New Roman"/>
                <w:color w:val="auto"/>
                <w:sz w:val="21"/>
                <w:szCs w:val="21"/>
                <w:lang w:val="en-US" w:eastAsia="zh-CN"/>
              </w:rPr>
            </w:pPr>
            <w:r>
              <w:rPr>
                <w:rFonts w:hint="eastAsia" w:ascii="Times New Roman" w:hAnsi="Times New Roman" w:eastAsia="宋体" w:cs="Times New Roman"/>
                <w:sz w:val="21"/>
                <w:szCs w:val="21"/>
                <w:lang w:val="en-US" w:eastAsia="zh-CN"/>
              </w:rPr>
              <w:t>蒸汽发生器（电）</w:t>
            </w:r>
          </w:p>
        </w:tc>
        <w:tc>
          <w:tcPr>
            <w:tcW w:w="586" w:type="pct"/>
            <w:tcBorders>
              <w:tl2br w:val="nil"/>
              <w:tr2bl w:val="nil"/>
            </w:tcBorders>
            <w:noWrap w:val="0"/>
            <w:vAlign w:val="center"/>
          </w:tcPr>
          <w:p w14:paraId="66624B82">
            <w:pPr>
              <w:ind w:left="-107" w:leftChars="-51" w:right="-107" w:rightChars="-51"/>
              <w:jc w:val="center"/>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MF0012~MF0013</w:t>
            </w:r>
          </w:p>
        </w:tc>
        <w:tc>
          <w:tcPr>
            <w:tcW w:w="358" w:type="pct"/>
            <w:tcBorders>
              <w:tl2br w:val="nil"/>
              <w:tr2bl w:val="nil"/>
            </w:tcBorders>
            <w:noWrap w:val="0"/>
            <w:vAlign w:val="center"/>
          </w:tcPr>
          <w:p w14:paraId="799355B2">
            <w:pPr>
              <w:ind w:left="-107" w:leftChars="-51" w:right="-107" w:rightChars="-51"/>
              <w:jc w:val="center"/>
              <w:rPr>
                <w:rFonts w:hint="default" w:cs="Times New Roman"/>
                <w:color w:val="auto"/>
                <w:sz w:val="21"/>
                <w:szCs w:val="21"/>
                <w:lang w:val="en-US" w:eastAsia="zh-CN"/>
              </w:rPr>
            </w:pPr>
            <w:r>
              <w:rPr>
                <w:rFonts w:hint="eastAsia" w:cs="Times New Roman"/>
                <w:color w:val="auto"/>
                <w:sz w:val="21"/>
                <w:szCs w:val="21"/>
                <w:lang w:val="en-US" w:eastAsia="zh-CN"/>
              </w:rPr>
              <w:t>生产能力</w:t>
            </w:r>
          </w:p>
        </w:tc>
        <w:tc>
          <w:tcPr>
            <w:tcW w:w="250" w:type="pct"/>
            <w:tcBorders>
              <w:tl2br w:val="nil"/>
              <w:tr2bl w:val="nil"/>
            </w:tcBorders>
            <w:noWrap w:val="0"/>
            <w:vAlign w:val="center"/>
          </w:tcPr>
          <w:p w14:paraId="2C0C0BDF">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t/h</w:t>
            </w:r>
          </w:p>
        </w:tc>
        <w:tc>
          <w:tcPr>
            <w:tcW w:w="287" w:type="pct"/>
            <w:tcBorders>
              <w:tl2br w:val="nil"/>
              <w:tr2bl w:val="nil"/>
            </w:tcBorders>
            <w:noWrap w:val="0"/>
            <w:vAlign w:val="center"/>
          </w:tcPr>
          <w:p w14:paraId="50F4EB8F">
            <w:pPr>
              <w:ind w:left="-107" w:leftChars="-51" w:right="-107" w:rightChars="-51"/>
              <w:jc w:val="center"/>
              <w:rPr>
                <w:rFonts w:hint="default" w:cs="Times New Roman"/>
                <w:color w:val="auto"/>
                <w:sz w:val="21"/>
                <w:szCs w:val="21"/>
                <w:lang w:val="en-US" w:eastAsia="zh-CN"/>
              </w:rPr>
            </w:pPr>
            <w:r>
              <w:rPr>
                <w:rFonts w:hint="eastAsia" w:cs="Times New Roman"/>
                <w:color w:val="auto"/>
                <w:sz w:val="21"/>
                <w:szCs w:val="21"/>
                <w:lang w:val="en-US" w:eastAsia="zh-CN"/>
              </w:rPr>
              <w:t>1.2</w:t>
            </w:r>
          </w:p>
        </w:tc>
        <w:tc>
          <w:tcPr>
            <w:tcW w:w="390" w:type="pct"/>
            <w:tcBorders>
              <w:tl2br w:val="nil"/>
              <w:tr2bl w:val="nil"/>
            </w:tcBorders>
            <w:noWrap w:val="0"/>
            <w:vAlign w:val="center"/>
          </w:tcPr>
          <w:p w14:paraId="37191B22">
            <w:pPr>
              <w:ind w:left="-107" w:leftChars="-51" w:right="-107" w:rightChars="-51"/>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w:t>
            </w:r>
          </w:p>
        </w:tc>
        <w:tc>
          <w:tcPr>
            <w:tcW w:w="458" w:type="pct"/>
            <w:tcBorders>
              <w:tl2br w:val="nil"/>
              <w:tr2bl w:val="nil"/>
            </w:tcBorders>
            <w:noWrap w:val="0"/>
            <w:vAlign w:val="center"/>
          </w:tcPr>
          <w:p w14:paraId="785AADB6">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219" w:type="pct"/>
            <w:tcBorders>
              <w:tl2br w:val="nil"/>
              <w:tr2bl w:val="nil"/>
            </w:tcBorders>
            <w:noWrap w:val="0"/>
            <w:vAlign w:val="center"/>
          </w:tcPr>
          <w:p w14:paraId="01AA9929">
            <w:pPr>
              <w:ind w:left="-107" w:leftChars="-51" w:right="-107" w:rightChars="-51"/>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w:t>
            </w:r>
          </w:p>
        </w:tc>
      </w:tr>
      <w:tr w14:paraId="0AC0B592">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116" w:type="pct"/>
            <w:tcBorders>
              <w:tl2br w:val="nil"/>
              <w:tr2bl w:val="nil"/>
            </w:tcBorders>
            <w:noWrap w:val="0"/>
            <w:vAlign w:val="center"/>
          </w:tcPr>
          <w:p w14:paraId="52330455">
            <w:pPr>
              <w:jc w:val="center"/>
              <w:rPr>
                <w:rFonts w:hint="eastAsia" w:ascii="Times New Roman" w:hAnsi="Times New Roman" w:eastAsia="宋体" w:cs="Times New Roman"/>
                <w:color w:val="auto"/>
                <w:sz w:val="21"/>
                <w:szCs w:val="21"/>
                <w:lang w:val="en-US" w:eastAsia="zh-CN"/>
              </w:rPr>
            </w:pPr>
          </w:p>
        </w:tc>
        <w:tc>
          <w:tcPr>
            <w:tcW w:w="521" w:type="pct"/>
            <w:vMerge w:val="continue"/>
            <w:tcBorders>
              <w:tl2br w:val="nil"/>
              <w:tr2bl w:val="nil"/>
            </w:tcBorders>
            <w:noWrap w:val="0"/>
            <w:vAlign w:val="center"/>
          </w:tcPr>
          <w:p w14:paraId="03368912">
            <w:pPr>
              <w:ind w:left="-107" w:leftChars="-51" w:right="-107" w:rightChars="-51"/>
              <w:jc w:val="center"/>
              <w:rPr>
                <w:rFonts w:hint="eastAsia" w:ascii="Times New Roman" w:hAnsi="Times New Roman" w:eastAsia="宋体" w:cs="Times New Roman"/>
                <w:color w:val="000000"/>
                <w:sz w:val="21"/>
                <w:szCs w:val="21"/>
                <w:lang w:val="en-US" w:eastAsia="zh-CN"/>
              </w:rPr>
            </w:pPr>
          </w:p>
        </w:tc>
        <w:tc>
          <w:tcPr>
            <w:tcW w:w="484" w:type="pct"/>
            <w:vMerge w:val="continue"/>
            <w:tcBorders>
              <w:tl2br w:val="nil"/>
              <w:tr2bl w:val="nil"/>
            </w:tcBorders>
            <w:noWrap w:val="0"/>
            <w:vAlign w:val="center"/>
          </w:tcPr>
          <w:p w14:paraId="49FCB00E">
            <w:pPr>
              <w:ind w:left="-107" w:leftChars="-51" w:right="-107" w:rightChars="-51"/>
              <w:jc w:val="center"/>
              <w:rPr>
                <w:rFonts w:hint="eastAsia" w:cs="Times New Roman"/>
                <w:color w:val="auto"/>
                <w:sz w:val="21"/>
                <w:szCs w:val="21"/>
                <w:lang w:val="en-US" w:eastAsia="zh-CN"/>
              </w:rPr>
            </w:pPr>
          </w:p>
        </w:tc>
        <w:tc>
          <w:tcPr>
            <w:tcW w:w="462" w:type="pct"/>
            <w:vMerge w:val="continue"/>
            <w:tcBorders>
              <w:tl2br w:val="nil"/>
              <w:tr2bl w:val="nil"/>
            </w:tcBorders>
            <w:noWrap w:val="0"/>
            <w:vAlign w:val="center"/>
          </w:tcPr>
          <w:p w14:paraId="6A1D9520">
            <w:pPr>
              <w:ind w:left="-107" w:leftChars="-51" w:right="-107" w:rightChars="-51"/>
              <w:jc w:val="center"/>
              <w:rPr>
                <w:rFonts w:hint="eastAsia" w:cs="Times New Roman"/>
                <w:color w:val="auto"/>
                <w:sz w:val="21"/>
                <w:szCs w:val="21"/>
                <w:lang w:val="en-US" w:eastAsia="zh-CN"/>
              </w:rPr>
            </w:pPr>
          </w:p>
        </w:tc>
        <w:tc>
          <w:tcPr>
            <w:tcW w:w="864" w:type="pct"/>
            <w:tcBorders>
              <w:tl2br w:val="nil"/>
              <w:tr2bl w:val="nil"/>
            </w:tcBorders>
            <w:noWrap w:val="0"/>
            <w:vAlign w:val="center"/>
          </w:tcPr>
          <w:p w14:paraId="440D9A28">
            <w:pPr>
              <w:pStyle w:val="22"/>
              <w:jc w:val="center"/>
              <w:rPr>
                <w:rFonts w:hint="eastAsia"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医用干燥柜</w:t>
            </w:r>
          </w:p>
        </w:tc>
        <w:tc>
          <w:tcPr>
            <w:tcW w:w="586" w:type="pct"/>
            <w:tcBorders>
              <w:tl2br w:val="nil"/>
              <w:tr2bl w:val="nil"/>
            </w:tcBorders>
            <w:noWrap w:val="0"/>
            <w:vAlign w:val="center"/>
          </w:tcPr>
          <w:p w14:paraId="1FD93A03">
            <w:pPr>
              <w:ind w:left="-107" w:leftChars="-51" w:right="-107" w:rightChars="-51"/>
              <w:jc w:val="center"/>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MF0014</w:t>
            </w:r>
          </w:p>
        </w:tc>
        <w:tc>
          <w:tcPr>
            <w:tcW w:w="358" w:type="pct"/>
            <w:tcBorders>
              <w:tl2br w:val="nil"/>
              <w:tr2bl w:val="nil"/>
            </w:tcBorders>
            <w:noWrap w:val="0"/>
            <w:vAlign w:val="center"/>
          </w:tcPr>
          <w:p w14:paraId="5A851159">
            <w:pPr>
              <w:ind w:left="-107" w:leftChars="-51" w:right="-107" w:rightChars="-51"/>
              <w:jc w:val="center"/>
              <w:rPr>
                <w:rFonts w:hint="eastAsia" w:cs="Times New Roman"/>
                <w:color w:val="auto"/>
                <w:sz w:val="21"/>
                <w:szCs w:val="21"/>
                <w:lang w:val="en-US" w:eastAsia="zh-CN"/>
              </w:rPr>
            </w:pPr>
            <w:r>
              <w:rPr>
                <w:rFonts w:hint="eastAsia" w:eastAsia="宋体" w:cs="Times New Roman"/>
                <w:color w:val="auto"/>
                <w:sz w:val="21"/>
                <w:szCs w:val="21"/>
                <w:lang w:val="en-US" w:eastAsia="zh-CN"/>
              </w:rPr>
              <w:t>/</w:t>
            </w:r>
          </w:p>
        </w:tc>
        <w:tc>
          <w:tcPr>
            <w:tcW w:w="250" w:type="pct"/>
            <w:tcBorders>
              <w:tl2br w:val="nil"/>
              <w:tr2bl w:val="nil"/>
            </w:tcBorders>
            <w:noWrap w:val="0"/>
            <w:vAlign w:val="center"/>
          </w:tcPr>
          <w:p w14:paraId="001B8591">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eastAsia" w:eastAsia="宋体" w:cs="Times New Roman"/>
                <w:color w:val="auto"/>
                <w:sz w:val="21"/>
                <w:szCs w:val="21"/>
                <w:lang w:val="en-US" w:eastAsia="zh-CN"/>
              </w:rPr>
            </w:pPr>
            <w:r>
              <w:rPr>
                <w:rFonts w:hint="eastAsia" w:cs="Times New Roman"/>
                <w:color w:val="auto"/>
                <w:sz w:val="21"/>
                <w:szCs w:val="21"/>
                <w:lang w:val="en-US" w:eastAsia="zh-CN"/>
              </w:rPr>
              <w:t>/</w:t>
            </w:r>
          </w:p>
        </w:tc>
        <w:tc>
          <w:tcPr>
            <w:tcW w:w="287" w:type="pct"/>
            <w:tcBorders>
              <w:tl2br w:val="nil"/>
              <w:tr2bl w:val="nil"/>
            </w:tcBorders>
            <w:noWrap w:val="0"/>
            <w:vAlign w:val="center"/>
          </w:tcPr>
          <w:p w14:paraId="46EBA2B6">
            <w:pPr>
              <w:ind w:left="-107" w:leftChars="-51" w:right="-107" w:rightChars="-51"/>
              <w:jc w:val="center"/>
              <w:rPr>
                <w:rFonts w:hint="eastAsia" w:cs="Times New Roman"/>
                <w:color w:val="auto"/>
                <w:sz w:val="21"/>
                <w:szCs w:val="21"/>
                <w:lang w:val="en-US" w:eastAsia="zh-CN"/>
              </w:rPr>
            </w:pPr>
            <w:r>
              <w:rPr>
                <w:rFonts w:hint="eastAsia" w:eastAsia="宋体" w:cs="Times New Roman"/>
                <w:color w:val="auto"/>
                <w:sz w:val="21"/>
                <w:szCs w:val="21"/>
                <w:lang w:val="en-US" w:eastAsia="zh-CN"/>
              </w:rPr>
              <w:t>/</w:t>
            </w:r>
          </w:p>
        </w:tc>
        <w:tc>
          <w:tcPr>
            <w:tcW w:w="390" w:type="pct"/>
            <w:tcBorders>
              <w:tl2br w:val="nil"/>
              <w:tr2bl w:val="nil"/>
            </w:tcBorders>
            <w:noWrap w:val="0"/>
            <w:vAlign w:val="center"/>
          </w:tcPr>
          <w:p w14:paraId="56C856BD">
            <w:pPr>
              <w:ind w:left="-107" w:leftChars="-51" w:right="-107" w:rightChars="-51"/>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w:t>
            </w:r>
          </w:p>
        </w:tc>
        <w:tc>
          <w:tcPr>
            <w:tcW w:w="458" w:type="pct"/>
            <w:tcBorders>
              <w:tl2br w:val="nil"/>
              <w:tr2bl w:val="nil"/>
            </w:tcBorders>
            <w:noWrap w:val="0"/>
            <w:vAlign w:val="center"/>
          </w:tcPr>
          <w:p w14:paraId="44D0E578">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219" w:type="pct"/>
            <w:tcBorders>
              <w:tl2br w:val="nil"/>
              <w:tr2bl w:val="nil"/>
            </w:tcBorders>
            <w:noWrap w:val="0"/>
            <w:vAlign w:val="center"/>
          </w:tcPr>
          <w:p w14:paraId="42BF3202">
            <w:pPr>
              <w:ind w:left="-107" w:leftChars="-51" w:right="-107" w:rightChars="-51"/>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w:t>
            </w:r>
          </w:p>
        </w:tc>
      </w:tr>
      <w:tr w14:paraId="2930DE6D">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116" w:type="pct"/>
            <w:tcBorders>
              <w:tl2br w:val="nil"/>
              <w:tr2bl w:val="nil"/>
            </w:tcBorders>
            <w:noWrap w:val="0"/>
            <w:vAlign w:val="center"/>
          </w:tcPr>
          <w:p w14:paraId="4BDF81BA">
            <w:pPr>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2</w:t>
            </w:r>
          </w:p>
        </w:tc>
        <w:tc>
          <w:tcPr>
            <w:tcW w:w="521" w:type="pct"/>
            <w:vMerge w:val="continue"/>
            <w:tcBorders>
              <w:tl2br w:val="nil"/>
              <w:tr2bl w:val="nil"/>
            </w:tcBorders>
            <w:noWrap w:val="0"/>
            <w:vAlign w:val="center"/>
          </w:tcPr>
          <w:p w14:paraId="27F56BB9">
            <w:pPr>
              <w:ind w:left="-107" w:leftChars="-51" w:right="-107" w:rightChars="-51"/>
              <w:jc w:val="center"/>
              <w:rPr>
                <w:rFonts w:hint="eastAsia" w:cs="Times New Roman"/>
                <w:color w:val="auto"/>
                <w:sz w:val="21"/>
                <w:szCs w:val="21"/>
                <w:lang w:val="en-US" w:eastAsia="zh-CN"/>
              </w:rPr>
            </w:pPr>
          </w:p>
        </w:tc>
        <w:tc>
          <w:tcPr>
            <w:tcW w:w="484" w:type="pct"/>
            <w:vMerge w:val="continue"/>
            <w:tcBorders>
              <w:tl2br w:val="nil"/>
              <w:tr2bl w:val="nil"/>
            </w:tcBorders>
            <w:noWrap w:val="0"/>
            <w:vAlign w:val="center"/>
          </w:tcPr>
          <w:p w14:paraId="245FDCC8">
            <w:pPr>
              <w:ind w:left="-107" w:leftChars="-51" w:right="-107" w:rightChars="-51"/>
              <w:jc w:val="center"/>
              <w:rPr>
                <w:rFonts w:hint="eastAsia" w:cs="Times New Roman"/>
                <w:color w:val="auto"/>
                <w:sz w:val="21"/>
                <w:szCs w:val="21"/>
                <w:lang w:val="en-US" w:eastAsia="zh-CN"/>
              </w:rPr>
            </w:pPr>
          </w:p>
        </w:tc>
        <w:tc>
          <w:tcPr>
            <w:tcW w:w="462" w:type="pct"/>
            <w:vMerge w:val="continue"/>
            <w:tcBorders>
              <w:tl2br w:val="nil"/>
              <w:tr2bl w:val="nil"/>
            </w:tcBorders>
            <w:noWrap w:val="0"/>
            <w:vAlign w:val="center"/>
          </w:tcPr>
          <w:p w14:paraId="627EE579">
            <w:pPr>
              <w:ind w:left="-107" w:leftChars="-51" w:right="-107" w:rightChars="-51"/>
              <w:jc w:val="center"/>
              <w:rPr>
                <w:rFonts w:hint="eastAsia" w:cs="Times New Roman"/>
                <w:color w:val="auto"/>
                <w:sz w:val="21"/>
                <w:szCs w:val="21"/>
                <w:lang w:val="en-US" w:eastAsia="zh-CN"/>
              </w:rPr>
            </w:pPr>
          </w:p>
        </w:tc>
        <w:tc>
          <w:tcPr>
            <w:tcW w:w="864" w:type="pct"/>
            <w:tcBorders>
              <w:tl2br w:val="nil"/>
              <w:tr2bl w:val="nil"/>
            </w:tcBorders>
            <w:noWrap w:val="0"/>
            <w:vAlign w:val="center"/>
          </w:tcPr>
          <w:p w14:paraId="752625A0">
            <w:pPr>
              <w:pStyle w:val="22"/>
              <w:jc w:val="center"/>
              <w:rPr>
                <w:rFonts w:hint="eastAsia" w:ascii="Times New Roman" w:hAnsi="Times New Roman"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超声波清洗机</w:t>
            </w:r>
          </w:p>
        </w:tc>
        <w:tc>
          <w:tcPr>
            <w:tcW w:w="586" w:type="pct"/>
            <w:tcBorders>
              <w:tl2br w:val="nil"/>
              <w:tr2bl w:val="nil"/>
            </w:tcBorders>
            <w:noWrap w:val="0"/>
            <w:vAlign w:val="center"/>
          </w:tcPr>
          <w:p w14:paraId="0009B749">
            <w:pPr>
              <w:ind w:left="-107" w:leftChars="-51" w:right="-107" w:rightChars="-51"/>
              <w:jc w:val="center"/>
              <w:rPr>
                <w:rFonts w:hint="default" w:cs="Times New Roman"/>
                <w:color w:val="auto"/>
                <w:sz w:val="21"/>
                <w:szCs w:val="21"/>
                <w:lang w:val="en-US" w:eastAsia="zh-CN"/>
              </w:rPr>
            </w:pPr>
            <w:r>
              <w:rPr>
                <w:rFonts w:hint="eastAsia" w:cs="Times New Roman"/>
                <w:color w:val="auto"/>
                <w:sz w:val="21"/>
                <w:szCs w:val="21"/>
                <w:lang w:val="en-US" w:eastAsia="zh-CN"/>
              </w:rPr>
              <w:t>MF0015</w:t>
            </w:r>
          </w:p>
        </w:tc>
        <w:tc>
          <w:tcPr>
            <w:tcW w:w="358" w:type="pct"/>
            <w:tcBorders>
              <w:tl2br w:val="nil"/>
              <w:tr2bl w:val="nil"/>
            </w:tcBorders>
            <w:noWrap w:val="0"/>
            <w:vAlign w:val="center"/>
          </w:tcPr>
          <w:p w14:paraId="41C2EFCB">
            <w:pPr>
              <w:ind w:left="-107" w:leftChars="-51" w:right="-107" w:rightChars="-51"/>
              <w:jc w:val="center"/>
              <w:rPr>
                <w:rFonts w:hint="eastAsia" w:cs="Times New Roman"/>
                <w:color w:val="auto"/>
                <w:sz w:val="21"/>
                <w:szCs w:val="21"/>
                <w:lang w:val="en-US" w:eastAsia="zh-CN"/>
              </w:rPr>
            </w:pPr>
            <w:r>
              <w:rPr>
                <w:rFonts w:hint="eastAsia" w:eastAsia="宋体" w:cs="Times New Roman"/>
                <w:color w:val="auto"/>
                <w:sz w:val="21"/>
                <w:szCs w:val="21"/>
                <w:lang w:val="en-US" w:eastAsia="zh-CN"/>
              </w:rPr>
              <w:t>/</w:t>
            </w:r>
          </w:p>
        </w:tc>
        <w:tc>
          <w:tcPr>
            <w:tcW w:w="250" w:type="pct"/>
            <w:tcBorders>
              <w:tl2br w:val="nil"/>
              <w:tr2bl w:val="nil"/>
            </w:tcBorders>
            <w:noWrap w:val="0"/>
            <w:vAlign w:val="center"/>
          </w:tcPr>
          <w:p w14:paraId="7E115D80">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287" w:type="pct"/>
            <w:tcBorders>
              <w:tl2br w:val="nil"/>
              <w:tr2bl w:val="nil"/>
            </w:tcBorders>
            <w:noWrap w:val="0"/>
            <w:vAlign w:val="center"/>
          </w:tcPr>
          <w:p w14:paraId="0E235551">
            <w:pPr>
              <w:ind w:left="-107" w:leftChars="-51" w:right="-107" w:rightChars="-51"/>
              <w:jc w:val="center"/>
              <w:rPr>
                <w:rFonts w:hint="default" w:cs="Times New Roman"/>
                <w:color w:val="auto"/>
                <w:sz w:val="21"/>
                <w:szCs w:val="21"/>
                <w:lang w:val="en-US" w:eastAsia="zh-CN"/>
              </w:rPr>
            </w:pPr>
            <w:r>
              <w:rPr>
                <w:rFonts w:hint="eastAsia" w:eastAsia="宋体" w:cs="Times New Roman"/>
                <w:color w:val="auto"/>
                <w:sz w:val="21"/>
                <w:szCs w:val="21"/>
                <w:lang w:val="en-US" w:eastAsia="zh-CN"/>
              </w:rPr>
              <w:t>/</w:t>
            </w:r>
          </w:p>
        </w:tc>
        <w:tc>
          <w:tcPr>
            <w:tcW w:w="390" w:type="pct"/>
            <w:tcBorders>
              <w:tl2br w:val="nil"/>
              <w:tr2bl w:val="nil"/>
            </w:tcBorders>
            <w:noWrap w:val="0"/>
            <w:vAlign w:val="center"/>
          </w:tcPr>
          <w:p w14:paraId="1178F03B">
            <w:pPr>
              <w:ind w:left="-107" w:leftChars="-51" w:right="-107" w:rightChars="-51"/>
              <w:jc w:val="center"/>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w:t>
            </w:r>
          </w:p>
        </w:tc>
        <w:tc>
          <w:tcPr>
            <w:tcW w:w="458" w:type="pct"/>
            <w:tcBorders>
              <w:tl2br w:val="nil"/>
              <w:tr2bl w:val="nil"/>
            </w:tcBorders>
            <w:noWrap w:val="0"/>
            <w:vAlign w:val="center"/>
          </w:tcPr>
          <w:p w14:paraId="3DD19ADE">
            <w:pPr>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ind w:left="0" w:leftChars="0" w:right="0" w:right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219" w:type="pct"/>
            <w:tcBorders>
              <w:tl2br w:val="nil"/>
              <w:tr2bl w:val="nil"/>
            </w:tcBorders>
            <w:noWrap w:val="0"/>
            <w:vAlign w:val="center"/>
          </w:tcPr>
          <w:p w14:paraId="306DBDCC">
            <w:pPr>
              <w:ind w:left="-107" w:leftChars="-51" w:right="-107" w:rightChars="-51"/>
              <w:jc w:val="center"/>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w:t>
            </w:r>
          </w:p>
        </w:tc>
      </w:tr>
    </w:tbl>
    <w:p w14:paraId="20F4FAF2">
      <w:pPr>
        <w:jc w:val="center"/>
        <w:rPr>
          <w:rFonts w:hint="eastAsia" w:ascii="Times New Roman" w:hAnsi="Times New Roman" w:eastAsia="宋体" w:cs="Times New Roman"/>
          <w:b/>
          <w:color w:val="auto"/>
          <w:kern w:val="2"/>
          <w:sz w:val="30"/>
          <w:szCs w:val="30"/>
          <w:lang w:val="en-US" w:eastAsia="zh-CN" w:bidi="ar-SA"/>
        </w:rPr>
      </w:pPr>
      <w:r>
        <w:rPr>
          <w:rFonts w:hint="eastAsia" w:ascii="Times New Roman" w:hAnsi="Times New Roman" w:eastAsia="宋体" w:cs="Times New Roman"/>
          <w:b/>
          <w:color w:val="auto"/>
          <w:kern w:val="2"/>
          <w:sz w:val="30"/>
          <w:szCs w:val="30"/>
          <w:lang w:val="en-US" w:eastAsia="zh-CN" w:bidi="ar-SA"/>
        </w:rPr>
        <w:t>表4   建设项目废气产排污节点、污染物及污染治理设施信息表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
        <w:gridCol w:w="674"/>
        <w:gridCol w:w="815"/>
        <w:gridCol w:w="673"/>
        <w:gridCol w:w="777"/>
        <w:gridCol w:w="800"/>
        <w:gridCol w:w="475"/>
        <w:gridCol w:w="700"/>
        <w:gridCol w:w="1037"/>
        <w:gridCol w:w="972"/>
        <w:gridCol w:w="519"/>
        <w:gridCol w:w="519"/>
        <w:gridCol w:w="537"/>
        <w:gridCol w:w="671"/>
        <w:gridCol w:w="519"/>
        <w:gridCol w:w="688"/>
        <w:gridCol w:w="688"/>
        <w:gridCol w:w="688"/>
        <w:gridCol w:w="856"/>
        <w:gridCol w:w="688"/>
        <w:gridCol w:w="461"/>
      </w:tblGrid>
      <w:tr w14:paraId="3248D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7" w:type="dxa"/>
            <w:vMerge w:val="restart"/>
            <w:tcBorders>
              <w:top w:val="single" w:color="auto" w:sz="12" w:space="0"/>
              <w:left w:val="single" w:color="auto" w:sz="12" w:space="0"/>
              <w:bottom w:val="single" w:color="auto" w:sz="4" w:space="0"/>
              <w:right w:val="single" w:color="auto" w:sz="4" w:space="0"/>
            </w:tcBorders>
            <w:noWrap w:val="0"/>
            <w:vAlign w:val="center"/>
          </w:tcPr>
          <w:p w14:paraId="2F5E1B4B">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序</w:t>
            </w:r>
          </w:p>
          <w:p w14:paraId="04CD817D">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号</w:t>
            </w:r>
          </w:p>
        </w:tc>
        <w:tc>
          <w:tcPr>
            <w:tcW w:w="674" w:type="dxa"/>
            <w:vMerge w:val="restart"/>
            <w:tcBorders>
              <w:top w:val="single" w:color="auto" w:sz="12" w:space="0"/>
              <w:left w:val="single" w:color="auto" w:sz="4" w:space="0"/>
              <w:bottom w:val="single" w:color="auto" w:sz="4" w:space="0"/>
              <w:right w:val="single" w:color="auto" w:sz="4" w:space="0"/>
            </w:tcBorders>
            <w:noWrap w:val="0"/>
            <w:vAlign w:val="center"/>
          </w:tcPr>
          <w:p w14:paraId="794C2A9C">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主要生产单元名称</w:t>
            </w:r>
          </w:p>
          <w:p w14:paraId="656414E3">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（总平图中标识）</w:t>
            </w:r>
          </w:p>
        </w:tc>
        <w:tc>
          <w:tcPr>
            <w:tcW w:w="815" w:type="dxa"/>
            <w:vMerge w:val="restart"/>
            <w:tcBorders>
              <w:top w:val="single" w:color="auto" w:sz="12" w:space="0"/>
              <w:left w:val="single" w:color="auto" w:sz="4" w:space="0"/>
              <w:bottom w:val="single" w:color="auto" w:sz="4" w:space="0"/>
              <w:right w:val="single" w:color="auto" w:sz="4" w:space="0"/>
            </w:tcBorders>
            <w:noWrap w:val="0"/>
            <w:vAlign w:val="center"/>
          </w:tcPr>
          <w:p w14:paraId="6F02E760">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生产</w:t>
            </w:r>
          </w:p>
          <w:p w14:paraId="42107E26">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设施</w:t>
            </w:r>
          </w:p>
          <w:p w14:paraId="3811789C">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编号</w:t>
            </w:r>
          </w:p>
        </w:tc>
        <w:tc>
          <w:tcPr>
            <w:tcW w:w="673" w:type="dxa"/>
            <w:vMerge w:val="restart"/>
            <w:tcBorders>
              <w:top w:val="single" w:color="auto" w:sz="12" w:space="0"/>
              <w:left w:val="single" w:color="auto" w:sz="4" w:space="0"/>
              <w:bottom w:val="single" w:color="auto" w:sz="4" w:space="0"/>
              <w:right w:val="single" w:color="auto" w:sz="4" w:space="0"/>
            </w:tcBorders>
            <w:noWrap w:val="0"/>
            <w:vAlign w:val="center"/>
          </w:tcPr>
          <w:p w14:paraId="652EF7A8">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生产</w:t>
            </w:r>
          </w:p>
          <w:p w14:paraId="4D377DD2">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设施</w:t>
            </w:r>
          </w:p>
          <w:p w14:paraId="3C315606">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名称</w:t>
            </w:r>
          </w:p>
        </w:tc>
        <w:tc>
          <w:tcPr>
            <w:tcW w:w="777" w:type="dxa"/>
            <w:vMerge w:val="restart"/>
            <w:tcBorders>
              <w:top w:val="single" w:color="auto" w:sz="12" w:space="0"/>
              <w:left w:val="single" w:color="auto" w:sz="4" w:space="0"/>
              <w:bottom w:val="single" w:color="auto" w:sz="4" w:space="0"/>
              <w:right w:val="single" w:color="auto" w:sz="4" w:space="0"/>
            </w:tcBorders>
            <w:noWrap w:val="0"/>
            <w:vAlign w:val="center"/>
          </w:tcPr>
          <w:p w14:paraId="056959A6">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对应产污环节名称（工艺流程图中标识）</w:t>
            </w:r>
          </w:p>
        </w:tc>
        <w:tc>
          <w:tcPr>
            <w:tcW w:w="800" w:type="dxa"/>
            <w:vMerge w:val="restart"/>
            <w:tcBorders>
              <w:top w:val="single" w:color="auto" w:sz="12" w:space="0"/>
              <w:left w:val="single" w:color="auto" w:sz="4" w:space="0"/>
              <w:bottom w:val="single" w:color="auto" w:sz="4" w:space="0"/>
              <w:right w:val="single" w:color="auto" w:sz="6" w:space="0"/>
            </w:tcBorders>
            <w:noWrap w:val="0"/>
            <w:vAlign w:val="center"/>
          </w:tcPr>
          <w:p w14:paraId="5A12AB33">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污染物种类</w:t>
            </w:r>
          </w:p>
        </w:tc>
        <w:tc>
          <w:tcPr>
            <w:tcW w:w="475" w:type="dxa"/>
            <w:vMerge w:val="restart"/>
            <w:tcBorders>
              <w:top w:val="single" w:color="auto" w:sz="12" w:space="0"/>
              <w:left w:val="single" w:color="auto" w:sz="6" w:space="0"/>
              <w:bottom w:val="single" w:color="auto" w:sz="4" w:space="0"/>
              <w:right w:val="single" w:color="auto" w:sz="4" w:space="0"/>
            </w:tcBorders>
            <w:noWrap w:val="0"/>
            <w:vAlign w:val="center"/>
          </w:tcPr>
          <w:p w14:paraId="2EDDE830">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排放形式</w:t>
            </w:r>
          </w:p>
        </w:tc>
        <w:tc>
          <w:tcPr>
            <w:tcW w:w="6162" w:type="dxa"/>
            <w:gridSpan w:val="9"/>
            <w:tcBorders>
              <w:top w:val="single" w:color="auto" w:sz="12" w:space="0"/>
              <w:left w:val="single" w:color="auto" w:sz="4" w:space="0"/>
              <w:bottom w:val="single" w:color="auto" w:sz="6" w:space="0"/>
              <w:right w:val="single" w:color="auto" w:sz="4" w:space="0"/>
            </w:tcBorders>
            <w:noWrap w:val="0"/>
            <w:vAlign w:val="center"/>
          </w:tcPr>
          <w:p w14:paraId="367AB60E">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设施参数</w:t>
            </w:r>
          </w:p>
        </w:tc>
        <w:tc>
          <w:tcPr>
            <w:tcW w:w="688" w:type="dxa"/>
            <w:vMerge w:val="restart"/>
            <w:tcBorders>
              <w:top w:val="single" w:color="auto" w:sz="12" w:space="0"/>
              <w:left w:val="single" w:color="auto" w:sz="4" w:space="0"/>
              <w:bottom w:val="single" w:color="auto" w:sz="4" w:space="0"/>
              <w:right w:val="single" w:color="auto" w:sz="6" w:space="0"/>
            </w:tcBorders>
            <w:noWrap w:val="0"/>
            <w:vAlign w:val="center"/>
          </w:tcPr>
          <w:p w14:paraId="35F73D2E">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有组织</w:t>
            </w:r>
          </w:p>
          <w:p w14:paraId="65D6332F">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排放口</w:t>
            </w:r>
          </w:p>
          <w:p w14:paraId="62E6873D">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编号</w:t>
            </w:r>
          </w:p>
        </w:tc>
        <w:tc>
          <w:tcPr>
            <w:tcW w:w="688" w:type="dxa"/>
            <w:vMerge w:val="restart"/>
            <w:tcBorders>
              <w:top w:val="single" w:color="auto" w:sz="12" w:space="0"/>
              <w:left w:val="single" w:color="auto" w:sz="6" w:space="0"/>
              <w:bottom w:val="single" w:color="auto" w:sz="4" w:space="0"/>
              <w:right w:val="single" w:color="auto" w:sz="4" w:space="0"/>
            </w:tcBorders>
            <w:noWrap w:val="0"/>
            <w:vAlign w:val="center"/>
          </w:tcPr>
          <w:p w14:paraId="08F99A61">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有组织</w:t>
            </w:r>
          </w:p>
          <w:p w14:paraId="3773227D">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排放口</w:t>
            </w:r>
          </w:p>
          <w:p w14:paraId="5CA5DEF4">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名称</w:t>
            </w:r>
          </w:p>
        </w:tc>
        <w:tc>
          <w:tcPr>
            <w:tcW w:w="856" w:type="dxa"/>
            <w:vMerge w:val="restart"/>
            <w:tcBorders>
              <w:top w:val="single" w:color="auto" w:sz="12" w:space="0"/>
              <w:left w:val="single" w:color="auto" w:sz="6" w:space="0"/>
              <w:bottom w:val="single" w:color="auto" w:sz="4" w:space="0"/>
              <w:right w:val="single" w:color="auto" w:sz="4" w:space="0"/>
            </w:tcBorders>
            <w:noWrap w:val="0"/>
            <w:vAlign w:val="center"/>
          </w:tcPr>
          <w:p w14:paraId="107F29C9">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排放口</w:t>
            </w:r>
          </w:p>
          <w:p w14:paraId="3BF5E3F7">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设置是否</w:t>
            </w:r>
          </w:p>
          <w:p w14:paraId="1CA64320">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符合要求</w:t>
            </w:r>
          </w:p>
        </w:tc>
        <w:tc>
          <w:tcPr>
            <w:tcW w:w="688" w:type="dxa"/>
            <w:vMerge w:val="restart"/>
            <w:tcBorders>
              <w:top w:val="single" w:color="auto" w:sz="12" w:space="0"/>
              <w:left w:val="single" w:color="auto" w:sz="6" w:space="0"/>
              <w:bottom w:val="single" w:color="auto" w:sz="4" w:space="0"/>
              <w:right w:val="single" w:color="auto" w:sz="4" w:space="0"/>
            </w:tcBorders>
            <w:noWrap w:val="0"/>
            <w:vAlign w:val="center"/>
          </w:tcPr>
          <w:p w14:paraId="780D1009">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排放口</w:t>
            </w:r>
          </w:p>
          <w:p w14:paraId="3F54B8DF">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类型</w:t>
            </w:r>
          </w:p>
        </w:tc>
        <w:tc>
          <w:tcPr>
            <w:tcW w:w="461" w:type="dxa"/>
            <w:vMerge w:val="restart"/>
            <w:tcBorders>
              <w:top w:val="single" w:color="auto" w:sz="12" w:space="0"/>
              <w:left w:val="single" w:color="auto" w:sz="4" w:space="0"/>
              <w:bottom w:val="single" w:color="auto" w:sz="4" w:space="0"/>
              <w:right w:val="single" w:color="auto" w:sz="12" w:space="0"/>
            </w:tcBorders>
            <w:noWrap w:val="0"/>
            <w:vAlign w:val="center"/>
          </w:tcPr>
          <w:p w14:paraId="11A8F330">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其他</w:t>
            </w:r>
          </w:p>
          <w:p w14:paraId="3B11007C">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信息</w:t>
            </w:r>
          </w:p>
        </w:tc>
      </w:tr>
      <w:tr w14:paraId="7E9C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7" w:type="dxa"/>
            <w:vMerge w:val="continue"/>
            <w:tcBorders>
              <w:top w:val="single" w:color="auto" w:sz="12" w:space="0"/>
              <w:left w:val="single" w:color="auto" w:sz="12" w:space="0"/>
              <w:bottom w:val="single" w:color="auto" w:sz="4" w:space="0"/>
              <w:right w:val="single" w:color="auto" w:sz="4" w:space="0"/>
            </w:tcBorders>
            <w:noWrap w:val="0"/>
            <w:vAlign w:val="center"/>
          </w:tcPr>
          <w:p w14:paraId="06FAF201">
            <w:pPr>
              <w:widowControl/>
              <w:jc w:val="left"/>
              <w:rPr>
                <w:rFonts w:ascii="宋体" w:hAnsi="宋体"/>
                <w:b/>
                <w:color w:val="FF0000"/>
                <w:sz w:val="18"/>
                <w:szCs w:val="18"/>
              </w:rPr>
            </w:pPr>
          </w:p>
        </w:tc>
        <w:tc>
          <w:tcPr>
            <w:tcW w:w="674" w:type="dxa"/>
            <w:vMerge w:val="continue"/>
            <w:tcBorders>
              <w:top w:val="single" w:color="auto" w:sz="12" w:space="0"/>
              <w:left w:val="single" w:color="auto" w:sz="4" w:space="0"/>
              <w:bottom w:val="single" w:color="auto" w:sz="4" w:space="0"/>
              <w:right w:val="single" w:color="auto" w:sz="4" w:space="0"/>
            </w:tcBorders>
            <w:noWrap w:val="0"/>
            <w:vAlign w:val="center"/>
          </w:tcPr>
          <w:p w14:paraId="15536CB7">
            <w:pPr>
              <w:widowControl/>
              <w:jc w:val="left"/>
              <w:rPr>
                <w:rFonts w:ascii="宋体" w:hAnsi="宋体"/>
                <w:b/>
                <w:color w:val="FF0000"/>
                <w:sz w:val="18"/>
                <w:szCs w:val="18"/>
              </w:rPr>
            </w:pPr>
          </w:p>
        </w:tc>
        <w:tc>
          <w:tcPr>
            <w:tcW w:w="815" w:type="dxa"/>
            <w:vMerge w:val="continue"/>
            <w:tcBorders>
              <w:top w:val="single" w:color="auto" w:sz="12" w:space="0"/>
              <w:left w:val="single" w:color="auto" w:sz="4" w:space="0"/>
              <w:bottom w:val="single" w:color="auto" w:sz="4" w:space="0"/>
              <w:right w:val="single" w:color="auto" w:sz="4" w:space="0"/>
            </w:tcBorders>
            <w:noWrap w:val="0"/>
            <w:vAlign w:val="center"/>
          </w:tcPr>
          <w:p w14:paraId="09E2ABB9">
            <w:pPr>
              <w:widowControl/>
              <w:jc w:val="left"/>
              <w:rPr>
                <w:rFonts w:ascii="宋体" w:hAnsi="宋体"/>
                <w:b/>
                <w:color w:val="FF0000"/>
                <w:sz w:val="18"/>
                <w:szCs w:val="18"/>
              </w:rPr>
            </w:pPr>
          </w:p>
        </w:tc>
        <w:tc>
          <w:tcPr>
            <w:tcW w:w="673" w:type="dxa"/>
            <w:vMerge w:val="continue"/>
            <w:tcBorders>
              <w:top w:val="single" w:color="auto" w:sz="12" w:space="0"/>
              <w:left w:val="single" w:color="auto" w:sz="4" w:space="0"/>
              <w:bottom w:val="single" w:color="auto" w:sz="4" w:space="0"/>
              <w:right w:val="single" w:color="auto" w:sz="4" w:space="0"/>
            </w:tcBorders>
            <w:noWrap w:val="0"/>
            <w:vAlign w:val="center"/>
          </w:tcPr>
          <w:p w14:paraId="0CF16D63">
            <w:pPr>
              <w:widowControl/>
              <w:jc w:val="left"/>
              <w:rPr>
                <w:rFonts w:ascii="宋体" w:hAnsi="宋体"/>
                <w:b/>
                <w:color w:val="FF0000"/>
                <w:sz w:val="18"/>
                <w:szCs w:val="18"/>
              </w:rPr>
            </w:pPr>
          </w:p>
        </w:tc>
        <w:tc>
          <w:tcPr>
            <w:tcW w:w="777" w:type="dxa"/>
            <w:vMerge w:val="continue"/>
            <w:tcBorders>
              <w:top w:val="single" w:color="auto" w:sz="12" w:space="0"/>
              <w:left w:val="single" w:color="auto" w:sz="4" w:space="0"/>
              <w:bottom w:val="single" w:color="auto" w:sz="4" w:space="0"/>
              <w:right w:val="single" w:color="auto" w:sz="4" w:space="0"/>
            </w:tcBorders>
            <w:noWrap w:val="0"/>
            <w:vAlign w:val="center"/>
          </w:tcPr>
          <w:p w14:paraId="4856226B">
            <w:pPr>
              <w:widowControl/>
              <w:jc w:val="left"/>
              <w:rPr>
                <w:rFonts w:ascii="宋体" w:hAnsi="宋体"/>
                <w:b/>
                <w:color w:val="FF0000"/>
                <w:sz w:val="18"/>
                <w:szCs w:val="18"/>
              </w:rPr>
            </w:pPr>
          </w:p>
        </w:tc>
        <w:tc>
          <w:tcPr>
            <w:tcW w:w="800" w:type="dxa"/>
            <w:vMerge w:val="continue"/>
            <w:tcBorders>
              <w:top w:val="single" w:color="auto" w:sz="12" w:space="0"/>
              <w:left w:val="single" w:color="auto" w:sz="4" w:space="0"/>
              <w:bottom w:val="single" w:color="auto" w:sz="4" w:space="0"/>
              <w:right w:val="single" w:color="auto" w:sz="6" w:space="0"/>
            </w:tcBorders>
            <w:noWrap w:val="0"/>
            <w:vAlign w:val="center"/>
          </w:tcPr>
          <w:p w14:paraId="50B3714E">
            <w:pPr>
              <w:widowControl/>
              <w:jc w:val="left"/>
              <w:rPr>
                <w:rFonts w:ascii="宋体" w:hAnsi="宋体"/>
                <w:b/>
                <w:color w:val="FF0000"/>
                <w:sz w:val="18"/>
                <w:szCs w:val="18"/>
              </w:rPr>
            </w:pPr>
          </w:p>
        </w:tc>
        <w:tc>
          <w:tcPr>
            <w:tcW w:w="475" w:type="dxa"/>
            <w:vMerge w:val="continue"/>
            <w:tcBorders>
              <w:top w:val="single" w:color="auto" w:sz="12" w:space="0"/>
              <w:left w:val="single" w:color="auto" w:sz="6" w:space="0"/>
              <w:bottom w:val="single" w:color="auto" w:sz="4" w:space="0"/>
              <w:right w:val="single" w:color="auto" w:sz="4" w:space="0"/>
            </w:tcBorders>
            <w:noWrap w:val="0"/>
            <w:vAlign w:val="center"/>
          </w:tcPr>
          <w:p w14:paraId="23E602A2">
            <w:pPr>
              <w:widowControl/>
              <w:jc w:val="left"/>
              <w:rPr>
                <w:rFonts w:ascii="宋体" w:hAnsi="宋体"/>
                <w:b/>
                <w:color w:val="FF0000"/>
                <w:sz w:val="18"/>
                <w:szCs w:val="18"/>
              </w:rPr>
            </w:pPr>
          </w:p>
        </w:tc>
        <w:tc>
          <w:tcPr>
            <w:tcW w:w="700" w:type="dxa"/>
            <w:tcBorders>
              <w:top w:val="single" w:color="auto" w:sz="6" w:space="0"/>
              <w:left w:val="single" w:color="auto" w:sz="4" w:space="0"/>
              <w:bottom w:val="single" w:color="auto" w:sz="4" w:space="0"/>
              <w:right w:val="single" w:color="auto" w:sz="4" w:space="0"/>
            </w:tcBorders>
            <w:noWrap w:val="0"/>
            <w:vAlign w:val="center"/>
          </w:tcPr>
          <w:p w14:paraId="3BA9BAE9">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污染</w:t>
            </w:r>
          </w:p>
          <w:p w14:paraId="4A872B5C">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治理</w:t>
            </w:r>
          </w:p>
          <w:p w14:paraId="4ACDF0B3">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设施</w:t>
            </w:r>
          </w:p>
          <w:p w14:paraId="65C29F1F">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编号</w:t>
            </w:r>
          </w:p>
        </w:tc>
        <w:tc>
          <w:tcPr>
            <w:tcW w:w="1037" w:type="dxa"/>
            <w:tcBorders>
              <w:top w:val="single" w:color="auto" w:sz="6" w:space="0"/>
              <w:left w:val="single" w:color="auto" w:sz="4" w:space="0"/>
              <w:bottom w:val="single" w:color="auto" w:sz="4" w:space="0"/>
              <w:right w:val="single" w:color="auto" w:sz="4" w:space="0"/>
            </w:tcBorders>
            <w:noWrap w:val="0"/>
            <w:vAlign w:val="center"/>
          </w:tcPr>
          <w:p w14:paraId="38D3CDF0">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污染治理</w:t>
            </w:r>
          </w:p>
          <w:p w14:paraId="6841BE61">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设施名称</w:t>
            </w:r>
          </w:p>
        </w:tc>
        <w:tc>
          <w:tcPr>
            <w:tcW w:w="972" w:type="dxa"/>
            <w:tcBorders>
              <w:top w:val="single" w:color="auto" w:sz="6" w:space="0"/>
              <w:left w:val="single" w:color="auto" w:sz="4" w:space="0"/>
              <w:bottom w:val="single" w:color="auto" w:sz="4" w:space="0"/>
              <w:right w:val="single" w:color="auto" w:sz="6" w:space="0"/>
            </w:tcBorders>
            <w:noWrap w:val="0"/>
            <w:vAlign w:val="center"/>
          </w:tcPr>
          <w:p w14:paraId="6928B93A">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污染治理</w:t>
            </w:r>
          </w:p>
          <w:p w14:paraId="7AACE7C5">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设施工艺</w:t>
            </w:r>
          </w:p>
        </w:tc>
        <w:tc>
          <w:tcPr>
            <w:tcW w:w="519" w:type="dxa"/>
            <w:tcBorders>
              <w:top w:val="single" w:color="auto" w:sz="6" w:space="0"/>
              <w:left w:val="single" w:color="auto" w:sz="4" w:space="0"/>
              <w:bottom w:val="single" w:color="auto" w:sz="4" w:space="0"/>
              <w:right w:val="single" w:color="auto" w:sz="6" w:space="0"/>
            </w:tcBorders>
            <w:noWrap w:val="0"/>
            <w:vAlign w:val="center"/>
          </w:tcPr>
          <w:p w14:paraId="21EA29C0">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参数</w:t>
            </w:r>
          </w:p>
          <w:p w14:paraId="2EE49F00">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名称</w:t>
            </w:r>
          </w:p>
        </w:tc>
        <w:tc>
          <w:tcPr>
            <w:tcW w:w="519" w:type="dxa"/>
            <w:tcBorders>
              <w:top w:val="single" w:color="auto" w:sz="6" w:space="0"/>
              <w:left w:val="single" w:color="auto" w:sz="4" w:space="0"/>
              <w:bottom w:val="single" w:color="auto" w:sz="4" w:space="0"/>
              <w:right w:val="single" w:color="auto" w:sz="6" w:space="0"/>
            </w:tcBorders>
            <w:noWrap w:val="0"/>
            <w:vAlign w:val="center"/>
          </w:tcPr>
          <w:p w14:paraId="496D35CD">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设计</w:t>
            </w:r>
          </w:p>
          <w:p w14:paraId="48E5D329">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值</w:t>
            </w:r>
          </w:p>
        </w:tc>
        <w:tc>
          <w:tcPr>
            <w:tcW w:w="537" w:type="dxa"/>
            <w:tcBorders>
              <w:top w:val="single" w:color="auto" w:sz="6" w:space="0"/>
              <w:left w:val="single" w:color="auto" w:sz="4" w:space="0"/>
              <w:bottom w:val="single" w:color="auto" w:sz="4" w:space="0"/>
              <w:right w:val="single" w:color="auto" w:sz="6" w:space="0"/>
            </w:tcBorders>
            <w:noWrap w:val="0"/>
            <w:vAlign w:val="center"/>
          </w:tcPr>
          <w:p w14:paraId="7D32A04E">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计量</w:t>
            </w:r>
          </w:p>
          <w:p w14:paraId="06B998C9">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单位</w:t>
            </w:r>
          </w:p>
        </w:tc>
        <w:tc>
          <w:tcPr>
            <w:tcW w:w="671" w:type="dxa"/>
            <w:tcBorders>
              <w:top w:val="single" w:color="auto" w:sz="6" w:space="0"/>
              <w:left w:val="single" w:color="auto" w:sz="6" w:space="0"/>
              <w:bottom w:val="single" w:color="auto" w:sz="4" w:space="0"/>
              <w:right w:val="single" w:color="auto" w:sz="4" w:space="0"/>
            </w:tcBorders>
            <w:noWrap w:val="0"/>
            <w:vAlign w:val="center"/>
          </w:tcPr>
          <w:p w14:paraId="7CB6D349">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其他污染治理设施参数信息</w:t>
            </w:r>
          </w:p>
        </w:tc>
        <w:tc>
          <w:tcPr>
            <w:tcW w:w="519" w:type="dxa"/>
            <w:tcBorders>
              <w:top w:val="single" w:color="auto" w:sz="6" w:space="0"/>
              <w:left w:val="single" w:color="auto" w:sz="6" w:space="0"/>
              <w:bottom w:val="single" w:color="auto" w:sz="4" w:space="0"/>
              <w:right w:val="single" w:color="auto" w:sz="4" w:space="0"/>
            </w:tcBorders>
            <w:noWrap w:val="0"/>
            <w:vAlign w:val="center"/>
          </w:tcPr>
          <w:p w14:paraId="56F76AFB">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是否</w:t>
            </w:r>
          </w:p>
          <w:p w14:paraId="346AE977">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为可</w:t>
            </w:r>
          </w:p>
          <w:p w14:paraId="3A4E04A3">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行技</w:t>
            </w:r>
          </w:p>
          <w:p w14:paraId="71A7648F">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术</w:t>
            </w:r>
          </w:p>
        </w:tc>
        <w:tc>
          <w:tcPr>
            <w:tcW w:w="688" w:type="dxa"/>
            <w:tcBorders>
              <w:top w:val="single" w:color="auto" w:sz="6" w:space="0"/>
              <w:left w:val="single" w:color="auto" w:sz="6" w:space="0"/>
              <w:bottom w:val="single" w:color="auto" w:sz="4" w:space="0"/>
              <w:right w:val="single" w:color="auto" w:sz="4" w:space="0"/>
            </w:tcBorders>
            <w:noWrap w:val="0"/>
            <w:vAlign w:val="center"/>
          </w:tcPr>
          <w:p w14:paraId="61B2F7D8">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污染</w:t>
            </w:r>
          </w:p>
          <w:p w14:paraId="267E096F">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治理</w:t>
            </w:r>
          </w:p>
          <w:p w14:paraId="4CE49C92">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设施</w:t>
            </w:r>
          </w:p>
          <w:p w14:paraId="2244A015">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其他</w:t>
            </w:r>
          </w:p>
          <w:p w14:paraId="28A38F05">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信息</w:t>
            </w:r>
          </w:p>
        </w:tc>
        <w:tc>
          <w:tcPr>
            <w:tcW w:w="688" w:type="dxa"/>
            <w:vMerge w:val="continue"/>
            <w:tcBorders>
              <w:top w:val="single" w:color="auto" w:sz="12" w:space="0"/>
              <w:left w:val="single" w:color="auto" w:sz="4" w:space="0"/>
              <w:bottom w:val="single" w:color="auto" w:sz="4" w:space="0"/>
              <w:right w:val="single" w:color="auto" w:sz="6" w:space="0"/>
            </w:tcBorders>
            <w:noWrap w:val="0"/>
            <w:vAlign w:val="center"/>
          </w:tcPr>
          <w:p w14:paraId="24D31CDE">
            <w:pPr>
              <w:widowControl/>
              <w:jc w:val="left"/>
              <w:rPr>
                <w:rFonts w:ascii="宋体" w:hAnsi="宋体"/>
                <w:b/>
                <w:color w:val="FF0000"/>
                <w:sz w:val="18"/>
                <w:szCs w:val="18"/>
              </w:rPr>
            </w:pPr>
          </w:p>
        </w:tc>
        <w:tc>
          <w:tcPr>
            <w:tcW w:w="688" w:type="dxa"/>
            <w:vMerge w:val="continue"/>
            <w:tcBorders>
              <w:top w:val="single" w:color="auto" w:sz="12" w:space="0"/>
              <w:left w:val="single" w:color="auto" w:sz="6" w:space="0"/>
              <w:bottom w:val="single" w:color="auto" w:sz="4" w:space="0"/>
              <w:right w:val="single" w:color="auto" w:sz="4" w:space="0"/>
            </w:tcBorders>
            <w:noWrap w:val="0"/>
            <w:vAlign w:val="center"/>
          </w:tcPr>
          <w:p w14:paraId="1CF3B688">
            <w:pPr>
              <w:widowControl/>
              <w:jc w:val="left"/>
              <w:rPr>
                <w:rFonts w:ascii="宋体" w:hAnsi="宋体"/>
                <w:b/>
                <w:color w:val="FF0000"/>
                <w:sz w:val="18"/>
                <w:szCs w:val="18"/>
              </w:rPr>
            </w:pPr>
          </w:p>
        </w:tc>
        <w:tc>
          <w:tcPr>
            <w:tcW w:w="856" w:type="dxa"/>
            <w:vMerge w:val="continue"/>
            <w:tcBorders>
              <w:top w:val="single" w:color="auto" w:sz="12" w:space="0"/>
              <w:left w:val="single" w:color="auto" w:sz="6" w:space="0"/>
              <w:bottom w:val="single" w:color="auto" w:sz="4" w:space="0"/>
              <w:right w:val="single" w:color="auto" w:sz="4" w:space="0"/>
            </w:tcBorders>
            <w:noWrap w:val="0"/>
            <w:vAlign w:val="center"/>
          </w:tcPr>
          <w:p w14:paraId="572469B0">
            <w:pPr>
              <w:widowControl/>
              <w:jc w:val="left"/>
              <w:rPr>
                <w:rFonts w:ascii="宋体" w:hAnsi="宋体"/>
                <w:b/>
                <w:color w:val="FF0000"/>
                <w:sz w:val="18"/>
                <w:szCs w:val="18"/>
              </w:rPr>
            </w:pPr>
          </w:p>
        </w:tc>
        <w:tc>
          <w:tcPr>
            <w:tcW w:w="688" w:type="dxa"/>
            <w:vMerge w:val="continue"/>
            <w:tcBorders>
              <w:top w:val="single" w:color="auto" w:sz="12" w:space="0"/>
              <w:left w:val="single" w:color="auto" w:sz="6" w:space="0"/>
              <w:bottom w:val="single" w:color="auto" w:sz="4" w:space="0"/>
              <w:right w:val="single" w:color="auto" w:sz="4" w:space="0"/>
            </w:tcBorders>
            <w:noWrap w:val="0"/>
            <w:vAlign w:val="center"/>
          </w:tcPr>
          <w:p w14:paraId="70982E3E">
            <w:pPr>
              <w:widowControl/>
              <w:jc w:val="left"/>
              <w:rPr>
                <w:rFonts w:ascii="宋体" w:hAnsi="宋体"/>
                <w:b/>
                <w:color w:val="FF0000"/>
                <w:sz w:val="18"/>
                <w:szCs w:val="18"/>
              </w:rPr>
            </w:pPr>
          </w:p>
        </w:tc>
        <w:tc>
          <w:tcPr>
            <w:tcW w:w="461" w:type="dxa"/>
            <w:vMerge w:val="continue"/>
            <w:tcBorders>
              <w:top w:val="single" w:color="auto" w:sz="12" w:space="0"/>
              <w:left w:val="single" w:color="auto" w:sz="4" w:space="0"/>
              <w:bottom w:val="single" w:color="auto" w:sz="4" w:space="0"/>
              <w:right w:val="single" w:color="auto" w:sz="12" w:space="0"/>
            </w:tcBorders>
            <w:noWrap w:val="0"/>
            <w:vAlign w:val="center"/>
          </w:tcPr>
          <w:p w14:paraId="7E86C5B1">
            <w:pPr>
              <w:widowControl/>
              <w:jc w:val="left"/>
              <w:rPr>
                <w:rFonts w:ascii="宋体" w:hAnsi="宋体"/>
                <w:b/>
                <w:color w:val="FF0000"/>
                <w:sz w:val="18"/>
                <w:szCs w:val="18"/>
              </w:rPr>
            </w:pPr>
          </w:p>
        </w:tc>
      </w:tr>
      <w:tr w14:paraId="2896C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7" w:type="dxa"/>
            <w:vMerge w:val="restart"/>
            <w:tcBorders>
              <w:left w:val="single" w:color="auto" w:sz="12" w:space="0"/>
              <w:right w:val="single" w:color="auto" w:sz="4" w:space="0"/>
            </w:tcBorders>
            <w:noWrap w:val="0"/>
            <w:vAlign w:val="center"/>
          </w:tcPr>
          <w:p w14:paraId="2517A3CC">
            <w:pPr>
              <w:jc w:val="center"/>
              <w:rPr>
                <w:rFonts w:hint="default" w:cs="Times New Roman"/>
                <w:color w:val="auto"/>
                <w:sz w:val="21"/>
                <w:szCs w:val="21"/>
                <w:lang w:val="en-US" w:eastAsia="zh-CN"/>
              </w:rPr>
            </w:pPr>
            <w:r>
              <w:rPr>
                <w:rFonts w:hint="eastAsia" w:cs="Times New Roman"/>
                <w:color w:val="auto"/>
                <w:sz w:val="21"/>
                <w:szCs w:val="21"/>
                <w:lang w:val="en-US" w:eastAsia="zh-CN"/>
              </w:rPr>
              <w:t>1</w:t>
            </w:r>
          </w:p>
        </w:tc>
        <w:tc>
          <w:tcPr>
            <w:tcW w:w="674" w:type="dxa"/>
            <w:vMerge w:val="restart"/>
            <w:tcBorders>
              <w:left w:val="single" w:color="auto" w:sz="4" w:space="0"/>
              <w:right w:val="single" w:color="auto" w:sz="4" w:space="0"/>
            </w:tcBorders>
            <w:noWrap w:val="0"/>
            <w:vAlign w:val="center"/>
          </w:tcPr>
          <w:p w14:paraId="28968A11">
            <w:pPr>
              <w:jc w:val="center"/>
              <w:rPr>
                <w:rFonts w:hint="default" w:cs="Times New Roman"/>
                <w:color w:val="auto"/>
                <w:sz w:val="21"/>
                <w:szCs w:val="21"/>
                <w:lang w:val="en-US" w:eastAsia="zh-CN"/>
              </w:rPr>
            </w:pPr>
            <w:r>
              <w:rPr>
                <w:rFonts w:hint="eastAsia" w:cs="Times New Roman"/>
                <w:color w:val="auto"/>
                <w:sz w:val="21"/>
                <w:szCs w:val="21"/>
                <w:lang w:val="en-US" w:eastAsia="zh-CN"/>
              </w:rPr>
              <w:t>污水处理站</w:t>
            </w:r>
          </w:p>
        </w:tc>
        <w:tc>
          <w:tcPr>
            <w:tcW w:w="815" w:type="dxa"/>
            <w:vMerge w:val="restart"/>
            <w:tcBorders>
              <w:left w:val="single" w:color="auto" w:sz="4" w:space="0"/>
              <w:right w:val="single" w:color="auto" w:sz="4" w:space="0"/>
            </w:tcBorders>
            <w:noWrap w:val="0"/>
            <w:vAlign w:val="center"/>
          </w:tcPr>
          <w:p w14:paraId="36B69CBF">
            <w:pPr>
              <w:jc w:val="center"/>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673" w:type="dxa"/>
            <w:vMerge w:val="restart"/>
            <w:tcBorders>
              <w:left w:val="single" w:color="auto" w:sz="4" w:space="0"/>
              <w:right w:val="single" w:color="auto" w:sz="4" w:space="0"/>
            </w:tcBorders>
            <w:noWrap w:val="0"/>
            <w:vAlign w:val="center"/>
          </w:tcPr>
          <w:p w14:paraId="527D565B">
            <w:pPr>
              <w:jc w:val="center"/>
              <w:rPr>
                <w:rFonts w:hint="default" w:cs="Times New Roman"/>
                <w:color w:val="auto"/>
                <w:sz w:val="21"/>
                <w:szCs w:val="21"/>
                <w:lang w:val="en-US" w:eastAsia="zh-CN"/>
              </w:rPr>
            </w:pPr>
            <w:r>
              <w:rPr>
                <w:rFonts w:hint="eastAsia" w:cs="Times New Roman"/>
                <w:color w:val="auto"/>
                <w:sz w:val="21"/>
                <w:szCs w:val="21"/>
                <w:lang w:val="en-US" w:eastAsia="zh-CN"/>
              </w:rPr>
              <w:t>污水处理站</w:t>
            </w:r>
          </w:p>
        </w:tc>
        <w:tc>
          <w:tcPr>
            <w:tcW w:w="777" w:type="dxa"/>
            <w:vMerge w:val="restart"/>
            <w:tcBorders>
              <w:left w:val="single" w:color="auto" w:sz="4" w:space="0"/>
              <w:right w:val="single" w:color="auto" w:sz="4" w:space="0"/>
            </w:tcBorders>
            <w:noWrap w:val="0"/>
            <w:vAlign w:val="center"/>
          </w:tcPr>
          <w:p w14:paraId="06CC663B">
            <w:pPr>
              <w:jc w:val="center"/>
              <w:rPr>
                <w:rFonts w:hint="eastAsia" w:cs="Times New Roman"/>
                <w:color w:val="auto"/>
                <w:sz w:val="21"/>
                <w:szCs w:val="21"/>
                <w:lang w:val="en-US" w:eastAsia="zh-CN"/>
              </w:rPr>
            </w:pPr>
            <w:r>
              <w:rPr>
                <w:rFonts w:hint="eastAsia" w:cs="Times New Roman"/>
                <w:color w:val="auto"/>
                <w:sz w:val="21"/>
                <w:szCs w:val="21"/>
                <w:lang w:val="en-US" w:eastAsia="zh-CN"/>
              </w:rPr>
              <w:t>污水处理</w:t>
            </w:r>
          </w:p>
        </w:tc>
        <w:tc>
          <w:tcPr>
            <w:tcW w:w="800" w:type="dxa"/>
            <w:tcBorders>
              <w:top w:val="single" w:color="auto" w:sz="4" w:space="0"/>
              <w:left w:val="single" w:color="auto" w:sz="4" w:space="0"/>
              <w:bottom w:val="single" w:color="auto" w:sz="4" w:space="0"/>
              <w:right w:val="single" w:color="auto" w:sz="6" w:space="0"/>
            </w:tcBorders>
            <w:noWrap w:val="0"/>
            <w:vAlign w:val="center"/>
          </w:tcPr>
          <w:p w14:paraId="2FBBFDFA">
            <w:pPr>
              <w:jc w:val="center"/>
              <w:rPr>
                <w:rFonts w:hint="eastAsia" w:cs="Times New Roman"/>
                <w:color w:val="auto"/>
                <w:sz w:val="21"/>
                <w:szCs w:val="21"/>
                <w:lang w:val="en-US" w:eastAsia="zh-CN"/>
              </w:rPr>
            </w:pPr>
            <w:r>
              <w:rPr>
                <w:rFonts w:hint="eastAsia" w:cs="Times New Roman"/>
                <w:color w:val="auto"/>
                <w:sz w:val="21"/>
                <w:szCs w:val="21"/>
                <w:lang w:val="en-US" w:eastAsia="zh-CN"/>
              </w:rPr>
              <w:t>氨</w:t>
            </w:r>
          </w:p>
        </w:tc>
        <w:tc>
          <w:tcPr>
            <w:tcW w:w="475" w:type="dxa"/>
            <w:vMerge w:val="restart"/>
            <w:tcBorders>
              <w:left w:val="single" w:color="auto" w:sz="6" w:space="0"/>
              <w:right w:val="single" w:color="auto" w:sz="4" w:space="0"/>
            </w:tcBorders>
            <w:noWrap w:val="0"/>
            <w:vAlign w:val="center"/>
          </w:tcPr>
          <w:p w14:paraId="47F698A8">
            <w:pPr>
              <w:jc w:val="center"/>
              <w:rPr>
                <w:rFonts w:hint="eastAsia"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有组织</w:t>
            </w:r>
          </w:p>
        </w:tc>
        <w:tc>
          <w:tcPr>
            <w:tcW w:w="700" w:type="dxa"/>
            <w:vMerge w:val="restart"/>
            <w:tcBorders>
              <w:left w:val="single" w:color="auto" w:sz="4" w:space="0"/>
              <w:right w:val="single" w:color="auto" w:sz="4" w:space="0"/>
            </w:tcBorders>
            <w:noWrap w:val="0"/>
            <w:vAlign w:val="center"/>
          </w:tcPr>
          <w:p w14:paraId="17E83A65">
            <w:pPr>
              <w:jc w:val="center"/>
              <w:rPr>
                <w:rFonts w:hint="eastAsia"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037" w:type="dxa"/>
            <w:vMerge w:val="restart"/>
            <w:tcBorders>
              <w:left w:val="single" w:color="auto" w:sz="4" w:space="0"/>
              <w:right w:val="single" w:color="auto" w:sz="4" w:space="0"/>
            </w:tcBorders>
            <w:noWrap w:val="0"/>
            <w:vAlign w:val="center"/>
          </w:tcPr>
          <w:p w14:paraId="5021F3B5">
            <w:pPr>
              <w:jc w:val="center"/>
              <w:rPr>
                <w:rFonts w:hint="eastAsia" w:cs="Times New Roman"/>
                <w:color w:val="auto"/>
                <w:sz w:val="21"/>
                <w:szCs w:val="21"/>
                <w:lang w:val="en-US" w:eastAsia="zh-CN"/>
              </w:rPr>
            </w:pPr>
            <w:r>
              <w:rPr>
                <w:rFonts w:hint="eastAsia" w:cs="Times New Roman"/>
                <w:color w:val="auto"/>
                <w:sz w:val="21"/>
                <w:szCs w:val="21"/>
                <w:lang w:val="en-US" w:eastAsia="zh-CN"/>
              </w:rPr>
              <w:t>UV光氧装置</w:t>
            </w:r>
          </w:p>
        </w:tc>
        <w:tc>
          <w:tcPr>
            <w:tcW w:w="972" w:type="dxa"/>
            <w:vMerge w:val="restart"/>
            <w:tcBorders>
              <w:left w:val="single" w:color="auto" w:sz="4" w:space="0"/>
              <w:right w:val="single" w:color="auto" w:sz="6" w:space="0"/>
            </w:tcBorders>
            <w:noWrap w:val="0"/>
            <w:vAlign w:val="center"/>
          </w:tcPr>
          <w:p w14:paraId="06907195">
            <w:pPr>
              <w:jc w:val="center"/>
              <w:rPr>
                <w:rFonts w:hint="eastAsia" w:cs="Times New Roman"/>
                <w:color w:val="auto"/>
                <w:sz w:val="21"/>
                <w:szCs w:val="21"/>
                <w:lang w:val="en-US" w:eastAsia="zh-CN"/>
              </w:rPr>
            </w:pPr>
            <w:r>
              <w:rPr>
                <w:rFonts w:hint="eastAsia" w:cs="Times New Roman"/>
                <w:color w:val="auto"/>
                <w:sz w:val="21"/>
                <w:szCs w:val="21"/>
                <w:lang w:val="en-US" w:eastAsia="zh-CN"/>
              </w:rPr>
              <w:t>UV光氧装置</w:t>
            </w:r>
          </w:p>
        </w:tc>
        <w:tc>
          <w:tcPr>
            <w:tcW w:w="519" w:type="dxa"/>
            <w:vMerge w:val="restart"/>
            <w:tcBorders>
              <w:left w:val="single" w:color="auto" w:sz="4" w:space="0"/>
              <w:right w:val="single" w:color="auto" w:sz="6" w:space="0"/>
            </w:tcBorders>
            <w:noWrap w:val="0"/>
            <w:vAlign w:val="center"/>
          </w:tcPr>
          <w:p w14:paraId="6CAADE8E">
            <w:pPr>
              <w:jc w:val="center"/>
              <w:rPr>
                <w:rFonts w:hint="eastAsia"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风量</w:t>
            </w:r>
          </w:p>
        </w:tc>
        <w:tc>
          <w:tcPr>
            <w:tcW w:w="519" w:type="dxa"/>
            <w:vMerge w:val="restart"/>
            <w:tcBorders>
              <w:left w:val="single" w:color="auto" w:sz="4" w:space="0"/>
              <w:right w:val="single" w:color="auto" w:sz="6" w:space="0"/>
            </w:tcBorders>
            <w:noWrap w:val="0"/>
            <w:vAlign w:val="center"/>
          </w:tcPr>
          <w:p w14:paraId="4EB7861D">
            <w:pPr>
              <w:jc w:val="center"/>
              <w:rPr>
                <w:rFonts w:hint="default" w:cs="Times New Roman"/>
                <w:color w:val="auto"/>
                <w:sz w:val="21"/>
                <w:szCs w:val="21"/>
                <w:lang w:val="en-US" w:eastAsia="zh-CN"/>
              </w:rPr>
            </w:pPr>
            <w:r>
              <w:rPr>
                <w:rFonts w:hint="eastAsia" w:cs="Times New Roman"/>
                <w:color w:val="auto"/>
                <w:sz w:val="21"/>
                <w:szCs w:val="21"/>
                <w:lang w:val="en-US" w:eastAsia="zh-CN"/>
              </w:rPr>
              <w:t>4500</w:t>
            </w:r>
          </w:p>
        </w:tc>
        <w:tc>
          <w:tcPr>
            <w:tcW w:w="537" w:type="dxa"/>
            <w:vMerge w:val="restart"/>
            <w:tcBorders>
              <w:left w:val="single" w:color="auto" w:sz="4" w:space="0"/>
              <w:right w:val="single" w:color="auto" w:sz="6" w:space="0"/>
            </w:tcBorders>
            <w:noWrap w:val="0"/>
            <w:vAlign w:val="center"/>
          </w:tcPr>
          <w:p w14:paraId="73C11AFB">
            <w:pPr>
              <w:jc w:val="center"/>
              <w:rPr>
                <w:rFonts w:hint="eastAsia"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val="en-US" w:eastAsia="zh-CN"/>
              </w:rPr>
              <w:t>/h</w:t>
            </w:r>
          </w:p>
        </w:tc>
        <w:tc>
          <w:tcPr>
            <w:tcW w:w="671" w:type="dxa"/>
            <w:vMerge w:val="restart"/>
            <w:tcBorders>
              <w:left w:val="single" w:color="auto" w:sz="6" w:space="0"/>
              <w:right w:val="single" w:color="auto" w:sz="4" w:space="0"/>
            </w:tcBorders>
            <w:noWrap w:val="0"/>
            <w:vAlign w:val="center"/>
          </w:tcPr>
          <w:p w14:paraId="5DE46272">
            <w:pPr>
              <w:jc w:val="center"/>
              <w:rPr>
                <w:rFonts w:hint="eastAsia"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519" w:type="dxa"/>
            <w:vMerge w:val="restart"/>
            <w:tcBorders>
              <w:left w:val="single" w:color="auto" w:sz="6" w:space="0"/>
              <w:right w:val="single" w:color="auto" w:sz="4" w:space="0"/>
            </w:tcBorders>
            <w:noWrap w:val="0"/>
            <w:vAlign w:val="center"/>
          </w:tcPr>
          <w:p w14:paraId="20780AC5">
            <w:pPr>
              <w:jc w:val="center"/>
              <w:rPr>
                <w:rFonts w:hint="eastAsia"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是</w:t>
            </w:r>
          </w:p>
        </w:tc>
        <w:tc>
          <w:tcPr>
            <w:tcW w:w="688" w:type="dxa"/>
            <w:vMerge w:val="restart"/>
            <w:tcBorders>
              <w:left w:val="single" w:color="auto" w:sz="6" w:space="0"/>
              <w:right w:val="single" w:color="auto" w:sz="4" w:space="0"/>
            </w:tcBorders>
            <w:noWrap w:val="0"/>
            <w:vAlign w:val="center"/>
          </w:tcPr>
          <w:p w14:paraId="41B30FF5">
            <w:pPr>
              <w:jc w:val="center"/>
              <w:rPr>
                <w:rFonts w:hint="eastAsia"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688" w:type="dxa"/>
            <w:vMerge w:val="restart"/>
            <w:tcBorders>
              <w:left w:val="single" w:color="auto" w:sz="4" w:space="0"/>
              <w:right w:val="single" w:color="auto" w:sz="6" w:space="0"/>
            </w:tcBorders>
            <w:noWrap w:val="0"/>
            <w:vAlign w:val="center"/>
          </w:tcPr>
          <w:p w14:paraId="1FC86A61">
            <w:pPr>
              <w:jc w:val="center"/>
              <w:rPr>
                <w:rFonts w:hint="default"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DA00</w:t>
            </w:r>
            <w:r>
              <w:rPr>
                <w:rFonts w:hint="eastAsia" w:cs="Times New Roman"/>
                <w:color w:val="auto"/>
                <w:sz w:val="21"/>
                <w:szCs w:val="21"/>
                <w:lang w:val="en-US" w:eastAsia="zh-CN"/>
              </w:rPr>
              <w:t>1</w:t>
            </w:r>
          </w:p>
        </w:tc>
        <w:tc>
          <w:tcPr>
            <w:tcW w:w="688" w:type="dxa"/>
            <w:vMerge w:val="restart"/>
            <w:tcBorders>
              <w:left w:val="single" w:color="auto" w:sz="6" w:space="0"/>
              <w:right w:val="single" w:color="auto" w:sz="4" w:space="0"/>
            </w:tcBorders>
            <w:noWrap w:val="0"/>
            <w:vAlign w:val="center"/>
          </w:tcPr>
          <w:p w14:paraId="7675D058">
            <w:pPr>
              <w:jc w:val="center"/>
              <w:rPr>
                <w:rFonts w:hint="default" w:cs="Times New Roman"/>
                <w:color w:val="auto"/>
                <w:sz w:val="21"/>
                <w:szCs w:val="21"/>
                <w:lang w:val="en-US" w:eastAsia="zh-CN"/>
              </w:rPr>
            </w:pPr>
            <w:r>
              <w:rPr>
                <w:rFonts w:hint="eastAsia" w:cs="Times New Roman"/>
                <w:color w:val="auto"/>
                <w:sz w:val="21"/>
                <w:szCs w:val="21"/>
                <w:lang w:val="en-US" w:eastAsia="zh-CN"/>
              </w:rPr>
              <w:t>污水处理站恶臭废气排口</w:t>
            </w:r>
          </w:p>
        </w:tc>
        <w:tc>
          <w:tcPr>
            <w:tcW w:w="856" w:type="dxa"/>
            <w:vMerge w:val="restart"/>
            <w:tcBorders>
              <w:left w:val="single" w:color="auto" w:sz="6" w:space="0"/>
              <w:right w:val="single" w:color="auto" w:sz="4" w:space="0"/>
            </w:tcBorders>
            <w:noWrap w:val="0"/>
            <w:vAlign w:val="center"/>
          </w:tcPr>
          <w:p w14:paraId="3FEED692">
            <w:pPr>
              <w:jc w:val="center"/>
              <w:rPr>
                <w:rFonts w:hint="eastAsia"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是</w:t>
            </w:r>
          </w:p>
        </w:tc>
        <w:tc>
          <w:tcPr>
            <w:tcW w:w="688" w:type="dxa"/>
            <w:vMerge w:val="restart"/>
            <w:tcBorders>
              <w:left w:val="single" w:color="auto" w:sz="6" w:space="0"/>
              <w:right w:val="single" w:color="auto" w:sz="4" w:space="0"/>
            </w:tcBorders>
            <w:noWrap w:val="0"/>
            <w:vAlign w:val="center"/>
          </w:tcPr>
          <w:p w14:paraId="4935C9C5">
            <w:pPr>
              <w:jc w:val="center"/>
              <w:rPr>
                <w:rFonts w:hint="eastAsia"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一般排放口</w:t>
            </w:r>
          </w:p>
        </w:tc>
        <w:tc>
          <w:tcPr>
            <w:tcW w:w="461" w:type="dxa"/>
            <w:vMerge w:val="restart"/>
            <w:tcBorders>
              <w:left w:val="single" w:color="auto" w:sz="4" w:space="0"/>
              <w:right w:val="single" w:color="auto" w:sz="12" w:space="0"/>
            </w:tcBorders>
            <w:noWrap w:val="0"/>
            <w:vAlign w:val="center"/>
          </w:tcPr>
          <w:p w14:paraId="10FB40E0">
            <w:pPr>
              <w:jc w:val="center"/>
              <w:rPr>
                <w:rFonts w:hint="eastAsia"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r>
      <w:tr w14:paraId="1529B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7" w:type="dxa"/>
            <w:vMerge w:val="continue"/>
            <w:tcBorders>
              <w:left w:val="single" w:color="auto" w:sz="12" w:space="0"/>
              <w:right w:val="single" w:color="auto" w:sz="4" w:space="0"/>
            </w:tcBorders>
            <w:noWrap w:val="0"/>
            <w:vAlign w:val="center"/>
          </w:tcPr>
          <w:p w14:paraId="03E14621">
            <w:pPr>
              <w:jc w:val="center"/>
            </w:pPr>
          </w:p>
        </w:tc>
        <w:tc>
          <w:tcPr>
            <w:tcW w:w="674" w:type="dxa"/>
            <w:vMerge w:val="continue"/>
            <w:tcBorders>
              <w:left w:val="single" w:color="auto" w:sz="4" w:space="0"/>
              <w:right w:val="single" w:color="auto" w:sz="4" w:space="0"/>
            </w:tcBorders>
            <w:noWrap w:val="0"/>
            <w:vAlign w:val="center"/>
          </w:tcPr>
          <w:p w14:paraId="43ACA64E">
            <w:pPr>
              <w:jc w:val="center"/>
            </w:pPr>
          </w:p>
        </w:tc>
        <w:tc>
          <w:tcPr>
            <w:tcW w:w="815" w:type="dxa"/>
            <w:vMerge w:val="continue"/>
            <w:tcBorders>
              <w:left w:val="single" w:color="auto" w:sz="4" w:space="0"/>
              <w:right w:val="single" w:color="auto" w:sz="4" w:space="0"/>
            </w:tcBorders>
            <w:noWrap w:val="0"/>
            <w:vAlign w:val="center"/>
          </w:tcPr>
          <w:p w14:paraId="42083805">
            <w:pPr>
              <w:jc w:val="center"/>
            </w:pPr>
          </w:p>
        </w:tc>
        <w:tc>
          <w:tcPr>
            <w:tcW w:w="673" w:type="dxa"/>
            <w:vMerge w:val="continue"/>
            <w:tcBorders>
              <w:left w:val="single" w:color="auto" w:sz="4" w:space="0"/>
              <w:right w:val="single" w:color="auto" w:sz="4" w:space="0"/>
            </w:tcBorders>
            <w:noWrap w:val="0"/>
            <w:vAlign w:val="center"/>
          </w:tcPr>
          <w:p w14:paraId="17EB4203">
            <w:pPr>
              <w:jc w:val="center"/>
            </w:pPr>
          </w:p>
        </w:tc>
        <w:tc>
          <w:tcPr>
            <w:tcW w:w="777" w:type="dxa"/>
            <w:vMerge w:val="continue"/>
            <w:tcBorders>
              <w:left w:val="single" w:color="auto" w:sz="4" w:space="0"/>
              <w:right w:val="single" w:color="auto" w:sz="4" w:space="0"/>
            </w:tcBorders>
            <w:noWrap w:val="0"/>
            <w:vAlign w:val="center"/>
          </w:tcPr>
          <w:p w14:paraId="3D4CCE60">
            <w:pPr>
              <w:jc w:val="center"/>
            </w:pPr>
          </w:p>
        </w:tc>
        <w:tc>
          <w:tcPr>
            <w:tcW w:w="800" w:type="dxa"/>
            <w:tcBorders>
              <w:top w:val="single" w:color="auto" w:sz="4" w:space="0"/>
              <w:left w:val="single" w:color="auto" w:sz="4" w:space="0"/>
              <w:bottom w:val="single" w:color="auto" w:sz="4" w:space="0"/>
              <w:right w:val="single" w:color="auto" w:sz="6" w:space="0"/>
            </w:tcBorders>
            <w:noWrap w:val="0"/>
            <w:vAlign w:val="center"/>
          </w:tcPr>
          <w:p w14:paraId="4C54B56A">
            <w:pPr>
              <w:jc w:val="center"/>
              <w:rPr>
                <w:rFonts w:hint="eastAsia" w:cs="Times New Roman"/>
                <w:color w:val="auto"/>
                <w:sz w:val="21"/>
                <w:szCs w:val="21"/>
                <w:lang w:val="en-US" w:eastAsia="zh-CN"/>
              </w:rPr>
            </w:pPr>
            <w:r>
              <w:rPr>
                <w:rFonts w:hint="eastAsia" w:cs="Times New Roman"/>
                <w:color w:val="auto"/>
                <w:sz w:val="21"/>
                <w:szCs w:val="21"/>
                <w:lang w:val="en-US" w:eastAsia="zh-CN"/>
              </w:rPr>
              <w:t>臭气浓度</w:t>
            </w:r>
          </w:p>
        </w:tc>
        <w:tc>
          <w:tcPr>
            <w:tcW w:w="475" w:type="dxa"/>
            <w:vMerge w:val="continue"/>
            <w:tcBorders>
              <w:left w:val="single" w:color="auto" w:sz="6" w:space="0"/>
              <w:right w:val="single" w:color="auto" w:sz="4" w:space="0"/>
            </w:tcBorders>
            <w:noWrap w:val="0"/>
            <w:vAlign w:val="center"/>
          </w:tcPr>
          <w:p w14:paraId="35DA0B79">
            <w:pPr>
              <w:jc w:val="center"/>
              <w:rPr>
                <w:rFonts w:hint="eastAsia" w:cs="Times New Roman"/>
                <w:color w:val="auto"/>
                <w:sz w:val="21"/>
                <w:szCs w:val="21"/>
                <w:lang w:val="en-US" w:eastAsia="zh-CN"/>
              </w:rPr>
            </w:pPr>
          </w:p>
        </w:tc>
        <w:tc>
          <w:tcPr>
            <w:tcW w:w="700" w:type="dxa"/>
            <w:vMerge w:val="continue"/>
            <w:tcBorders>
              <w:left w:val="single" w:color="auto" w:sz="4" w:space="0"/>
              <w:right w:val="single" w:color="auto" w:sz="4" w:space="0"/>
            </w:tcBorders>
            <w:noWrap w:val="0"/>
            <w:vAlign w:val="center"/>
          </w:tcPr>
          <w:p w14:paraId="77F41BC2">
            <w:pPr>
              <w:jc w:val="center"/>
              <w:rPr>
                <w:rFonts w:hint="eastAsia" w:cs="Times New Roman"/>
                <w:color w:val="auto"/>
                <w:sz w:val="21"/>
                <w:szCs w:val="21"/>
                <w:lang w:val="en-US" w:eastAsia="zh-CN"/>
              </w:rPr>
            </w:pPr>
          </w:p>
        </w:tc>
        <w:tc>
          <w:tcPr>
            <w:tcW w:w="1037" w:type="dxa"/>
            <w:vMerge w:val="continue"/>
            <w:tcBorders>
              <w:left w:val="single" w:color="auto" w:sz="4" w:space="0"/>
              <w:right w:val="single" w:color="auto" w:sz="4" w:space="0"/>
            </w:tcBorders>
            <w:noWrap w:val="0"/>
            <w:vAlign w:val="center"/>
          </w:tcPr>
          <w:p w14:paraId="1CB8308F">
            <w:pPr>
              <w:jc w:val="center"/>
              <w:rPr>
                <w:rFonts w:hint="eastAsia" w:cs="Times New Roman"/>
                <w:color w:val="auto"/>
                <w:sz w:val="21"/>
                <w:szCs w:val="21"/>
                <w:lang w:val="en-US" w:eastAsia="zh-CN"/>
              </w:rPr>
            </w:pPr>
          </w:p>
        </w:tc>
        <w:tc>
          <w:tcPr>
            <w:tcW w:w="972" w:type="dxa"/>
            <w:vMerge w:val="continue"/>
            <w:tcBorders>
              <w:left w:val="single" w:color="auto" w:sz="4" w:space="0"/>
              <w:right w:val="single" w:color="auto" w:sz="6" w:space="0"/>
            </w:tcBorders>
            <w:noWrap w:val="0"/>
            <w:vAlign w:val="center"/>
          </w:tcPr>
          <w:p w14:paraId="6A0F766F">
            <w:pPr>
              <w:jc w:val="center"/>
              <w:rPr>
                <w:rFonts w:hint="eastAsia" w:cs="Times New Roman"/>
                <w:color w:val="auto"/>
                <w:sz w:val="21"/>
                <w:szCs w:val="21"/>
                <w:lang w:val="en-US" w:eastAsia="zh-CN"/>
              </w:rPr>
            </w:pPr>
          </w:p>
        </w:tc>
        <w:tc>
          <w:tcPr>
            <w:tcW w:w="519" w:type="dxa"/>
            <w:vMerge w:val="continue"/>
            <w:tcBorders>
              <w:left w:val="single" w:color="auto" w:sz="4" w:space="0"/>
              <w:right w:val="single" w:color="auto" w:sz="6" w:space="0"/>
            </w:tcBorders>
            <w:noWrap w:val="0"/>
            <w:vAlign w:val="center"/>
          </w:tcPr>
          <w:p w14:paraId="28B2D698">
            <w:pPr>
              <w:jc w:val="center"/>
              <w:rPr>
                <w:rFonts w:hint="eastAsia" w:cs="Times New Roman"/>
                <w:color w:val="auto"/>
                <w:sz w:val="21"/>
                <w:szCs w:val="21"/>
                <w:lang w:val="en-US" w:eastAsia="zh-CN"/>
              </w:rPr>
            </w:pPr>
          </w:p>
        </w:tc>
        <w:tc>
          <w:tcPr>
            <w:tcW w:w="519" w:type="dxa"/>
            <w:vMerge w:val="continue"/>
            <w:tcBorders>
              <w:left w:val="single" w:color="auto" w:sz="4" w:space="0"/>
              <w:right w:val="single" w:color="auto" w:sz="6" w:space="0"/>
            </w:tcBorders>
            <w:noWrap w:val="0"/>
            <w:vAlign w:val="center"/>
          </w:tcPr>
          <w:p w14:paraId="1C826DF6">
            <w:pPr>
              <w:jc w:val="center"/>
              <w:rPr>
                <w:rFonts w:hint="eastAsia" w:cs="Times New Roman"/>
                <w:color w:val="auto"/>
                <w:sz w:val="21"/>
                <w:szCs w:val="21"/>
                <w:lang w:val="en-US" w:eastAsia="zh-CN"/>
              </w:rPr>
            </w:pPr>
          </w:p>
        </w:tc>
        <w:tc>
          <w:tcPr>
            <w:tcW w:w="537" w:type="dxa"/>
            <w:vMerge w:val="continue"/>
            <w:tcBorders>
              <w:left w:val="single" w:color="auto" w:sz="4" w:space="0"/>
              <w:right w:val="single" w:color="auto" w:sz="6" w:space="0"/>
            </w:tcBorders>
            <w:noWrap w:val="0"/>
            <w:vAlign w:val="center"/>
          </w:tcPr>
          <w:p w14:paraId="14A5E3D0">
            <w:pPr>
              <w:jc w:val="center"/>
              <w:rPr>
                <w:rFonts w:hint="eastAsia" w:cs="Times New Roman"/>
                <w:color w:val="auto"/>
                <w:sz w:val="21"/>
                <w:szCs w:val="21"/>
                <w:lang w:val="en-US" w:eastAsia="zh-CN"/>
              </w:rPr>
            </w:pPr>
          </w:p>
        </w:tc>
        <w:tc>
          <w:tcPr>
            <w:tcW w:w="671" w:type="dxa"/>
            <w:vMerge w:val="continue"/>
            <w:tcBorders>
              <w:left w:val="single" w:color="auto" w:sz="6" w:space="0"/>
              <w:right w:val="single" w:color="auto" w:sz="4" w:space="0"/>
            </w:tcBorders>
            <w:noWrap w:val="0"/>
            <w:vAlign w:val="center"/>
          </w:tcPr>
          <w:p w14:paraId="4CBC7A9E">
            <w:pPr>
              <w:jc w:val="center"/>
              <w:rPr>
                <w:rFonts w:hint="eastAsia" w:cs="Times New Roman"/>
                <w:color w:val="auto"/>
                <w:sz w:val="21"/>
                <w:szCs w:val="21"/>
                <w:lang w:val="en-US" w:eastAsia="zh-CN"/>
              </w:rPr>
            </w:pPr>
          </w:p>
        </w:tc>
        <w:tc>
          <w:tcPr>
            <w:tcW w:w="519" w:type="dxa"/>
            <w:vMerge w:val="continue"/>
            <w:tcBorders>
              <w:left w:val="single" w:color="auto" w:sz="6" w:space="0"/>
              <w:right w:val="single" w:color="auto" w:sz="4" w:space="0"/>
            </w:tcBorders>
            <w:noWrap w:val="0"/>
            <w:vAlign w:val="center"/>
          </w:tcPr>
          <w:p w14:paraId="63CEA017">
            <w:pPr>
              <w:jc w:val="center"/>
              <w:rPr>
                <w:rFonts w:hint="eastAsia" w:cs="Times New Roman"/>
                <w:color w:val="auto"/>
                <w:sz w:val="21"/>
                <w:szCs w:val="21"/>
                <w:lang w:val="en-US" w:eastAsia="zh-CN"/>
              </w:rPr>
            </w:pPr>
          </w:p>
        </w:tc>
        <w:tc>
          <w:tcPr>
            <w:tcW w:w="688" w:type="dxa"/>
            <w:vMerge w:val="continue"/>
            <w:tcBorders>
              <w:left w:val="single" w:color="auto" w:sz="6" w:space="0"/>
              <w:right w:val="single" w:color="auto" w:sz="4" w:space="0"/>
            </w:tcBorders>
            <w:noWrap w:val="0"/>
            <w:vAlign w:val="center"/>
          </w:tcPr>
          <w:p w14:paraId="3327F46F">
            <w:pPr>
              <w:jc w:val="center"/>
              <w:rPr>
                <w:rFonts w:hint="eastAsia" w:cs="Times New Roman"/>
                <w:color w:val="auto"/>
                <w:sz w:val="21"/>
                <w:szCs w:val="21"/>
                <w:lang w:val="en-US" w:eastAsia="zh-CN"/>
              </w:rPr>
            </w:pPr>
          </w:p>
        </w:tc>
        <w:tc>
          <w:tcPr>
            <w:tcW w:w="688" w:type="dxa"/>
            <w:vMerge w:val="continue"/>
            <w:tcBorders>
              <w:left w:val="single" w:color="auto" w:sz="4" w:space="0"/>
              <w:right w:val="single" w:color="auto" w:sz="6" w:space="0"/>
            </w:tcBorders>
            <w:noWrap w:val="0"/>
            <w:vAlign w:val="center"/>
          </w:tcPr>
          <w:p w14:paraId="0144200A">
            <w:pPr>
              <w:jc w:val="center"/>
              <w:rPr>
                <w:rFonts w:hint="eastAsia" w:cs="Times New Roman"/>
                <w:color w:val="auto"/>
                <w:sz w:val="21"/>
                <w:szCs w:val="21"/>
                <w:lang w:val="en-US" w:eastAsia="zh-CN"/>
              </w:rPr>
            </w:pPr>
          </w:p>
        </w:tc>
        <w:tc>
          <w:tcPr>
            <w:tcW w:w="688" w:type="dxa"/>
            <w:vMerge w:val="continue"/>
            <w:tcBorders>
              <w:left w:val="single" w:color="auto" w:sz="6" w:space="0"/>
              <w:right w:val="single" w:color="auto" w:sz="4" w:space="0"/>
            </w:tcBorders>
            <w:noWrap w:val="0"/>
            <w:vAlign w:val="center"/>
          </w:tcPr>
          <w:p w14:paraId="2857968B">
            <w:pPr>
              <w:jc w:val="center"/>
              <w:rPr>
                <w:rFonts w:hint="eastAsia" w:cs="Times New Roman"/>
                <w:color w:val="auto"/>
                <w:sz w:val="21"/>
                <w:szCs w:val="21"/>
                <w:lang w:val="en-US" w:eastAsia="zh-CN"/>
              </w:rPr>
            </w:pPr>
          </w:p>
        </w:tc>
        <w:tc>
          <w:tcPr>
            <w:tcW w:w="856" w:type="dxa"/>
            <w:vMerge w:val="continue"/>
            <w:tcBorders>
              <w:left w:val="single" w:color="auto" w:sz="6" w:space="0"/>
              <w:right w:val="single" w:color="auto" w:sz="4" w:space="0"/>
            </w:tcBorders>
            <w:noWrap w:val="0"/>
            <w:vAlign w:val="center"/>
          </w:tcPr>
          <w:p w14:paraId="7CF03400">
            <w:pPr>
              <w:jc w:val="center"/>
              <w:rPr>
                <w:rFonts w:hint="eastAsia" w:cs="Times New Roman"/>
                <w:color w:val="auto"/>
                <w:sz w:val="21"/>
                <w:szCs w:val="21"/>
                <w:lang w:val="en-US" w:eastAsia="zh-CN"/>
              </w:rPr>
            </w:pPr>
          </w:p>
        </w:tc>
        <w:tc>
          <w:tcPr>
            <w:tcW w:w="688" w:type="dxa"/>
            <w:vMerge w:val="continue"/>
            <w:tcBorders>
              <w:left w:val="single" w:color="auto" w:sz="6" w:space="0"/>
              <w:right w:val="single" w:color="auto" w:sz="4" w:space="0"/>
            </w:tcBorders>
            <w:noWrap w:val="0"/>
            <w:vAlign w:val="center"/>
          </w:tcPr>
          <w:p w14:paraId="399126A5">
            <w:pPr>
              <w:jc w:val="center"/>
              <w:rPr>
                <w:rFonts w:hint="eastAsia" w:cs="Times New Roman"/>
                <w:color w:val="auto"/>
                <w:sz w:val="21"/>
                <w:szCs w:val="21"/>
                <w:lang w:val="en-US" w:eastAsia="zh-CN"/>
              </w:rPr>
            </w:pPr>
          </w:p>
        </w:tc>
        <w:tc>
          <w:tcPr>
            <w:tcW w:w="461" w:type="dxa"/>
            <w:vMerge w:val="continue"/>
            <w:tcBorders>
              <w:left w:val="single" w:color="auto" w:sz="4" w:space="0"/>
              <w:right w:val="single" w:color="auto" w:sz="12" w:space="0"/>
            </w:tcBorders>
            <w:noWrap w:val="0"/>
            <w:vAlign w:val="center"/>
          </w:tcPr>
          <w:p w14:paraId="47A92A2F">
            <w:pPr>
              <w:jc w:val="center"/>
              <w:rPr>
                <w:rFonts w:hint="eastAsia" w:cs="Times New Roman"/>
                <w:color w:val="auto"/>
                <w:sz w:val="21"/>
                <w:szCs w:val="21"/>
                <w:lang w:val="en-US" w:eastAsia="zh-CN"/>
              </w:rPr>
            </w:pPr>
          </w:p>
        </w:tc>
      </w:tr>
      <w:tr w14:paraId="11418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417" w:type="dxa"/>
            <w:vMerge w:val="continue"/>
            <w:tcBorders>
              <w:left w:val="single" w:color="auto" w:sz="12" w:space="0"/>
              <w:right w:val="single" w:color="auto" w:sz="4" w:space="0"/>
            </w:tcBorders>
            <w:noWrap w:val="0"/>
            <w:vAlign w:val="center"/>
          </w:tcPr>
          <w:p w14:paraId="06195609">
            <w:pPr>
              <w:jc w:val="center"/>
              <w:rPr>
                <w:rFonts w:hint="eastAsia" w:cs="Times New Roman"/>
                <w:color w:val="auto"/>
                <w:sz w:val="21"/>
                <w:szCs w:val="21"/>
                <w:lang w:val="en-US" w:eastAsia="zh-CN"/>
              </w:rPr>
            </w:pPr>
          </w:p>
        </w:tc>
        <w:tc>
          <w:tcPr>
            <w:tcW w:w="674" w:type="dxa"/>
            <w:vMerge w:val="continue"/>
            <w:tcBorders>
              <w:left w:val="single" w:color="auto" w:sz="4" w:space="0"/>
              <w:right w:val="single" w:color="auto" w:sz="4" w:space="0"/>
            </w:tcBorders>
            <w:noWrap w:val="0"/>
            <w:vAlign w:val="center"/>
          </w:tcPr>
          <w:p w14:paraId="64FAB79E">
            <w:pPr>
              <w:jc w:val="center"/>
              <w:rPr>
                <w:rFonts w:hint="eastAsia" w:cs="Times New Roman"/>
                <w:color w:val="auto"/>
                <w:sz w:val="21"/>
                <w:szCs w:val="21"/>
                <w:lang w:val="en-US" w:eastAsia="zh-CN"/>
              </w:rPr>
            </w:pPr>
          </w:p>
        </w:tc>
        <w:tc>
          <w:tcPr>
            <w:tcW w:w="815" w:type="dxa"/>
            <w:vMerge w:val="continue"/>
            <w:tcBorders>
              <w:left w:val="single" w:color="auto" w:sz="4" w:space="0"/>
              <w:right w:val="single" w:color="auto" w:sz="4" w:space="0"/>
            </w:tcBorders>
            <w:noWrap w:val="0"/>
            <w:vAlign w:val="center"/>
          </w:tcPr>
          <w:p w14:paraId="6DC3CB26">
            <w:pPr>
              <w:jc w:val="center"/>
              <w:rPr>
                <w:rFonts w:hint="eastAsia" w:cs="Times New Roman"/>
                <w:color w:val="auto"/>
                <w:sz w:val="21"/>
                <w:szCs w:val="21"/>
                <w:lang w:val="en-US" w:eastAsia="zh-CN"/>
              </w:rPr>
            </w:pPr>
          </w:p>
        </w:tc>
        <w:tc>
          <w:tcPr>
            <w:tcW w:w="673" w:type="dxa"/>
            <w:vMerge w:val="continue"/>
            <w:tcBorders>
              <w:left w:val="single" w:color="auto" w:sz="4" w:space="0"/>
              <w:right w:val="single" w:color="auto" w:sz="4" w:space="0"/>
            </w:tcBorders>
            <w:noWrap w:val="0"/>
            <w:vAlign w:val="center"/>
          </w:tcPr>
          <w:p w14:paraId="195E7A23">
            <w:pPr>
              <w:jc w:val="center"/>
              <w:rPr>
                <w:rFonts w:hint="eastAsia" w:cs="Times New Roman"/>
                <w:color w:val="auto"/>
                <w:sz w:val="21"/>
                <w:szCs w:val="21"/>
                <w:lang w:val="en-US" w:eastAsia="zh-CN"/>
              </w:rPr>
            </w:pPr>
          </w:p>
        </w:tc>
        <w:tc>
          <w:tcPr>
            <w:tcW w:w="777" w:type="dxa"/>
            <w:vMerge w:val="continue"/>
            <w:tcBorders>
              <w:left w:val="single" w:color="auto" w:sz="4" w:space="0"/>
              <w:right w:val="single" w:color="auto" w:sz="4" w:space="0"/>
            </w:tcBorders>
            <w:noWrap w:val="0"/>
            <w:vAlign w:val="center"/>
          </w:tcPr>
          <w:p w14:paraId="4C73310D">
            <w:pPr>
              <w:jc w:val="center"/>
              <w:rPr>
                <w:rFonts w:hint="eastAsia" w:cs="Times New Roman"/>
                <w:color w:val="auto"/>
                <w:sz w:val="21"/>
                <w:szCs w:val="21"/>
                <w:lang w:val="en-US" w:eastAsia="zh-CN"/>
              </w:rPr>
            </w:pPr>
          </w:p>
        </w:tc>
        <w:tc>
          <w:tcPr>
            <w:tcW w:w="800" w:type="dxa"/>
            <w:tcBorders>
              <w:top w:val="single" w:color="auto" w:sz="4" w:space="0"/>
              <w:left w:val="single" w:color="auto" w:sz="4" w:space="0"/>
              <w:bottom w:val="single" w:color="auto" w:sz="4" w:space="0"/>
              <w:right w:val="single" w:color="auto" w:sz="6" w:space="0"/>
            </w:tcBorders>
            <w:noWrap w:val="0"/>
            <w:vAlign w:val="center"/>
          </w:tcPr>
          <w:p w14:paraId="4976906A">
            <w:pPr>
              <w:jc w:val="center"/>
              <w:rPr>
                <w:rFonts w:hint="eastAsia" w:cs="Times New Roman"/>
                <w:color w:val="auto"/>
                <w:sz w:val="21"/>
                <w:szCs w:val="21"/>
                <w:lang w:val="en-US" w:eastAsia="zh-CN"/>
              </w:rPr>
            </w:pPr>
            <w:r>
              <w:rPr>
                <w:rFonts w:hint="eastAsia" w:cs="Times New Roman"/>
                <w:color w:val="auto"/>
                <w:sz w:val="21"/>
                <w:szCs w:val="21"/>
                <w:lang w:val="en-US" w:eastAsia="zh-CN"/>
              </w:rPr>
              <w:t>硫化氢</w:t>
            </w:r>
          </w:p>
        </w:tc>
        <w:tc>
          <w:tcPr>
            <w:tcW w:w="475" w:type="dxa"/>
            <w:vMerge w:val="continue"/>
            <w:tcBorders>
              <w:left w:val="single" w:color="auto" w:sz="6" w:space="0"/>
              <w:right w:val="single" w:color="auto" w:sz="4" w:space="0"/>
            </w:tcBorders>
            <w:noWrap w:val="0"/>
            <w:vAlign w:val="center"/>
          </w:tcPr>
          <w:p w14:paraId="494952F9">
            <w:pPr>
              <w:jc w:val="center"/>
              <w:rPr>
                <w:rFonts w:hint="eastAsia" w:cs="Times New Roman"/>
                <w:color w:val="auto"/>
                <w:sz w:val="21"/>
                <w:szCs w:val="21"/>
                <w:lang w:val="en-US" w:eastAsia="zh-CN"/>
              </w:rPr>
            </w:pPr>
          </w:p>
        </w:tc>
        <w:tc>
          <w:tcPr>
            <w:tcW w:w="700" w:type="dxa"/>
            <w:vMerge w:val="continue"/>
            <w:tcBorders>
              <w:left w:val="single" w:color="auto" w:sz="4" w:space="0"/>
              <w:right w:val="single" w:color="auto" w:sz="4" w:space="0"/>
            </w:tcBorders>
            <w:noWrap w:val="0"/>
            <w:vAlign w:val="center"/>
          </w:tcPr>
          <w:p w14:paraId="4575F2B9">
            <w:pPr>
              <w:jc w:val="center"/>
              <w:rPr>
                <w:rFonts w:hint="eastAsia" w:cs="Times New Roman"/>
                <w:color w:val="auto"/>
                <w:sz w:val="21"/>
                <w:szCs w:val="21"/>
                <w:lang w:val="en-US" w:eastAsia="zh-CN"/>
              </w:rPr>
            </w:pPr>
          </w:p>
        </w:tc>
        <w:tc>
          <w:tcPr>
            <w:tcW w:w="1037" w:type="dxa"/>
            <w:vMerge w:val="continue"/>
            <w:tcBorders>
              <w:left w:val="single" w:color="auto" w:sz="4" w:space="0"/>
              <w:right w:val="single" w:color="auto" w:sz="4" w:space="0"/>
            </w:tcBorders>
            <w:noWrap w:val="0"/>
            <w:vAlign w:val="center"/>
          </w:tcPr>
          <w:p w14:paraId="0DE5032D">
            <w:pPr>
              <w:jc w:val="center"/>
              <w:rPr>
                <w:rFonts w:hint="eastAsia" w:cs="Times New Roman"/>
                <w:color w:val="auto"/>
                <w:sz w:val="21"/>
                <w:szCs w:val="21"/>
                <w:lang w:val="en-US" w:eastAsia="zh-CN"/>
              </w:rPr>
            </w:pPr>
          </w:p>
        </w:tc>
        <w:tc>
          <w:tcPr>
            <w:tcW w:w="972" w:type="dxa"/>
            <w:vMerge w:val="continue"/>
            <w:tcBorders>
              <w:left w:val="single" w:color="auto" w:sz="4" w:space="0"/>
              <w:right w:val="single" w:color="auto" w:sz="6" w:space="0"/>
            </w:tcBorders>
            <w:noWrap w:val="0"/>
            <w:vAlign w:val="center"/>
          </w:tcPr>
          <w:p w14:paraId="69D216BE">
            <w:pPr>
              <w:jc w:val="center"/>
              <w:rPr>
                <w:rFonts w:hint="eastAsia" w:cs="Times New Roman"/>
                <w:color w:val="auto"/>
                <w:sz w:val="21"/>
                <w:szCs w:val="21"/>
                <w:lang w:val="en-US" w:eastAsia="zh-CN"/>
              </w:rPr>
            </w:pPr>
          </w:p>
        </w:tc>
        <w:tc>
          <w:tcPr>
            <w:tcW w:w="519" w:type="dxa"/>
            <w:vMerge w:val="continue"/>
            <w:tcBorders>
              <w:left w:val="single" w:color="auto" w:sz="4" w:space="0"/>
              <w:right w:val="single" w:color="auto" w:sz="6" w:space="0"/>
            </w:tcBorders>
            <w:noWrap w:val="0"/>
            <w:vAlign w:val="center"/>
          </w:tcPr>
          <w:p w14:paraId="14DF2507">
            <w:pPr>
              <w:jc w:val="center"/>
              <w:rPr>
                <w:rFonts w:hint="eastAsia" w:cs="Times New Roman"/>
                <w:color w:val="auto"/>
                <w:sz w:val="21"/>
                <w:szCs w:val="21"/>
                <w:lang w:val="en-US" w:eastAsia="zh-CN"/>
              </w:rPr>
            </w:pPr>
          </w:p>
        </w:tc>
        <w:tc>
          <w:tcPr>
            <w:tcW w:w="519" w:type="dxa"/>
            <w:vMerge w:val="continue"/>
            <w:tcBorders>
              <w:left w:val="single" w:color="auto" w:sz="4" w:space="0"/>
              <w:right w:val="single" w:color="auto" w:sz="6" w:space="0"/>
            </w:tcBorders>
            <w:noWrap w:val="0"/>
            <w:vAlign w:val="center"/>
          </w:tcPr>
          <w:p w14:paraId="2B07FBFB">
            <w:pPr>
              <w:jc w:val="center"/>
              <w:rPr>
                <w:rFonts w:hint="eastAsia" w:cs="Times New Roman"/>
                <w:color w:val="auto"/>
                <w:sz w:val="21"/>
                <w:szCs w:val="21"/>
                <w:lang w:val="en-US" w:eastAsia="zh-CN"/>
              </w:rPr>
            </w:pPr>
          </w:p>
        </w:tc>
        <w:tc>
          <w:tcPr>
            <w:tcW w:w="537" w:type="dxa"/>
            <w:vMerge w:val="continue"/>
            <w:tcBorders>
              <w:left w:val="single" w:color="auto" w:sz="4" w:space="0"/>
              <w:right w:val="single" w:color="auto" w:sz="6" w:space="0"/>
            </w:tcBorders>
            <w:noWrap w:val="0"/>
            <w:vAlign w:val="center"/>
          </w:tcPr>
          <w:p w14:paraId="2CDBAAFF">
            <w:pPr>
              <w:jc w:val="center"/>
              <w:rPr>
                <w:rFonts w:hint="eastAsia" w:cs="Times New Roman"/>
                <w:color w:val="auto"/>
                <w:sz w:val="21"/>
                <w:szCs w:val="21"/>
                <w:lang w:val="en-US" w:eastAsia="zh-CN"/>
              </w:rPr>
            </w:pPr>
          </w:p>
        </w:tc>
        <w:tc>
          <w:tcPr>
            <w:tcW w:w="671" w:type="dxa"/>
            <w:vMerge w:val="continue"/>
            <w:tcBorders>
              <w:left w:val="single" w:color="auto" w:sz="6" w:space="0"/>
              <w:right w:val="single" w:color="auto" w:sz="4" w:space="0"/>
            </w:tcBorders>
            <w:noWrap w:val="0"/>
            <w:vAlign w:val="center"/>
          </w:tcPr>
          <w:p w14:paraId="0A6F78C7">
            <w:pPr>
              <w:jc w:val="center"/>
              <w:rPr>
                <w:rFonts w:hint="eastAsia" w:cs="Times New Roman"/>
                <w:color w:val="auto"/>
                <w:sz w:val="21"/>
                <w:szCs w:val="21"/>
                <w:lang w:val="en-US" w:eastAsia="zh-CN"/>
              </w:rPr>
            </w:pPr>
          </w:p>
        </w:tc>
        <w:tc>
          <w:tcPr>
            <w:tcW w:w="519" w:type="dxa"/>
            <w:vMerge w:val="continue"/>
            <w:tcBorders>
              <w:left w:val="single" w:color="auto" w:sz="6" w:space="0"/>
              <w:right w:val="single" w:color="auto" w:sz="4" w:space="0"/>
            </w:tcBorders>
            <w:noWrap w:val="0"/>
            <w:vAlign w:val="center"/>
          </w:tcPr>
          <w:p w14:paraId="60774A6F">
            <w:pPr>
              <w:jc w:val="center"/>
              <w:rPr>
                <w:rFonts w:hint="eastAsia" w:cs="Times New Roman"/>
                <w:color w:val="auto"/>
                <w:sz w:val="21"/>
                <w:szCs w:val="21"/>
                <w:lang w:val="en-US" w:eastAsia="zh-CN"/>
              </w:rPr>
            </w:pPr>
          </w:p>
        </w:tc>
        <w:tc>
          <w:tcPr>
            <w:tcW w:w="688" w:type="dxa"/>
            <w:vMerge w:val="continue"/>
            <w:tcBorders>
              <w:left w:val="single" w:color="auto" w:sz="6" w:space="0"/>
              <w:right w:val="single" w:color="auto" w:sz="4" w:space="0"/>
            </w:tcBorders>
            <w:noWrap w:val="0"/>
            <w:vAlign w:val="center"/>
          </w:tcPr>
          <w:p w14:paraId="39B9F6E2">
            <w:pPr>
              <w:jc w:val="center"/>
              <w:rPr>
                <w:rFonts w:hint="eastAsia" w:cs="Times New Roman"/>
                <w:color w:val="auto"/>
                <w:sz w:val="21"/>
                <w:szCs w:val="21"/>
                <w:lang w:val="en-US" w:eastAsia="zh-CN"/>
              </w:rPr>
            </w:pPr>
          </w:p>
        </w:tc>
        <w:tc>
          <w:tcPr>
            <w:tcW w:w="688" w:type="dxa"/>
            <w:vMerge w:val="continue"/>
            <w:tcBorders>
              <w:left w:val="single" w:color="auto" w:sz="4" w:space="0"/>
              <w:right w:val="single" w:color="auto" w:sz="6" w:space="0"/>
            </w:tcBorders>
            <w:noWrap w:val="0"/>
            <w:vAlign w:val="center"/>
          </w:tcPr>
          <w:p w14:paraId="44A7F2B1">
            <w:pPr>
              <w:jc w:val="center"/>
              <w:rPr>
                <w:rFonts w:hint="eastAsia" w:cs="Times New Roman"/>
                <w:color w:val="auto"/>
                <w:sz w:val="21"/>
                <w:szCs w:val="21"/>
                <w:lang w:val="en-US" w:eastAsia="zh-CN"/>
              </w:rPr>
            </w:pPr>
          </w:p>
        </w:tc>
        <w:tc>
          <w:tcPr>
            <w:tcW w:w="688" w:type="dxa"/>
            <w:vMerge w:val="continue"/>
            <w:tcBorders>
              <w:left w:val="single" w:color="auto" w:sz="6" w:space="0"/>
              <w:right w:val="single" w:color="auto" w:sz="4" w:space="0"/>
            </w:tcBorders>
            <w:noWrap w:val="0"/>
            <w:vAlign w:val="center"/>
          </w:tcPr>
          <w:p w14:paraId="28E6B8E3">
            <w:pPr>
              <w:jc w:val="center"/>
              <w:rPr>
                <w:rFonts w:hint="eastAsia" w:cs="Times New Roman"/>
                <w:color w:val="auto"/>
                <w:sz w:val="21"/>
                <w:szCs w:val="21"/>
                <w:lang w:val="en-US" w:eastAsia="zh-CN"/>
              </w:rPr>
            </w:pPr>
          </w:p>
        </w:tc>
        <w:tc>
          <w:tcPr>
            <w:tcW w:w="856" w:type="dxa"/>
            <w:vMerge w:val="continue"/>
            <w:tcBorders>
              <w:left w:val="single" w:color="auto" w:sz="6" w:space="0"/>
              <w:right w:val="single" w:color="auto" w:sz="4" w:space="0"/>
            </w:tcBorders>
            <w:noWrap w:val="0"/>
            <w:vAlign w:val="center"/>
          </w:tcPr>
          <w:p w14:paraId="3C8DD35F">
            <w:pPr>
              <w:jc w:val="center"/>
              <w:rPr>
                <w:rFonts w:hint="eastAsia" w:cs="Times New Roman"/>
                <w:color w:val="auto"/>
                <w:sz w:val="21"/>
                <w:szCs w:val="21"/>
                <w:lang w:val="en-US" w:eastAsia="zh-CN"/>
              </w:rPr>
            </w:pPr>
          </w:p>
        </w:tc>
        <w:tc>
          <w:tcPr>
            <w:tcW w:w="688" w:type="dxa"/>
            <w:vMerge w:val="continue"/>
            <w:tcBorders>
              <w:left w:val="single" w:color="auto" w:sz="6" w:space="0"/>
              <w:right w:val="single" w:color="auto" w:sz="4" w:space="0"/>
            </w:tcBorders>
            <w:noWrap w:val="0"/>
            <w:vAlign w:val="center"/>
          </w:tcPr>
          <w:p w14:paraId="461B9FE8">
            <w:pPr>
              <w:jc w:val="center"/>
              <w:rPr>
                <w:rFonts w:hint="eastAsia" w:cs="Times New Roman"/>
                <w:color w:val="auto"/>
                <w:sz w:val="21"/>
                <w:szCs w:val="21"/>
                <w:lang w:val="en-US" w:eastAsia="zh-CN"/>
              </w:rPr>
            </w:pPr>
          </w:p>
        </w:tc>
        <w:tc>
          <w:tcPr>
            <w:tcW w:w="461" w:type="dxa"/>
            <w:vMerge w:val="continue"/>
            <w:tcBorders>
              <w:left w:val="single" w:color="auto" w:sz="4" w:space="0"/>
              <w:right w:val="single" w:color="auto" w:sz="12" w:space="0"/>
            </w:tcBorders>
            <w:noWrap w:val="0"/>
            <w:vAlign w:val="center"/>
          </w:tcPr>
          <w:p w14:paraId="4F75D56D">
            <w:pPr>
              <w:jc w:val="center"/>
              <w:rPr>
                <w:rFonts w:hint="eastAsia" w:cs="Times New Roman"/>
                <w:color w:val="auto"/>
                <w:sz w:val="21"/>
                <w:szCs w:val="21"/>
                <w:lang w:val="en-US" w:eastAsia="zh-CN"/>
              </w:rPr>
            </w:pPr>
          </w:p>
        </w:tc>
      </w:tr>
    </w:tbl>
    <w:p w14:paraId="35F3ED6C">
      <w:pPr>
        <w:jc w:val="center"/>
        <w:rPr>
          <w:rFonts w:hint="eastAsia" w:ascii="Times New Roman" w:hAnsi="Times New Roman" w:eastAsia="宋体" w:cs="Times New Roman"/>
          <w:b/>
          <w:color w:val="auto"/>
          <w:kern w:val="2"/>
          <w:sz w:val="30"/>
          <w:szCs w:val="30"/>
          <w:lang w:val="en-US" w:eastAsia="zh-CN" w:bidi="ar-SA"/>
        </w:rPr>
      </w:pPr>
      <w:r>
        <w:rPr>
          <w:rFonts w:hint="eastAsia" w:ascii="Times New Roman" w:hAnsi="Times New Roman" w:eastAsia="宋体" w:cs="Times New Roman"/>
          <w:b/>
          <w:color w:val="auto"/>
          <w:kern w:val="2"/>
          <w:sz w:val="30"/>
          <w:szCs w:val="30"/>
          <w:lang w:val="en-US" w:eastAsia="zh-CN" w:bidi="ar-SA"/>
        </w:rPr>
        <w:t>表5  建设项目大气污染物有组织排放基本情况表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3"/>
        <w:gridCol w:w="728"/>
        <w:gridCol w:w="1142"/>
        <w:gridCol w:w="789"/>
        <w:gridCol w:w="699"/>
        <w:gridCol w:w="867"/>
        <w:gridCol w:w="521"/>
        <w:gridCol w:w="858"/>
        <w:gridCol w:w="696"/>
        <w:gridCol w:w="711"/>
        <w:gridCol w:w="1490"/>
        <w:gridCol w:w="988"/>
        <w:gridCol w:w="761"/>
        <w:gridCol w:w="743"/>
        <w:gridCol w:w="699"/>
        <w:gridCol w:w="877"/>
        <w:gridCol w:w="1182"/>
      </w:tblGrid>
      <w:tr w14:paraId="1F91F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423" w:type="dxa"/>
            <w:vMerge w:val="restart"/>
            <w:tcBorders>
              <w:top w:val="single" w:color="auto" w:sz="12" w:space="0"/>
              <w:left w:val="single" w:color="auto" w:sz="12" w:space="0"/>
              <w:bottom w:val="single" w:color="auto" w:sz="4" w:space="0"/>
              <w:right w:val="single" w:color="auto" w:sz="4" w:space="0"/>
            </w:tcBorders>
            <w:noWrap w:val="0"/>
            <w:vAlign w:val="center"/>
          </w:tcPr>
          <w:p w14:paraId="63936679">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序</w:t>
            </w:r>
          </w:p>
          <w:p w14:paraId="3661E26D">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号</w:t>
            </w:r>
          </w:p>
        </w:tc>
        <w:tc>
          <w:tcPr>
            <w:tcW w:w="728" w:type="dxa"/>
            <w:vMerge w:val="restart"/>
            <w:tcBorders>
              <w:top w:val="single" w:color="auto" w:sz="12" w:space="0"/>
              <w:left w:val="single" w:color="auto" w:sz="4" w:space="0"/>
              <w:bottom w:val="single" w:color="auto" w:sz="4" w:space="0"/>
              <w:right w:val="single" w:color="auto" w:sz="4" w:space="0"/>
            </w:tcBorders>
            <w:noWrap w:val="0"/>
            <w:vAlign w:val="center"/>
          </w:tcPr>
          <w:p w14:paraId="315A3793">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排放口编号</w:t>
            </w:r>
          </w:p>
        </w:tc>
        <w:tc>
          <w:tcPr>
            <w:tcW w:w="1142" w:type="dxa"/>
            <w:vMerge w:val="restart"/>
            <w:tcBorders>
              <w:top w:val="single" w:color="auto" w:sz="12" w:space="0"/>
              <w:left w:val="single" w:color="auto" w:sz="4" w:space="0"/>
              <w:bottom w:val="single" w:color="auto" w:sz="4" w:space="0"/>
              <w:right w:val="single" w:color="auto" w:sz="4" w:space="0"/>
            </w:tcBorders>
            <w:noWrap w:val="0"/>
            <w:vAlign w:val="center"/>
          </w:tcPr>
          <w:p w14:paraId="0D6414D6">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排放口</w:t>
            </w:r>
          </w:p>
          <w:p w14:paraId="4A00B3BF">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名称</w:t>
            </w:r>
          </w:p>
        </w:tc>
        <w:tc>
          <w:tcPr>
            <w:tcW w:w="789" w:type="dxa"/>
            <w:vMerge w:val="restart"/>
            <w:tcBorders>
              <w:top w:val="single" w:color="auto" w:sz="12" w:space="0"/>
              <w:left w:val="single" w:color="auto" w:sz="4" w:space="0"/>
              <w:bottom w:val="single" w:color="auto" w:sz="4" w:space="0"/>
              <w:right w:val="single" w:color="auto" w:sz="4" w:space="0"/>
            </w:tcBorders>
            <w:noWrap w:val="0"/>
            <w:vAlign w:val="center"/>
          </w:tcPr>
          <w:p w14:paraId="7153E43F">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污染物种类</w:t>
            </w:r>
          </w:p>
        </w:tc>
        <w:tc>
          <w:tcPr>
            <w:tcW w:w="1566" w:type="dxa"/>
            <w:gridSpan w:val="2"/>
            <w:tcBorders>
              <w:top w:val="single" w:color="auto" w:sz="12" w:space="0"/>
              <w:left w:val="single" w:color="auto" w:sz="4" w:space="0"/>
              <w:bottom w:val="single" w:color="auto" w:sz="6" w:space="0"/>
              <w:right w:val="single" w:color="auto" w:sz="4" w:space="0"/>
            </w:tcBorders>
            <w:noWrap w:val="0"/>
            <w:vAlign w:val="center"/>
          </w:tcPr>
          <w:p w14:paraId="477352B1">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排放口地理坐标</w:t>
            </w:r>
          </w:p>
        </w:tc>
        <w:tc>
          <w:tcPr>
            <w:tcW w:w="2786" w:type="dxa"/>
            <w:gridSpan w:val="4"/>
            <w:tcBorders>
              <w:top w:val="single" w:color="auto" w:sz="12" w:space="0"/>
              <w:left w:val="single" w:color="auto" w:sz="4" w:space="0"/>
              <w:bottom w:val="single" w:color="auto" w:sz="6" w:space="0"/>
              <w:right w:val="single" w:color="auto" w:sz="6" w:space="0"/>
            </w:tcBorders>
            <w:noWrap w:val="0"/>
            <w:vAlign w:val="center"/>
          </w:tcPr>
          <w:p w14:paraId="355E385A">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排气筒参数</w:t>
            </w:r>
          </w:p>
        </w:tc>
        <w:tc>
          <w:tcPr>
            <w:tcW w:w="3239" w:type="dxa"/>
            <w:gridSpan w:val="3"/>
            <w:tcBorders>
              <w:top w:val="single" w:color="auto" w:sz="12" w:space="0"/>
              <w:left w:val="single" w:color="auto" w:sz="6" w:space="0"/>
              <w:bottom w:val="single" w:color="auto" w:sz="6" w:space="0"/>
              <w:right w:val="single" w:color="auto" w:sz="4" w:space="0"/>
            </w:tcBorders>
            <w:noWrap w:val="0"/>
            <w:vAlign w:val="center"/>
          </w:tcPr>
          <w:p w14:paraId="5A937590">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国家或地方污染物排放标准</w:t>
            </w:r>
          </w:p>
        </w:tc>
        <w:tc>
          <w:tcPr>
            <w:tcW w:w="743" w:type="dxa"/>
            <w:vMerge w:val="restart"/>
            <w:tcBorders>
              <w:top w:val="single" w:color="auto" w:sz="12" w:space="0"/>
              <w:left w:val="single" w:color="auto" w:sz="4" w:space="0"/>
              <w:bottom w:val="single" w:color="auto" w:sz="4" w:space="0"/>
              <w:right w:val="single" w:color="auto" w:sz="4" w:space="0"/>
            </w:tcBorders>
            <w:noWrap w:val="0"/>
            <w:vAlign w:val="center"/>
          </w:tcPr>
          <w:p w14:paraId="1192CFCC">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年许可</w:t>
            </w:r>
          </w:p>
          <w:p w14:paraId="6A347A5E">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排放量</w:t>
            </w:r>
          </w:p>
          <w:p w14:paraId="76EAF5F4">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(t/a)</w:t>
            </w:r>
          </w:p>
        </w:tc>
        <w:tc>
          <w:tcPr>
            <w:tcW w:w="699" w:type="dxa"/>
            <w:vMerge w:val="restart"/>
            <w:tcBorders>
              <w:top w:val="single" w:color="auto" w:sz="12" w:space="0"/>
              <w:left w:val="single" w:color="auto" w:sz="4" w:space="0"/>
              <w:bottom w:val="single" w:color="auto" w:sz="4" w:space="0"/>
              <w:right w:val="single" w:color="auto" w:sz="6" w:space="0"/>
            </w:tcBorders>
            <w:noWrap w:val="0"/>
            <w:vAlign w:val="center"/>
          </w:tcPr>
          <w:p w14:paraId="0D380F37">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申请特殊排放浓度限值</w:t>
            </w:r>
          </w:p>
        </w:tc>
        <w:tc>
          <w:tcPr>
            <w:tcW w:w="877" w:type="dxa"/>
            <w:vMerge w:val="restart"/>
            <w:tcBorders>
              <w:top w:val="single" w:color="auto" w:sz="12" w:space="0"/>
              <w:left w:val="single" w:color="auto" w:sz="6" w:space="0"/>
              <w:bottom w:val="single" w:color="auto" w:sz="4" w:space="0"/>
              <w:right w:val="single" w:color="auto" w:sz="6" w:space="0"/>
            </w:tcBorders>
            <w:noWrap w:val="0"/>
            <w:vAlign w:val="center"/>
          </w:tcPr>
          <w:p w14:paraId="7CCABC6F">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申请特殊时段许可排放量限值</w:t>
            </w:r>
          </w:p>
        </w:tc>
        <w:tc>
          <w:tcPr>
            <w:tcW w:w="1182" w:type="dxa"/>
            <w:vMerge w:val="restart"/>
            <w:tcBorders>
              <w:top w:val="single" w:color="auto" w:sz="12" w:space="0"/>
              <w:left w:val="single" w:color="auto" w:sz="6" w:space="0"/>
              <w:bottom w:val="single" w:color="auto" w:sz="4" w:space="0"/>
              <w:right w:val="single" w:color="auto" w:sz="12" w:space="0"/>
            </w:tcBorders>
            <w:noWrap w:val="0"/>
            <w:vAlign w:val="center"/>
          </w:tcPr>
          <w:p w14:paraId="1827AA9A">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备注</w:t>
            </w:r>
          </w:p>
        </w:tc>
      </w:tr>
      <w:tr w14:paraId="40DA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3" w:type="dxa"/>
            <w:vMerge w:val="continue"/>
            <w:tcBorders>
              <w:top w:val="single" w:color="auto" w:sz="12" w:space="0"/>
              <w:left w:val="single" w:color="auto" w:sz="12" w:space="0"/>
              <w:bottom w:val="single" w:color="auto" w:sz="4" w:space="0"/>
              <w:right w:val="single" w:color="auto" w:sz="4" w:space="0"/>
            </w:tcBorders>
            <w:noWrap w:val="0"/>
            <w:vAlign w:val="center"/>
          </w:tcPr>
          <w:p w14:paraId="7AEFC36E">
            <w:pPr>
              <w:widowControl/>
              <w:jc w:val="left"/>
              <w:rPr>
                <w:rFonts w:ascii="宋体" w:hAnsi="宋体"/>
                <w:b/>
                <w:color w:val="FF0000"/>
                <w:sz w:val="18"/>
                <w:szCs w:val="18"/>
              </w:rPr>
            </w:pPr>
          </w:p>
        </w:tc>
        <w:tc>
          <w:tcPr>
            <w:tcW w:w="728" w:type="dxa"/>
            <w:vMerge w:val="continue"/>
            <w:tcBorders>
              <w:top w:val="single" w:color="auto" w:sz="12" w:space="0"/>
              <w:left w:val="single" w:color="auto" w:sz="4" w:space="0"/>
              <w:bottom w:val="single" w:color="auto" w:sz="4" w:space="0"/>
              <w:right w:val="single" w:color="auto" w:sz="4" w:space="0"/>
            </w:tcBorders>
            <w:noWrap w:val="0"/>
            <w:vAlign w:val="center"/>
          </w:tcPr>
          <w:p w14:paraId="42E94E88">
            <w:pPr>
              <w:widowControl/>
              <w:jc w:val="left"/>
              <w:rPr>
                <w:rFonts w:ascii="宋体" w:hAnsi="宋体"/>
                <w:b/>
                <w:color w:val="FF0000"/>
                <w:sz w:val="18"/>
                <w:szCs w:val="18"/>
              </w:rPr>
            </w:pPr>
          </w:p>
        </w:tc>
        <w:tc>
          <w:tcPr>
            <w:tcW w:w="1142" w:type="dxa"/>
            <w:vMerge w:val="continue"/>
            <w:tcBorders>
              <w:top w:val="single" w:color="auto" w:sz="12" w:space="0"/>
              <w:left w:val="single" w:color="auto" w:sz="4" w:space="0"/>
              <w:bottom w:val="single" w:color="auto" w:sz="4" w:space="0"/>
              <w:right w:val="single" w:color="auto" w:sz="4" w:space="0"/>
            </w:tcBorders>
            <w:noWrap w:val="0"/>
            <w:vAlign w:val="center"/>
          </w:tcPr>
          <w:p w14:paraId="48FA805A">
            <w:pPr>
              <w:widowControl/>
              <w:jc w:val="left"/>
              <w:rPr>
                <w:rFonts w:ascii="宋体" w:hAnsi="宋体"/>
                <w:b/>
                <w:color w:val="FF0000"/>
                <w:sz w:val="18"/>
                <w:szCs w:val="18"/>
              </w:rPr>
            </w:pPr>
          </w:p>
        </w:tc>
        <w:tc>
          <w:tcPr>
            <w:tcW w:w="789" w:type="dxa"/>
            <w:vMerge w:val="continue"/>
            <w:tcBorders>
              <w:top w:val="single" w:color="auto" w:sz="12" w:space="0"/>
              <w:left w:val="single" w:color="auto" w:sz="4" w:space="0"/>
              <w:bottom w:val="single" w:color="auto" w:sz="4" w:space="0"/>
              <w:right w:val="single" w:color="auto" w:sz="4" w:space="0"/>
            </w:tcBorders>
            <w:noWrap w:val="0"/>
            <w:vAlign w:val="center"/>
          </w:tcPr>
          <w:p w14:paraId="30C5E196">
            <w:pPr>
              <w:widowControl/>
              <w:jc w:val="left"/>
              <w:rPr>
                <w:rFonts w:ascii="宋体" w:hAnsi="宋体"/>
                <w:b/>
                <w:color w:val="FF0000"/>
                <w:sz w:val="18"/>
                <w:szCs w:val="18"/>
              </w:rPr>
            </w:pPr>
          </w:p>
        </w:tc>
        <w:tc>
          <w:tcPr>
            <w:tcW w:w="699" w:type="dxa"/>
            <w:tcBorders>
              <w:top w:val="single" w:color="auto" w:sz="6" w:space="0"/>
              <w:left w:val="single" w:color="auto" w:sz="4" w:space="0"/>
              <w:bottom w:val="single" w:color="auto" w:sz="4" w:space="0"/>
              <w:right w:val="single" w:color="auto" w:sz="6" w:space="0"/>
            </w:tcBorders>
            <w:noWrap w:val="0"/>
            <w:vAlign w:val="center"/>
          </w:tcPr>
          <w:p w14:paraId="2D507CEC">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经度</w:t>
            </w:r>
          </w:p>
        </w:tc>
        <w:tc>
          <w:tcPr>
            <w:tcW w:w="867" w:type="dxa"/>
            <w:tcBorders>
              <w:top w:val="single" w:color="auto" w:sz="6" w:space="0"/>
              <w:left w:val="single" w:color="auto" w:sz="6" w:space="0"/>
              <w:bottom w:val="single" w:color="auto" w:sz="4" w:space="0"/>
              <w:right w:val="single" w:color="auto" w:sz="4" w:space="0"/>
            </w:tcBorders>
            <w:noWrap w:val="0"/>
            <w:vAlign w:val="center"/>
          </w:tcPr>
          <w:p w14:paraId="60D16209">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纬度</w:t>
            </w:r>
          </w:p>
        </w:tc>
        <w:tc>
          <w:tcPr>
            <w:tcW w:w="521" w:type="dxa"/>
            <w:tcBorders>
              <w:top w:val="single" w:color="auto" w:sz="6" w:space="0"/>
              <w:left w:val="single" w:color="auto" w:sz="4" w:space="0"/>
              <w:bottom w:val="single" w:color="auto" w:sz="4" w:space="0"/>
              <w:right w:val="single" w:color="auto" w:sz="4" w:space="0"/>
            </w:tcBorders>
            <w:noWrap w:val="0"/>
            <w:vAlign w:val="center"/>
          </w:tcPr>
          <w:p w14:paraId="43CC9B5A">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高度</w:t>
            </w:r>
          </w:p>
          <w:p w14:paraId="434CE075">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(m)</w:t>
            </w:r>
          </w:p>
        </w:tc>
        <w:tc>
          <w:tcPr>
            <w:tcW w:w="858" w:type="dxa"/>
            <w:tcBorders>
              <w:top w:val="single" w:color="auto" w:sz="6" w:space="0"/>
              <w:left w:val="single" w:color="auto" w:sz="4" w:space="0"/>
              <w:bottom w:val="single" w:color="auto" w:sz="4" w:space="0"/>
              <w:right w:val="single" w:color="auto" w:sz="4" w:space="0"/>
            </w:tcBorders>
            <w:noWrap w:val="0"/>
            <w:vAlign w:val="center"/>
          </w:tcPr>
          <w:p w14:paraId="49866792">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出口</w:t>
            </w:r>
          </w:p>
          <w:p w14:paraId="3A038EB4">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内径</w:t>
            </w:r>
          </w:p>
          <w:p w14:paraId="1BFF66E1">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(m)</w:t>
            </w:r>
          </w:p>
        </w:tc>
        <w:tc>
          <w:tcPr>
            <w:tcW w:w="696" w:type="dxa"/>
            <w:tcBorders>
              <w:top w:val="single" w:color="auto" w:sz="6" w:space="0"/>
              <w:left w:val="single" w:color="auto" w:sz="4" w:space="0"/>
              <w:bottom w:val="single" w:color="auto" w:sz="4" w:space="0"/>
              <w:right w:val="single" w:color="auto" w:sz="4" w:space="0"/>
            </w:tcBorders>
            <w:noWrap w:val="0"/>
            <w:vAlign w:val="center"/>
          </w:tcPr>
          <w:p w14:paraId="7038A4AC">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排气</w:t>
            </w:r>
          </w:p>
          <w:p w14:paraId="0F2FC551">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温度</w:t>
            </w:r>
          </w:p>
          <w:p w14:paraId="29E3E6B2">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w:t>
            </w:r>
          </w:p>
        </w:tc>
        <w:tc>
          <w:tcPr>
            <w:tcW w:w="711" w:type="dxa"/>
            <w:tcBorders>
              <w:top w:val="single" w:color="auto" w:sz="6" w:space="0"/>
              <w:left w:val="single" w:color="auto" w:sz="4" w:space="0"/>
              <w:bottom w:val="single" w:color="auto" w:sz="4" w:space="0"/>
              <w:right w:val="single" w:color="auto" w:sz="6" w:space="0"/>
            </w:tcBorders>
            <w:noWrap w:val="0"/>
            <w:vAlign w:val="center"/>
          </w:tcPr>
          <w:p w14:paraId="46196ACD">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排气量</w:t>
            </w:r>
          </w:p>
          <w:p w14:paraId="7EB99537">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(m</w:t>
            </w:r>
            <w:r>
              <w:rPr>
                <w:rFonts w:hint="eastAsia" w:ascii="Times New Roman" w:hAnsi="Times New Roman" w:eastAsia="宋体" w:cs="Times New Roman"/>
                <w:b/>
                <w:color w:val="000000"/>
                <w:sz w:val="21"/>
                <w:szCs w:val="21"/>
                <w:vertAlign w:val="superscript"/>
              </w:rPr>
              <w:t>3</w:t>
            </w:r>
            <w:r>
              <w:rPr>
                <w:rFonts w:hint="eastAsia" w:ascii="Times New Roman" w:hAnsi="Times New Roman" w:eastAsia="宋体" w:cs="Times New Roman"/>
                <w:b/>
                <w:color w:val="000000"/>
                <w:sz w:val="21"/>
                <w:szCs w:val="21"/>
              </w:rPr>
              <w:t>/h)</w:t>
            </w:r>
          </w:p>
        </w:tc>
        <w:tc>
          <w:tcPr>
            <w:tcW w:w="1490" w:type="dxa"/>
            <w:tcBorders>
              <w:top w:val="single" w:color="auto" w:sz="6" w:space="0"/>
              <w:left w:val="single" w:color="auto" w:sz="6" w:space="0"/>
              <w:bottom w:val="single" w:color="auto" w:sz="4" w:space="0"/>
              <w:right w:val="single" w:color="auto" w:sz="4" w:space="0"/>
            </w:tcBorders>
            <w:noWrap w:val="0"/>
            <w:vAlign w:val="center"/>
          </w:tcPr>
          <w:p w14:paraId="2AB570BF">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标准名称</w:t>
            </w:r>
          </w:p>
        </w:tc>
        <w:tc>
          <w:tcPr>
            <w:tcW w:w="988" w:type="dxa"/>
            <w:tcBorders>
              <w:top w:val="single" w:color="auto" w:sz="6" w:space="0"/>
              <w:left w:val="single" w:color="auto" w:sz="6" w:space="0"/>
              <w:bottom w:val="single" w:color="auto" w:sz="4" w:space="0"/>
              <w:right w:val="single" w:color="auto" w:sz="4" w:space="0"/>
            </w:tcBorders>
            <w:noWrap w:val="0"/>
            <w:vAlign w:val="center"/>
          </w:tcPr>
          <w:p w14:paraId="7C767186">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浓度限值</w:t>
            </w:r>
          </w:p>
          <w:p w14:paraId="6769A58A">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(mg/Nm</w:t>
            </w:r>
            <w:r>
              <w:rPr>
                <w:rFonts w:hint="eastAsia" w:ascii="Times New Roman" w:hAnsi="Times New Roman" w:eastAsia="宋体" w:cs="Times New Roman"/>
                <w:b/>
                <w:color w:val="000000"/>
                <w:sz w:val="21"/>
                <w:szCs w:val="21"/>
                <w:vertAlign w:val="superscript"/>
              </w:rPr>
              <w:t>3</w:t>
            </w:r>
            <w:r>
              <w:rPr>
                <w:rFonts w:hint="eastAsia" w:ascii="Times New Roman" w:hAnsi="Times New Roman" w:eastAsia="宋体" w:cs="Times New Roman"/>
                <w:b/>
                <w:color w:val="000000"/>
                <w:sz w:val="21"/>
                <w:szCs w:val="21"/>
              </w:rPr>
              <w:t>)</w:t>
            </w:r>
          </w:p>
        </w:tc>
        <w:tc>
          <w:tcPr>
            <w:tcW w:w="761" w:type="dxa"/>
            <w:tcBorders>
              <w:top w:val="single" w:color="auto" w:sz="6" w:space="0"/>
              <w:left w:val="single" w:color="auto" w:sz="6" w:space="0"/>
              <w:bottom w:val="single" w:color="auto" w:sz="4" w:space="0"/>
              <w:right w:val="single" w:color="auto" w:sz="4" w:space="0"/>
            </w:tcBorders>
            <w:noWrap w:val="0"/>
            <w:vAlign w:val="center"/>
          </w:tcPr>
          <w:p w14:paraId="4E44A01C">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速率</w:t>
            </w:r>
          </w:p>
          <w:p w14:paraId="4E431850">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限值</w:t>
            </w:r>
          </w:p>
          <w:p w14:paraId="17C86E14">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(kg/h)</w:t>
            </w:r>
          </w:p>
        </w:tc>
        <w:tc>
          <w:tcPr>
            <w:tcW w:w="743" w:type="dxa"/>
            <w:vMerge w:val="continue"/>
            <w:tcBorders>
              <w:top w:val="single" w:color="auto" w:sz="12" w:space="0"/>
              <w:left w:val="single" w:color="auto" w:sz="4" w:space="0"/>
              <w:bottom w:val="single" w:color="auto" w:sz="4" w:space="0"/>
              <w:right w:val="single" w:color="auto" w:sz="4" w:space="0"/>
            </w:tcBorders>
            <w:noWrap w:val="0"/>
            <w:vAlign w:val="center"/>
          </w:tcPr>
          <w:p w14:paraId="2F2B494D">
            <w:pPr>
              <w:widowControl/>
              <w:jc w:val="left"/>
              <w:rPr>
                <w:rFonts w:ascii="宋体" w:hAnsi="宋体"/>
                <w:b/>
                <w:color w:val="FF0000"/>
                <w:sz w:val="18"/>
                <w:szCs w:val="18"/>
              </w:rPr>
            </w:pPr>
          </w:p>
        </w:tc>
        <w:tc>
          <w:tcPr>
            <w:tcW w:w="699" w:type="dxa"/>
            <w:vMerge w:val="continue"/>
            <w:tcBorders>
              <w:top w:val="single" w:color="auto" w:sz="12" w:space="0"/>
              <w:left w:val="single" w:color="auto" w:sz="4" w:space="0"/>
              <w:bottom w:val="single" w:color="auto" w:sz="4" w:space="0"/>
              <w:right w:val="single" w:color="auto" w:sz="6" w:space="0"/>
            </w:tcBorders>
            <w:noWrap w:val="0"/>
            <w:vAlign w:val="center"/>
          </w:tcPr>
          <w:p w14:paraId="5965F82A">
            <w:pPr>
              <w:widowControl/>
              <w:jc w:val="left"/>
              <w:rPr>
                <w:rFonts w:ascii="宋体" w:hAnsi="宋体"/>
                <w:b/>
                <w:color w:val="FF0000"/>
                <w:sz w:val="18"/>
                <w:szCs w:val="18"/>
              </w:rPr>
            </w:pPr>
          </w:p>
        </w:tc>
        <w:tc>
          <w:tcPr>
            <w:tcW w:w="877" w:type="dxa"/>
            <w:vMerge w:val="continue"/>
            <w:tcBorders>
              <w:top w:val="single" w:color="auto" w:sz="12" w:space="0"/>
              <w:left w:val="single" w:color="auto" w:sz="6" w:space="0"/>
              <w:bottom w:val="single" w:color="auto" w:sz="4" w:space="0"/>
              <w:right w:val="single" w:color="auto" w:sz="6" w:space="0"/>
            </w:tcBorders>
            <w:noWrap w:val="0"/>
            <w:vAlign w:val="center"/>
          </w:tcPr>
          <w:p w14:paraId="17CE8CDF">
            <w:pPr>
              <w:widowControl/>
              <w:jc w:val="left"/>
              <w:rPr>
                <w:rFonts w:ascii="宋体" w:hAnsi="宋体"/>
                <w:b/>
                <w:color w:val="FF0000"/>
                <w:sz w:val="18"/>
                <w:szCs w:val="18"/>
              </w:rPr>
            </w:pPr>
          </w:p>
        </w:tc>
        <w:tc>
          <w:tcPr>
            <w:tcW w:w="1182" w:type="dxa"/>
            <w:vMerge w:val="continue"/>
            <w:tcBorders>
              <w:top w:val="single" w:color="auto" w:sz="12" w:space="0"/>
              <w:left w:val="single" w:color="auto" w:sz="6" w:space="0"/>
              <w:bottom w:val="single" w:color="auto" w:sz="4" w:space="0"/>
              <w:right w:val="single" w:color="auto" w:sz="12" w:space="0"/>
            </w:tcBorders>
            <w:noWrap w:val="0"/>
            <w:vAlign w:val="center"/>
          </w:tcPr>
          <w:p w14:paraId="69DC7919">
            <w:pPr>
              <w:widowControl/>
              <w:jc w:val="left"/>
              <w:rPr>
                <w:rFonts w:ascii="宋体" w:hAnsi="宋体"/>
                <w:b/>
                <w:color w:val="FF0000"/>
                <w:sz w:val="18"/>
                <w:szCs w:val="18"/>
              </w:rPr>
            </w:pPr>
          </w:p>
        </w:tc>
      </w:tr>
      <w:tr w14:paraId="5FEA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3" w:type="dxa"/>
            <w:vMerge w:val="restart"/>
            <w:tcBorders>
              <w:left w:val="single" w:color="auto" w:sz="12" w:space="0"/>
              <w:right w:val="single" w:color="auto" w:sz="4" w:space="0"/>
            </w:tcBorders>
            <w:noWrap w:val="0"/>
            <w:vAlign w:val="center"/>
          </w:tcPr>
          <w:p w14:paraId="2FD34CFF">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w:t>
            </w:r>
          </w:p>
        </w:tc>
        <w:tc>
          <w:tcPr>
            <w:tcW w:w="728" w:type="dxa"/>
            <w:vMerge w:val="restart"/>
            <w:tcBorders>
              <w:left w:val="single" w:color="auto" w:sz="4" w:space="0"/>
              <w:right w:val="single" w:color="auto" w:sz="4" w:space="0"/>
            </w:tcBorders>
            <w:noWrap w:val="0"/>
            <w:vAlign w:val="center"/>
          </w:tcPr>
          <w:p w14:paraId="5BED39DE">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DA001</w:t>
            </w:r>
          </w:p>
        </w:tc>
        <w:tc>
          <w:tcPr>
            <w:tcW w:w="1142" w:type="dxa"/>
            <w:vMerge w:val="restart"/>
            <w:tcBorders>
              <w:left w:val="single" w:color="auto" w:sz="4" w:space="0"/>
              <w:right w:val="single" w:color="auto" w:sz="4" w:space="0"/>
            </w:tcBorders>
            <w:noWrap w:val="0"/>
            <w:vAlign w:val="center"/>
          </w:tcPr>
          <w:p w14:paraId="5E98E95E">
            <w:pPr>
              <w:jc w:val="center"/>
              <w:rPr>
                <w:rFonts w:hint="eastAsia" w:cs="Times New Roman"/>
                <w:color w:val="auto"/>
                <w:sz w:val="21"/>
                <w:szCs w:val="21"/>
                <w:lang w:val="en-US" w:eastAsia="zh-CN"/>
              </w:rPr>
            </w:pPr>
            <w:r>
              <w:rPr>
                <w:rFonts w:hint="eastAsia" w:cs="Times New Roman"/>
                <w:color w:val="auto"/>
                <w:sz w:val="21"/>
                <w:szCs w:val="21"/>
                <w:lang w:val="en-US" w:eastAsia="zh-CN"/>
              </w:rPr>
              <w:t>污水处理站恶臭废气排口</w:t>
            </w:r>
          </w:p>
        </w:tc>
        <w:tc>
          <w:tcPr>
            <w:tcW w:w="789" w:type="dxa"/>
            <w:tcBorders>
              <w:top w:val="single" w:color="auto" w:sz="4" w:space="0"/>
              <w:left w:val="single" w:color="auto" w:sz="4" w:space="0"/>
              <w:bottom w:val="single" w:color="auto" w:sz="4" w:space="0"/>
              <w:right w:val="single" w:color="auto" w:sz="4" w:space="0"/>
            </w:tcBorders>
            <w:noWrap w:val="0"/>
            <w:vAlign w:val="center"/>
          </w:tcPr>
          <w:p w14:paraId="0BED69EE">
            <w:pPr>
              <w:jc w:val="center"/>
              <w:rPr>
                <w:rFonts w:hint="eastAsia" w:cs="Times New Roman"/>
                <w:color w:val="auto"/>
                <w:sz w:val="21"/>
                <w:szCs w:val="21"/>
                <w:lang w:val="en-US" w:eastAsia="zh-CN"/>
              </w:rPr>
            </w:pPr>
            <w:r>
              <w:rPr>
                <w:rFonts w:hint="eastAsia" w:cs="Times New Roman"/>
                <w:color w:val="auto"/>
                <w:sz w:val="21"/>
                <w:szCs w:val="21"/>
                <w:lang w:val="en-US" w:eastAsia="zh-CN"/>
              </w:rPr>
              <w:t>臭气浓度</w:t>
            </w:r>
          </w:p>
        </w:tc>
        <w:tc>
          <w:tcPr>
            <w:tcW w:w="699" w:type="dxa"/>
            <w:vMerge w:val="restart"/>
            <w:tcBorders>
              <w:left w:val="single" w:color="auto" w:sz="4" w:space="0"/>
              <w:right w:val="single" w:color="auto" w:sz="6" w:space="0"/>
            </w:tcBorders>
            <w:noWrap w:val="0"/>
            <w:vAlign w:val="center"/>
          </w:tcPr>
          <w:p w14:paraId="394F5BF3">
            <w:pPr>
              <w:jc w:val="center"/>
              <w:rPr>
                <w:rFonts w:hint="default" w:ascii="Times New Roman" w:hAnsi="Times New Roman" w:eastAsia="宋体" w:cs="Times New Roman"/>
                <w:color w:val="auto"/>
                <w:kern w:val="0"/>
                <w:sz w:val="21"/>
                <w:szCs w:val="21"/>
                <w:lang w:val="en-US" w:eastAsia="zh-CN"/>
              </w:rPr>
            </w:pPr>
            <w:r>
              <w:rPr>
                <w:rFonts w:ascii="Times New Roman" w:hAnsi="Times New Roman" w:eastAsia="宋体"/>
                <w:sz w:val="21"/>
                <w:szCs w:val="21"/>
              </w:rPr>
              <w:t>11</w:t>
            </w:r>
            <w:r>
              <w:rPr>
                <w:rFonts w:hint="eastAsia"/>
                <w:sz w:val="21"/>
                <w:szCs w:val="21"/>
                <w:lang w:val="en-US" w:eastAsia="zh-CN"/>
              </w:rPr>
              <w:t>6.82418</w:t>
            </w:r>
          </w:p>
        </w:tc>
        <w:tc>
          <w:tcPr>
            <w:tcW w:w="867" w:type="dxa"/>
            <w:vMerge w:val="restart"/>
            <w:tcBorders>
              <w:left w:val="single" w:color="auto" w:sz="6" w:space="0"/>
              <w:right w:val="single" w:color="auto" w:sz="4" w:space="0"/>
            </w:tcBorders>
            <w:noWrap w:val="0"/>
            <w:vAlign w:val="center"/>
          </w:tcPr>
          <w:p w14:paraId="4DA13190">
            <w:pPr>
              <w:jc w:val="center"/>
              <w:rPr>
                <w:rFonts w:hint="default" w:ascii="Times New Roman" w:hAnsi="Times New Roman" w:eastAsia="宋体" w:cs="Times New Roman"/>
                <w:color w:val="auto"/>
                <w:kern w:val="0"/>
                <w:sz w:val="21"/>
                <w:szCs w:val="21"/>
                <w:lang w:val="en-US" w:eastAsia="zh-CN"/>
              </w:rPr>
            </w:pPr>
            <w:r>
              <w:rPr>
                <w:rFonts w:ascii="Times New Roman" w:hAnsi="Times New Roman" w:eastAsia="宋体"/>
                <w:sz w:val="21"/>
                <w:szCs w:val="21"/>
              </w:rPr>
              <w:t>3</w:t>
            </w:r>
            <w:r>
              <w:rPr>
                <w:rFonts w:hint="eastAsia" w:ascii="Times New Roman" w:hAnsi="Times New Roman" w:eastAsia="宋体"/>
                <w:sz w:val="21"/>
                <w:szCs w:val="21"/>
                <w:lang w:val="en-US" w:eastAsia="zh-CN"/>
              </w:rPr>
              <w:t>3</w:t>
            </w:r>
            <w:r>
              <w:rPr>
                <w:rFonts w:hint="eastAsia" w:ascii="Times New Roman" w:hAnsi="Times New Roman" w:eastAsia="宋体"/>
                <w:sz w:val="21"/>
                <w:szCs w:val="21"/>
              </w:rPr>
              <w:t>.</w:t>
            </w:r>
            <w:r>
              <w:rPr>
                <w:rFonts w:hint="eastAsia"/>
                <w:sz w:val="21"/>
                <w:szCs w:val="21"/>
                <w:lang w:val="en-US" w:eastAsia="zh-CN"/>
              </w:rPr>
              <w:t>77133</w:t>
            </w:r>
          </w:p>
        </w:tc>
        <w:tc>
          <w:tcPr>
            <w:tcW w:w="521" w:type="dxa"/>
            <w:vMerge w:val="restart"/>
            <w:tcBorders>
              <w:left w:val="single" w:color="auto" w:sz="4" w:space="0"/>
              <w:right w:val="single" w:color="auto" w:sz="4" w:space="0"/>
            </w:tcBorders>
            <w:noWrap w:val="0"/>
            <w:vAlign w:val="center"/>
          </w:tcPr>
          <w:p w14:paraId="546A72F1">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15</w:t>
            </w:r>
          </w:p>
        </w:tc>
        <w:tc>
          <w:tcPr>
            <w:tcW w:w="858" w:type="dxa"/>
            <w:vMerge w:val="restart"/>
            <w:tcBorders>
              <w:left w:val="single" w:color="auto" w:sz="4" w:space="0"/>
              <w:right w:val="single" w:color="auto" w:sz="4" w:space="0"/>
            </w:tcBorders>
            <w:noWrap w:val="0"/>
            <w:vAlign w:val="center"/>
          </w:tcPr>
          <w:p w14:paraId="0CA572D3">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0.4</w:t>
            </w:r>
          </w:p>
        </w:tc>
        <w:tc>
          <w:tcPr>
            <w:tcW w:w="696" w:type="dxa"/>
            <w:vMerge w:val="restart"/>
            <w:tcBorders>
              <w:left w:val="single" w:color="auto" w:sz="4" w:space="0"/>
              <w:right w:val="single" w:color="auto" w:sz="4" w:space="0"/>
            </w:tcBorders>
            <w:noWrap w:val="0"/>
            <w:vAlign w:val="center"/>
          </w:tcPr>
          <w:p w14:paraId="0C01AC8A">
            <w:pPr>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常温</w:t>
            </w:r>
          </w:p>
        </w:tc>
        <w:tc>
          <w:tcPr>
            <w:tcW w:w="711" w:type="dxa"/>
            <w:vMerge w:val="restart"/>
            <w:tcBorders>
              <w:left w:val="single" w:color="auto" w:sz="4" w:space="0"/>
              <w:right w:val="single" w:color="auto" w:sz="6" w:space="0"/>
            </w:tcBorders>
            <w:noWrap w:val="0"/>
            <w:vAlign w:val="center"/>
          </w:tcPr>
          <w:p w14:paraId="423D1DA0">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4500</w:t>
            </w:r>
          </w:p>
        </w:tc>
        <w:tc>
          <w:tcPr>
            <w:tcW w:w="1490" w:type="dxa"/>
            <w:vMerge w:val="restart"/>
            <w:tcBorders>
              <w:left w:val="single" w:color="auto" w:sz="6" w:space="0"/>
              <w:right w:val="single" w:color="auto" w:sz="4" w:space="0"/>
            </w:tcBorders>
            <w:noWrap w:val="0"/>
            <w:vAlign w:val="center"/>
          </w:tcPr>
          <w:p w14:paraId="1B93EB20">
            <w:pPr>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000000"/>
                <w:sz w:val="21"/>
                <w:szCs w:val="21"/>
              </w:rPr>
              <w:t>《恶臭污染物排放标准》（GB14554-93）</w:t>
            </w:r>
          </w:p>
        </w:tc>
        <w:tc>
          <w:tcPr>
            <w:tcW w:w="988" w:type="dxa"/>
            <w:tcBorders>
              <w:top w:val="single" w:color="auto" w:sz="4" w:space="0"/>
              <w:left w:val="single" w:color="auto" w:sz="6" w:space="0"/>
              <w:bottom w:val="single" w:color="auto" w:sz="4" w:space="0"/>
              <w:right w:val="single" w:color="auto" w:sz="4" w:space="0"/>
            </w:tcBorders>
            <w:noWrap w:val="0"/>
            <w:vAlign w:val="center"/>
          </w:tcPr>
          <w:p w14:paraId="76A0AAD8">
            <w:pPr>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761" w:type="dxa"/>
            <w:tcBorders>
              <w:top w:val="single" w:color="auto" w:sz="4" w:space="0"/>
              <w:left w:val="single" w:color="auto" w:sz="6" w:space="0"/>
              <w:bottom w:val="single" w:color="auto" w:sz="4" w:space="0"/>
              <w:right w:val="single" w:color="auto" w:sz="4" w:space="0"/>
            </w:tcBorders>
            <w:noWrap w:val="0"/>
            <w:vAlign w:val="center"/>
          </w:tcPr>
          <w:p w14:paraId="50590956">
            <w:pPr>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14:paraId="2CC131FA">
            <w:pPr>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699" w:type="dxa"/>
            <w:tcBorders>
              <w:top w:val="single" w:color="auto" w:sz="4" w:space="0"/>
              <w:left w:val="single" w:color="auto" w:sz="4" w:space="0"/>
              <w:bottom w:val="single" w:color="auto" w:sz="4" w:space="0"/>
              <w:right w:val="single" w:color="auto" w:sz="6" w:space="0"/>
            </w:tcBorders>
            <w:noWrap w:val="0"/>
            <w:vAlign w:val="center"/>
          </w:tcPr>
          <w:p w14:paraId="41A2DE1C">
            <w:pPr>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877" w:type="dxa"/>
            <w:tcBorders>
              <w:top w:val="single" w:color="auto" w:sz="4" w:space="0"/>
              <w:left w:val="single" w:color="auto" w:sz="6" w:space="0"/>
              <w:bottom w:val="single" w:color="auto" w:sz="4" w:space="0"/>
              <w:right w:val="single" w:color="auto" w:sz="6" w:space="0"/>
            </w:tcBorders>
            <w:noWrap w:val="0"/>
            <w:vAlign w:val="center"/>
          </w:tcPr>
          <w:p w14:paraId="78ACE37C">
            <w:pPr>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1182" w:type="dxa"/>
            <w:tcBorders>
              <w:top w:val="single" w:color="auto" w:sz="4" w:space="0"/>
              <w:left w:val="single" w:color="auto" w:sz="6" w:space="0"/>
              <w:bottom w:val="single" w:color="auto" w:sz="4" w:space="0"/>
              <w:right w:val="single" w:color="auto" w:sz="12" w:space="0"/>
            </w:tcBorders>
            <w:noWrap w:val="0"/>
            <w:vAlign w:val="center"/>
          </w:tcPr>
          <w:p w14:paraId="24832D25">
            <w:pPr>
              <w:jc w:val="center"/>
              <w:rPr>
                <w:rFonts w:hint="eastAsia" w:cs="Times New Roman"/>
                <w:color w:val="auto"/>
                <w:sz w:val="21"/>
                <w:szCs w:val="21"/>
                <w:lang w:val="en-US" w:eastAsia="zh-CN"/>
              </w:rPr>
            </w:pPr>
            <w:r>
              <w:rPr>
                <w:rFonts w:hint="eastAsia" w:cs="Times New Roman"/>
                <w:color w:val="auto"/>
                <w:sz w:val="21"/>
                <w:szCs w:val="21"/>
                <w:lang w:val="en-US" w:eastAsia="zh-CN"/>
              </w:rPr>
              <w:t>标准2000（无量纲）</w:t>
            </w:r>
          </w:p>
        </w:tc>
      </w:tr>
      <w:tr w14:paraId="1232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3" w:type="dxa"/>
            <w:vMerge w:val="continue"/>
            <w:tcBorders>
              <w:left w:val="single" w:color="auto" w:sz="12" w:space="0"/>
              <w:right w:val="single" w:color="auto" w:sz="4" w:space="0"/>
            </w:tcBorders>
            <w:noWrap w:val="0"/>
            <w:vAlign w:val="center"/>
          </w:tcPr>
          <w:p w14:paraId="63ADD720">
            <w:pPr>
              <w:jc w:val="center"/>
              <w:rPr>
                <w:rFonts w:hint="default" w:ascii="Times New Roman" w:hAnsi="Times New Roman" w:eastAsia="宋体" w:cs="Times New Roman"/>
                <w:color w:val="auto"/>
                <w:sz w:val="21"/>
                <w:szCs w:val="21"/>
                <w:lang w:val="en-US" w:eastAsia="zh-CN"/>
              </w:rPr>
            </w:pPr>
          </w:p>
        </w:tc>
        <w:tc>
          <w:tcPr>
            <w:tcW w:w="728" w:type="dxa"/>
            <w:vMerge w:val="continue"/>
            <w:tcBorders>
              <w:left w:val="single" w:color="auto" w:sz="4" w:space="0"/>
              <w:right w:val="single" w:color="auto" w:sz="4" w:space="0"/>
            </w:tcBorders>
            <w:noWrap w:val="0"/>
            <w:vAlign w:val="center"/>
          </w:tcPr>
          <w:p w14:paraId="085060D7">
            <w:pPr>
              <w:jc w:val="center"/>
              <w:rPr>
                <w:rFonts w:hint="default" w:ascii="Times New Roman" w:hAnsi="Times New Roman" w:eastAsia="宋体" w:cs="Times New Roman"/>
                <w:color w:val="auto"/>
                <w:sz w:val="21"/>
                <w:szCs w:val="21"/>
                <w:lang w:val="en-US" w:eastAsia="zh-CN"/>
              </w:rPr>
            </w:pPr>
          </w:p>
        </w:tc>
        <w:tc>
          <w:tcPr>
            <w:tcW w:w="1142" w:type="dxa"/>
            <w:vMerge w:val="continue"/>
            <w:tcBorders>
              <w:left w:val="single" w:color="auto" w:sz="4" w:space="0"/>
              <w:right w:val="single" w:color="auto" w:sz="4" w:space="0"/>
            </w:tcBorders>
            <w:noWrap w:val="0"/>
            <w:vAlign w:val="center"/>
          </w:tcPr>
          <w:p w14:paraId="2AF4A67D">
            <w:pPr>
              <w:jc w:val="center"/>
              <w:rPr>
                <w:rFonts w:hint="eastAsia" w:cs="Times New Roman"/>
                <w:color w:val="auto"/>
                <w:sz w:val="21"/>
                <w:szCs w:val="21"/>
                <w:lang w:val="en-US" w:eastAsia="zh-CN"/>
              </w:rPr>
            </w:pPr>
          </w:p>
        </w:tc>
        <w:tc>
          <w:tcPr>
            <w:tcW w:w="789" w:type="dxa"/>
            <w:tcBorders>
              <w:top w:val="single" w:color="auto" w:sz="4" w:space="0"/>
              <w:left w:val="single" w:color="auto" w:sz="4" w:space="0"/>
              <w:bottom w:val="single" w:color="auto" w:sz="4" w:space="0"/>
              <w:right w:val="single" w:color="auto" w:sz="4" w:space="0"/>
            </w:tcBorders>
            <w:noWrap w:val="0"/>
            <w:vAlign w:val="center"/>
          </w:tcPr>
          <w:p w14:paraId="1C191FF4">
            <w:pPr>
              <w:jc w:val="center"/>
              <w:rPr>
                <w:rFonts w:hint="eastAsia" w:cs="Times New Roman"/>
                <w:color w:val="auto"/>
                <w:sz w:val="21"/>
                <w:szCs w:val="21"/>
                <w:lang w:val="en-US" w:eastAsia="zh-CN"/>
              </w:rPr>
            </w:pPr>
            <w:r>
              <w:rPr>
                <w:rFonts w:hint="eastAsia" w:cs="Times New Roman"/>
                <w:color w:val="auto"/>
                <w:sz w:val="21"/>
                <w:szCs w:val="21"/>
                <w:lang w:val="en-US" w:eastAsia="zh-CN"/>
              </w:rPr>
              <w:t>硫化氢</w:t>
            </w:r>
          </w:p>
        </w:tc>
        <w:tc>
          <w:tcPr>
            <w:tcW w:w="699" w:type="dxa"/>
            <w:vMerge w:val="continue"/>
            <w:tcBorders>
              <w:left w:val="single" w:color="auto" w:sz="4" w:space="0"/>
              <w:right w:val="single" w:color="auto" w:sz="6" w:space="0"/>
            </w:tcBorders>
            <w:noWrap w:val="0"/>
            <w:vAlign w:val="center"/>
          </w:tcPr>
          <w:p w14:paraId="0A86C8AF">
            <w:pPr>
              <w:jc w:val="center"/>
              <w:rPr>
                <w:rFonts w:hint="default" w:ascii="Times New Roman" w:hAnsi="Times New Roman" w:eastAsia="宋体" w:cs="Times New Roman"/>
                <w:color w:val="auto"/>
                <w:kern w:val="0"/>
                <w:sz w:val="21"/>
                <w:szCs w:val="21"/>
              </w:rPr>
            </w:pPr>
          </w:p>
        </w:tc>
        <w:tc>
          <w:tcPr>
            <w:tcW w:w="867" w:type="dxa"/>
            <w:vMerge w:val="continue"/>
            <w:tcBorders>
              <w:left w:val="single" w:color="auto" w:sz="6" w:space="0"/>
              <w:right w:val="single" w:color="auto" w:sz="4" w:space="0"/>
            </w:tcBorders>
            <w:noWrap w:val="0"/>
            <w:vAlign w:val="center"/>
          </w:tcPr>
          <w:p w14:paraId="26D66502">
            <w:pPr>
              <w:jc w:val="center"/>
              <w:rPr>
                <w:rFonts w:hint="default" w:ascii="Times New Roman" w:hAnsi="Times New Roman" w:eastAsia="宋体" w:cs="Times New Roman"/>
                <w:color w:val="auto"/>
                <w:kern w:val="0"/>
                <w:sz w:val="21"/>
                <w:szCs w:val="21"/>
              </w:rPr>
            </w:pPr>
          </w:p>
        </w:tc>
        <w:tc>
          <w:tcPr>
            <w:tcW w:w="521" w:type="dxa"/>
            <w:vMerge w:val="continue"/>
            <w:tcBorders>
              <w:left w:val="single" w:color="auto" w:sz="4" w:space="0"/>
              <w:right w:val="single" w:color="auto" w:sz="4" w:space="0"/>
            </w:tcBorders>
            <w:noWrap w:val="0"/>
            <w:vAlign w:val="center"/>
          </w:tcPr>
          <w:p w14:paraId="3C2ADA19">
            <w:pPr>
              <w:jc w:val="center"/>
              <w:rPr>
                <w:rFonts w:hint="eastAsia" w:ascii="Times New Roman" w:hAnsi="Times New Roman" w:eastAsia="宋体" w:cs="Times New Roman"/>
                <w:color w:val="auto"/>
                <w:sz w:val="21"/>
                <w:szCs w:val="21"/>
                <w:lang w:val="en-US" w:eastAsia="zh-CN"/>
              </w:rPr>
            </w:pPr>
          </w:p>
        </w:tc>
        <w:tc>
          <w:tcPr>
            <w:tcW w:w="858" w:type="dxa"/>
            <w:vMerge w:val="continue"/>
            <w:tcBorders>
              <w:left w:val="single" w:color="auto" w:sz="4" w:space="0"/>
              <w:right w:val="single" w:color="auto" w:sz="4" w:space="0"/>
            </w:tcBorders>
            <w:noWrap w:val="0"/>
            <w:vAlign w:val="center"/>
          </w:tcPr>
          <w:p w14:paraId="6D7FC2BB">
            <w:pPr>
              <w:jc w:val="center"/>
              <w:rPr>
                <w:rFonts w:hint="eastAsia" w:ascii="Times New Roman" w:hAnsi="Times New Roman" w:eastAsia="宋体" w:cs="Times New Roman"/>
                <w:color w:val="auto"/>
                <w:sz w:val="21"/>
                <w:szCs w:val="21"/>
                <w:lang w:val="en-US" w:eastAsia="zh-CN"/>
              </w:rPr>
            </w:pPr>
          </w:p>
        </w:tc>
        <w:tc>
          <w:tcPr>
            <w:tcW w:w="696" w:type="dxa"/>
            <w:vMerge w:val="continue"/>
            <w:tcBorders>
              <w:left w:val="single" w:color="auto" w:sz="4" w:space="0"/>
              <w:right w:val="single" w:color="auto" w:sz="4" w:space="0"/>
            </w:tcBorders>
            <w:noWrap w:val="0"/>
            <w:vAlign w:val="center"/>
          </w:tcPr>
          <w:p w14:paraId="485A1187">
            <w:pPr>
              <w:jc w:val="center"/>
              <w:rPr>
                <w:rFonts w:hint="eastAsia" w:ascii="Times New Roman" w:hAnsi="Times New Roman" w:eastAsia="宋体" w:cs="Times New Roman"/>
                <w:color w:val="auto"/>
                <w:sz w:val="21"/>
                <w:szCs w:val="21"/>
                <w:lang w:val="en-US" w:eastAsia="zh-CN"/>
              </w:rPr>
            </w:pPr>
          </w:p>
        </w:tc>
        <w:tc>
          <w:tcPr>
            <w:tcW w:w="711" w:type="dxa"/>
            <w:vMerge w:val="continue"/>
            <w:tcBorders>
              <w:left w:val="single" w:color="auto" w:sz="4" w:space="0"/>
              <w:right w:val="single" w:color="auto" w:sz="6" w:space="0"/>
            </w:tcBorders>
            <w:noWrap w:val="0"/>
            <w:vAlign w:val="center"/>
          </w:tcPr>
          <w:p w14:paraId="7928A00B">
            <w:pPr>
              <w:jc w:val="center"/>
              <w:rPr>
                <w:rFonts w:hint="eastAsia" w:ascii="Times New Roman" w:hAnsi="Times New Roman" w:eastAsia="宋体" w:cs="Times New Roman"/>
                <w:color w:val="auto"/>
                <w:sz w:val="21"/>
                <w:szCs w:val="21"/>
                <w:lang w:val="en-US" w:eastAsia="zh-CN"/>
              </w:rPr>
            </w:pPr>
          </w:p>
        </w:tc>
        <w:tc>
          <w:tcPr>
            <w:tcW w:w="1490" w:type="dxa"/>
            <w:vMerge w:val="continue"/>
            <w:tcBorders>
              <w:left w:val="single" w:color="auto" w:sz="6" w:space="0"/>
              <w:right w:val="single" w:color="auto" w:sz="4" w:space="0"/>
            </w:tcBorders>
            <w:noWrap w:val="0"/>
            <w:vAlign w:val="center"/>
          </w:tcPr>
          <w:p w14:paraId="5331F3DD">
            <w:pPr>
              <w:jc w:val="center"/>
              <w:rPr>
                <w:rFonts w:hint="eastAsia" w:ascii="Times New Roman" w:hAnsi="Times New Roman" w:eastAsia="宋体" w:cs="Times New Roman"/>
                <w:color w:val="auto"/>
                <w:sz w:val="21"/>
                <w:szCs w:val="21"/>
                <w:lang w:val="en-US" w:eastAsia="zh-CN"/>
              </w:rPr>
            </w:pPr>
          </w:p>
        </w:tc>
        <w:tc>
          <w:tcPr>
            <w:tcW w:w="988" w:type="dxa"/>
            <w:tcBorders>
              <w:top w:val="single" w:color="auto" w:sz="4" w:space="0"/>
              <w:left w:val="single" w:color="auto" w:sz="6" w:space="0"/>
              <w:bottom w:val="single" w:color="auto" w:sz="4" w:space="0"/>
              <w:right w:val="single" w:color="auto" w:sz="4" w:space="0"/>
            </w:tcBorders>
            <w:noWrap w:val="0"/>
            <w:vAlign w:val="center"/>
          </w:tcPr>
          <w:p w14:paraId="52BBD2D7">
            <w:pPr>
              <w:jc w:val="center"/>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761" w:type="dxa"/>
            <w:tcBorders>
              <w:top w:val="single" w:color="auto" w:sz="4" w:space="0"/>
              <w:left w:val="single" w:color="auto" w:sz="6" w:space="0"/>
              <w:bottom w:val="single" w:color="auto" w:sz="4" w:space="0"/>
              <w:right w:val="single" w:color="auto" w:sz="4" w:space="0"/>
            </w:tcBorders>
            <w:noWrap w:val="0"/>
            <w:vAlign w:val="center"/>
          </w:tcPr>
          <w:p w14:paraId="2FCD1A4B">
            <w:pPr>
              <w:jc w:val="center"/>
              <w:rPr>
                <w:rFonts w:hint="default" w:cs="Times New Roman"/>
                <w:color w:val="auto"/>
                <w:sz w:val="21"/>
                <w:szCs w:val="21"/>
                <w:lang w:val="en-US" w:eastAsia="zh-CN"/>
              </w:rPr>
            </w:pPr>
            <w:r>
              <w:rPr>
                <w:rFonts w:hint="eastAsia" w:cs="Times New Roman"/>
                <w:color w:val="auto"/>
                <w:sz w:val="21"/>
                <w:szCs w:val="21"/>
                <w:lang w:val="en-US" w:eastAsia="zh-CN"/>
              </w:rPr>
              <w:t>0.33</w:t>
            </w:r>
          </w:p>
        </w:tc>
        <w:tc>
          <w:tcPr>
            <w:tcW w:w="743" w:type="dxa"/>
            <w:tcBorders>
              <w:top w:val="single" w:color="auto" w:sz="4" w:space="0"/>
              <w:left w:val="single" w:color="auto" w:sz="4" w:space="0"/>
              <w:bottom w:val="single" w:color="auto" w:sz="4" w:space="0"/>
              <w:right w:val="single" w:color="auto" w:sz="4" w:space="0"/>
            </w:tcBorders>
            <w:noWrap w:val="0"/>
            <w:vAlign w:val="center"/>
          </w:tcPr>
          <w:p w14:paraId="4D4234D4">
            <w:pPr>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699" w:type="dxa"/>
            <w:tcBorders>
              <w:top w:val="single" w:color="auto" w:sz="4" w:space="0"/>
              <w:left w:val="single" w:color="auto" w:sz="4" w:space="0"/>
              <w:bottom w:val="single" w:color="auto" w:sz="4" w:space="0"/>
              <w:right w:val="single" w:color="auto" w:sz="6" w:space="0"/>
            </w:tcBorders>
            <w:noWrap w:val="0"/>
            <w:vAlign w:val="center"/>
          </w:tcPr>
          <w:p w14:paraId="083CDE12">
            <w:pPr>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877" w:type="dxa"/>
            <w:tcBorders>
              <w:top w:val="single" w:color="auto" w:sz="4" w:space="0"/>
              <w:left w:val="single" w:color="auto" w:sz="6" w:space="0"/>
              <w:bottom w:val="single" w:color="auto" w:sz="4" w:space="0"/>
              <w:right w:val="single" w:color="auto" w:sz="6" w:space="0"/>
            </w:tcBorders>
            <w:noWrap w:val="0"/>
            <w:vAlign w:val="center"/>
          </w:tcPr>
          <w:p w14:paraId="509BD050">
            <w:pPr>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1182" w:type="dxa"/>
            <w:tcBorders>
              <w:top w:val="single" w:color="auto" w:sz="4" w:space="0"/>
              <w:left w:val="single" w:color="auto" w:sz="6" w:space="0"/>
              <w:bottom w:val="single" w:color="auto" w:sz="4" w:space="0"/>
              <w:right w:val="single" w:color="auto" w:sz="12" w:space="0"/>
            </w:tcBorders>
            <w:noWrap w:val="0"/>
            <w:vAlign w:val="center"/>
          </w:tcPr>
          <w:p w14:paraId="46B0517C">
            <w:pPr>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r>
      <w:tr w14:paraId="2371A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3" w:type="dxa"/>
            <w:vMerge w:val="continue"/>
            <w:tcBorders>
              <w:left w:val="single" w:color="auto" w:sz="12" w:space="0"/>
              <w:right w:val="single" w:color="auto" w:sz="4" w:space="0"/>
            </w:tcBorders>
            <w:noWrap w:val="0"/>
            <w:vAlign w:val="center"/>
          </w:tcPr>
          <w:p w14:paraId="0C02E5CA">
            <w:pPr>
              <w:jc w:val="center"/>
              <w:rPr>
                <w:rFonts w:hint="default" w:ascii="Times New Roman" w:hAnsi="Times New Roman" w:eastAsia="宋体" w:cs="Times New Roman"/>
                <w:color w:val="auto"/>
                <w:sz w:val="21"/>
                <w:szCs w:val="21"/>
                <w:lang w:val="en-US" w:eastAsia="zh-CN"/>
              </w:rPr>
            </w:pPr>
          </w:p>
        </w:tc>
        <w:tc>
          <w:tcPr>
            <w:tcW w:w="728" w:type="dxa"/>
            <w:vMerge w:val="continue"/>
            <w:tcBorders>
              <w:left w:val="single" w:color="auto" w:sz="4" w:space="0"/>
              <w:right w:val="single" w:color="auto" w:sz="4" w:space="0"/>
            </w:tcBorders>
            <w:noWrap w:val="0"/>
            <w:vAlign w:val="center"/>
          </w:tcPr>
          <w:p w14:paraId="30611900">
            <w:pPr>
              <w:jc w:val="center"/>
              <w:rPr>
                <w:rFonts w:hint="default" w:ascii="Times New Roman" w:hAnsi="Times New Roman" w:eastAsia="宋体" w:cs="Times New Roman"/>
                <w:color w:val="auto"/>
                <w:sz w:val="21"/>
                <w:szCs w:val="21"/>
                <w:lang w:val="en-US" w:eastAsia="zh-CN"/>
              </w:rPr>
            </w:pPr>
          </w:p>
        </w:tc>
        <w:tc>
          <w:tcPr>
            <w:tcW w:w="1142" w:type="dxa"/>
            <w:vMerge w:val="continue"/>
            <w:tcBorders>
              <w:left w:val="single" w:color="auto" w:sz="4" w:space="0"/>
              <w:right w:val="single" w:color="auto" w:sz="4" w:space="0"/>
            </w:tcBorders>
            <w:noWrap w:val="0"/>
            <w:vAlign w:val="center"/>
          </w:tcPr>
          <w:p w14:paraId="7104FD68">
            <w:pPr>
              <w:jc w:val="center"/>
              <w:rPr>
                <w:rFonts w:hint="eastAsia" w:cs="Times New Roman"/>
                <w:color w:val="auto"/>
                <w:sz w:val="21"/>
                <w:szCs w:val="21"/>
                <w:lang w:val="en-US" w:eastAsia="zh-CN"/>
              </w:rPr>
            </w:pPr>
          </w:p>
        </w:tc>
        <w:tc>
          <w:tcPr>
            <w:tcW w:w="789" w:type="dxa"/>
            <w:tcBorders>
              <w:top w:val="single" w:color="auto" w:sz="4" w:space="0"/>
              <w:left w:val="single" w:color="auto" w:sz="4" w:space="0"/>
              <w:bottom w:val="single" w:color="auto" w:sz="4" w:space="0"/>
              <w:right w:val="single" w:color="auto" w:sz="4" w:space="0"/>
            </w:tcBorders>
            <w:noWrap w:val="0"/>
            <w:vAlign w:val="center"/>
          </w:tcPr>
          <w:p w14:paraId="2AB83396">
            <w:pPr>
              <w:jc w:val="center"/>
              <w:rPr>
                <w:rFonts w:hint="eastAsia" w:cs="Times New Roman"/>
                <w:color w:val="auto"/>
                <w:sz w:val="21"/>
                <w:szCs w:val="21"/>
                <w:lang w:val="en-US" w:eastAsia="zh-CN"/>
              </w:rPr>
            </w:pPr>
            <w:r>
              <w:rPr>
                <w:rFonts w:hint="eastAsia" w:cs="Times New Roman"/>
                <w:color w:val="auto"/>
                <w:sz w:val="21"/>
                <w:szCs w:val="21"/>
                <w:lang w:val="en-US" w:eastAsia="zh-CN"/>
              </w:rPr>
              <w:t>氨</w:t>
            </w:r>
          </w:p>
        </w:tc>
        <w:tc>
          <w:tcPr>
            <w:tcW w:w="699" w:type="dxa"/>
            <w:vMerge w:val="continue"/>
            <w:tcBorders>
              <w:left w:val="single" w:color="auto" w:sz="4" w:space="0"/>
              <w:right w:val="single" w:color="auto" w:sz="6" w:space="0"/>
            </w:tcBorders>
            <w:noWrap w:val="0"/>
            <w:vAlign w:val="center"/>
          </w:tcPr>
          <w:p w14:paraId="0E03A978">
            <w:pPr>
              <w:jc w:val="center"/>
              <w:rPr>
                <w:rFonts w:hint="default" w:ascii="Times New Roman" w:hAnsi="Times New Roman" w:eastAsia="宋体" w:cs="Times New Roman"/>
                <w:color w:val="auto"/>
                <w:kern w:val="0"/>
                <w:sz w:val="21"/>
                <w:szCs w:val="21"/>
              </w:rPr>
            </w:pPr>
          </w:p>
        </w:tc>
        <w:tc>
          <w:tcPr>
            <w:tcW w:w="867" w:type="dxa"/>
            <w:vMerge w:val="continue"/>
            <w:tcBorders>
              <w:left w:val="single" w:color="auto" w:sz="6" w:space="0"/>
              <w:right w:val="single" w:color="auto" w:sz="4" w:space="0"/>
            </w:tcBorders>
            <w:noWrap w:val="0"/>
            <w:vAlign w:val="center"/>
          </w:tcPr>
          <w:p w14:paraId="41903B34">
            <w:pPr>
              <w:jc w:val="center"/>
              <w:rPr>
                <w:rFonts w:hint="default" w:ascii="Times New Roman" w:hAnsi="Times New Roman" w:eastAsia="宋体" w:cs="Times New Roman"/>
                <w:color w:val="auto"/>
                <w:kern w:val="0"/>
                <w:sz w:val="21"/>
                <w:szCs w:val="21"/>
              </w:rPr>
            </w:pPr>
          </w:p>
        </w:tc>
        <w:tc>
          <w:tcPr>
            <w:tcW w:w="521" w:type="dxa"/>
            <w:vMerge w:val="continue"/>
            <w:tcBorders>
              <w:left w:val="single" w:color="auto" w:sz="4" w:space="0"/>
              <w:right w:val="single" w:color="auto" w:sz="4" w:space="0"/>
            </w:tcBorders>
            <w:noWrap w:val="0"/>
            <w:vAlign w:val="center"/>
          </w:tcPr>
          <w:p w14:paraId="69438AFA">
            <w:pPr>
              <w:jc w:val="center"/>
              <w:rPr>
                <w:rFonts w:hint="eastAsia" w:ascii="Times New Roman" w:hAnsi="Times New Roman" w:eastAsia="宋体" w:cs="Times New Roman"/>
                <w:color w:val="auto"/>
                <w:sz w:val="21"/>
                <w:szCs w:val="21"/>
                <w:lang w:val="en-US" w:eastAsia="zh-CN"/>
              </w:rPr>
            </w:pPr>
          </w:p>
        </w:tc>
        <w:tc>
          <w:tcPr>
            <w:tcW w:w="858" w:type="dxa"/>
            <w:vMerge w:val="continue"/>
            <w:tcBorders>
              <w:left w:val="single" w:color="auto" w:sz="4" w:space="0"/>
              <w:right w:val="single" w:color="auto" w:sz="4" w:space="0"/>
            </w:tcBorders>
            <w:noWrap w:val="0"/>
            <w:vAlign w:val="center"/>
          </w:tcPr>
          <w:p w14:paraId="075AA4E5">
            <w:pPr>
              <w:jc w:val="center"/>
              <w:rPr>
                <w:rFonts w:hint="eastAsia" w:ascii="Times New Roman" w:hAnsi="Times New Roman" w:eastAsia="宋体" w:cs="Times New Roman"/>
                <w:color w:val="auto"/>
                <w:sz w:val="21"/>
                <w:szCs w:val="21"/>
                <w:lang w:val="en-US" w:eastAsia="zh-CN"/>
              </w:rPr>
            </w:pPr>
          </w:p>
        </w:tc>
        <w:tc>
          <w:tcPr>
            <w:tcW w:w="696" w:type="dxa"/>
            <w:vMerge w:val="continue"/>
            <w:tcBorders>
              <w:left w:val="single" w:color="auto" w:sz="4" w:space="0"/>
              <w:right w:val="single" w:color="auto" w:sz="4" w:space="0"/>
            </w:tcBorders>
            <w:noWrap w:val="0"/>
            <w:vAlign w:val="center"/>
          </w:tcPr>
          <w:p w14:paraId="4201FA10">
            <w:pPr>
              <w:jc w:val="center"/>
              <w:rPr>
                <w:rFonts w:hint="eastAsia" w:ascii="Times New Roman" w:hAnsi="Times New Roman" w:eastAsia="宋体" w:cs="Times New Roman"/>
                <w:color w:val="auto"/>
                <w:sz w:val="21"/>
                <w:szCs w:val="21"/>
                <w:lang w:val="en-US" w:eastAsia="zh-CN"/>
              </w:rPr>
            </w:pPr>
          </w:p>
        </w:tc>
        <w:tc>
          <w:tcPr>
            <w:tcW w:w="711" w:type="dxa"/>
            <w:vMerge w:val="continue"/>
            <w:tcBorders>
              <w:left w:val="single" w:color="auto" w:sz="4" w:space="0"/>
              <w:right w:val="single" w:color="auto" w:sz="6" w:space="0"/>
            </w:tcBorders>
            <w:noWrap w:val="0"/>
            <w:vAlign w:val="center"/>
          </w:tcPr>
          <w:p w14:paraId="4654FE10">
            <w:pPr>
              <w:jc w:val="center"/>
              <w:rPr>
                <w:rFonts w:hint="eastAsia" w:ascii="Times New Roman" w:hAnsi="Times New Roman" w:eastAsia="宋体" w:cs="Times New Roman"/>
                <w:color w:val="auto"/>
                <w:sz w:val="21"/>
                <w:szCs w:val="21"/>
                <w:lang w:val="en-US" w:eastAsia="zh-CN"/>
              </w:rPr>
            </w:pPr>
          </w:p>
        </w:tc>
        <w:tc>
          <w:tcPr>
            <w:tcW w:w="1490" w:type="dxa"/>
            <w:vMerge w:val="continue"/>
            <w:tcBorders>
              <w:left w:val="single" w:color="auto" w:sz="6" w:space="0"/>
              <w:right w:val="single" w:color="auto" w:sz="4" w:space="0"/>
            </w:tcBorders>
            <w:noWrap w:val="0"/>
            <w:vAlign w:val="center"/>
          </w:tcPr>
          <w:p w14:paraId="39FAB430">
            <w:pPr>
              <w:jc w:val="center"/>
              <w:rPr>
                <w:rFonts w:hint="eastAsia" w:ascii="Times New Roman" w:hAnsi="Times New Roman" w:eastAsia="宋体" w:cs="Times New Roman"/>
                <w:color w:val="auto"/>
                <w:sz w:val="21"/>
                <w:szCs w:val="21"/>
                <w:lang w:val="en-US" w:eastAsia="zh-CN"/>
              </w:rPr>
            </w:pPr>
          </w:p>
        </w:tc>
        <w:tc>
          <w:tcPr>
            <w:tcW w:w="988" w:type="dxa"/>
            <w:tcBorders>
              <w:top w:val="single" w:color="auto" w:sz="4" w:space="0"/>
              <w:left w:val="single" w:color="auto" w:sz="6" w:space="0"/>
              <w:bottom w:val="single" w:color="auto" w:sz="4" w:space="0"/>
              <w:right w:val="single" w:color="auto" w:sz="4" w:space="0"/>
            </w:tcBorders>
            <w:noWrap w:val="0"/>
            <w:vAlign w:val="center"/>
          </w:tcPr>
          <w:p w14:paraId="67018F39">
            <w:pPr>
              <w:jc w:val="center"/>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761" w:type="dxa"/>
            <w:tcBorders>
              <w:top w:val="single" w:color="auto" w:sz="4" w:space="0"/>
              <w:left w:val="single" w:color="auto" w:sz="6" w:space="0"/>
              <w:bottom w:val="single" w:color="auto" w:sz="4" w:space="0"/>
              <w:right w:val="single" w:color="auto" w:sz="4" w:space="0"/>
            </w:tcBorders>
            <w:noWrap w:val="0"/>
            <w:vAlign w:val="center"/>
          </w:tcPr>
          <w:p w14:paraId="2ED35314">
            <w:pPr>
              <w:jc w:val="center"/>
              <w:rPr>
                <w:rFonts w:hint="default" w:cs="Times New Roman"/>
                <w:color w:val="auto"/>
                <w:sz w:val="21"/>
                <w:szCs w:val="21"/>
                <w:lang w:val="en-US" w:eastAsia="zh-CN"/>
              </w:rPr>
            </w:pPr>
            <w:r>
              <w:rPr>
                <w:rFonts w:hint="eastAsia" w:cs="Times New Roman"/>
                <w:color w:val="auto"/>
                <w:sz w:val="21"/>
                <w:szCs w:val="21"/>
                <w:lang w:val="en-US" w:eastAsia="zh-CN"/>
              </w:rPr>
              <w:t>4.9</w:t>
            </w:r>
          </w:p>
        </w:tc>
        <w:tc>
          <w:tcPr>
            <w:tcW w:w="743" w:type="dxa"/>
            <w:tcBorders>
              <w:top w:val="single" w:color="auto" w:sz="4" w:space="0"/>
              <w:left w:val="single" w:color="auto" w:sz="4" w:space="0"/>
              <w:bottom w:val="single" w:color="auto" w:sz="4" w:space="0"/>
              <w:right w:val="single" w:color="auto" w:sz="4" w:space="0"/>
            </w:tcBorders>
            <w:noWrap w:val="0"/>
            <w:vAlign w:val="center"/>
          </w:tcPr>
          <w:p w14:paraId="0BE30A1B">
            <w:pPr>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699" w:type="dxa"/>
            <w:tcBorders>
              <w:top w:val="single" w:color="auto" w:sz="4" w:space="0"/>
              <w:left w:val="single" w:color="auto" w:sz="4" w:space="0"/>
              <w:bottom w:val="single" w:color="auto" w:sz="4" w:space="0"/>
              <w:right w:val="single" w:color="auto" w:sz="6" w:space="0"/>
            </w:tcBorders>
            <w:noWrap w:val="0"/>
            <w:vAlign w:val="center"/>
          </w:tcPr>
          <w:p w14:paraId="0A1F3752">
            <w:pPr>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877" w:type="dxa"/>
            <w:tcBorders>
              <w:top w:val="single" w:color="auto" w:sz="4" w:space="0"/>
              <w:left w:val="single" w:color="auto" w:sz="6" w:space="0"/>
              <w:bottom w:val="single" w:color="auto" w:sz="4" w:space="0"/>
              <w:right w:val="single" w:color="auto" w:sz="6" w:space="0"/>
            </w:tcBorders>
            <w:noWrap w:val="0"/>
            <w:vAlign w:val="center"/>
          </w:tcPr>
          <w:p w14:paraId="3120B2E4">
            <w:pPr>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1182" w:type="dxa"/>
            <w:tcBorders>
              <w:top w:val="single" w:color="auto" w:sz="4" w:space="0"/>
              <w:left w:val="single" w:color="auto" w:sz="6" w:space="0"/>
              <w:bottom w:val="single" w:color="auto" w:sz="4" w:space="0"/>
              <w:right w:val="single" w:color="auto" w:sz="12" w:space="0"/>
            </w:tcBorders>
            <w:noWrap w:val="0"/>
            <w:vAlign w:val="center"/>
          </w:tcPr>
          <w:p w14:paraId="47B584AB">
            <w:pPr>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r>
    </w:tbl>
    <w:p w14:paraId="5179E381">
      <w:pPr>
        <w:pStyle w:val="23"/>
        <w:widowControl/>
        <w:shd w:val="clear" w:color="auto" w:fill="FFFFFF"/>
        <w:spacing w:before="0" w:beforeAutospacing="0" w:after="0" w:afterAutospacing="0"/>
        <w:jc w:val="center"/>
        <w:rPr>
          <w:rFonts w:hint="eastAsia" w:ascii="Times New Roman" w:hAnsi="Times New Roman" w:eastAsia="宋体" w:cs="Times New Roman"/>
          <w:b/>
          <w:color w:val="auto"/>
          <w:kern w:val="2"/>
          <w:sz w:val="30"/>
          <w:szCs w:val="30"/>
          <w:lang w:val="en-US" w:eastAsia="zh-CN" w:bidi="ar-SA"/>
        </w:rPr>
      </w:pPr>
    </w:p>
    <w:p w14:paraId="06C78C95">
      <w:pPr>
        <w:pStyle w:val="23"/>
        <w:widowControl/>
        <w:shd w:val="clear" w:color="auto" w:fill="FFFFFF"/>
        <w:spacing w:before="0" w:beforeAutospacing="0" w:after="0" w:afterAutospacing="0"/>
        <w:jc w:val="center"/>
        <w:rPr>
          <w:rFonts w:ascii="宋体" w:hAnsi="宋体" w:eastAsia="仿宋_GB2312" w:cs="宋体"/>
          <w:b/>
          <w:color w:val="FF0000"/>
          <w:kern w:val="2"/>
          <w:sz w:val="30"/>
          <w:szCs w:val="21"/>
        </w:rPr>
      </w:pPr>
      <w:r>
        <w:rPr>
          <w:rFonts w:hint="eastAsia" w:ascii="Times New Roman" w:hAnsi="Times New Roman" w:eastAsia="宋体" w:cs="Times New Roman"/>
          <w:b/>
          <w:color w:val="auto"/>
          <w:kern w:val="2"/>
          <w:sz w:val="30"/>
          <w:szCs w:val="30"/>
          <w:lang w:val="en-US" w:eastAsia="zh-CN" w:bidi="ar-SA"/>
        </w:rPr>
        <w:t>表6  建设项目大气污染物无组织排放表</w:t>
      </w:r>
    </w:p>
    <w:tbl>
      <w:tblPr>
        <w:tblStyle w:val="2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47"/>
        <w:gridCol w:w="1231"/>
        <w:gridCol w:w="1128"/>
        <w:gridCol w:w="1507"/>
        <w:gridCol w:w="1410"/>
        <w:gridCol w:w="3839"/>
        <w:gridCol w:w="1943"/>
        <w:gridCol w:w="1387"/>
        <w:gridCol w:w="1382"/>
      </w:tblGrid>
      <w:tr w14:paraId="32A23A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7" w:type="dxa"/>
            <w:vMerge w:val="restart"/>
            <w:tcBorders>
              <w:top w:val="single" w:color="auto" w:sz="12" w:space="0"/>
              <w:left w:val="single" w:color="auto" w:sz="12" w:space="0"/>
              <w:bottom w:val="single" w:color="auto" w:sz="4" w:space="0"/>
              <w:right w:val="single" w:color="auto" w:sz="4" w:space="0"/>
            </w:tcBorders>
            <w:noWrap w:val="0"/>
            <w:vAlign w:val="center"/>
          </w:tcPr>
          <w:p w14:paraId="26DA737F">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序</w:t>
            </w:r>
          </w:p>
          <w:p w14:paraId="2EC07BEE">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号</w:t>
            </w:r>
          </w:p>
        </w:tc>
        <w:tc>
          <w:tcPr>
            <w:tcW w:w="1231" w:type="dxa"/>
            <w:vMerge w:val="restart"/>
            <w:tcBorders>
              <w:top w:val="single" w:color="auto" w:sz="12" w:space="0"/>
              <w:left w:val="single" w:color="auto" w:sz="4" w:space="0"/>
              <w:bottom w:val="single" w:color="auto" w:sz="4" w:space="0"/>
              <w:right w:val="single" w:color="auto" w:sz="4" w:space="0"/>
            </w:tcBorders>
            <w:noWrap w:val="0"/>
            <w:vAlign w:val="center"/>
          </w:tcPr>
          <w:p w14:paraId="677B47D0">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生产设施编号/无组织排放编号</w:t>
            </w:r>
          </w:p>
        </w:tc>
        <w:tc>
          <w:tcPr>
            <w:tcW w:w="1128" w:type="dxa"/>
            <w:vMerge w:val="restart"/>
            <w:tcBorders>
              <w:top w:val="single" w:color="auto" w:sz="12" w:space="0"/>
              <w:left w:val="single" w:color="auto" w:sz="4" w:space="0"/>
              <w:bottom w:val="single" w:color="auto" w:sz="4" w:space="0"/>
              <w:right w:val="single" w:color="auto" w:sz="4" w:space="0"/>
            </w:tcBorders>
            <w:noWrap w:val="0"/>
            <w:vAlign w:val="center"/>
          </w:tcPr>
          <w:p w14:paraId="53FE52FD">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产污环节</w:t>
            </w:r>
          </w:p>
        </w:tc>
        <w:tc>
          <w:tcPr>
            <w:tcW w:w="1507" w:type="dxa"/>
            <w:vMerge w:val="restart"/>
            <w:tcBorders>
              <w:top w:val="single" w:color="auto" w:sz="12" w:space="0"/>
              <w:left w:val="single" w:color="auto" w:sz="4" w:space="0"/>
              <w:bottom w:val="single" w:color="auto" w:sz="4" w:space="0"/>
              <w:right w:val="single" w:color="auto" w:sz="4" w:space="0"/>
            </w:tcBorders>
            <w:noWrap w:val="0"/>
            <w:vAlign w:val="center"/>
          </w:tcPr>
          <w:p w14:paraId="46973989">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污染物种类</w:t>
            </w:r>
          </w:p>
        </w:tc>
        <w:tc>
          <w:tcPr>
            <w:tcW w:w="1410" w:type="dxa"/>
            <w:vMerge w:val="restart"/>
            <w:tcBorders>
              <w:top w:val="single" w:color="auto" w:sz="12" w:space="0"/>
              <w:left w:val="single" w:color="auto" w:sz="4" w:space="0"/>
              <w:bottom w:val="single" w:color="auto" w:sz="4" w:space="0"/>
              <w:right w:val="single" w:color="auto" w:sz="4" w:space="0"/>
            </w:tcBorders>
            <w:noWrap w:val="0"/>
            <w:vAlign w:val="center"/>
          </w:tcPr>
          <w:p w14:paraId="175AE54C">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主要污染防治措施</w:t>
            </w:r>
          </w:p>
        </w:tc>
        <w:tc>
          <w:tcPr>
            <w:tcW w:w="5782" w:type="dxa"/>
            <w:gridSpan w:val="2"/>
            <w:tcBorders>
              <w:top w:val="single" w:color="auto" w:sz="12" w:space="0"/>
              <w:left w:val="single" w:color="auto" w:sz="4" w:space="0"/>
              <w:bottom w:val="single" w:color="auto" w:sz="6" w:space="0"/>
              <w:right w:val="single" w:color="auto" w:sz="4" w:space="0"/>
            </w:tcBorders>
            <w:noWrap w:val="0"/>
            <w:vAlign w:val="center"/>
          </w:tcPr>
          <w:p w14:paraId="022A9ADB">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国家或地方污染物排放标准</w:t>
            </w:r>
          </w:p>
        </w:tc>
        <w:tc>
          <w:tcPr>
            <w:tcW w:w="1387" w:type="dxa"/>
            <w:vMerge w:val="restart"/>
            <w:tcBorders>
              <w:top w:val="single" w:color="auto" w:sz="12" w:space="0"/>
              <w:left w:val="single" w:color="auto" w:sz="4" w:space="0"/>
              <w:bottom w:val="single" w:color="auto" w:sz="4" w:space="0"/>
              <w:right w:val="single" w:color="auto" w:sz="4" w:space="0"/>
            </w:tcBorders>
            <w:noWrap w:val="0"/>
            <w:vAlign w:val="center"/>
          </w:tcPr>
          <w:p w14:paraId="0A5EFEA8">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其他</w:t>
            </w:r>
          </w:p>
          <w:p w14:paraId="272754EA">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信息</w:t>
            </w:r>
          </w:p>
        </w:tc>
        <w:tc>
          <w:tcPr>
            <w:tcW w:w="1382" w:type="dxa"/>
            <w:vMerge w:val="restart"/>
            <w:tcBorders>
              <w:top w:val="single" w:color="auto" w:sz="12" w:space="0"/>
              <w:left w:val="single" w:color="auto" w:sz="4" w:space="0"/>
              <w:bottom w:val="single" w:color="auto" w:sz="4" w:space="0"/>
              <w:right w:val="single" w:color="auto" w:sz="12" w:space="0"/>
            </w:tcBorders>
            <w:noWrap w:val="0"/>
            <w:vAlign w:val="center"/>
          </w:tcPr>
          <w:p w14:paraId="05B858CF">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备注</w:t>
            </w:r>
          </w:p>
        </w:tc>
      </w:tr>
      <w:tr w14:paraId="60F140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auto" w:sz="12" w:space="0"/>
              <w:left w:val="single" w:color="auto" w:sz="12" w:space="0"/>
              <w:bottom w:val="single" w:color="auto" w:sz="4" w:space="0"/>
              <w:right w:val="single" w:color="auto" w:sz="4" w:space="0"/>
            </w:tcBorders>
            <w:noWrap w:val="0"/>
            <w:vAlign w:val="center"/>
          </w:tcPr>
          <w:p w14:paraId="188C518C">
            <w:pPr>
              <w:widowControl/>
              <w:jc w:val="left"/>
              <w:rPr>
                <w:rFonts w:ascii="宋体" w:hAnsi="宋体"/>
                <w:b/>
                <w:color w:val="FF0000"/>
                <w:sz w:val="18"/>
                <w:szCs w:val="18"/>
              </w:rPr>
            </w:pPr>
          </w:p>
        </w:tc>
        <w:tc>
          <w:tcPr>
            <w:tcW w:w="0" w:type="auto"/>
            <w:vMerge w:val="continue"/>
            <w:tcBorders>
              <w:top w:val="single" w:color="auto" w:sz="12" w:space="0"/>
              <w:left w:val="single" w:color="auto" w:sz="4" w:space="0"/>
              <w:bottom w:val="single" w:color="auto" w:sz="4" w:space="0"/>
              <w:right w:val="single" w:color="auto" w:sz="4" w:space="0"/>
            </w:tcBorders>
            <w:noWrap w:val="0"/>
            <w:vAlign w:val="center"/>
          </w:tcPr>
          <w:p w14:paraId="4024E48B">
            <w:pPr>
              <w:widowControl/>
              <w:jc w:val="left"/>
              <w:rPr>
                <w:rFonts w:ascii="宋体" w:hAnsi="宋体"/>
                <w:b/>
                <w:color w:val="FF0000"/>
                <w:sz w:val="18"/>
                <w:szCs w:val="18"/>
              </w:rPr>
            </w:pPr>
          </w:p>
        </w:tc>
        <w:tc>
          <w:tcPr>
            <w:tcW w:w="1128" w:type="dxa"/>
            <w:vMerge w:val="continue"/>
            <w:tcBorders>
              <w:top w:val="single" w:color="auto" w:sz="12" w:space="0"/>
              <w:left w:val="single" w:color="auto" w:sz="4" w:space="0"/>
              <w:bottom w:val="single" w:color="auto" w:sz="4" w:space="0"/>
              <w:right w:val="single" w:color="auto" w:sz="4" w:space="0"/>
            </w:tcBorders>
            <w:noWrap w:val="0"/>
            <w:vAlign w:val="center"/>
          </w:tcPr>
          <w:p w14:paraId="7D0D82FB">
            <w:pPr>
              <w:widowControl/>
              <w:jc w:val="left"/>
              <w:rPr>
                <w:rFonts w:ascii="宋体" w:hAnsi="宋体"/>
                <w:b/>
                <w:color w:val="FF0000"/>
                <w:sz w:val="18"/>
                <w:szCs w:val="18"/>
              </w:rPr>
            </w:pPr>
          </w:p>
        </w:tc>
        <w:tc>
          <w:tcPr>
            <w:tcW w:w="1507" w:type="dxa"/>
            <w:vMerge w:val="continue"/>
            <w:tcBorders>
              <w:top w:val="single" w:color="auto" w:sz="12" w:space="0"/>
              <w:left w:val="single" w:color="auto" w:sz="4" w:space="0"/>
              <w:bottom w:val="single" w:color="auto" w:sz="4" w:space="0"/>
              <w:right w:val="single" w:color="auto" w:sz="4" w:space="0"/>
            </w:tcBorders>
            <w:noWrap w:val="0"/>
            <w:vAlign w:val="center"/>
          </w:tcPr>
          <w:p w14:paraId="59CD5582">
            <w:pPr>
              <w:widowControl/>
              <w:jc w:val="left"/>
              <w:rPr>
                <w:rFonts w:ascii="宋体" w:hAnsi="宋体"/>
                <w:b/>
                <w:color w:val="FF0000"/>
                <w:sz w:val="18"/>
                <w:szCs w:val="18"/>
              </w:rPr>
            </w:pPr>
          </w:p>
        </w:tc>
        <w:tc>
          <w:tcPr>
            <w:tcW w:w="0" w:type="auto"/>
            <w:vMerge w:val="continue"/>
            <w:tcBorders>
              <w:top w:val="single" w:color="auto" w:sz="12" w:space="0"/>
              <w:left w:val="single" w:color="auto" w:sz="4" w:space="0"/>
              <w:bottom w:val="single" w:color="auto" w:sz="4" w:space="0"/>
              <w:right w:val="single" w:color="auto" w:sz="4" w:space="0"/>
            </w:tcBorders>
            <w:noWrap w:val="0"/>
            <w:vAlign w:val="center"/>
          </w:tcPr>
          <w:p w14:paraId="3341A44E">
            <w:pPr>
              <w:widowControl/>
              <w:jc w:val="left"/>
              <w:rPr>
                <w:rFonts w:ascii="宋体" w:hAnsi="宋体"/>
                <w:b/>
                <w:color w:val="FF0000"/>
                <w:sz w:val="18"/>
                <w:szCs w:val="18"/>
              </w:rPr>
            </w:pPr>
          </w:p>
        </w:tc>
        <w:tc>
          <w:tcPr>
            <w:tcW w:w="3839" w:type="dxa"/>
            <w:tcBorders>
              <w:top w:val="single" w:color="auto" w:sz="6" w:space="0"/>
              <w:left w:val="single" w:color="auto" w:sz="4" w:space="0"/>
              <w:bottom w:val="single" w:color="auto" w:sz="4" w:space="0"/>
              <w:right w:val="single" w:color="auto" w:sz="4" w:space="0"/>
            </w:tcBorders>
            <w:noWrap w:val="0"/>
            <w:vAlign w:val="center"/>
          </w:tcPr>
          <w:p w14:paraId="66BDD4CA">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标准名称</w:t>
            </w:r>
          </w:p>
        </w:tc>
        <w:tc>
          <w:tcPr>
            <w:tcW w:w="1943" w:type="dxa"/>
            <w:tcBorders>
              <w:top w:val="single" w:color="auto" w:sz="6" w:space="0"/>
              <w:left w:val="single" w:color="auto" w:sz="4" w:space="0"/>
              <w:bottom w:val="single" w:color="auto" w:sz="4" w:space="0"/>
              <w:right w:val="single" w:color="auto" w:sz="4" w:space="0"/>
            </w:tcBorders>
            <w:noWrap w:val="0"/>
            <w:vAlign w:val="center"/>
          </w:tcPr>
          <w:p w14:paraId="2012AB1D">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浓度限值</w:t>
            </w:r>
          </w:p>
          <w:p w14:paraId="4C4181E3">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(mg/Nm</w:t>
            </w:r>
            <w:r>
              <w:rPr>
                <w:rFonts w:hint="eastAsia" w:ascii="Times New Roman" w:hAnsi="Times New Roman" w:eastAsia="宋体" w:cs="Times New Roman"/>
                <w:b/>
                <w:color w:val="000000"/>
                <w:sz w:val="21"/>
                <w:szCs w:val="21"/>
                <w:vertAlign w:val="superscript"/>
              </w:rPr>
              <w:t>3</w:t>
            </w:r>
            <w:r>
              <w:rPr>
                <w:rFonts w:hint="eastAsia" w:ascii="Times New Roman" w:hAnsi="Times New Roman" w:eastAsia="宋体" w:cs="Times New Roman"/>
                <w:b/>
                <w:color w:val="000000"/>
                <w:sz w:val="21"/>
                <w:szCs w:val="21"/>
              </w:rPr>
              <w:t>)</w:t>
            </w:r>
          </w:p>
        </w:tc>
        <w:tc>
          <w:tcPr>
            <w:tcW w:w="0" w:type="auto"/>
            <w:vMerge w:val="continue"/>
            <w:tcBorders>
              <w:top w:val="single" w:color="auto" w:sz="12" w:space="0"/>
              <w:left w:val="single" w:color="auto" w:sz="4" w:space="0"/>
              <w:bottom w:val="single" w:color="auto" w:sz="4" w:space="0"/>
              <w:right w:val="single" w:color="auto" w:sz="4" w:space="0"/>
            </w:tcBorders>
            <w:noWrap w:val="0"/>
            <w:vAlign w:val="center"/>
          </w:tcPr>
          <w:p w14:paraId="19FC0A0F">
            <w:pPr>
              <w:widowControl/>
              <w:jc w:val="left"/>
              <w:rPr>
                <w:rFonts w:ascii="宋体" w:hAnsi="宋体"/>
                <w:b/>
                <w:color w:val="FF0000"/>
                <w:sz w:val="18"/>
                <w:szCs w:val="18"/>
              </w:rPr>
            </w:pPr>
          </w:p>
        </w:tc>
        <w:tc>
          <w:tcPr>
            <w:tcW w:w="0" w:type="auto"/>
            <w:vMerge w:val="continue"/>
            <w:tcBorders>
              <w:top w:val="single" w:color="auto" w:sz="12" w:space="0"/>
              <w:left w:val="single" w:color="auto" w:sz="4" w:space="0"/>
              <w:bottom w:val="single" w:color="auto" w:sz="4" w:space="0"/>
              <w:right w:val="single" w:color="auto" w:sz="12" w:space="0"/>
            </w:tcBorders>
            <w:noWrap w:val="0"/>
            <w:vAlign w:val="center"/>
          </w:tcPr>
          <w:p w14:paraId="550A1332">
            <w:pPr>
              <w:widowControl/>
              <w:jc w:val="left"/>
              <w:rPr>
                <w:rFonts w:ascii="宋体" w:hAnsi="宋体"/>
                <w:b/>
                <w:color w:val="FF0000"/>
                <w:sz w:val="18"/>
                <w:szCs w:val="18"/>
              </w:rPr>
            </w:pPr>
          </w:p>
        </w:tc>
      </w:tr>
      <w:tr w14:paraId="0DBAE1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7" w:type="dxa"/>
            <w:vMerge w:val="restart"/>
            <w:tcBorders>
              <w:top w:val="single" w:color="auto" w:sz="4" w:space="0"/>
              <w:left w:val="single" w:color="auto" w:sz="12" w:space="0"/>
              <w:right w:val="single" w:color="auto" w:sz="4" w:space="0"/>
            </w:tcBorders>
            <w:noWrap w:val="0"/>
            <w:vAlign w:val="center"/>
          </w:tcPr>
          <w:p w14:paraId="343C6676">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1231" w:type="dxa"/>
            <w:vMerge w:val="restart"/>
            <w:tcBorders>
              <w:top w:val="single" w:color="auto" w:sz="4" w:space="0"/>
              <w:left w:val="single" w:color="auto" w:sz="4" w:space="0"/>
              <w:right w:val="single" w:color="auto" w:sz="4" w:space="0"/>
            </w:tcBorders>
            <w:noWrap w:val="0"/>
            <w:vAlign w:val="center"/>
          </w:tcPr>
          <w:p w14:paraId="7C3CA932">
            <w:pPr>
              <w:jc w:val="center"/>
              <w:rPr>
                <w:rFonts w:hint="eastAsia" w:ascii="Times New Roman" w:hAnsi="Times New Roman" w:eastAsia="宋体" w:cs="Times New Roman"/>
                <w:color w:val="auto"/>
                <w:sz w:val="21"/>
                <w:szCs w:val="21"/>
                <w:lang w:val="zh-CN" w:eastAsia="zh-CN"/>
              </w:rPr>
            </w:pPr>
            <w:r>
              <w:rPr>
                <w:rFonts w:hint="eastAsia" w:cs="Times New Roman"/>
                <w:color w:val="auto"/>
                <w:sz w:val="21"/>
                <w:szCs w:val="21"/>
                <w:lang w:val="zh-CN" w:eastAsia="zh-CN"/>
              </w:rPr>
              <w:t>厂界</w:t>
            </w:r>
          </w:p>
        </w:tc>
        <w:tc>
          <w:tcPr>
            <w:tcW w:w="1128" w:type="dxa"/>
            <w:vMerge w:val="restart"/>
            <w:tcBorders>
              <w:top w:val="single" w:color="auto" w:sz="4" w:space="0"/>
              <w:left w:val="single" w:color="auto" w:sz="4" w:space="0"/>
              <w:right w:val="single" w:color="auto" w:sz="4" w:space="0"/>
            </w:tcBorders>
            <w:noWrap w:val="0"/>
            <w:vAlign w:val="center"/>
          </w:tcPr>
          <w:p w14:paraId="530C3C56">
            <w:pPr>
              <w:jc w:val="center"/>
              <w:rPr>
                <w:rFonts w:hint="eastAsia" w:ascii="Times New Roman" w:hAnsi="Times New Roman" w:eastAsia="宋体" w:cs="Times New Roman"/>
                <w:color w:val="auto"/>
                <w:sz w:val="21"/>
                <w:szCs w:val="21"/>
                <w:lang w:val="zh-CN" w:eastAsia="zh-CN"/>
              </w:rPr>
            </w:pPr>
            <w:r>
              <w:rPr>
                <w:rFonts w:hint="eastAsia" w:cs="Times New Roman"/>
                <w:color w:val="auto"/>
                <w:sz w:val="21"/>
                <w:szCs w:val="21"/>
                <w:lang w:val="en-US" w:eastAsia="zh-CN"/>
              </w:rPr>
              <w:t>污水处理</w:t>
            </w:r>
          </w:p>
        </w:tc>
        <w:tc>
          <w:tcPr>
            <w:tcW w:w="1507" w:type="dxa"/>
            <w:tcBorders>
              <w:top w:val="single" w:color="auto" w:sz="4" w:space="0"/>
              <w:left w:val="single" w:color="auto" w:sz="4" w:space="0"/>
              <w:bottom w:val="single" w:color="auto" w:sz="4" w:space="0"/>
              <w:right w:val="single" w:color="auto" w:sz="4" w:space="0"/>
            </w:tcBorders>
            <w:noWrap w:val="0"/>
            <w:vAlign w:val="center"/>
          </w:tcPr>
          <w:p w14:paraId="665617E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zh-CN" w:eastAsia="zh-CN"/>
              </w:rPr>
            </w:pPr>
            <w:r>
              <w:rPr>
                <w:rFonts w:hint="eastAsia" w:cs="Times New Roman"/>
                <w:color w:val="auto"/>
                <w:szCs w:val="20"/>
                <w:lang w:eastAsia="zh-CN"/>
              </w:rPr>
              <w:t>氨</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1E8B5F26">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3839" w:type="dxa"/>
            <w:vMerge w:val="restart"/>
            <w:tcBorders>
              <w:top w:val="single" w:color="auto" w:sz="4" w:space="0"/>
              <w:left w:val="single" w:color="auto" w:sz="4" w:space="0"/>
              <w:right w:val="single" w:color="auto" w:sz="4" w:space="0"/>
            </w:tcBorders>
            <w:noWrap w:val="0"/>
            <w:vAlign w:val="center"/>
          </w:tcPr>
          <w:p w14:paraId="29765234">
            <w:pPr>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《恶臭污染物排放标准》（GB14554-93）</w:t>
            </w:r>
          </w:p>
        </w:tc>
        <w:tc>
          <w:tcPr>
            <w:tcW w:w="1943" w:type="dxa"/>
            <w:tcBorders>
              <w:top w:val="single" w:color="auto" w:sz="4" w:space="0"/>
              <w:left w:val="single" w:color="auto" w:sz="4" w:space="0"/>
              <w:bottom w:val="single" w:color="auto" w:sz="4" w:space="0"/>
              <w:right w:val="single" w:color="auto" w:sz="4" w:space="0"/>
            </w:tcBorders>
            <w:noWrap w:val="0"/>
            <w:vAlign w:val="center"/>
          </w:tcPr>
          <w:p w14:paraId="030BE8DC">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1.0</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3DE28BC4">
            <w:pPr>
              <w:jc w:val="center"/>
              <w:rPr>
                <w:rFonts w:hint="default" w:ascii="Times New Roman" w:hAnsi="Times New Roman" w:eastAsia="宋体" w:cs="Times New Roman"/>
                <w:color w:val="auto"/>
                <w:sz w:val="21"/>
                <w:szCs w:val="21"/>
                <w:lang w:val="zh-CN" w:eastAsia="zh-CN"/>
              </w:rPr>
            </w:pPr>
            <w:r>
              <w:rPr>
                <w:rFonts w:hint="eastAsia" w:ascii="Times New Roman" w:hAnsi="Times New Roman" w:eastAsia="宋体" w:cs="Times New Roman"/>
                <w:color w:val="auto"/>
                <w:sz w:val="21"/>
                <w:szCs w:val="21"/>
                <w:lang w:val="en-US" w:eastAsia="zh-CN"/>
              </w:rPr>
              <w:t>/</w:t>
            </w:r>
          </w:p>
        </w:tc>
        <w:tc>
          <w:tcPr>
            <w:tcW w:w="1382" w:type="dxa"/>
            <w:tcBorders>
              <w:top w:val="single" w:color="auto" w:sz="4" w:space="0"/>
              <w:left w:val="single" w:color="auto" w:sz="4" w:space="0"/>
              <w:bottom w:val="single" w:color="auto" w:sz="4" w:space="0"/>
              <w:right w:val="single" w:color="auto" w:sz="12" w:space="0"/>
            </w:tcBorders>
            <w:noWrap w:val="0"/>
            <w:vAlign w:val="center"/>
          </w:tcPr>
          <w:p w14:paraId="6DE146CE">
            <w:pPr>
              <w:jc w:val="center"/>
              <w:rPr>
                <w:rFonts w:hint="default" w:ascii="Times New Roman" w:hAnsi="Times New Roman" w:eastAsia="宋体" w:cs="Times New Roman"/>
                <w:color w:val="auto"/>
                <w:sz w:val="21"/>
                <w:szCs w:val="21"/>
                <w:lang w:val="zh-CN" w:eastAsia="zh-CN"/>
              </w:rPr>
            </w:pPr>
            <w:r>
              <w:rPr>
                <w:rFonts w:hint="eastAsia" w:ascii="Times New Roman" w:hAnsi="Times New Roman" w:eastAsia="宋体" w:cs="Times New Roman"/>
                <w:color w:val="auto"/>
                <w:sz w:val="21"/>
                <w:szCs w:val="21"/>
                <w:lang w:val="en-US" w:eastAsia="zh-CN"/>
              </w:rPr>
              <w:t>/</w:t>
            </w:r>
          </w:p>
        </w:tc>
      </w:tr>
      <w:tr w14:paraId="2225B7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7" w:type="dxa"/>
            <w:vMerge w:val="continue"/>
            <w:tcBorders>
              <w:left w:val="single" w:color="auto" w:sz="12" w:space="0"/>
              <w:right w:val="single" w:color="auto" w:sz="4" w:space="0"/>
            </w:tcBorders>
            <w:noWrap w:val="0"/>
            <w:vAlign w:val="center"/>
          </w:tcPr>
          <w:p w14:paraId="7AA48CEA">
            <w:pPr>
              <w:jc w:val="center"/>
              <w:rPr>
                <w:rFonts w:hint="eastAsia" w:ascii="Times New Roman" w:hAnsi="Times New Roman" w:eastAsia="宋体" w:cs="Times New Roman"/>
                <w:color w:val="auto"/>
                <w:sz w:val="21"/>
                <w:szCs w:val="21"/>
                <w:lang w:val="en-US" w:eastAsia="zh-CN"/>
              </w:rPr>
            </w:pPr>
          </w:p>
        </w:tc>
        <w:tc>
          <w:tcPr>
            <w:tcW w:w="1231" w:type="dxa"/>
            <w:vMerge w:val="continue"/>
            <w:tcBorders>
              <w:left w:val="single" w:color="auto" w:sz="4" w:space="0"/>
              <w:right w:val="single" w:color="auto" w:sz="4" w:space="0"/>
            </w:tcBorders>
            <w:noWrap w:val="0"/>
            <w:vAlign w:val="center"/>
          </w:tcPr>
          <w:p w14:paraId="22C1682D">
            <w:pPr>
              <w:jc w:val="center"/>
              <w:rPr>
                <w:rFonts w:hint="eastAsia" w:cs="Times New Roman"/>
                <w:color w:val="auto"/>
                <w:sz w:val="21"/>
                <w:szCs w:val="21"/>
                <w:lang w:val="zh-CN" w:eastAsia="zh-CN"/>
              </w:rPr>
            </w:pPr>
          </w:p>
        </w:tc>
        <w:tc>
          <w:tcPr>
            <w:tcW w:w="1128" w:type="dxa"/>
            <w:vMerge w:val="continue"/>
            <w:tcBorders>
              <w:left w:val="single" w:color="auto" w:sz="4" w:space="0"/>
              <w:right w:val="single" w:color="auto" w:sz="4" w:space="0"/>
            </w:tcBorders>
            <w:noWrap w:val="0"/>
            <w:vAlign w:val="center"/>
          </w:tcPr>
          <w:p w14:paraId="1E27B566">
            <w:pPr>
              <w:jc w:val="center"/>
              <w:rPr>
                <w:rFonts w:hint="eastAsia" w:cs="Times New Roman"/>
                <w:color w:val="auto"/>
                <w:sz w:val="21"/>
                <w:szCs w:val="21"/>
                <w:lang w:val="zh-CN" w:eastAsia="zh-CN"/>
              </w:rPr>
            </w:pPr>
          </w:p>
        </w:tc>
        <w:tc>
          <w:tcPr>
            <w:tcW w:w="1507" w:type="dxa"/>
            <w:tcBorders>
              <w:top w:val="single" w:color="auto" w:sz="4" w:space="0"/>
              <w:left w:val="single" w:color="auto" w:sz="4" w:space="0"/>
              <w:bottom w:val="single" w:color="auto" w:sz="4" w:space="0"/>
              <w:right w:val="single" w:color="auto" w:sz="4" w:space="0"/>
            </w:tcBorders>
            <w:noWrap w:val="0"/>
            <w:vAlign w:val="center"/>
          </w:tcPr>
          <w:p w14:paraId="52B4C35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1"/>
                <w:szCs w:val="21"/>
                <w:lang w:val="en-US" w:eastAsia="zh-CN"/>
              </w:rPr>
            </w:pPr>
            <w:r>
              <w:rPr>
                <w:rFonts w:hint="eastAsia" w:cs="Times New Roman"/>
                <w:color w:val="auto"/>
                <w:szCs w:val="20"/>
                <w:lang w:eastAsia="zh-CN"/>
              </w:rPr>
              <w:t>硫化氢</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21DC052E">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3839" w:type="dxa"/>
            <w:vMerge w:val="continue"/>
            <w:tcBorders>
              <w:left w:val="single" w:color="auto" w:sz="4" w:space="0"/>
              <w:right w:val="single" w:color="auto" w:sz="4" w:space="0"/>
            </w:tcBorders>
            <w:noWrap w:val="0"/>
            <w:vAlign w:val="center"/>
          </w:tcPr>
          <w:p w14:paraId="42048249">
            <w:pPr>
              <w:jc w:val="center"/>
              <w:rPr>
                <w:rFonts w:hint="eastAsia" w:ascii="Times New Roman" w:hAnsi="Times New Roman" w:eastAsia="宋体" w:cs="Times New Roman"/>
                <w:color w:val="auto"/>
                <w:sz w:val="21"/>
                <w:szCs w:val="21"/>
                <w:lang w:val="en-US" w:eastAsia="zh-CN"/>
              </w:rPr>
            </w:pPr>
          </w:p>
        </w:tc>
        <w:tc>
          <w:tcPr>
            <w:tcW w:w="1943" w:type="dxa"/>
            <w:tcBorders>
              <w:top w:val="single" w:color="auto" w:sz="4" w:space="0"/>
              <w:left w:val="single" w:color="auto" w:sz="4" w:space="0"/>
              <w:bottom w:val="single" w:color="auto" w:sz="4" w:space="0"/>
              <w:right w:val="single" w:color="auto" w:sz="4" w:space="0"/>
            </w:tcBorders>
            <w:noWrap w:val="0"/>
            <w:vAlign w:val="center"/>
          </w:tcPr>
          <w:p w14:paraId="4ADA4071">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0.03</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65D14898">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1382" w:type="dxa"/>
            <w:tcBorders>
              <w:top w:val="single" w:color="auto" w:sz="4" w:space="0"/>
              <w:left w:val="single" w:color="auto" w:sz="4" w:space="0"/>
              <w:bottom w:val="single" w:color="auto" w:sz="4" w:space="0"/>
              <w:right w:val="single" w:color="auto" w:sz="12" w:space="0"/>
            </w:tcBorders>
            <w:noWrap w:val="0"/>
            <w:vAlign w:val="center"/>
          </w:tcPr>
          <w:p w14:paraId="3D0407E8">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r>
      <w:tr w14:paraId="0A063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7" w:type="dxa"/>
            <w:vMerge w:val="continue"/>
            <w:tcBorders>
              <w:left w:val="single" w:color="auto" w:sz="12" w:space="0"/>
              <w:right w:val="single" w:color="auto" w:sz="4" w:space="0"/>
            </w:tcBorders>
            <w:noWrap w:val="0"/>
            <w:vAlign w:val="center"/>
          </w:tcPr>
          <w:p w14:paraId="2A704195">
            <w:pPr>
              <w:jc w:val="center"/>
              <w:rPr>
                <w:rFonts w:hint="eastAsia" w:ascii="Times New Roman" w:hAnsi="Times New Roman" w:eastAsia="宋体" w:cs="Times New Roman"/>
                <w:color w:val="auto"/>
                <w:sz w:val="21"/>
                <w:szCs w:val="21"/>
                <w:lang w:val="en-US" w:eastAsia="zh-CN"/>
              </w:rPr>
            </w:pPr>
          </w:p>
        </w:tc>
        <w:tc>
          <w:tcPr>
            <w:tcW w:w="1231" w:type="dxa"/>
            <w:vMerge w:val="continue"/>
            <w:tcBorders>
              <w:left w:val="single" w:color="auto" w:sz="4" w:space="0"/>
              <w:right w:val="single" w:color="auto" w:sz="4" w:space="0"/>
            </w:tcBorders>
            <w:noWrap w:val="0"/>
            <w:vAlign w:val="center"/>
          </w:tcPr>
          <w:p w14:paraId="768DA712">
            <w:pPr>
              <w:jc w:val="center"/>
              <w:rPr>
                <w:rFonts w:hint="eastAsia" w:cs="Times New Roman"/>
                <w:color w:val="auto"/>
                <w:sz w:val="21"/>
                <w:szCs w:val="21"/>
                <w:lang w:val="zh-CN" w:eastAsia="zh-CN"/>
              </w:rPr>
            </w:pPr>
          </w:p>
        </w:tc>
        <w:tc>
          <w:tcPr>
            <w:tcW w:w="1128" w:type="dxa"/>
            <w:vMerge w:val="continue"/>
            <w:tcBorders>
              <w:left w:val="single" w:color="auto" w:sz="4" w:space="0"/>
              <w:right w:val="single" w:color="auto" w:sz="4" w:space="0"/>
            </w:tcBorders>
            <w:noWrap w:val="0"/>
            <w:vAlign w:val="center"/>
          </w:tcPr>
          <w:p w14:paraId="01AB51EE">
            <w:pPr>
              <w:jc w:val="center"/>
              <w:rPr>
                <w:rFonts w:hint="eastAsia" w:cs="Times New Roman"/>
                <w:color w:val="auto"/>
                <w:sz w:val="21"/>
                <w:szCs w:val="21"/>
                <w:lang w:val="zh-CN" w:eastAsia="zh-CN"/>
              </w:rPr>
            </w:pPr>
          </w:p>
        </w:tc>
        <w:tc>
          <w:tcPr>
            <w:tcW w:w="1507" w:type="dxa"/>
            <w:tcBorders>
              <w:top w:val="single" w:color="auto" w:sz="4" w:space="0"/>
              <w:left w:val="single" w:color="auto" w:sz="4" w:space="0"/>
              <w:bottom w:val="single" w:color="auto" w:sz="4" w:space="0"/>
              <w:right w:val="single" w:color="auto" w:sz="4" w:space="0"/>
            </w:tcBorders>
            <w:noWrap w:val="0"/>
            <w:vAlign w:val="center"/>
          </w:tcPr>
          <w:p w14:paraId="7FEB0D8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1"/>
                <w:szCs w:val="21"/>
                <w:lang w:val="en-US" w:eastAsia="zh-CN"/>
              </w:rPr>
            </w:pPr>
            <w:r>
              <w:rPr>
                <w:rFonts w:hint="eastAsia" w:cs="Times New Roman"/>
                <w:color w:val="auto"/>
                <w:szCs w:val="20"/>
                <w:lang w:eastAsia="zh-CN"/>
              </w:rPr>
              <w:t>臭气浓度</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3657058B">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3839" w:type="dxa"/>
            <w:vMerge w:val="continue"/>
            <w:tcBorders>
              <w:left w:val="single" w:color="auto" w:sz="4" w:space="0"/>
              <w:right w:val="single" w:color="auto" w:sz="4" w:space="0"/>
            </w:tcBorders>
            <w:noWrap w:val="0"/>
            <w:vAlign w:val="center"/>
          </w:tcPr>
          <w:p w14:paraId="66804474">
            <w:pPr>
              <w:jc w:val="center"/>
              <w:rPr>
                <w:rFonts w:hint="eastAsia" w:ascii="Times New Roman" w:hAnsi="Times New Roman" w:eastAsia="宋体" w:cs="Times New Roman"/>
                <w:color w:val="auto"/>
                <w:sz w:val="21"/>
                <w:szCs w:val="21"/>
                <w:lang w:val="en-US" w:eastAsia="zh-CN"/>
              </w:rPr>
            </w:pPr>
          </w:p>
        </w:tc>
        <w:tc>
          <w:tcPr>
            <w:tcW w:w="1943" w:type="dxa"/>
            <w:tcBorders>
              <w:top w:val="single" w:color="auto" w:sz="4" w:space="0"/>
              <w:left w:val="single" w:color="auto" w:sz="4" w:space="0"/>
              <w:bottom w:val="single" w:color="auto" w:sz="4" w:space="0"/>
              <w:right w:val="single" w:color="auto" w:sz="4" w:space="0"/>
            </w:tcBorders>
            <w:noWrap w:val="0"/>
            <w:vAlign w:val="center"/>
          </w:tcPr>
          <w:p w14:paraId="3842F3AD">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10（无量纲）</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3855F7C6">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1382" w:type="dxa"/>
            <w:tcBorders>
              <w:top w:val="single" w:color="auto" w:sz="4" w:space="0"/>
              <w:left w:val="single" w:color="auto" w:sz="4" w:space="0"/>
              <w:bottom w:val="single" w:color="auto" w:sz="4" w:space="0"/>
              <w:right w:val="single" w:color="auto" w:sz="12" w:space="0"/>
            </w:tcBorders>
            <w:noWrap w:val="0"/>
            <w:vAlign w:val="center"/>
          </w:tcPr>
          <w:p w14:paraId="7FEFE25B">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r>
    </w:tbl>
    <w:p w14:paraId="66582EB3">
      <w:pPr>
        <w:pStyle w:val="23"/>
        <w:widowControl/>
        <w:shd w:val="clear" w:color="auto" w:fill="FFFFFF"/>
        <w:spacing w:before="0" w:beforeAutospacing="0" w:after="0" w:afterAutospacing="0"/>
        <w:jc w:val="center"/>
        <w:rPr>
          <w:rFonts w:hint="eastAsia" w:ascii="Times New Roman" w:hAnsi="Times New Roman" w:eastAsia="宋体" w:cs="Times New Roman"/>
          <w:b/>
          <w:color w:val="auto"/>
          <w:kern w:val="2"/>
          <w:sz w:val="30"/>
          <w:szCs w:val="30"/>
          <w:lang w:val="en-US" w:eastAsia="zh-CN" w:bidi="ar-SA"/>
        </w:rPr>
      </w:pPr>
      <w:r>
        <w:rPr>
          <w:rFonts w:hint="eastAsia" w:ascii="Times New Roman" w:hAnsi="Times New Roman" w:eastAsia="宋体" w:cs="Times New Roman"/>
          <w:b/>
          <w:color w:val="auto"/>
          <w:kern w:val="2"/>
          <w:sz w:val="30"/>
          <w:szCs w:val="30"/>
          <w:lang w:val="en-US" w:eastAsia="zh-CN" w:bidi="ar-SA"/>
        </w:rPr>
        <w:t>表7  建设项目废水类别、污染物及污染治理设施信息表</w:t>
      </w:r>
    </w:p>
    <w:tbl>
      <w:tblPr>
        <w:tblStyle w:val="2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53"/>
        <w:gridCol w:w="675"/>
        <w:gridCol w:w="780"/>
        <w:gridCol w:w="690"/>
        <w:gridCol w:w="750"/>
        <w:gridCol w:w="825"/>
        <w:gridCol w:w="675"/>
        <w:gridCol w:w="870"/>
        <w:gridCol w:w="945"/>
        <w:gridCol w:w="525"/>
        <w:gridCol w:w="450"/>
        <w:gridCol w:w="735"/>
        <w:gridCol w:w="690"/>
        <w:gridCol w:w="885"/>
        <w:gridCol w:w="675"/>
        <w:gridCol w:w="1875"/>
        <w:gridCol w:w="735"/>
        <w:gridCol w:w="675"/>
        <w:gridCol w:w="412"/>
      </w:tblGrid>
      <w:tr w14:paraId="513AC7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dxa"/>
            <w:vMerge w:val="restart"/>
            <w:tcBorders>
              <w:top w:val="single" w:color="auto" w:sz="12" w:space="0"/>
              <w:left w:val="single" w:color="auto" w:sz="12" w:space="0"/>
              <w:bottom w:val="single" w:color="auto" w:sz="4" w:space="0"/>
              <w:right w:val="single" w:color="auto" w:sz="4" w:space="0"/>
            </w:tcBorders>
            <w:noWrap w:val="0"/>
            <w:vAlign w:val="center"/>
          </w:tcPr>
          <w:p w14:paraId="62389863">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序</w:t>
            </w:r>
          </w:p>
          <w:p w14:paraId="01021D5C">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号</w:t>
            </w:r>
          </w:p>
        </w:tc>
        <w:tc>
          <w:tcPr>
            <w:tcW w:w="675" w:type="dxa"/>
            <w:vMerge w:val="restart"/>
            <w:tcBorders>
              <w:top w:val="single" w:color="auto" w:sz="12" w:space="0"/>
              <w:left w:val="single" w:color="auto" w:sz="4" w:space="0"/>
              <w:bottom w:val="single" w:color="auto" w:sz="4" w:space="0"/>
              <w:right w:val="single" w:color="auto" w:sz="4" w:space="0"/>
            </w:tcBorders>
            <w:noWrap w:val="0"/>
            <w:vAlign w:val="center"/>
          </w:tcPr>
          <w:p w14:paraId="0D9D0E5B">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废水类别</w:t>
            </w:r>
          </w:p>
        </w:tc>
        <w:tc>
          <w:tcPr>
            <w:tcW w:w="780" w:type="dxa"/>
            <w:vMerge w:val="restart"/>
            <w:tcBorders>
              <w:top w:val="single" w:color="auto" w:sz="12" w:space="0"/>
              <w:left w:val="single" w:color="auto" w:sz="4" w:space="0"/>
              <w:bottom w:val="single" w:color="auto" w:sz="4" w:space="0"/>
              <w:right w:val="single" w:color="auto" w:sz="4" w:space="0"/>
            </w:tcBorders>
            <w:noWrap w:val="0"/>
            <w:vAlign w:val="center"/>
          </w:tcPr>
          <w:p w14:paraId="1533722B">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污染物种</w:t>
            </w:r>
          </w:p>
          <w:p w14:paraId="2D65348C">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类</w:t>
            </w:r>
          </w:p>
        </w:tc>
        <w:tc>
          <w:tcPr>
            <w:tcW w:w="3810" w:type="dxa"/>
            <w:gridSpan w:val="5"/>
            <w:tcBorders>
              <w:top w:val="single" w:color="auto" w:sz="12" w:space="0"/>
              <w:left w:val="single" w:color="auto" w:sz="4" w:space="0"/>
              <w:bottom w:val="single" w:color="auto" w:sz="6" w:space="0"/>
              <w:right w:val="single" w:color="auto" w:sz="4" w:space="0"/>
            </w:tcBorders>
            <w:noWrap w:val="0"/>
            <w:vAlign w:val="center"/>
          </w:tcPr>
          <w:p w14:paraId="649C667D">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污染防治设施</w:t>
            </w:r>
          </w:p>
        </w:tc>
        <w:tc>
          <w:tcPr>
            <w:tcW w:w="945" w:type="dxa"/>
            <w:vMerge w:val="restart"/>
            <w:tcBorders>
              <w:top w:val="single" w:color="auto" w:sz="12" w:space="0"/>
              <w:left w:val="single" w:color="auto" w:sz="4" w:space="0"/>
              <w:bottom w:val="single" w:color="auto" w:sz="4" w:space="0"/>
              <w:right w:val="single" w:color="auto" w:sz="6" w:space="0"/>
            </w:tcBorders>
            <w:noWrap w:val="0"/>
            <w:vAlign w:val="center"/>
          </w:tcPr>
          <w:p w14:paraId="213E1915">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w:t>
            </w:r>
          </w:p>
          <w:p w14:paraId="5ED261AD">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去向</w:t>
            </w:r>
          </w:p>
        </w:tc>
        <w:tc>
          <w:tcPr>
            <w:tcW w:w="525" w:type="dxa"/>
            <w:vMerge w:val="restart"/>
            <w:tcBorders>
              <w:top w:val="single" w:color="auto" w:sz="12" w:space="0"/>
              <w:left w:val="single" w:color="auto" w:sz="6" w:space="0"/>
              <w:bottom w:val="single" w:color="auto" w:sz="4" w:space="0"/>
              <w:right w:val="single" w:color="auto" w:sz="4" w:space="0"/>
            </w:tcBorders>
            <w:noWrap w:val="0"/>
            <w:vAlign w:val="center"/>
          </w:tcPr>
          <w:p w14:paraId="3CD79549">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w:t>
            </w:r>
          </w:p>
          <w:p w14:paraId="1602D315">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方式</w:t>
            </w:r>
          </w:p>
        </w:tc>
        <w:tc>
          <w:tcPr>
            <w:tcW w:w="450" w:type="dxa"/>
            <w:vMerge w:val="restart"/>
            <w:tcBorders>
              <w:top w:val="single" w:color="auto" w:sz="12" w:space="0"/>
              <w:left w:val="single" w:color="auto" w:sz="6" w:space="0"/>
              <w:bottom w:val="single" w:color="auto" w:sz="4" w:space="0"/>
              <w:right w:val="single" w:color="auto" w:sz="4" w:space="0"/>
            </w:tcBorders>
            <w:noWrap w:val="0"/>
            <w:vAlign w:val="center"/>
          </w:tcPr>
          <w:p w14:paraId="523DCE17">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w:t>
            </w:r>
          </w:p>
          <w:p w14:paraId="468E8BFA">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规律</w:t>
            </w:r>
          </w:p>
        </w:tc>
        <w:tc>
          <w:tcPr>
            <w:tcW w:w="735" w:type="dxa"/>
            <w:vMerge w:val="restart"/>
            <w:tcBorders>
              <w:top w:val="single" w:color="auto" w:sz="12" w:space="0"/>
              <w:left w:val="single" w:color="auto" w:sz="6" w:space="0"/>
              <w:bottom w:val="single" w:color="auto" w:sz="4" w:space="0"/>
              <w:right w:val="single" w:color="auto" w:sz="4" w:space="0"/>
            </w:tcBorders>
            <w:noWrap w:val="0"/>
            <w:vAlign w:val="center"/>
          </w:tcPr>
          <w:p w14:paraId="20990464">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排放口</w:t>
            </w:r>
          </w:p>
          <w:p w14:paraId="548AFA41">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编号</w:t>
            </w:r>
          </w:p>
        </w:tc>
        <w:tc>
          <w:tcPr>
            <w:tcW w:w="690" w:type="dxa"/>
            <w:vMerge w:val="restart"/>
            <w:tcBorders>
              <w:top w:val="single" w:color="auto" w:sz="12" w:space="0"/>
              <w:left w:val="single" w:color="auto" w:sz="4" w:space="0"/>
              <w:bottom w:val="single" w:color="auto" w:sz="4" w:space="0"/>
              <w:right w:val="single" w:color="auto" w:sz="6" w:space="0"/>
            </w:tcBorders>
            <w:noWrap w:val="0"/>
            <w:vAlign w:val="center"/>
          </w:tcPr>
          <w:p w14:paraId="1997CAE6">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排放口</w:t>
            </w:r>
          </w:p>
          <w:p w14:paraId="2ECED07B">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名称</w:t>
            </w:r>
          </w:p>
        </w:tc>
        <w:tc>
          <w:tcPr>
            <w:tcW w:w="885" w:type="dxa"/>
            <w:vMerge w:val="restart"/>
            <w:tcBorders>
              <w:top w:val="single" w:color="auto" w:sz="12" w:space="0"/>
              <w:left w:val="single" w:color="auto" w:sz="6" w:space="0"/>
              <w:bottom w:val="single" w:color="auto" w:sz="4" w:space="0"/>
              <w:right w:val="single" w:color="auto" w:sz="4" w:space="0"/>
            </w:tcBorders>
            <w:noWrap w:val="0"/>
            <w:vAlign w:val="center"/>
          </w:tcPr>
          <w:p w14:paraId="348776AF">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排放口设置是否符合要求</w:t>
            </w:r>
          </w:p>
        </w:tc>
        <w:tc>
          <w:tcPr>
            <w:tcW w:w="675" w:type="dxa"/>
            <w:vMerge w:val="restart"/>
            <w:tcBorders>
              <w:top w:val="single" w:color="auto" w:sz="12" w:space="0"/>
              <w:left w:val="single" w:color="auto" w:sz="6" w:space="0"/>
              <w:bottom w:val="single" w:color="auto" w:sz="4" w:space="0"/>
              <w:right w:val="single" w:color="auto" w:sz="4" w:space="0"/>
            </w:tcBorders>
            <w:noWrap w:val="0"/>
            <w:vAlign w:val="center"/>
          </w:tcPr>
          <w:p w14:paraId="511AD1C0">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排放口</w:t>
            </w:r>
          </w:p>
          <w:p w14:paraId="66034A21">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类型</w:t>
            </w:r>
          </w:p>
        </w:tc>
        <w:tc>
          <w:tcPr>
            <w:tcW w:w="2610" w:type="dxa"/>
            <w:gridSpan w:val="2"/>
            <w:vMerge w:val="restart"/>
            <w:tcBorders>
              <w:top w:val="single" w:color="auto" w:sz="12" w:space="0"/>
              <w:left w:val="single" w:color="auto" w:sz="4" w:space="0"/>
              <w:bottom w:val="single" w:color="auto" w:sz="6" w:space="0"/>
              <w:right w:val="single" w:color="auto" w:sz="6" w:space="0"/>
            </w:tcBorders>
            <w:noWrap w:val="0"/>
            <w:vAlign w:val="center"/>
          </w:tcPr>
          <w:p w14:paraId="67F65BA0">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国家或地方污染物排放标准</w:t>
            </w:r>
          </w:p>
        </w:tc>
        <w:tc>
          <w:tcPr>
            <w:tcW w:w="675" w:type="dxa"/>
            <w:vMerge w:val="restart"/>
            <w:tcBorders>
              <w:top w:val="single" w:color="auto" w:sz="12" w:space="0"/>
              <w:left w:val="single" w:color="auto" w:sz="6" w:space="0"/>
              <w:bottom w:val="single" w:color="auto" w:sz="4" w:space="0"/>
              <w:right w:val="single" w:color="auto" w:sz="4" w:space="0"/>
            </w:tcBorders>
            <w:noWrap w:val="0"/>
            <w:vAlign w:val="center"/>
          </w:tcPr>
          <w:p w14:paraId="4A6EFDDE">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年排放许可量</w:t>
            </w:r>
          </w:p>
          <w:p w14:paraId="4CBB75EA">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(t/a)</w:t>
            </w:r>
          </w:p>
        </w:tc>
        <w:tc>
          <w:tcPr>
            <w:tcW w:w="412" w:type="dxa"/>
            <w:vMerge w:val="restart"/>
            <w:tcBorders>
              <w:top w:val="single" w:color="auto" w:sz="12" w:space="0"/>
              <w:left w:val="single" w:color="auto" w:sz="6" w:space="0"/>
              <w:bottom w:val="single" w:color="auto" w:sz="4" w:space="0"/>
              <w:right w:val="single" w:color="auto" w:sz="12" w:space="0"/>
            </w:tcBorders>
            <w:noWrap w:val="0"/>
            <w:vAlign w:val="center"/>
          </w:tcPr>
          <w:p w14:paraId="37D6D24B">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其他</w:t>
            </w:r>
          </w:p>
          <w:p w14:paraId="20128485">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信息</w:t>
            </w:r>
          </w:p>
        </w:tc>
      </w:tr>
      <w:tr w14:paraId="69DF93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53" w:type="dxa"/>
            <w:vMerge w:val="continue"/>
            <w:tcBorders>
              <w:top w:val="single" w:color="auto" w:sz="12" w:space="0"/>
              <w:left w:val="single" w:color="auto" w:sz="12" w:space="0"/>
              <w:bottom w:val="single" w:color="auto" w:sz="4" w:space="0"/>
              <w:right w:val="single" w:color="auto" w:sz="4" w:space="0"/>
            </w:tcBorders>
            <w:noWrap w:val="0"/>
            <w:vAlign w:val="center"/>
          </w:tcPr>
          <w:p w14:paraId="7E91B0BF">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left"/>
              <w:textAlignment w:val="auto"/>
              <w:rPr>
                <w:rFonts w:ascii="仿宋" w:hAnsi="仿宋" w:eastAsia="仿宋" w:cs="仿宋"/>
                <w:b/>
                <w:color w:val="FF0000"/>
                <w:sz w:val="18"/>
                <w:szCs w:val="18"/>
              </w:rPr>
            </w:pPr>
          </w:p>
        </w:tc>
        <w:tc>
          <w:tcPr>
            <w:tcW w:w="675" w:type="dxa"/>
            <w:vMerge w:val="continue"/>
            <w:tcBorders>
              <w:top w:val="single" w:color="auto" w:sz="12" w:space="0"/>
              <w:left w:val="single" w:color="auto" w:sz="4" w:space="0"/>
              <w:bottom w:val="single" w:color="auto" w:sz="4" w:space="0"/>
              <w:right w:val="single" w:color="auto" w:sz="4" w:space="0"/>
            </w:tcBorders>
            <w:noWrap w:val="0"/>
            <w:vAlign w:val="center"/>
          </w:tcPr>
          <w:p w14:paraId="2AE5DD0B">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left"/>
              <w:textAlignment w:val="auto"/>
              <w:rPr>
                <w:rFonts w:ascii="仿宋" w:hAnsi="仿宋" w:eastAsia="仿宋" w:cs="仿宋"/>
                <w:b/>
                <w:color w:val="FF0000"/>
                <w:sz w:val="18"/>
                <w:szCs w:val="18"/>
              </w:rPr>
            </w:pPr>
          </w:p>
        </w:tc>
        <w:tc>
          <w:tcPr>
            <w:tcW w:w="780" w:type="dxa"/>
            <w:vMerge w:val="continue"/>
            <w:tcBorders>
              <w:top w:val="single" w:color="auto" w:sz="12" w:space="0"/>
              <w:left w:val="single" w:color="auto" w:sz="4" w:space="0"/>
              <w:bottom w:val="single" w:color="auto" w:sz="4" w:space="0"/>
              <w:right w:val="single" w:color="auto" w:sz="4" w:space="0"/>
            </w:tcBorders>
            <w:noWrap w:val="0"/>
            <w:vAlign w:val="center"/>
          </w:tcPr>
          <w:p w14:paraId="427A5364">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left"/>
              <w:textAlignment w:val="auto"/>
              <w:rPr>
                <w:rFonts w:ascii="仿宋" w:hAnsi="仿宋" w:eastAsia="仿宋" w:cs="仿宋"/>
                <w:b/>
                <w:color w:val="FF0000"/>
                <w:sz w:val="18"/>
                <w:szCs w:val="18"/>
              </w:rPr>
            </w:pPr>
          </w:p>
        </w:tc>
        <w:tc>
          <w:tcPr>
            <w:tcW w:w="690" w:type="dxa"/>
            <w:vMerge w:val="restart"/>
            <w:tcBorders>
              <w:top w:val="single" w:color="auto" w:sz="6" w:space="0"/>
              <w:left w:val="single" w:color="auto" w:sz="4" w:space="0"/>
              <w:bottom w:val="single" w:color="auto" w:sz="4" w:space="0"/>
              <w:right w:val="single" w:color="auto" w:sz="4" w:space="0"/>
            </w:tcBorders>
            <w:noWrap w:val="0"/>
            <w:vAlign w:val="center"/>
          </w:tcPr>
          <w:p w14:paraId="363EE9D2">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污染防治设施编号</w:t>
            </w:r>
          </w:p>
        </w:tc>
        <w:tc>
          <w:tcPr>
            <w:tcW w:w="750" w:type="dxa"/>
            <w:vMerge w:val="restart"/>
            <w:tcBorders>
              <w:top w:val="single" w:color="auto" w:sz="6" w:space="0"/>
              <w:left w:val="single" w:color="auto" w:sz="4" w:space="0"/>
              <w:bottom w:val="single" w:color="auto" w:sz="4" w:space="0"/>
              <w:right w:val="single" w:color="auto" w:sz="4" w:space="0"/>
            </w:tcBorders>
            <w:noWrap w:val="0"/>
            <w:vAlign w:val="center"/>
          </w:tcPr>
          <w:p w14:paraId="1DEA0E2D">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污染防治设施名称</w:t>
            </w:r>
          </w:p>
        </w:tc>
        <w:tc>
          <w:tcPr>
            <w:tcW w:w="825" w:type="dxa"/>
            <w:vMerge w:val="restart"/>
            <w:tcBorders>
              <w:top w:val="single" w:color="auto" w:sz="6" w:space="0"/>
              <w:left w:val="single" w:color="auto" w:sz="4" w:space="0"/>
              <w:bottom w:val="single" w:color="auto" w:sz="4" w:space="0"/>
              <w:right w:val="single" w:color="auto" w:sz="4" w:space="0"/>
            </w:tcBorders>
            <w:noWrap w:val="0"/>
            <w:vAlign w:val="center"/>
          </w:tcPr>
          <w:p w14:paraId="5F8FC3A3">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污染防治设施工艺</w:t>
            </w:r>
          </w:p>
        </w:tc>
        <w:tc>
          <w:tcPr>
            <w:tcW w:w="675" w:type="dxa"/>
            <w:vMerge w:val="restart"/>
            <w:tcBorders>
              <w:top w:val="single" w:color="auto" w:sz="6" w:space="0"/>
              <w:left w:val="single" w:color="auto" w:sz="4" w:space="0"/>
              <w:bottom w:val="single" w:color="auto" w:sz="4" w:space="0"/>
              <w:right w:val="single" w:color="auto" w:sz="4" w:space="0"/>
            </w:tcBorders>
            <w:noWrap w:val="0"/>
            <w:vAlign w:val="center"/>
          </w:tcPr>
          <w:p w14:paraId="7ACBF56F">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是否为可行技术</w:t>
            </w:r>
          </w:p>
        </w:tc>
        <w:tc>
          <w:tcPr>
            <w:tcW w:w="870" w:type="dxa"/>
            <w:vMerge w:val="restart"/>
            <w:tcBorders>
              <w:top w:val="single" w:color="auto" w:sz="6" w:space="0"/>
              <w:left w:val="single" w:color="auto" w:sz="4" w:space="0"/>
              <w:bottom w:val="single" w:color="auto" w:sz="4" w:space="0"/>
              <w:right w:val="single" w:color="auto" w:sz="4" w:space="0"/>
            </w:tcBorders>
            <w:noWrap w:val="0"/>
            <w:vAlign w:val="center"/>
          </w:tcPr>
          <w:p w14:paraId="0E8B7536">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污染防治设施其他信息</w:t>
            </w:r>
          </w:p>
        </w:tc>
        <w:tc>
          <w:tcPr>
            <w:tcW w:w="945" w:type="dxa"/>
            <w:vMerge w:val="continue"/>
            <w:tcBorders>
              <w:top w:val="single" w:color="auto" w:sz="12" w:space="0"/>
              <w:left w:val="single" w:color="auto" w:sz="4" w:space="0"/>
              <w:bottom w:val="single" w:color="auto" w:sz="4" w:space="0"/>
              <w:right w:val="single" w:color="auto" w:sz="6" w:space="0"/>
            </w:tcBorders>
            <w:noWrap w:val="0"/>
            <w:vAlign w:val="center"/>
          </w:tcPr>
          <w:p w14:paraId="35FE5771">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525" w:type="dxa"/>
            <w:vMerge w:val="continue"/>
            <w:tcBorders>
              <w:top w:val="single" w:color="auto" w:sz="12" w:space="0"/>
              <w:left w:val="single" w:color="auto" w:sz="6" w:space="0"/>
              <w:bottom w:val="single" w:color="auto" w:sz="4" w:space="0"/>
              <w:right w:val="single" w:color="auto" w:sz="4" w:space="0"/>
            </w:tcBorders>
            <w:noWrap w:val="0"/>
            <w:vAlign w:val="center"/>
          </w:tcPr>
          <w:p w14:paraId="7044BEB5">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450" w:type="dxa"/>
            <w:vMerge w:val="continue"/>
            <w:tcBorders>
              <w:top w:val="single" w:color="auto" w:sz="12" w:space="0"/>
              <w:left w:val="single" w:color="auto" w:sz="6" w:space="0"/>
              <w:bottom w:val="single" w:color="auto" w:sz="4" w:space="0"/>
              <w:right w:val="single" w:color="auto" w:sz="4" w:space="0"/>
            </w:tcBorders>
            <w:noWrap w:val="0"/>
            <w:vAlign w:val="center"/>
          </w:tcPr>
          <w:p w14:paraId="2E46AD54">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735" w:type="dxa"/>
            <w:vMerge w:val="continue"/>
            <w:tcBorders>
              <w:top w:val="single" w:color="auto" w:sz="12" w:space="0"/>
              <w:left w:val="single" w:color="auto" w:sz="6" w:space="0"/>
              <w:bottom w:val="single" w:color="auto" w:sz="4" w:space="0"/>
              <w:right w:val="single" w:color="auto" w:sz="4" w:space="0"/>
            </w:tcBorders>
            <w:noWrap w:val="0"/>
            <w:vAlign w:val="center"/>
          </w:tcPr>
          <w:p w14:paraId="17693803">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690" w:type="dxa"/>
            <w:vMerge w:val="continue"/>
            <w:tcBorders>
              <w:top w:val="single" w:color="auto" w:sz="12" w:space="0"/>
              <w:left w:val="single" w:color="auto" w:sz="4" w:space="0"/>
              <w:bottom w:val="single" w:color="auto" w:sz="4" w:space="0"/>
              <w:right w:val="single" w:color="auto" w:sz="6" w:space="0"/>
            </w:tcBorders>
            <w:noWrap w:val="0"/>
            <w:vAlign w:val="center"/>
          </w:tcPr>
          <w:p w14:paraId="623BA2FE">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885" w:type="dxa"/>
            <w:vMerge w:val="continue"/>
            <w:tcBorders>
              <w:top w:val="single" w:color="auto" w:sz="12" w:space="0"/>
              <w:left w:val="single" w:color="auto" w:sz="6" w:space="0"/>
              <w:bottom w:val="single" w:color="auto" w:sz="4" w:space="0"/>
              <w:right w:val="single" w:color="auto" w:sz="4" w:space="0"/>
            </w:tcBorders>
            <w:noWrap w:val="0"/>
            <w:vAlign w:val="center"/>
          </w:tcPr>
          <w:p w14:paraId="4A057D00">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675" w:type="dxa"/>
            <w:vMerge w:val="continue"/>
            <w:tcBorders>
              <w:top w:val="single" w:color="auto" w:sz="12" w:space="0"/>
              <w:left w:val="single" w:color="auto" w:sz="6" w:space="0"/>
              <w:bottom w:val="single" w:color="auto" w:sz="4" w:space="0"/>
              <w:right w:val="single" w:color="auto" w:sz="4" w:space="0"/>
            </w:tcBorders>
            <w:noWrap w:val="0"/>
            <w:vAlign w:val="center"/>
          </w:tcPr>
          <w:p w14:paraId="1F0FFB7B">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2610" w:type="dxa"/>
            <w:gridSpan w:val="2"/>
            <w:vMerge w:val="continue"/>
            <w:tcBorders>
              <w:top w:val="single" w:color="auto" w:sz="12" w:space="0"/>
              <w:left w:val="single" w:color="auto" w:sz="4" w:space="0"/>
              <w:bottom w:val="single" w:color="auto" w:sz="6" w:space="0"/>
              <w:right w:val="single" w:color="auto" w:sz="6" w:space="0"/>
            </w:tcBorders>
            <w:noWrap w:val="0"/>
            <w:vAlign w:val="center"/>
          </w:tcPr>
          <w:p w14:paraId="0A71C9CE">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675" w:type="dxa"/>
            <w:vMerge w:val="continue"/>
            <w:tcBorders>
              <w:top w:val="single" w:color="auto" w:sz="12" w:space="0"/>
              <w:left w:val="single" w:color="auto" w:sz="6" w:space="0"/>
              <w:bottom w:val="single" w:color="auto" w:sz="4" w:space="0"/>
              <w:right w:val="single" w:color="auto" w:sz="4" w:space="0"/>
            </w:tcBorders>
            <w:noWrap w:val="0"/>
            <w:vAlign w:val="center"/>
          </w:tcPr>
          <w:p w14:paraId="5A00A6BD">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left"/>
              <w:textAlignment w:val="auto"/>
              <w:rPr>
                <w:rFonts w:ascii="仿宋" w:hAnsi="仿宋" w:eastAsia="仿宋" w:cs="仿宋"/>
                <w:b/>
                <w:color w:val="FF0000"/>
                <w:sz w:val="18"/>
                <w:szCs w:val="18"/>
              </w:rPr>
            </w:pPr>
          </w:p>
        </w:tc>
        <w:tc>
          <w:tcPr>
            <w:tcW w:w="412" w:type="dxa"/>
            <w:vMerge w:val="continue"/>
            <w:tcBorders>
              <w:top w:val="single" w:color="auto" w:sz="12" w:space="0"/>
              <w:left w:val="single" w:color="auto" w:sz="6" w:space="0"/>
              <w:bottom w:val="single" w:color="auto" w:sz="4" w:space="0"/>
              <w:right w:val="single" w:color="auto" w:sz="12" w:space="0"/>
            </w:tcBorders>
            <w:noWrap w:val="0"/>
            <w:vAlign w:val="center"/>
          </w:tcPr>
          <w:p w14:paraId="0724FBB4">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left"/>
              <w:textAlignment w:val="auto"/>
              <w:rPr>
                <w:rFonts w:ascii="仿宋" w:hAnsi="仿宋" w:eastAsia="仿宋" w:cs="仿宋"/>
                <w:b/>
                <w:color w:val="FF0000"/>
                <w:sz w:val="18"/>
                <w:szCs w:val="18"/>
              </w:rPr>
            </w:pPr>
          </w:p>
        </w:tc>
      </w:tr>
      <w:tr w14:paraId="465D31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dxa"/>
            <w:vMerge w:val="continue"/>
            <w:tcBorders>
              <w:top w:val="single" w:color="auto" w:sz="12" w:space="0"/>
              <w:left w:val="single" w:color="auto" w:sz="12" w:space="0"/>
              <w:bottom w:val="single" w:color="auto" w:sz="4" w:space="0"/>
              <w:right w:val="single" w:color="auto" w:sz="4" w:space="0"/>
            </w:tcBorders>
            <w:noWrap w:val="0"/>
            <w:vAlign w:val="center"/>
          </w:tcPr>
          <w:p w14:paraId="17B95F34">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left"/>
              <w:textAlignment w:val="auto"/>
              <w:rPr>
                <w:rFonts w:ascii="仿宋" w:hAnsi="仿宋" w:eastAsia="仿宋" w:cs="仿宋"/>
                <w:b/>
                <w:color w:val="FF0000"/>
                <w:sz w:val="18"/>
                <w:szCs w:val="18"/>
              </w:rPr>
            </w:pPr>
          </w:p>
        </w:tc>
        <w:tc>
          <w:tcPr>
            <w:tcW w:w="675" w:type="dxa"/>
            <w:vMerge w:val="continue"/>
            <w:tcBorders>
              <w:top w:val="single" w:color="auto" w:sz="12" w:space="0"/>
              <w:left w:val="single" w:color="auto" w:sz="4" w:space="0"/>
              <w:bottom w:val="single" w:color="auto" w:sz="4" w:space="0"/>
              <w:right w:val="single" w:color="auto" w:sz="4" w:space="0"/>
            </w:tcBorders>
            <w:noWrap w:val="0"/>
            <w:vAlign w:val="center"/>
          </w:tcPr>
          <w:p w14:paraId="466F5EB4">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left"/>
              <w:textAlignment w:val="auto"/>
              <w:rPr>
                <w:rFonts w:ascii="仿宋" w:hAnsi="仿宋" w:eastAsia="仿宋" w:cs="仿宋"/>
                <w:b/>
                <w:color w:val="FF0000"/>
                <w:sz w:val="18"/>
                <w:szCs w:val="18"/>
              </w:rPr>
            </w:pPr>
          </w:p>
        </w:tc>
        <w:tc>
          <w:tcPr>
            <w:tcW w:w="780" w:type="dxa"/>
            <w:vMerge w:val="continue"/>
            <w:tcBorders>
              <w:top w:val="single" w:color="auto" w:sz="12" w:space="0"/>
              <w:left w:val="single" w:color="auto" w:sz="4" w:space="0"/>
              <w:bottom w:val="single" w:color="auto" w:sz="4" w:space="0"/>
              <w:right w:val="single" w:color="auto" w:sz="4" w:space="0"/>
            </w:tcBorders>
            <w:noWrap w:val="0"/>
            <w:vAlign w:val="center"/>
          </w:tcPr>
          <w:p w14:paraId="684FEFDA">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left"/>
              <w:textAlignment w:val="auto"/>
              <w:rPr>
                <w:rFonts w:ascii="仿宋" w:hAnsi="仿宋" w:eastAsia="仿宋" w:cs="仿宋"/>
                <w:b/>
                <w:color w:val="FF0000"/>
                <w:sz w:val="18"/>
                <w:szCs w:val="18"/>
              </w:rPr>
            </w:pPr>
          </w:p>
        </w:tc>
        <w:tc>
          <w:tcPr>
            <w:tcW w:w="690" w:type="dxa"/>
            <w:vMerge w:val="continue"/>
            <w:tcBorders>
              <w:top w:val="single" w:color="auto" w:sz="6" w:space="0"/>
              <w:left w:val="single" w:color="auto" w:sz="4" w:space="0"/>
              <w:bottom w:val="single" w:color="auto" w:sz="4" w:space="0"/>
              <w:right w:val="single" w:color="auto" w:sz="4" w:space="0"/>
            </w:tcBorders>
            <w:noWrap w:val="0"/>
            <w:vAlign w:val="center"/>
          </w:tcPr>
          <w:p w14:paraId="4195CC97">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750" w:type="dxa"/>
            <w:vMerge w:val="continue"/>
            <w:tcBorders>
              <w:top w:val="single" w:color="auto" w:sz="6" w:space="0"/>
              <w:left w:val="single" w:color="auto" w:sz="4" w:space="0"/>
              <w:bottom w:val="single" w:color="auto" w:sz="4" w:space="0"/>
              <w:right w:val="single" w:color="auto" w:sz="4" w:space="0"/>
            </w:tcBorders>
            <w:noWrap w:val="0"/>
            <w:vAlign w:val="center"/>
          </w:tcPr>
          <w:p w14:paraId="55AA3370">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825" w:type="dxa"/>
            <w:vMerge w:val="continue"/>
            <w:tcBorders>
              <w:top w:val="single" w:color="auto" w:sz="6" w:space="0"/>
              <w:left w:val="single" w:color="auto" w:sz="4" w:space="0"/>
              <w:bottom w:val="single" w:color="auto" w:sz="4" w:space="0"/>
              <w:right w:val="single" w:color="auto" w:sz="4" w:space="0"/>
            </w:tcBorders>
            <w:noWrap w:val="0"/>
            <w:vAlign w:val="center"/>
          </w:tcPr>
          <w:p w14:paraId="33516D8F">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675" w:type="dxa"/>
            <w:vMerge w:val="continue"/>
            <w:tcBorders>
              <w:top w:val="single" w:color="auto" w:sz="6" w:space="0"/>
              <w:left w:val="single" w:color="auto" w:sz="4" w:space="0"/>
              <w:bottom w:val="single" w:color="auto" w:sz="4" w:space="0"/>
              <w:right w:val="single" w:color="auto" w:sz="4" w:space="0"/>
            </w:tcBorders>
            <w:noWrap w:val="0"/>
            <w:vAlign w:val="center"/>
          </w:tcPr>
          <w:p w14:paraId="72964B1F">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870" w:type="dxa"/>
            <w:vMerge w:val="continue"/>
            <w:tcBorders>
              <w:top w:val="single" w:color="auto" w:sz="6" w:space="0"/>
              <w:left w:val="single" w:color="auto" w:sz="4" w:space="0"/>
              <w:bottom w:val="single" w:color="auto" w:sz="4" w:space="0"/>
              <w:right w:val="single" w:color="auto" w:sz="4" w:space="0"/>
            </w:tcBorders>
            <w:noWrap w:val="0"/>
            <w:vAlign w:val="center"/>
          </w:tcPr>
          <w:p w14:paraId="40602E06">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945" w:type="dxa"/>
            <w:vMerge w:val="continue"/>
            <w:tcBorders>
              <w:top w:val="single" w:color="auto" w:sz="12" w:space="0"/>
              <w:left w:val="single" w:color="auto" w:sz="4" w:space="0"/>
              <w:bottom w:val="single" w:color="auto" w:sz="4" w:space="0"/>
              <w:right w:val="single" w:color="auto" w:sz="6" w:space="0"/>
            </w:tcBorders>
            <w:noWrap w:val="0"/>
            <w:vAlign w:val="center"/>
          </w:tcPr>
          <w:p w14:paraId="58E36942">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525" w:type="dxa"/>
            <w:vMerge w:val="continue"/>
            <w:tcBorders>
              <w:top w:val="single" w:color="auto" w:sz="12" w:space="0"/>
              <w:left w:val="single" w:color="auto" w:sz="6" w:space="0"/>
              <w:bottom w:val="single" w:color="auto" w:sz="4" w:space="0"/>
              <w:right w:val="single" w:color="auto" w:sz="4" w:space="0"/>
            </w:tcBorders>
            <w:noWrap w:val="0"/>
            <w:vAlign w:val="center"/>
          </w:tcPr>
          <w:p w14:paraId="5F93614D">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450" w:type="dxa"/>
            <w:vMerge w:val="continue"/>
            <w:tcBorders>
              <w:top w:val="single" w:color="auto" w:sz="12" w:space="0"/>
              <w:left w:val="single" w:color="auto" w:sz="6" w:space="0"/>
              <w:bottom w:val="single" w:color="auto" w:sz="4" w:space="0"/>
              <w:right w:val="single" w:color="auto" w:sz="4" w:space="0"/>
            </w:tcBorders>
            <w:noWrap w:val="0"/>
            <w:vAlign w:val="center"/>
          </w:tcPr>
          <w:p w14:paraId="22915436">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735" w:type="dxa"/>
            <w:vMerge w:val="continue"/>
            <w:tcBorders>
              <w:top w:val="single" w:color="auto" w:sz="12" w:space="0"/>
              <w:left w:val="single" w:color="auto" w:sz="6" w:space="0"/>
              <w:bottom w:val="single" w:color="auto" w:sz="4" w:space="0"/>
              <w:right w:val="single" w:color="auto" w:sz="4" w:space="0"/>
            </w:tcBorders>
            <w:noWrap w:val="0"/>
            <w:vAlign w:val="center"/>
          </w:tcPr>
          <w:p w14:paraId="46695787">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690" w:type="dxa"/>
            <w:vMerge w:val="continue"/>
            <w:tcBorders>
              <w:top w:val="single" w:color="auto" w:sz="12" w:space="0"/>
              <w:left w:val="single" w:color="auto" w:sz="4" w:space="0"/>
              <w:bottom w:val="single" w:color="auto" w:sz="4" w:space="0"/>
              <w:right w:val="single" w:color="auto" w:sz="6" w:space="0"/>
            </w:tcBorders>
            <w:noWrap w:val="0"/>
            <w:vAlign w:val="center"/>
          </w:tcPr>
          <w:p w14:paraId="7B0C16F9">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885" w:type="dxa"/>
            <w:vMerge w:val="continue"/>
            <w:tcBorders>
              <w:top w:val="single" w:color="auto" w:sz="12" w:space="0"/>
              <w:left w:val="single" w:color="auto" w:sz="6" w:space="0"/>
              <w:bottom w:val="single" w:color="auto" w:sz="4" w:space="0"/>
              <w:right w:val="single" w:color="auto" w:sz="4" w:space="0"/>
            </w:tcBorders>
            <w:noWrap w:val="0"/>
            <w:vAlign w:val="center"/>
          </w:tcPr>
          <w:p w14:paraId="76A6C12E">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675" w:type="dxa"/>
            <w:vMerge w:val="continue"/>
            <w:tcBorders>
              <w:top w:val="single" w:color="auto" w:sz="12" w:space="0"/>
              <w:left w:val="single" w:color="auto" w:sz="6" w:space="0"/>
              <w:bottom w:val="single" w:color="auto" w:sz="4" w:space="0"/>
              <w:right w:val="single" w:color="auto" w:sz="4" w:space="0"/>
            </w:tcBorders>
            <w:noWrap w:val="0"/>
            <w:vAlign w:val="center"/>
          </w:tcPr>
          <w:p w14:paraId="46483D55">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1875" w:type="dxa"/>
            <w:tcBorders>
              <w:top w:val="single" w:color="auto" w:sz="6" w:space="0"/>
              <w:left w:val="single" w:color="auto" w:sz="4" w:space="0"/>
              <w:bottom w:val="single" w:color="auto" w:sz="4" w:space="0"/>
              <w:right w:val="single" w:color="auto" w:sz="6" w:space="0"/>
            </w:tcBorders>
            <w:noWrap w:val="0"/>
            <w:vAlign w:val="center"/>
          </w:tcPr>
          <w:p w14:paraId="61595E3F">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标准名称</w:t>
            </w:r>
          </w:p>
        </w:tc>
        <w:tc>
          <w:tcPr>
            <w:tcW w:w="735" w:type="dxa"/>
            <w:tcBorders>
              <w:top w:val="single" w:color="auto" w:sz="6" w:space="0"/>
              <w:left w:val="single" w:color="auto" w:sz="4" w:space="0"/>
              <w:bottom w:val="single" w:color="auto" w:sz="4" w:space="0"/>
              <w:right w:val="single" w:color="auto" w:sz="6" w:space="0"/>
            </w:tcBorders>
            <w:noWrap w:val="0"/>
            <w:vAlign w:val="center"/>
          </w:tcPr>
          <w:p w14:paraId="318321B6">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浓度限值</w:t>
            </w:r>
          </w:p>
        </w:tc>
        <w:tc>
          <w:tcPr>
            <w:tcW w:w="675" w:type="dxa"/>
            <w:vMerge w:val="continue"/>
            <w:tcBorders>
              <w:top w:val="single" w:color="auto" w:sz="12" w:space="0"/>
              <w:left w:val="single" w:color="auto" w:sz="6" w:space="0"/>
              <w:bottom w:val="single" w:color="auto" w:sz="4" w:space="0"/>
              <w:right w:val="single" w:color="auto" w:sz="4" w:space="0"/>
            </w:tcBorders>
            <w:noWrap w:val="0"/>
            <w:vAlign w:val="center"/>
          </w:tcPr>
          <w:p w14:paraId="50D74980">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left"/>
              <w:textAlignment w:val="auto"/>
              <w:rPr>
                <w:rFonts w:ascii="仿宋" w:hAnsi="仿宋" w:eastAsia="仿宋" w:cs="仿宋"/>
                <w:b/>
                <w:color w:val="FF0000"/>
                <w:sz w:val="18"/>
                <w:szCs w:val="18"/>
              </w:rPr>
            </w:pPr>
          </w:p>
        </w:tc>
        <w:tc>
          <w:tcPr>
            <w:tcW w:w="412" w:type="dxa"/>
            <w:vMerge w:val="continue"/>
            <w:tcBorders>
              <w:top w:val="single" w:color="auto" w:sz="12" w:space="0"/>
              <w:left w:val="single" w:color="auto" w:sz="6" w:space="0"/>
              <w:bottom w:val="single" w:color="auto" w:sz="4" w:space="0"/>
              <w:right w:val="single" w:color="auto" w:sz="12" w:space="0"/>
            </w:tcBorders>
            <w:noWrap w:val="0"/>
            <w:vAlign w:val="center"/>
          </w:tcPr>
          <w:p w14:paraId="39AD540B">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left"/>
              <w:textAlignment w:val="auto"/>
              <w:rPr>
                <w:rFonts w:ascii="仿宋" w:hAnsi="仿宋" w:eastAsia="仿宋" w:cs="仿宋"/>
                <w:b/>
                <w:color w:val="FF0000"/>
                <w:sz w:val="18"/>
                <w:szCs w:val="18"/>
              </w:rPr>
            </w:pPr>
          </w:p>
        </w:tc>
      </w:tr>
      <w:tr w14:paraId="54D41F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dxa"/>
            <w:vMerge w:val="restart"/>
            <w:tcBorders>
              <w:top w:val="single" w:color="auto" w:sz="4" w:space="0"/>
              <w:left w:val="single" w:color="auto" w:sz="12" w:space="0"/>
              <w:right w:val="single" w:color="auto" w:sz="4" w:space="0"/>
            </w:tcBorders>
            <w:noWrap w:val="0"/>
            <w:vAlign w:val="center"/>
          </w:tcPr>
          <w:p w14:paraId="02C2D59F">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c>
          <w:tcPr>
            <w:tcW w:w="675" w:type="dxa"/>
            <w:vMerge w:val="restart"/>
            <w:tcBorders>
              <w:top w:val="single" w:color="auto" w:sz="4" w:space="0"/>
              <w:left w:val="single" w:color="auto" w:sz="4" w:space="0"/>
              <w:right w:val="single" w:color="auto" w:sz="4" w:space="0"/>
            </w:tcBorders>
            <w:noWrap w:val="0"/>
            <w:vAlign w:val="center"/>
          </w:tcPr>
          <w:p w14:paraId="54D7B765">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center"/>
              <w:rPr>
                <w:rFonts w:hint="eastAsia" w:cs="Times New Roman"/>
                <w:color w:val="auto"/>
                <w:sz w:val="21"/>
                <w:szCs w:val="21"/>
                <w:lang w:val="en-US" w:eastAsia="zh-CN"/>
              </w:rPr>
            </w:pPr>
            <w:r>
              <w:rPr>
                <w:rFonts w:hint="eastAsia" w:ascii="Times New Roman" w:hAnsi="Times New Roman" w:cs="Times New Roman"/>
                <w:color w:val="auto"/>
                <w:kern w:val="0"/>
                <w:sz w:val="21"/>
                <w:szCs w:val="21"/>
                <w:lang w:val="en-US" w:eastAsia="zh-CN"/>
              </w:rPr>
              <w:t>医院综合废水</w:t>
            </w:r>
          </w:p>
        </w:tc>
        <w:tc>
          <w:tcPr>
            <w:tcW w:w="780" w:type="dxa"/>
            <w:tcBorders>
              <w:top w:val="single" w:color="auto" w:sz="4" w:space="0"/>
              <w:left w:val="single" w:color="auto" w:sz="4" w:space="0"/>
              <w:right w:val="single" w:color="auto" w:sz="4" w:space="0"/>
            </w:tcBorders>
            <w:noWrap w:val="0"/>
            <w:vAlign w:val="center"/>
          </w:tcPr>
          <w:p w14:paraId="658E2CC9">
            <w:pPr>
              <w:pStyle w:val="120"/>
              <w:bidi w:val="0"/>
              <w:ind w:firstLine="0" w:firstLineChars="0"/>
              <w:jc w:val="center"/>
              <w:rPr>
                <w:rFonts w:hint="eastAsia" w:ascii="Times New Roman" w:hAnsi="Times New Roman" w:eastAsia="宋体" w:cs="Times New Roman"/>
                <w:color w:val="auto"/>
                <w:sz w:val="21"/>
                <w:szCs w:val="21"/>
                <w:lang w:val="en-US" w:eastAsia="zh-CN"/>
              </w:rPr>
            </w:pPr>
            <w:r>
              <w:rPr>
                <w:rFonts w:hint="default"/>
                <w:color w:val="auto"/>
                <w:highlight w:val="none"/>
                <w:lang w:val="en-US" w:eastAsia="zh-CN"/>
              </w:rPr>
              <w:t>pH</w:t>
            </w:r>
          </w:p>
        </w:tc>
        <w:tc>
          <w:tcPr>
            <w:tcW w:w="690" w:type="dxa"/>
            <w:vMerge w:val="restart"/>
            <w:tcBorders>
              <w:top w:val="single" w:color="auto" w:sz="4" w:space="0"/>
              <w:left w:val="single" w:color="auto" w:sz="4" w:space="0"/>
              <w:right w:val="single" w:color="auto" w:sz="4" w:space="0"/>
            </w:tcBorders>
            <w:noWrap w:val="0"/>
            <w:vAlign w:val="center"/>
          </w:tcPr>
          <w:p w14:paraId="1FA3973B">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TW001</w:t>
            </w:r>
          </w:p>
        </w:tc>
        <w:tc>
          <w:tcPr>
            <w:tcW w:w="750" w:type="dxa"/>
            <w:vMerge w:val="restart"/>
            <w:tcBorders>
              <w:top w:val="single" w:color="auto" w:sz="4" w:space="0"/>
              <w:left w:val="single" w:color="auto" w:sz="4" w:space="0"/>
              <w:right w:val="single" w:color="auto" w:sz="4" w:space="0"/>
            </w:tcBorders>
            <w:noWrap w:val="0"/>
            <w:vAlign w:val="center"/>
          </w:tcPr>
          <w:p w14:paraId="25DCCF96">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污水处理站</w:t>
            </w:r>
          </w:p>
        </w:tc>
        <w:tc>
          <w:tcPr>
            <w:tcW w:w="825" w:type="dxa"/>
            <w:vMerge w:val="restart"/>
            <w:tcBorders>
              <w:top w:val="single" w:color="auto" w:sz="4" w:space="0"/>
              <w:left w:val="single" w:color="auto" w:sz="4" w:space="0"/>
              <w:right w:val="single" w:color="auto" w:sz="4" w:space="0"/>
            </w:tcBorders>
            <w:noWrap w:val="0"/>
            <w:vAlign w:val="center"/>
          </w:tcPr>
          <w:p w14:paraId="30B22A97">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r>
              <w:rPr>
                <w:rFonts w:hint="eastAsia" w:ascii="Times New Roman" w:hAnsi="Times New Roman" w:eastAsia="宋体" w:cs="Times New Roman"/>
                <w:color w:val="auto"/>
                <w:kern w:val="0"/>
                <w:sz w:val="21"/>
                <w:szCs w:val="21"/>
                <w:lang w:val="en-US" w:eastAsia="zh-CN"/>
              </w:rPr>
              <w:t>隔油池+化粪池+格栅井+调节池+</w:t>
            </w:r>
            <w:r>
              <w:rPr>
                <w:rFonts w:hint="eastAsia" w:ascii="Times New Roman" w:hAnsi="Times New Roman" w:eastAsia="宋体" w:cs="Times New Roman"/>
                <w:color w:val="auto"/>
                <w:spacing w:val="0"/>
                <w:sz w:val="21"/>
                <w:szCs w:val="21"/>
                <w:lang w:val="en-US" w:eastAsia="zh-CN" w:bidi="zh-CN"/>
              </w:rPr>
              <w:t>水解酸化</w:t>
            </w:r>
            <w:r>
              <w:rPr>
                <w:rFonts w:hint="default" w:ascii="Times New Roman" w:hAnsi="Times New Roman" w:eastAsia="宋体" w:cs="Times New Roman"/>
                <w:color w:val="auto"/>
                <w:spacing w:val="0"/>
                <w:sz w:val="21"/>
                <w:szCs w:val="21"/>
                <w:lang w:val="en-US" w:eastAsia="zh-CN" w:bidi="zh-CN"/>
              </w:rPr>
              <w:t>+</w:t>
            </w:r>
            <w:r>
              <w:rPr>
                <w:rFonts w:hint="eastAsia" w:ascii="Times New Roman" w:hAnsi="Times New Roman" w:eastAsia="宋体" w:cs="Times New Roman"/>
                <w:color w:val="auto"/>
                <w:spacing w:val="0"/>
                <w:sz w:val="21"/>
                <w:szCs w:val="21"/>
                <w:lang w:val="en-US" w:eastAsia="zh-CN" w:bidi="zh-CN"/>
              </w:rPr>
              <w:t>接触氧化</w:t>
            </w:r>
            <w:r>
              <w:rPr>
                <w:rFonts w:hint="default" w:ascii="Times New Roman" w:hAnsi="Times New Roman" w:eastAsia="宋体" w:cs="Times New Roman"/>
                <w:color w:val="auto"/>
                <w:spacing w:val="0"/>
                <w:sz w:val="21"/>
                <w:szCs w:val="21"/>
                <w:lang w:val="en-US" w:eastAsia="zh-CN" w:bidi="zh-CN"/>
              </w:rPr>
              <w:t>+</w:t>
            </w:r>
            <w:r>
              <w:rPr>
                <w:rFonts w:hint="eastAsia" w:ascii="Times New Roman" w:hAnsi="Times New Roman" w:eastAsia="宋体" w:cs="Times New Roman"/>
                <w:color w:val="auto"/>
                <w:spacing w:val="0"/>
                <w:sz w:val="21"/>
                <w:szCs w:val="21"/>
                <w:lang w:val="en-US" w:eastAsia="zh-CN" w:bidi="zh-CN"/>
              </w:rPr>
              <w:t>消毒</w:t>
            </w:r>
          </w:p>
        </w:tc>
        <w:tc>
          <w:tcPr>
            <w:tcW w:w="675" w:type="dxa"/>
            <w:vMerge w:val="restart"/>
            <w:tcBorders>
              <w:top w:val="single" w:color="auto" w:sz="4" w:space="0"/>
              <w:left w:val="single" w:color="auto" w:sz="4" w:space="0"/>
              <w:right w:val="single" w:color="auto" w:sz="4" w:space="0"/>
            </w:tcBorders>
            <w:noWrap w:val="0"/>
            <w:vAlign w:val="center"/>
          </w:tcPr>
          <w:p w14:paraId="2DF4B30A">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r>
              <w:rPr>
                <w:rFonts w:hint="eastAsia" w:cs="Times New Roman"/>
                <w:color w:val="auto"/>
                <w:sz w:val="21"/>
                <w:szCs w:val="21"/>
                <w:lang w:val="zh-CN" w:eastAsia="zh-CN"/>
              </w:rPr>
              <w:t>是</w:t>
            </w:r>
          </w:p>
        </w:tc>
        <w:tc>
          <w:tcPr>
            <w:tcW w:w="870" w:type="dxa"/>
            <w:vMerge w:val="restart"/>
            <w:tcBorders>
              <w:top w:val="single" w:color="auto" w:sz="4" w:space="0"/>
              <w:left w:val="single" w:color="auto" w:sz="4" w:space="0"/>
              <w:right w:val="single" w:color="auto" w:sz="4" w:space="0"/>
            </w:tcBorders>
            <w:noWrap w:val="0"/>
            <w:vAlign w:val="center"/>
          </w:tcPr>
          <w:p w14:paraId="49602949">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300t/d</w:t>
            </w:r>
          </w:p>
        </w:tc>
        <w:tc>
          <w:tcPr>
            <w:tcW w:w="945" w:type="dxa"/>
            <w:vMerge w:val="restart"/>
            <w:tcBorders>
              <w:top w:val="single" w:color="auto" w:sz="4" w:space="0"/>
              <w:left w:val="single" w:color="auto" w:sz="4" w:space="0"/>
              <w:right w:val="single" w:color="auto" w:sz="6" w:space="0"/>
            </w:tcBorders>
            <w:noWrap w:val="0"/>
            <w:vAlign w:val="center"/>
          </w:tcPr>
          <w:p w14:paraId="68D563DE">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潘集污水处理厂</w:t>
            </w:r>
          </w:p>
        </w:tc>
        <w:tc>
          <w:tcPr>
            <w:tcW w:w="525" w:type="dxa"/>
            <w:vMerge w:val="restart"/>
            <w:tcBorders>
              <w:top w:val="single" w:color="auto" w:sz="4" w:space="0"/>
              <w:left w:val="single" w:color="auto" w:sz="6" w:space="0"/>
              <w:right w:val="single" w:color="auto" w:sz="4" w:space="0"/>
            </w:tcBorders>
            <w:noWrap w:val="0"/>
            <w:vAlign w:val="center"/>
          </w:tcPr>
          <w:p w14:paraId="300E61A4">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r>
              <w:rPr>
                <w:rFonts w:hint="eastAsia" w:ascii="Times New Roman" w:hAnsi="Times New Roman" w:eastAsia="宋体" w:cs="Times New Roman"/>
                <w:color w:val="auto"/>
                <w:sz w:val="21"/>
                <w:szCs w:val="21"/>
                <w:lang w:val="zh-CN" w:eastAsia="zh-CN"/>
              </w:rPr>
              <w:t>间接排放</w:t>
            </w:r>
          </w:p>
        </w:tc>
        <w:tc>
          <w:tcPr>
            <w:tcW w:w="450" w:type="dxa"/>
            <w:vMerge w:val="restart"/>
            <w:tcBorders>
              <w:top w:val="single" w:color="auto" w:sz="4" w:space="0"/>
              <w:left w:val="single" w:color="auto" w:sz="6" w:space="0"/>
              <w:right w:val="single" w:color="auto" w:sz="4" w:space="0"/>
            </w:tcBorders>
            <w:noWrap w:val="0"/>
            <w:vAlign w:val="center"/>
          </w:tcPr>
          <w:p w14:paraId="1FB987B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r>
              <w:rPr>
                <w:rFonts w:hint="eastAsia" w:ascii="Times New Roman" w:hAnsi="Times New Roman" w:eastAsia="宋体" w:cs="Times New Roman"/>
                <w:color w:val="auto"/>
                <w:sz w:val="21"/>
                <w:szCs w:val="21"/>
                <w:lang w:val="zh-CN" w:eastAsia="zh-CN"/>
              </w:rPr>
              <w:t>连续排放</w:t>
            </w:r>
          </w:p>
        </w:tc>
        <w:tc>
          <w:tcPr>
            <w:tcW w:w="735" w:type="dxa"/>
            <w:vMerge w:val="restart"/>
            <w:tcBorders>
              <w:top w:val="single" w:color="auto" w:sz="4" w:space="0"/>
              <w:left w:val="single" w:color="auto" w:sz="6" w:space="0"/>
              <w:right w:val="single" w:color="auto" w:sz="4" w:space="0"/>
            </w:tcBorders>
            <w:noWrap w:val="0"/>
            <w:vAlign w:val="center"/>
          </w:tcPr>
          <w:p w14:paraId="1D8032F2">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DW001</w:t>
            </w:r>
          </w:p>
        </w:tc>
        <w:tc>
          <w:tcPr>
            <w:tcW w:w="690" w:type="dxa"/>
            <w:vMerge w:val="restart"/>
            <w:tcBorders>
              <w:top w:val="single" w:color="auto" w:sz="4" w:space="0"/>
              <w:left w:val="single" w:color="auto" w:sz="4" w:space="0"/>
              <w:right w:val="single" w:color="auto" w:sz="6" w:space="0"/>
            </w:tcBorders>
            <w:noWrap w:val="0"/>
            <w:vAlign w:val="center"/>
          </w:tcPr>
          <w:p w14:paraId="736DA44C">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污水总排口</w:t>
            </w:r>
          </w:p>
        </w:tc>
        <w:tc>
          <w:tcPr>
            <w:tcW w:w="885" w:type="dxa"/>
            <w:vMerge w:val="restart"/>
            <w:tcBorders>
              <w:top w:val="single" w:color="auto" w:sz="4" w:space="0"/>
              <w:left w:val="single" w:color="auto" w:sz="6" w:space="0"/>
              <w:right w:val="single" w:color="auto" w:sz="4" w:space="0"/>
            </w:tcBorders>
            <w:noWrap w:val="0"/>
            <w:vAlign w:val="center"/>
          </w:tcPr>
          <w:p w14:paraId="1037774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是</w:t>
            </w:r>
          </w:p>
        </w:tc>
        <w:tc>
          <w:tcPr>
            <w:tcW w:w="675" w:type="dxa"/>
            <w:vMerge w:val="restart"/>
            <w:tcBorders>
              <w:top w:val="single" w:color="auto" w:sz="4" w:space="0"/>
              <w:left w:val="single" w:color="auto" w:sz="6" w:space="0"/>
              <w:right w:val="single" w:color="auto" w:sz="4" w:space="0"/>
            </w:tcBorders>
            <w:noWrap w:val="0"/>
            <w:vAlign w:val="center"/>
          </w:tcPr>
          <w:p w14:paraId="2ADD9C0A">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一般排放</w:t>
            </w:r>
            <w:r>
              <w:rPr>
                <w:rFonts w:hint="eastAsia" w:ascii="Times New Roman" w:hAnsi="Times New Roman" w:eastAsia="宋体" w:cs="Times New Roman"/>
                <w:color w:val="auto"/>
                <w:sz w:val="21"/>
                <w:szCs w:val="21"/>
                <w:lang w:val="en-US" w:eastAsia="zh-CN"/>
              </w:rPr>
              <w:t>排口</w:t>
            </w:r>
          </w:p>
        </w:tc>
        <w:tc>
          <w:tcPr>
            <w:tcW w:w="1875" w:type="dxa"/>
            <w:vMerge w:val="restart"/>
            <w:tcBorders>
              <w:top w:val="single" w:color="auto" w:sz="4" w:space="0"/>
              <w:left w:val="single" w:color="auto" w:sz="4" w:space="0"/>
              <w:right w:val="single" w:color="auto" w:sz="6" w:space="0"/>
            </w:tcBorders>
            <w:noWrap w:val="0"/>
            <w:vAlign w:val="center"/>
          </w:tcPr>
          <w:p w14:paraId="2DD7743B">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r>
              <w:rPr>
                <w:rFonts w:hint="default" w:ascii="Times New Roman" w:hAnsi="Times New Roman" w:cs="Times New Roman"/>
                <w:color w:val="auto"/>
                <w:sz w:val="21"/>
                <w:szCs w:val="21"/>
                <w:highlight w:val="none"/>
              </w:rPr>
              <w:t>《医疗机构水污染物排放标准》（GB18466</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2005）表</w:t>
            </w:r>
            <w:r>
              <w:rPr>
                <w:rFonts w:hint="eastAsia"/>
                <w:color w:val="auto"/>
                <w:sz w:val="21"/>
                <w:szCs w:val="21"/>
                <w:highlight w:val="none"/>
              </w:rPr>
              <w:t>2中预处理标准</w:t>
            </w:r>
            <w:r>
              <w:rPr>
                <w:rFonts w:hint="eastAsia"/>
                <w:color w:val="auto"/>
                <w:sz w:val="21"/>
                <w:szCs w:val="21"/>
                <w:highlight w:val="none"/>
                <w:lang w:val="en-US" w:eastAsia="zh-CN"/>
              </w:rPr>
              <w:t>及</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接管标准</w:t>
            </w:r>
          </w:p>
        </w:tc>
        <w:tc>
          <w:tcPr>
            <w:tcW w:w="735" w:type="dxa"/>
            <w:tcBorders>
              <w:top w:val="single" w:color="auto" w:sz="4" w:space="0"/>
              <w:left w:val="single" w:color="auto" w:sz="4" w:space="0"/>
              <w:right w:val="single" w:color="auto" w:sz="6" w:space="0"/>
            </w:tcBorders>
            <w:noWrap w:val="0"/>
            <w:vAlign w:val="center"/>
          </w:tcPr>
          <w:p w14:paraId="7DB6974D">
            <w:pPr>
              <w:pStyle w:val="95"/>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auto"/>
                <w:sz w:val="21"/>
                <w:szCs w:val="21"/>
                <w:lang w:val="en-US" w:eastAsia="zh-CN"/>
              </w:rPr>
            </w:pPr>
            <w:r>
              <w:rPr>
                <w:rFonts w:hint="eastAsia"/>
                <w:color w:val="auto"/>
                <w:sz w:val="21"/>
                <w:szCs w:val="21"/>
                <w:highlight w:val="none"/>
                <w:lang w:val="en-US" w:eastAsia="zh-CN"/>
              </w:rPr>
              <w:t>6-9</w:t>
            </w:r>
          </w:p>
        </w:tc>
        <w:tc>
          <w:tcPr>
            <w:tcW w:w="675" w:type="dxa"/>
            <w:tcBorders>
              <w:top w:val="single" w:color="auto" w:sz="4" w:space="0"/>
              <w:left w:val="single" w:color="auto" w:sz="6" w:space="0"/>
              <w:right w:val="single" w:color="auto" w:sz="4" w:space="0"/>
            </w:tcBorders>
            <w:noWrap w:val="0"/>
            <w:vAlign w:val="center"/>
          </w:tcPr>
          <w:p w14:paraId="4E145D92">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412" w:type="dxa"/>
            <w:vMerge w:val="restart"/>
            <w:tcBorders>
              <w:top w:val="single" w:color="auto" w:sz="4" w:space="0"/>
              <w:left w:val="single" w:color="auto" w:sz="6" w:space="0"/>
              <w:right w:val="single" w:color="auto" w:sz="12" w:space="0"/>
            </w:tcBorders>
            <w:noWrap w:val="0"/>
            <w:vAlign w:val="center"/>
          </w:tcPr>
          <w:p w14:paraId="5CD9F917">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r>
      <w:tr w14:paraId="137252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dxa"/>
            <w:vMerge w:val="continue"/>
            <w:tcBorders>
              <w:left w:val="single" w:color="auto" w:sz="12" w:space="0"/>
              <w:right w:val="single" w:color="auto" w:sz="4" w:space="0"/>
            </w:tcBorders>
            <w:noWrap w:val="0"/>
            <w:vAlign w:val="center"/>
          </w:tcPr>
          <w:p w14:paraId="77268299">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675" w:type="dxa"/>
            <w:vMerge w:val="continue"/>
            <w:tcBorders>
              <w:left w:val="single" w:color="auto" w:sz="4" w:space="0"/>
              <w:right w:val="single" w:color="auto" w:sz="4" w:space="0"/>
            </w:tcBorders>
            <w:noWrap w:val="0"/>
            <w:vAlign w:val="center"/>
          </w:tcPr>
          <w:p w14:paraId="555695D8">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80" w:type="dxa"/>
            <w:tcBorders>
              <w:top w:val="single" w:color="auto" w:sz="4" w:space="0"/>
              <w:left w:val="single" w:color="auto" w:sz="4" w:space="0"/>
              <w:right w:val="single" w:color="auto" w:sz="4" w:space="0"/>
            </w:tcBorders>
            <w:noWrap w:val="0"/>
            <w:vAlign w:val="center"/>
          </w:tcPr>
          <w:p w14:paraId="43B172C9">
            <w:pPr>
              <w:pStyle w:val="120"/>
              <w:bidi w:val="0"/>
              <w:ind w:firstLine="0" w:firstLineChars="0"/>
              <w:jc w:val="center"/>
              <w:rPr>
                <w:rFonts w:hint="eastAsia" w:ascii="Times New Roman" w:hAnsi="Times New Roman" w:eastAsia="宋体" w:cs="Times New Roman"/>
                <w:color w:val="auto"/>
                <w:sz w:val="21"/>
                <w:szCs w:val="21"/>
                <w:lang w:val="en-US" w:eastAsia="zh-CN"/>
              </w:rPr>
            </w:pPr>
            <w:r>
              <w:rPr>
                <w:rFonts w:hint="default"/>
                <w:color w:val="auto"/>
                <w:highlight w:val="none"/>
                <w:lang w:val="en-US" w:eastAsia="zh-CN"/>
              </w:rPr>
              <w:t>COD</w:t>
            </w:r>
          </w:p>
        </w:tc>
        <w:tc>
          <w:tcPr>
            <w:tcW w:w="690" w:type="dxa"/>
            <w:vMerge w:val="continue"/>
            <w:tcBorders>
              <w:left w:val="single" w:color="auto" w:sz="4" w:space="0"/>
              <w:right w:val="single" w:color="auto" w:sz="4" w:space="0"/>
            </w:tcBorders>
            <w:noWrap w:val="0"/>
            <w:vAlign w:val="center"/>
          </w:tcPr>
          <w:p w14:paraId="0E3E8A03">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50" w:type="dxa"/>
            <w:vMerge w:val="continue"/>
            <w:tcBorders>
              <w:left w:val="single" w:color="auto" w:sz="4" w:space="0"/>
              <w:right w:val="single" w:color="auto" w:sz="4" w:space="0"/>
            </w:tcBorders>
            <w:noWrap w:val="0"/>
            <w:vAlign w:val="center"/>
          </w:tcPr>
          <w:p w14:paraId="089D08B8">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825" w:type="dxa"/>
            <w:vMerge w:val="continue"/>
            <w:tcBorders>
              <w:left w:val="single" w:color="auto" w:sz="4" w:space="0"/>
              <w:right w:val="single" w:color="auto" w:sz="4" w:space="0"/>
            </w:tcBorders>
            <w:noWrap w:val="0"/>
            <w:vAlign w:val="center"/>
          </w:tcPr>
          <w:p w14:paraId="656D6DC2">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675" w:type="dxa"/>
            <w:vMerge w:val="continue"/>
            <w:tcBorders>
              <w:left w:val="single" w:color="auto" w:sz="4" w:space="0"/>
              <w:right w:val="single" w:color="auto" w:sz="4" w:space="0"/>
            </w:tcBorders>
            <w:noWrap w:val="0"/>
            <w:vAlign w:val="center"/>
          </w:tcPr>
          <w:p w14:paraId="6D550224">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zh-CN" w:eastAsia="zh-CN"/>
              </w:rPr>
            </w:pPr>
          </w:p>
        </w:tc>
        <w:tc>
          <w:tcPr>
            <w:tcW w:w="870" w:type="dxa"/>
            <w:vMerge w:val="continue"/>
            <w:tcBorders>
              <w:left w:val="single" w:color="auto" w:sz="4" w:space="0"/>
              <w:right w:val="single" w:color="auto" w:sz="4" w:space="0"/>
            </w:tcBorders>
            <w:noWrap w:val="0"/>
            <w:vAlign w:val="center"/>
          </w:tcPr>
          <w:p w14:paraId="09C9678D">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945" w:type="dxa"/>
            <w:vMerge w:val="continue"/>
            <w:tcBorders>
              <w:left w:val="single" w:color="auto" w:sz="4" w:space="0"/>
              <w:right w:val="single" w:color="auto" w:sz="6" w:space="0"/>
            </w:tcBorders>
            <w:noWrap w:val="0"/>
            <w:vAlign w:val="center"/>
          </w:tcPr>
          <w:p w14:paraId="5F90B52D">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525" w:type="dxa"/>
            <w:vMerge w:val="continue"/>
            <w:tcBorders>
              <w:left w:val="single" w:color="auto" w:sz="6" w:space="0"/>
              <w:right w:val="single" w:color="auto" w:sz="4" w:space="0"/>
            </w:tcBorders>
            <w:noWrap w:val="0"/>
            <w:vAlign w:val="center"/>
          </w:tcPr>
          <w:p w14:paraId="2A1E6666">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p>
        </w:tc>
        <w:tc>
          <w:tcPr>
            <w:tcW w:w="450" w:type="dxa"/>
            <w:vMerge w:val="continue"/>
            <w:tcBorders>
              <w:left w:val="single" w:color="auto" w:sz="6" w:space="0"/>
              <w:right w:val="single" w:color="auto" w:sz="4" w:space="0"/>
            </w:tcBorders>
            <w:noWrap w:val="0"/>
            <w:vAlign w:val="center"/>
          </w:tcPr>
          <w:p w14:paraId="075AB5CA">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p>
        </w:tc>
        <w:tc>
          <w:tcPr>
            <w:tcW w:w="735" w:type="dxa"/>
            <w:vMerge w:val="continue"/>
            <w:tcBorders>
              <w:left w:val="single" w:color="auto" w:sz="6" w:space="0"/>
              <w:right w:val="single" w:color="auto" w:sz="4" w:space="0"/>
            </w:tcBorders>
            <w:noWrap w:val="0"/>
            <w:vAlign w:val="center"/>
          </w:tcPr>
          <w:p w14:paraId="436B3B80">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690" w:type="dxa"/>
            <w:vMerge w:val="continue"/>
            <w:tcBorders>
              <w:left w:val="single" w:color="auto" w:sz="4" w:space="0"/>
              <w:right w:val="single" w:color="auto" w:sz="6" w:space="0"/>
            </w:tcBorders>
            <w:noWrap w:val="0"/>
            <w:vAlign w:val="center"/>
          </w:tcPr>
          <w:p w14:paraId="7862E729">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885" w:type="dxa"/>
            <w:vMerge w:val="continue"/>
            <w:tcBorders>
              <w:left w:val="single" w:color="auto" w:sz="6" w:space="0"/>
              <w:right w:val="single" w:color="auto" w:sz="4" w:space="0"/>
            </w:tcBorders>
            <w:noWrap w:val="0"/>
            <w:vAlign w:val="center"/>
          </w:tcPr>
          <w:p w14:paraId="7AB4D908">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675" w:type="dxa"/>
            <w:vMerge w:val="continue"/>
            <w:tcBorders>
              <w:left w:val="single" w:color="auto" w:sz="6" w:space="0"/>
              <w:right w:val="single" w:color="auto" w:sz="4" w:space="0"/>
            </w:tcBorders>
            <w:noWrap w:val="0"/>
            <w:vAlign w:val="center"/>
          </w:tcPr>
          <w:p w14:paraId="3E893F7D">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1875" w:type="dxa"/>
            <w:vMerge w:val="continue"/>
            <w:tcBorders>
              <w:left w:val="single" w:color="auto" w:sz="4" w:space="0"/>
              <w:right w:val="single" w:color="auto" w:sz="6" w:space="0"/>
            </w:tcBorders>
            <w:noWrap w:val="0"/>
            <w:vAlign w:val="center"/>
          </w:tcPr>
          <w:p w14:paraId="55DE5446">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35" w:type="dxa"/>
            <w:tcBorders>
              <w:top w:val="single" w:color="auto" w:sz="4" w:space="0"/>
              <w:left w:val="single" w:color="auto" w:sz="4" w:space="0"/>
              <w:right w:val="single" w:color="auto" w:sz="6" w:space="0"/>
            </w:tcBorders>
            <w:noWrap w:val="0"/>
            <w:vAlign w:val="center"/>
          </w:tcPr>
          <w:p w14:paraId="7B09CDA8">
            <w:pPr>
              <w:pStyle w:val="95"/>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auto"/>
                <w:sz w:val="21"/>
                <w:szCs w:val="21"/>
                <w:lang w:val="en-US" w:eastAsia="zh-CN"/>
              </w:rPr>
            </w:pPr>
            <w:r>
              <w:rPr>
                <w:rFonts w:hint="eastAsia"/>
                <w:color w:val="auto"/>
                <w:sz w:val="21"/>
                <w:szCs w:val="21"/>
                <w:highlight w:val="none"/>
                <w:lang w:val="en-US" w:eastAsia="zh-CN"/>
              </w:rPr>
              <w:t>250</w:t>
            </w:r>
          </w:p>
        </w:tc>
        <w:tc>
          <w:tcPr>
            <w:tcW w:w="675" w:type="dxa"/>
            <w:tcBorders>
              <w:top w:val="single" w:color="auto" w:sz="4" w:space="0"/>
              <w:left w:val="single" w:color="auto" w:sz="6" w:space="0"/>
              <w:right w:val="single" w:color="auto" w:sz="4" w:space="0"/>
            </w:tcBorders>
            <w:noWrap w:val="0"/>
            <w:vAlign w:val="center"/>
          </w:tcPr>
          <w:p w14:paraId="0F7D6074">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412" w:type="dxa"/>
            <w:vMerge w:val="continue"/>
            <w:tcBorders>
              <w:left w:val="single" w:color="auto" w:sz="6" w:space="0"/>
              <w:right w:val="single" w:color="auto" w:sz="12" w:space="0"/>
            </w:tcBorders>
            <w:noWrap w:val="0"/>
            <w:vAlign w:val="center"/>
          </w:tcPr>
          <w:p w14:paraId="6EB013BA">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r>
      <w:tr w14:paraId="3B41D7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dxa"/>
            <w:vMerge w:val="continue"/>
            <w:tcBorders>
              <w:left w:val="single" w:color="auto" w:sz="12" w:space="0"/>
              <w:right w:val="single" w:color="auto" w:sz="4" w:space="0"/>
            </w:tcBorders>
            <w:noWrap w:val="0"/>
            <w:vAlign w:val="center"/>
          </w:tcPr>
          <w:p w14:paraId="20FE886A">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675" w:type="dxa"/>
            <w:vMerge w:val="continue"/>
            <w:tcBorders>
              <w:left w:val="single" w:color="auto" w:sz="4" w:space="0"/>
              <w:right w:val="single" w:color="auto" w:sz="4" w:space="0"/>
            </w:tcBorders>
            <w:noWrap w:val="0"/>
            <w:vAlign w:val="center"/>
          </w:tcPr>
          <w:p w14:paraId="7886FA6C">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80" w:type="dxa"/>
            <w:tcBorders>
              <w:top w:val="single" w:color="auto" w:sz="4" w:space="0"/>
              <w:left w:val="single" w:color="auto" w:sz="4" w:space="0"/>
              <w:right w:val="single" w:color="auto" w:sz="4" w:space="0"/>
            </w:tcBorders>
            <w:noWrap w:val="0"/>
            <w:vAlign w:val="center"/>
          </w:tcPr>
          <w:p w14:paraId="43A4E6BF">
            <w:pPr>
              <w:pStyle w:val="120"/>
              <w:bidi w:val="0"/>
              <w:ind w:firstLine="0" w:firstLineChars="0"/>
              <w:jc w:val="center"/>
              <w:rPr>
                <w:rFonts w:hint="eastAsia" w:ascii="Times New Roman" w:hAnsi="Times New Roman" w:eastAsia="宋体" w:cs="Times New Roman"/>
                <w:color w:val="auto"/>
                <w:sz w:val="21"/>
                <w:szCs w:val="21"/>
                <w:lang w:val="en-US" w:eastAsia="zh-CN"/>
              </w:rPr>
            </w:pPr>
            <w:r>
              <w:rPr>
                <w:rFonts w:hint="default"/>
                <w:color w:val="auto"/>
                <w:highlight w:val="none"/>
                <w:lang w:val="en-US" w:eastAsia="zh-CN"/>
              </w:rPr>
              <w:t>BOD</w:t>
            </w:r>
            <w:r>
              <w:rPr>
                <w:rFonts w:hint="default"/>
                <w:color w:val="auto"/>
                <w:highlight w:val="none"/>
                <w:vertAlign w:val="subscript"/>
                <w:lang w:val="en-US" w:eastAsia="zh-CN"/>
              </w:rPr>
              <w:t>5</w:t>
            </w:r>
          </w:p>
        </w:tc>
        <w:tc>
          <w:tcPr>
            <w:tcW w:w="690" w:type="dxa"/>
            <w:vMerge w:val="continue"/>
            <w:tcBorders>
              <w:left w:val="single" w:color="auto" w:sz="4" w:space="0"/>
              <w:right w:val="single" w:color="auto" w:sz="4" w:space="0"/>
            </w:tcBorders>
            <w:noWrap w:val="0"/>
            <w:vAlign w:val="center"/>
          </w:tcPr>
          <w:p w14:paraId="7C242E7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50" w:type="dxa"/>
            <w:vMerge w:val="continue"/>
            <w:tcBorders>
              <w:left w:val="single" w:color="auto" w:sz="4" w:space="0"/>
              <w:right w:val="single" w:color="auto" w:sz="4" w:space="0"/>
            </w:tcBorders>
            <w:noWrap w:val="0"/>
            <w:vAlign w:val="center"/>
          </w:tcPr>
          <w:p w14:paraId="437CF42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825" w:type="dxa"/>
            <w:vMerge w:val="continue"/>
            <w:tcBorders>
              <w:left w:val="single" w:color="auto" w:sz="4" w:space="0"/>
              <w:right w:val="single" w:color="auto" w:sz="4" w:space="0"/>
            </w:tcBorders>
            <w:noWrap w:val="0"/>
            <w:vAlign w:val="center"/>
          </w:tcPr>
          <w:p w14:paraId="7B35B270">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675" w:type="dxa"/>
            <w:vMerge w:val="continue"/>
            <w:tcBorders>
              <w:left w:val="single" w:color="auto" w:sz="4" w:space="0"/>
              <w:right w:val="single" w:color="auto" w:sz="4" w:space="0"/>
            </w:tcBorders>
            <w:noWrap w:val="0"/>
            <w:vAlign w:val="center"/>
          </w:tcPr>
          <w:p w14:paraId="147A4632">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zh-CN" w:eastAsia="zh-CN"/>
              </w:rPr>
            </w:pPr>
          </w:p>
        </w:tc>
        <w:tc>
          <w:tcPr>
            <w:tcW w:w="870" w:type="dxa"/>
            <w:vMerge w:val="continue"/>
            <w:tcBorders>
              <w:left w:val="single" w:color="auto" w:sz="4" w:space="0"/>
              <w:right w:val="single" w:color="auto" w:sz="4" w:space="0"/>
            </w:tcBorders>
            <w:noWrap w:val="0"/>
            <w:vAlign w:val="center"/>
          </w:tcPr>
          <w:p w14:paraId="1FA8CF1C">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945" w:type="dxa"/>
            <w:vMerge w:val="continue"/>
            <w:tcBorders>
              <w:left w:val="single" w:color="auto" w:sz="4" w:space="0"/>
              <w:right w:val="single" w:color="auto" w:sz="6" w:space="0"/>
            </w:tcBorders>
            <w:noWrap w:val="0"/>
            <w:vAlign w:val="center"/>
          </w:tcPr>
          <w:p w14:paraId="31593904">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525" w:type="dxa"/>
            <w:vMerge w:val="continue"/>
            <w:tcBorders>
              <w:left w:val="single" w:color="auto" w:sz="6" w:space="0"/>
              <w:right w:val="single" w:color="auto" w:sz="4" w:space="0"/>
            </w:tcBorders>
            <w:noWrap w:val="0"/>
            <w:vAlign w:val="center"/>
          </w:tcPr>
          <w:p w14:paraId="7CA7343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p>
        </w:tc>
        <w:tc>
          <w:tcPr>
            <w:tcW w:w="450" w:type="dxa"/>
            <w:vMerge w:val="continue"/>
            <w:tcBorders>
              <w:left w:val="single" w:color="auto" w:sz="6" w:space="0"/>
              <w:right w:val="single" w:color="auto" w:sz="4" w:space="0"/>
            </w:tcBorders>
            <w:noWrap w:val="0"/>
            <w:vAlign w:val="center"/>
          </w:tcPr>
          <w:p w14:paraId="6FEE85A6">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p>
        </w:tc>
        <w:tc>
          <w:tcPr>
            <w:tcW w:w="735" w:type="dxa"/>
            <w:vMerge w:val="continue"/>
            <w:tcBorders>
              <w:left w:val="single" w:color="auto" w:sz="6" w:space="0"/>
              <w:right w:val="single" w:color="auto" w:sz="4" w:space="0"/>
            </w:tcBorders>
            <w:noWrap w:val="0"/>
            <w:vAlign w:val="center"/>
          </w:tcPr>
          <w:p w14:paraId="1E1330E4">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690" w:type="dxa"/>
            <w:vMerge w:val="continue"/>
            <w:tcBorders>
              <w:left w:val="single" w:color="auto" w:sz="4" w:space="0"/>
              <w:right w:val="single" w:color="auto" w:sz="6" w:space="0"/>
            </w:tcBorders>
            <w:noWrap w:val="0"/>
            <w:vAlign w:val="center"/>
          </w:tcPr>
          <w:p w14:paraId="197D05D4">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885" w:type="dxa"/>
            <w:vMerge w:val="continue"/>
            <w:tcBorders>
              <w:left w:val="single" w:color="auto" w:sz="6" w:space="0"/>
              <w:right w:val="single" w:color="auto" w:sz="4" w:space="0"/>
            </w:tcBorders>
            <w:noWrap w:val="0"/>
            <w:vAlign w:val="center"/>
          </w:tcPr>
          <w:p w14:paraId="40A6CA3C">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675" w:type="dxa"/>
            <w:vMerge w:val="continue"/>
            <w:tcBorders>
              <w:left w:val="single" w:color="auto" w:sz="6" w:space="0"/>
              <w:right w:val="single" w:color="auto" w:sz="4" w:space="0"/>
            </w:tcBorders>
            <w:noWrap w:val="0"/>
            <w:vAlign w:val="center"/>
          </w:tcPr>
          <w:p w14:paraId="3252F11E">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1875" w:type="dxa"/>
            <w:vMerge w:val="continue"/>
            <w:tcBorders>
              <w:left w:val="single" w:color="auto" w:sz="4" w:space="0"/>
              <w:right w:val="single" w:color="auto" w:sz="6" w:space="0"/>
            </w:tcBorders>
            <w:noWrap w:val="0"/>
            <w:vAlign w:val="center"/>
          </w:tcPr>
          <w:p w14:paraId="4B487BAE">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35" w:type="dxa"/>
            <w:tcBorders>
              <w:top w:val="single" w:color="auto" w:sz="4" w:space="0"/>
              <w:left w:val="single" w:color="auto" w:sz="4" w:space="0"/>
              <w:right w:val="single" w:color="auto" w:sz="6" w:space="0"/>
            </w:tcBorders>
            <w:noWrap w:val="0"/>
            <w:vAlign w:val="center"/>
          </w:tcPr>
          <w:p w14:paraId="22B8F255">
            <w:pPr>
              <w:pStyle w:val="95"/>
              <w:keepNext w:val="0"/>
              <w:keepLines w:val="0"/>
              <w:pageBreakBefore w:val="0"/>
              <w:kinsoku/>
              <w:wordWrap/>
              <w:overflowPunct/>
              <w:topLinePunct w:val="0"/>
              <w:autoSpaceDE/>
              <w:autoSpaceDN/>
              <w:bidi w:val="0"/>
              <w:spacing w:line="240" w:lineRule="auto"/>
              <w:ind w:firstLine="0" w:firstLineChars="0"/>
              <w:jc w:val="center"/>
              <w:rPr>
                <w:rFonts w:hint="default" w:cs="Times New Roman"/>
                <w:color w:val="auto"/>
                <w:sz w:val="21"/>
                <w:szCs w:val="21"/>
                <w:lang w:val="en-US" w:eastAsia="zh-CN"/>
              </w:rPr>
            </w:pPr>
            <w:r>
              <w:rPr>
                <w:rFonts w:hint="eastAsia"/>
                <w:color w:val="auto"/>
                <w:sz w:val="21"/>
                <w:szCs w:val="21"/>
                <w:highlight w:val="none"/>
                <w:lang w:val="en-US" w:eastAsia="zh-CN"/>
              </w:rPr>
              <w:t>100</w:t>
            </w:r>
          </w:p>
        </w:tc>
        <w:tc>
          <w:tcPr>
            <w:tcW w:w="675" w:type="dxa"/>
            <w:tcBorders>
              <w:top w:val="single" w:color="auto" w:sz="4" w:space="0"/>
              <w:left w:val="single" w:color="auto" w:sz="6" w:space="0"/>
              <w:right w:val="single" w:color="auto" w:sz="4" w:space="0"/>
            </w:tcBorders>
            <w:noWrap w:val="0"/>
            <w:vAlign w:val="center"/>
          </w:tcPr>
          <w:p w14:paraId="1D9D9C5A">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412" w:type="dxa"/>
            <w:vMerge w:val="continue"/>
            <w:tcBorders>
              <w:left w:val="single" w:color="auto" w:sz="6" w:space="0"/>
              <w:right w:val="single" w:color="auto" w:sz="12" w:space="0"/>
            </w:tcBorders>
            <w:noWrap w:val="0"/>
            <w:vAlign w:val="center"/>
          </w:tcPr>
          <w:p w14:paraId="35FC351E">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r>
      <w:tr w14:paraId="1865ED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dxa"/>
            <w:vMerge w:val="continue"/>
            <w:tcBorders>
              <w:left w:val="single" w:color="auto" w:sz="12" w:space="0"/>
              <w:right w:val="single" w:color="auto" w:sz="4" w:space="0"/>
            </w:tcBorders>
            <w:noWrap w:val="0"/>
            <w:vAlign w:val="center"/>
          </w:tcPr>
          <w:p w14:paraId="79295D5D">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675" w:type="dxa"/>
            <w:vMerge w:val="continue"/>
            <w:tcBorders>
              <w:left w:val="single" w:color="auto" w:sz="4" w:space="0"/>
              <w:right w:val="single" w:color="auto" w:sz="4" w:space="0"/>
            </w:tcBorders>
            <w:noWrap w:val="0"/>
            <w:vAlign w:val="center"/>
          </w:tcPr>
          <w:p w14:paraId="24AD92C8">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80" w:type="dxa"/>
            <w:tcBorders>
              <w:top w:val="single" w:color="auto" w:sz="4" w:space="0"/>
              <w:left w:val="single" w:color="auto" w:sz="4" w:space="0"/>
              <w:right w:val="single" w:color="auto" w:sz="4" w:space="0"/>
            </w:tcBorders>
            <w:noWrap w:val="0"/>
            <w:vAlign w:val="center"/>
          </w:tcPr>
          <w:p w14:paraId="5AE9B939">
            <w:pPr>
              <w:pStyle w:val="120"/>
              <w:bidi w:val="0"/>
              <w:ind w:firstLine="0" w:firstLineChars="0"/>
              <w:jc w:val="center"/>
              <w:rPr>
                <w:rFonts w:hint="eastAsia" w:ascii="Times New Roman" w:hAnsi="Times New Roman" w:eastAsia="宋体" w:cs="Times New Roman"/>
                <w:color w:val="000000"/>
                <w:kern w:val="0"/>
                <w:sz w:val="21"/>
                <w:szCs w:val="21"/>
                <w:lang w:eastAsia="zh-CN"/>
              </w:rPr>
            </w:pPr>
            <w:r>
              <w:rPr>
                <w:rFonts w:hint="default"/>
                <w:color w:val="auto"/>
                <w:highlight w:val="none"/>
                <w:lang w:val="en-US" w:eastAsia="zh-CN"/>
              </w:rPr>
              <w:t>SS</w:t>
            </w:r>
          </w:p>
        </w:tc>
        <w:tc>
          <w:tcPr>
            <w:tcW w:w="690" w:type="dxa"/>
            <w:vMerge w:val="continue"/>
            <w:tcBorders>
              <w:left w:val="single" w:color="auto" w:sz="4" w:space="0"/>
              <w:right w:val="single" w:color="auto" w:sz="4" w:space="0"/>
            </w:tcBorders>
            <w:noWrap w:val="0"/>
            <w:vAlign w:val="center"/>
          </w:tcPr>
          <w:p w14:paraId="697D0F8B">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50" w:type="dxa"/>
            <w:vMerge w:val="continue"/>
            <w:tcBorders>
              <w:left w:val="single" w:color="auto" w:sz="4" w:space="0"/>
              <w:right w:val="single" w:color="auto" w:sz="4" w:space="0"/>
            </w:tcBorders>
            <w:noWrap w:val="0"/>
            <w:vAlign w:val="center"/>
          </w:tcPr>
          <w:p w14:paraId="436AFCC5">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825" w:type="dxa"/>
            <w:vMerge w:val="continue"/>
            <w:tcBorders>
              <w:left w:val="single" w:color="auto" w:sz="4" w:space="0"/>
              <w:right w:val="single" w:color="auto" w:sz="4" w:space="0"/>
            </w:tcBorders>
            <w:noWrap w:val="0"/>
            <w:vAlign w:val="center"/>
          </w:tcPr>
          <w:p w14:paraId="216AFAEF">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675" w:type="dxa"/>
            <w:vMerge w:val="continue"/>
            <w:tcBorders>
              <w:left w:val="single" w:color="auto" w:sz="4" w:space="0"/>
              <w:right w:val="single" w:color="auto" w:sz="4" w:space="0"/>
            </w:tcBorders>
            <w:noWrap w:val="0"/>
            <w:vAlign w:val="center"/>
          </w:tcPr>
          <w:p w14:paraId="544DDD35">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zh-CN" w:eastAsia="zh-CN"/>
              </w:rPr>
            </w:pPr>
          </w:p>
        </w:tc>
        <w:tc>
          <w:tcPr>
            <w:tcW w:w="870" w:type="dxa"/>
            <w:vMerge w:val="continue"/>
            <w:tcBorders>
              <w:left w:val="single" w:color="auto" w:sz="4" w:space="0"/>
              <w:right w:val="single" w:color="auto" w:sz="4" w:space="0"/>
            </w:tcBorders>
            <w:noWrap w:val="0"/>
            <w:vAlign w:val="center"/>
          </w:tcPr>
          <w:p w14:paraId="6F6D629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945" w:type="dxa"/>
            <w:vMerge w:val="continue"/>
            <w:tcBorders>
              <w:left w:val="single" w:color="auto" w:sz="4" w:space="0"/>
              <w:right w:val="single" w:color="auto" w:sz="6" w:space="0"/>
            </w:tcBorders>
            <w:noWrap w:val="0"/>
            <w:vAlign w:val="center"/>
          </w:tcPr>
          <w:p w14:paraId="45DEA392">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525" w:type="dxa"/>
            <w:vMerge w:val="continue"/>
            <w:tcBorders>
              <w:left w:val="single" w:color="auto" w:sz="6" w:space="0"/>
              <w:right w:val="single" w:color="auto" w:sz="4" w:space="0"/>
            </w:tcBorders>
            <w:noWrap w:val="0"/>
            <w:vAlign w:val="center"/>
          </w:tcPr>
          <w:p w14:paraId="36C3A7D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p>
        </w:tc>
        <w:tc>
          <w:tcPr>
            <w:tcW w:w="450" w:type="dxa"/>
            <w:vMerge w:val="continue"/>
            <w:tcBorders>
              <w:left w:val="single" w:color="auto" w:sz="6" w:space="0"/>
              <w:right w:val="single" w:color="auto" w:sz="4" w:space="0"/>
            </w:tcBorders>
            <w:noWrap w:val="0"/>
            <w:vAlign w:val="center"/>
          </w:tcPr>
          <w:p w14:paraId="76632E08">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p>
        </w:tc>
        <w:tc>
          <w:tcPr>
            <w:tcW w:w="735" w:type="dxa"/>
            <w:vMerge w:val="continue"/>
            <w:tcBorders>
              <w:left w:val="single" w:color="auto" w:sz="6" w:space="0"/>
              <w:right w:val="single" w:color="auto" w:sz="4" w:space="0"/>
            </w:tcBorders>
            <w:noWrap w:val="0"/>
            <w:vAlign w:val="center"/>
          </w:tcPr>
          <w:p w14:paraId="2B84A7AA">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690" w:type="dxa"/>
            <w:vMerge w:val="continue"/>
            <w:tcBorders>
              <w:left w:val="single" w:color="auto" w:sz="4" w:space="0"/>
              <w:right w:val="single" w:color="auto" w:sz="6" w:space="0"/>
            </w:tcBorders>
            <w:noWrap w:val="0"/>
            <w:vAlign w:val="center"/>
          </w:tcPr>
          <w:p w14:paraId="08DFCA34">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885" w:type="dxa"/>
            <w:vMerge w:val="continue"/>
            <w:tcBorders>
              <w:left w:val="single" w:color="auto" w:sz="6" w:space="0"/>
              <w:right w:val="single" w:color="auto" w:sz="4" w:space="0"/>
            </w:tcBorders>
            <w:noWrap w:val="0"/>
            <w:vAlign w:val="center"/>
          </w:tcPr>
          <w:p w14:paraId="65C43F1E">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675" w:type="dxa"/>
            <w:vMerge w:val="continue"/>
            <w:tcBorders>
              <w:left w:val="single" w:color="auto" w:sz="6" w:space="0"/>
              <w:right w:val="single" w:color="auto" w:sz="4" w:space="0"/>
            </w:tcBorders>
            <w:noWrap w:val="0"/>
            <w:vAlign w:val="center"/>
          </w:tcPr>
          <w:p w14:paraId="29E7F3F7">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1875" w:type="dxa"/>
            <w:vMerge w:val="continue"/>
            <w:tcBorders>
              <w:left w:val="single" w:color="auto" w:sz="4" w:space="0"/>
              <w:right w:val="single" w:color="auto" w:sz="6" w:space="0"/>
            </w:tcBorders>
            <w:noWrap w:val="0"/>
            <w:vAlign w:val="center"/>
          </w:tcPr>
          <w:p w14:paraId="134E364D">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35" w:type="dxa"/>
            <w:tcBorders>
              <w:top w:val="single" w:color="auto" w:sz="4" w:space="0"/>
              <w:left w:val="single" w:color="auto" w:sz="4" w:space="0"/>
              <w:right w:val="single" w:color="auto" w:sz="6" w:space="0"/>
            </w:tcBorders>
            <w:noWrap w:val="0"/>
            <w:vAlign w:val="center"/>
          </w:tcPr>
          <w:p w14:paraId="59E69532">
            <w:pPr>
              <w:pStyle w:val="95"/>
              <w:keepNext w:val="0"/>
              <w:keepLines w:val="0"/>
              <w:pageBreakBefore w:val="0"/>
              <w:kinsoku/>
              <w:wordWrap/>
              <w:overflowPunct/>
              <w:topLinePunct w:val="0"/>
              <w:autoSpaceDE/>
              <w:autoSpaceDN/>
              <w:bidi w:val="0"/>
              <w:spacing w:line="240" w:lineRule="auto"/>
              <w:ind w:firstLine="0" w:firstLineChars="0"/>
              <w:jc w:val="center"/>
              <w:rPr>
                <w:rFonts w:hint="default" w:cs="Times New Roman"/>
                <w:color w:val="auto"/>
                <w:kern w:val="0"/>
                <w:sz w:val="21"/>
                <w:szCs w:val="21"/>
                <w:lang w:val="en-US" w:eastAsia="zh-CN"/>
              </w:rPr>
            </w:pPr>
            <w:r>
              <w:rPr>
                <w:rFonts w:hint="eastAsia"/>
                <w:color w:val="auto"/>
                <w:sz w:val="21"/>
                <w:szCs w:val="21"/>
                <w:highlight w:val="none"/>
                <w:lang w:val="en-US" w:eastAsia="zh-CN"/>
              </w:rPr>
              <w:t>60</w:t>
            </w:r>
          </w:p>
        </w:tc>
        <w:tc>
          <w:tcPr>
            <w:tcW w:w="675" w:type="dxa"/>
            <w:tcBorders>
              <w:top w:val="single" w:color="auto" w:sz="4" w:space="0"/>
              <w:left w:val="single" w:color="auto" w:sz="6" w:space="0"/>
              <w:right w:val="single" w:color="auto" w:sz="4" w:space="0"/>
            </w:tcBorders>
            <w:noWrap w:val="0"/>
            <w:vAlign w:val="center"/>
          </w:tcPr>
          <w:p w14:paraId="72DF2E15">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412" w:type="dxa"/>
            <w:vMerge w:val="continue"/>
            <w:tcBorders>
              <w:left w:val="single" w:color="auto" w:sz="6" w:space="0"/>
              <w:right w:val="single" w:color="auto" w:sz="12" w:space="0"/>
            </w:tcBorders>
            <w:noWrap w:val="0"/>
            <w:vAlign w:val="center"/>
          </w:tcPr>
          <w:p w14:paraId="041A1910">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r>
      <w:tr w14:paraId="3A6B67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dxa"/>
            <w:vMerge w:val="continue"/>
            <w:tcBorders>
              <w:left w:val="single" w:color="auto" w:sz="12" w:space="0"/>
              <w:right w:val="single" w:color="auto" w:sz="4" w:space="0"/>
            </w:tcBorders>
            <w:noWrap w:val="0"/>
            <w:vAlign w:val="center"/>
          </w:tcPr>
          <w:p w14:paraId="7BB7AB82">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675" w:type="dxa"/>
            <w:vMerge w:val="continue"/>
            <w:tcBorders>
              <w:left w:val="single" w:color="auto" w:sz="4" w:space="0"/>
              <w:right w:val="single" w:color="auto" w:sz="4" w:space="0"/>
            </w:tcBorders>
            <w:noWrap w:val="0"/>
            <w:vAlign w:val="center"/>
          </w:tcPr>
          <w:p w14:paraId="7D4E7FED">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80" w:type="dxa"/>
            <w:tcBorders>
              <w:top w:val="single" w:color="auto" w:sz="4" w:space="0"/>
              <w:left w:val="single" w:color="auto" w:sz="4" w:space="0"/>
              <w:right w:val="single" w:color="auto" w:sz="4" w:space="0"/>
            </w:tcBorders>
            <w:noWrap w:val="0"/>
            <w:vAlign w:val="center"/>
          </w:tcPr>
          <w:p w14:paraId="29223C67">
            <w:pPr>
              <w:pStyle w:val="120"/>
              <w:bidi w:val="0"/>
              <w:ind w:firstLine="0" w:firstLineChars="0"/>
              <w:jc w:val="center"/>
              <w:rPr>
                <w:rFonts w:hint="eastAsia" w:cs="Times New Roman"/>
                <w:color w:val="000000"/>
                <w:kern w:val="0"/>
                <w:sz w:val="21"/>
                <w:szCs w:val="21"/>
                <w:lang w:eastAsia="zh-CN"/>
              </w:rPr>
            </w:pPr>
            <w:r>
              <w:rPr>
                <w:rFonts w:hint="default"/>
                <w:color w:val="auto"/>
                <w:highlight w:val="none"/>
                <w:lang w:val="en-US" w:eastAsia="zh-CN"/>
              </w:rPr>
              <w:t>NH</w:t>
            </w:r>
            <w:r>
              <w:rPr>
                <w:rFonts w:hint="default"/>
                <w:color w:val="auto"/>
                <w:highlight w:val="none"/>
                <w:vertAlign w:val="subscript"/>
                <w:lang w:val="en-US" w:eastAsia="zh-CN"/>
              </w:rPr>
              <w:t>3</w:t>
            </w:r>
            <w:r>
              <w:rPr>
                <w:rFonts w:hint="default"/>
                <w:color w:val="auto"/>
                <w:highlight w:val="none"/>
                <w:lang w:val="en-US" w:eastAsia="zh-CN"/>
              </w:rPr>
              <w:t>-N</w:t>
            </w:r>
          </w:p>
        </w:tc>
        <w:tc>
          <w:tcPr>
            <w:tcW w:w="690" w:type="dxa"/>
            <w:vMerge w:val="continue"/>
            <w:tcBorders>
              <w:left w:val="single" w:color="auto" w:sz="4" w:space="0"/>
              <w:right w:val="single" w:color="auto" w:sz="4" w:space="0"/>
            </w:tcBorders>
            <w:noWrap w:val="0"/>
            <w:vAlign w:val="center"/>
          </w:tcPr>
          <w:p w14:paraId="54CC795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50" w:type="dxa"/>
            <w:vMerge w:val="continue"/>
            <w:tcBorders>
              <w:left w:val="single" w:color="auto" w:sz="4" w:space="0"/>
              <w:right w:val="single" w:color="auto" w:sz="4" w:space="0"/>
            </w:tcBorders>
            <w:noWrap w:val="0"/>
            <w:vAlign w:val="center"/>
          </w:tcPr>
          <w:p w14:paraId="32B58F28">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825" w:type="dxa"/>
            <w:vMerge w:val="continue"/>
            <w:tcBorders>
              <w:left w:val="single" w:color="auto" w:sz="4" w:space="0"/>
              <w:right w:val="single" w:color="auto" w:sz="4" w:space="0"/>
            </w:tcBorders>
            <w:noWrap w:val="0"/>
            <w:vAlign w:val="center"/>
          </w:tcPr>
          <w:p w14:paraId="752E7166">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675" w:type="dxa"/>
            <w:vMerge w:val="continue"/>
            <w:tcBorders>
              <w:left w:val="single" w:color="auto" w:sz="4" w:space="0"/>
              <w:right w:val="single" w:color="auto" w:sz="4" w:space="0"/>
            </w:tcBorders>
            <w:noWrap w:val="0"/>
            <w:vAlign w:val="center"/>
          </w:tcPr>
          <w:p w14:paraId="16B3C5B7">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zh-CN" w:eastAsia="zh-CN"/>
              </w:rPr>
            </w:pPr>
          </w:p>
        </w:tc>
        <w:tc>
          <w:tcPr>
            <w:tcW w:w="870" w:type="dxa"/>
            <w:vMerge w:val="continue"/>
            <w:tcBorders>
              <w:left w:val="single" w:color="auto" w:sz="4" w:space="0"/>
              <w:right w:val="single" w:color="auto" w:sz="4" w:space="0"/>
            </w:tcBorders>
            <w:noWrap w:val="0"/>
            <w:vAlign w:val="center"/>
          </w:tcPr>
          <w:p w14:paraId="437F9150">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945" w:type="dxa"/>
            <w:vMerge w:val="continue"/>
            <w:tcBorders>
              <w:left w:val="single" w:color="auto" w:sz="4" w:space="0"/>
              <w:right w:val="single" w:color="auto" w:sz="6" w:space="0"/>
            </w:tcBorders>
            <w:noWrap w:val="0"/>
            <w:vAlign w:val="center"/>
          </w:tcPr>
          <w:p w14:paraId="4A5705FB">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525" w:type="dxa"/>
            <w:vMerge w:val="continue"/>
            <w:tcBorders>
              <w:left w:val="single" w:color="auto" w:sz="6" w:space="0"/>
              <w:right w:val="single" w:color="auto" w:sz="4" w:space="0"/>
            </w:tcBorders>
            <w:noWrap w:val="0"/>
            <w:vAlign w:val="center"/>
          </w:tcPr>
          <w:p w14:paraId="0640FCD7">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p>
        </w:tc>
        <w:tc>
          <w:tcPr>
            <w:tcW w:w="450" w:type="dxa"/>
            <w:vMerge w:val="continue"/>
            <w:tcBorders>
              <w:left w:val="single" w:color="auto" w:sz="6" w:space="0"/>
              <w:right w:val="single" w:color="auto" w:sz="4" w:space="0"/>
            </w:tcBorders>
            <w:noWrap w:val="0"/>
            <w:vAlign w:val="center"/>
          </w:tcPr>
          <w:p w14:paraId="2085AB9D">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p>
        </w:tc>
        <w:tc>
          <w:tcPr>
            <w:tcW w:w="735" w:type="dxa"/>
            <w:vMerge w:val="continue"/>
            <w:tcBorders>
              <w:left w:val="single" w:color="auto" w:sz="6" w:space="0"/>
              <w:right w:val="single" w:color="auto" w:sz="4" w:space="0"/>
            </w:tcBorders>
            <w:noWrap w:val="0"/>
            <w:vAlign w:val="center"/>
          </w:tcPr>
          <w:p w14:paraId="0F5E1EDD">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690" w:type="dxa"/>
            <w:vMerge w:val="continue"/>
            <w:tcBorders>
              <w:left w:val="single" w:color="auto" w:sz="4" w:space="0"/>
              <w:right w:val="single" w:color="auto" w:sz="6" w:space="0"/>
            </w:tcBorders>
            <w:noWrap w:val="0"/>
            <w:vAlign w:val="center"/>
          </w:tcPr>
          <w:p w14:paraId="5FE0CA9B">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885" w:type="dxa"/>
            <w:vMerge w:val="continue"/>
            <w:tcBorders>
              <w:left w:val="single" w:color="auto" w:sz="6" w:space="0"/>
              <w:right w:val="single" w:color="auto" w:sz="4" w:space="0"/>
            </w:tcBorders>
            <w:noWrap w:val="0"/>
            <w:vAlign w:val="center"/>
          </w:tcPr>
          <w:p w14:paraId="538392F8">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675" w:type="dxa"/>
            <w:vMerge w:val="continue"/>
            <w:tcBorders>
              <w:left w:val="single" w:color="auto" w:sz="6" w:space="0"/>
              <w:right w:val="single" w:color="auto" w:sz="4" w:space="0"/>
            </w:tcBorders>
            <w:noWrap w:val="0"/>
            <w:vAlign w:val="center"/>
          </w:tcPr>
          <w:p w14:paraId="1E264A0B">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1875" w:type="dxa"/>
            <w:vMerge w:val="continue"/>
            <w:tcBorders>
              <w:left w:val="single" w:color="auto" w:sz="4" w:space="0"/>
              <w:right w:val="single" w:color="auto" w:sz="6" w:space="0"/>
            </w:tcBorders>
            <w:noWrap w:val="0"/>
            <w:vAlign w:val="center"/>
          </w:tcPr>
          <w:p w14:paraId="14230F1A">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35" w:type="dxa"/>
            <w:tcBorders>
              <w:top w:val="single" w:color="auto" w:sz="4" w:space="0"/>
              <w:left w:val="single" w:color="auto" w:sz="4" w:space="0"/>
              <w:right w:val="single" w:color="auto" w:sz="6" w:space="0"/>
            </w:tcBorders>
            <w:noWrap w:val="0"/>
            <w:vAlign w:val="center"/>
          </w:tcPr>
          <w:p w14:paraId="7FFC1BA3">
            <w:pPr>
              <w:pStyle w:val="95"/>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auto"/>
                <w:kern w:val="0"/>
                <w:sz w:val="21"/>
                <w:szCs w:val="21"/>
                <w:lang w:val="en-US" w:eastAsia="zh-CN"/>
              </w:rPr>
            </w:pPr>
            <w:r>
              <w:rPr>
                <w:rFonts w:hint="eastAsia"/>
                <w:color w:val="auto"/>
                <w:sz w:val="21"/>
                <w:szCs w:val="21"/>
                <w:highlight w:val="none"/>
                <w:lang w:val="en-US" w:eastAsia="zh-CN"/>
              </w:rPr>
              <w:t>25</w:t>
            </w:r>
          </w:p>
        </w:tc>
        <w:tc>
          <w:tcPr>
            <w:tcW w:w="675" w:type="dxa"/>
            <w:tcBorders>
              <w:top w:val="single" w:color="auto" w:sz="4" w:space="0"/>
              <w:left w:val="single" w:color="auto" w:sz="6" w:space="0"/>
              <w:right w:val="single" w:color="auto" w:sz="4" w:space="0"/>
            </w:tcBorders>
            <w:noWrap w:val="0"/>
            <w:vAlign w:val="center"/>
          </w:tcPr>
          <w:p w14:paraId="75993398">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412" w:type="dxa"/>
            <w:vMerge w:val="continue"/>
            <w:tcBorders>
              <w:left w:val="single" w:color="auto" w:sz="6" w:space="0"/>
              <w:right w:val="single" w:color="auto" w:sz="12" w:space="0"/>
            </w:tcBorders>
            <w:noWrap w:val="0"/>
            <w:vAlign w:val="center"/>
          </w:tcPr>
          <w:p w14:paraId="6D5FD9F4">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r>
      <w:tr w14:paraId="1987F6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dxa"/>
            <w:vMerge w:val="continue"/>
            <w:tcBorders>
              <w:left w:val="single" w:color="auto" w:sz="12" w:space="0"/>
              <w:right w:val="single" w:color="auto" w:sz="4" w:space="0"/>
            </w:tcBorders>
            <w:noWrap w:val="0"/>
            <w:vAlign w:val="center"/>
          </w:tcPr>
          <w:p w14:paraId="04FDC955">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675" w:type="dxa"/>
            <w:vMerge w:val="continue"/>
            <w:tcBorders>
              <w:left w:val="single" w:color="auto" w:sz="4" w:space="0"/>
              <w:right w:val="single" w:color="auto" w:sz="4" w:space="0"/>
            </w:tcBorders>
            <w:noWrap w:val="0"/>
            <w:vAlign w:val="center"/>
          </w:tcPr>
          <w:p w14:paraId="7AB93C89">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80" w:type="dxa"/>
            <w:tcBorders>
              <w:top w:val="single" w:color="auto" w:sz="4" w:space="0"/>
              <w:left w:val="single" w:color="auto" w:sz="4" w:space="0"/>
              <w:right w:val="single" w:color="auto" w:sz="4" w:space="0"/>
            </w:tcBorders>
            <w:noWrap w:val="0"/>
            <w:vAlign w:val="center"/>
          </w:tcPr>
          <w:p w14:paraId="133B98FA">
            <w:pPr>
              <w:pStyle w:val="120"/>
              <w:bidi w:val="0"/>
              <w:ind w:firstLine="0" w:firstLineChars="0"/>
              <w:jc w:val="center"/>
              <w:rPr>
                <w:rFonts w:hint="eastAsia" w:cs="Times New Roman"/>
                <w:color w:val="000000"/>
                <w:kern w:val="0"/>
                <w:sz w:val="21"/>
                <w:szCs w:val="21"/>
                <w:lang w:eastAsia="zh-CN"/>
              </w:rPr>
            </w:pPr>
            <w:r>
              <w:rPr>
                <w:rFonts w:hint="eastAsia"/>
                <w:color w:val="auto"/>
                <w:highlight w:val="none"/>
                <w:lang w:val="en-US" w:eastAsia="zh-CN"/>
              </w:rPr>
              <w:t>LAS</w:t>
            </w:r>
          </w:p>
        </w:tc>
        <w:tc>
          <w:tcPr>
            <w:tcW w:w="690" w:type="dxa"/>
            <w:vMerge w:val="continue"/>
            <w:tcBorders>
              <w:left w:val="single" w:color="auto" w:sz="4" w:space="0"/>
              <w:right w:val="single" w:color="auto" w:sz="4" w:space="0"/>
            </w:tcBorders>
            <w:noWrap w:val="0"/>
            <w:vAlign w:val="center"/>
          </w:tcPr>
          <w:p w14:paraId="3B6C93BC">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50" w:type="dxa"/>
            <w:vMerge w:val="continue"/>
            <w:tcBorders>
              <w:left w:val="single" w:color="auto" w:sz="4" w:space="0"/>
              <w:right w:val="single" w:color="auto" w:sz="4" w:space="0"/>
            </w:tcBorders>
            <w:noWrap w:val="0"/>
            <w:vAlign w:val="center"/>
          </w:tcPr>
          <w:p w14:paraId="63F067BC">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825" w:type="dxa"/>
            <w:vMerge w:val="continue"/>
            <w:tcBorders>
              <w:left w:val="single" w:color="auto" w:sz="4" w:space="0"/>
              <w:right w:val="single" w:color="auto" w:sz="4" w:space="0"/>
            </w:tcBorders>
            <w:noWrap w:val="0"/>
            <w:vAlign w:val="center"/>
          </w:tcPr>
          <w:p w14:paraId="557B4DC4">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675" w:type="dxa"/>
            <w:vMerge w:val="continue"/>
            <w:tcBorders>
              <w:left w:val="single" w:color="auto" w:sz="4" w:space="0"/>
              <w:right w:val="single" w:color="auto" w:sz="4" w:space="0"/>
            </w:tcBorders>
            <w:noWrap w:val="0"/>
            <w:vAlign w:val="center"/>
          </w:tcPr>
          <w:p w14:paraId="01A331AD">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zh-CN" w:eastAsia="zh-CN"/>
              </w:rPr>
            </w:pPr>
          </w:p>
        </w:tc>
        <w:tc>
          <w:tcPr>
            <w:tcW w:w="870" w:type="dxa"/>
            <w:vMerge w:val="continue"/>
            <w:tcBorders>
              <w:left w:val="single" w:color="auto" w:sz="4" w:space="0"/>
              <w:right w:val="single" w:color="auto" w:sz="4" w:space="0"/>
            </w:tcBorders>
            <w:noWrap w:val="0"/>
            <w:vAlign w:val="center"/>
          </w:tcPr>
          <w:p w14:paraId="1ED24CE4">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945" w:type="dxa"/>
            <w:vMerge w:val="continue"/>
            <w:tcBorders>
              <w:left w:val="single" w:color="auto" w:sz="4" w:space="0"/>
              <w:right w:val="single" w:color="auto" w:sz="6" w:space="0"/>
            </w:tcBorders>
            <w:noWrap w:val="0"/>
            <w:vAlign w:val="center"/>
          </w:tcPr>
          <w:p w14:paraId="46C4923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525" w:type="dxa"/>
            <w:vMerge w:val="continue"/>
            <w:tcBorders>
              <w:left w:val="single" w:color="auto" w:sz="6" w:space="0"/>
              <w:right w:val="single" w:color="auto" w:sz="4" w:space="0"/>
            </w:tcBorders>
            <w:noWrap w:val="0"/>
            <w:vAlign w:val="center"/>
          </w:tcPr>
          <w:p w14:paraId="6C455917">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p>
        </w:tc>
        <w:tc>
          <w:tcPr>
            <w:tcW w:w="450" w:type="dxa"/>
            <w:vMerge w:val="continue"/>
            <w:tcBorders>
              <w:left w:val="single" w:color="auto" w:sz="6" w:space="0"/>
              <w:right w:val="single" w:color="auto" w:sz="4" w:space="0"/>
            </w:tcBorders>
            <w:noWrap w:val="0"/>
            <w:vAlign w:val="center"/>
          </w:tcPr>
          <w:p w14:paraId="232495FB">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p>
        </w:tc>
        <w:tc>
          <w:tcPr>
            <w:tcW w:w="735" w:type="dxa"/>
            <w:vMerge w:val="continue"/>
            <w:tcBorders>
              <w:left w:val="single" w:color="auto" w:sz="6" w:space="0"/>
              <w:right w:val="single" w:color="auto" w:sz="4" w:space="0"/>
            </w:tcBorders>
            <w:noWrap w:val="0"/>
            <w:vAlign w:val="center"/>
          </w:tcPr>
          <w:p w14:paraId="265EFDDE">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690" w:type="dxa"/>
            <w:vMerge w:val="continue"/>
            <w:tcBorders>
              <w:left w:val="single" w:color="auto" w:sz="4" w:space="0"/>
              <w:right w:val="single" w:color="auto" w:sz="6" w:space="0"/>
            </w:tcBorders>
            <w:noWrap w:val="0"/>
            <w:vAlign w:val="center"/>
          </w:tcPr>
          <w:p w14:paraId="10304D93">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885" w:type="dxa"/>
            <w:vMerge w:val="continue"/>
            <w:tcBorders>
              <w:left w:val="single" w:color="auto" w:sz="6" w:space="0"/>
              <w:right w:val="single" w:color="auto" w:sz="4" w:space="0"/>
            </w:tcBorders>
            <w:noWrap w:val="0"/>
            <w:vAlign w:val="center"/>
          </w:tcPr>
          <w:p w14:paraId="396ED675">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675" w:type="dxa"/>
            <w:vMerge w:val="continue"/>
            <w:tcBorders>
              <w:left w:val="single" w:color="auto" w:sz="6" w:space="0"/>
              <w:right w:val="single" w:color="auto" w:sz="4" w:space="0"/>
            </w:tcBorders>
            <w:noWrap w:val="0"/>
            <w:vAlign w:val="center"/>
          </w:tcPr>
          <w:p w14:paraId="1EF829BB">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1875" w:type="dxa"/>
            <w:vMerge w:val="continue"/>
            <w:tcBorders>
              <w:left w:val="single" w:color="auto" w:sz="4" w:space="0"/>
              <w:right w:val="single" w:color="auto" w:sz="6" w:space="0"/>
            </w:tcBorders>
            <w:noWrap w:val="0"/>
            <w:vAlign w:val="center"/>
          </w:tcPr>
          <w:p w14:paraId="2F3F9E5B">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35" w:type="dxa"/>
            <w:tcBorders>
              <w:top w:val="single" w:color="auto" w:sz="4" w:space="0"/>
              <w:left w:val="single" w:color="auto" w:sz="4" w:space="0"/>
              <w:right w:val="single" w:color="auto" w:sz="6" w:space="0"/>
            </w:tcBorders>
            <w:noWrap w:val="0"/>
            <w:vAlign w:val="center"/>
          </w:tcPr>
          <w:p w14:paraId="6E89489A">
            <w:pPr>
              <w:pStyle w:val="95"/>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10</w:t>
            </w:r>
          </w:p>
        </w:tc>
        <w:tc>
          <w:tcPr>
            <w:tcW w:w="675" w:type="dxa"/>
            <w:tcBorders>
              <w:top w:val="single" w:color="auto" w:sz="4" w:space="0"/>
              <w:left w:val="single" w:color="auto" w:sz="6" w:space="0"/>
              <w:right w:val="single" w:color="auto" w:sz="4" w:space="0"/>
            </w:tcBorders>
            <w:noWrap w:val="0"/>
            <w:vAlign w:val="center"/>
          </w:tcPr>
          <w:p w14:paraId="45CD3B44">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412" w:type="dxa"/>
            <w:vMerge w:val="continue"/>
            <w:tcBorders>
              <w:left w:val="single" w:color="auto" w:sz="6" w:space="0"/>
              <w:right w:val="single" w:color="auto" w:sz="12" w:space="0"/>
            </w:tcBorders>
            <w:noWrap w:val="0"/>
            <w:vAlign w:val="center"/>
          </w:tcPr>
          <w:p w14:paraId="44582D88">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r>
      <w:tr w14:paraId="7A8BA2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dxa"/>
            <w:vMerge w:val="continue"/>
            <w:tcBorders>
              <w:left w:val="single" w:color="auto" w:sz="12" w:space="0"/>
              <w:right w:val="single" w:color="auto" w:sz="4" w:space="0"/>
            </w:tcBorders>
            <w:noWrap w:val="0"/>
            <w:vAlign w:val="center"/>
          </w:tcPr>
          <w:p w14:paraId="4984BAD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675" w:type="dxa"/>
            <w:vMerge w:val="continue"/>
            <w:tcBorders>
              <w:left w:val="single" w:color="auto" w:sz="4" w:space="0"/>
              <w:right w:val="single" w:color="auto" w:sz="4" w:space="0"/>
            </w:tcBorders>
            <w:noWrap w:val="0"/>
            <w:vAlign w:val="center"/>
          </w:tcPr>
          <w:p w14:paraId="7107FBE9">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80" w:type="dxa"/>
            <w:tcBorders>
              <w:top w:val="single" w:color="auto" w:sz="4" w:space="0"/>
              <w:left w:val="single" w:color="auto" w:sz="4" w:space="0"/>
              <w:right w:val="single" w:color="auto" w:sz="4" w:space="0"/>
            </w:tcBorders>
            <w:noWrap w:val="0"/>
            <w:vAlign w:val="center"/>
          </w:tcPr>
          <w:p w14:paraId="74303947">
            <w:pPr>
              <w:pStyle w:val="120"/>
              <w:bidi w:val="0"/>
              <w:ind w:firstLine="0" w:firstLineChars="0"/>
              <w:jc w:val="center"/>
              <w:rPr>
                <w:rFonts w:hint="eastAsia" w:ascii="Times New Roman" w:hAnsi="Times New Roman" w:eastAsia="宋体" w:cs="Times New Roman"/>
                <w:color w:val="auto"/>
                <w:sz w:val="21"/>
                <w:szCs w:val="21"/>
                <w:lang w:val="en-US" w:eastAsia="zh-CN"/>
              </w:rPr>
            </w:pPr>
            <w:r>
              <w:rPr>
                <w:rFonts w:hint="eastAsia"/>
                <w:color w:val="auto"/>
                <w:highlight w:val="none"/>
                <w:lang w:val="en-US" w:eastAsia="zh-CN"/>
              </w:rPr>
              <w:t>动植物油</w:t>
            </w:r>
          </w:p>
        </w:tc>
        <w:tc>
          <w:tcPr>
            <w:tcW w:w="690" w:type="dxa"/>
            <w:vMerge w:val="continue"/>
            <w:tcBorders>
              <w:left w:val="single" w:color="auto" w:sz="4" w:space="0"/>
              <w:right w:val="single" w:color="auto" w:sz="4" w:space="0"/>
            </w:tcBorders>
            <w:noWrap w:val="0"/>
            <w:vAlign w:val="center"/>
          </w:tcPr>
          <w:p w14:paraId="6BBF8C88">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750" w:type="dxa"/>
            <w:vMerge w:val="continue"/>
            <w:tcBorders>
              <w:left w:val="single" w:color="auto" w:sz="4" w:space="0"/>
              <w:right w:val="single" w:color="auto" w:sz="4" w:space="0"/>
            </w:tcBorders>
            <w:noWrap w:val="0"/>
            <w:vAlign w:val="center"/>
          </w:tcPr>
          <w:p w14:paraId="4DDF6E1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825" w:type="dxa"/>
            <w:vMerge w:val="continue"/>
            <w:tcBorders>
              <w:left w:val="single" w:color="auto" w:sz="4" w:space="0"/>
              <w:right w:val="single" w:color="auto" w:sz="4" w:space="0"/>
            </w:tcBorders>
            <w:noWrap w:val="0"/>
            <w:vAlign w:val="center"/>
          </w:tcPr>
          <w:p w14:paraId="7F63B3A2">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675" w:type="dxa"/>
            <w:vMerge w:val="continue"/>
            <w:tcBorders>
              <w:left w:val="single" w:color="auto" w:sz="4" w:space="0"/>
              <w:right w:val="single" w:color="auto" w:sz="4" w:space="0"/>
            </w:tcBorders>
            <w:noWrap w:val="0"/>
            <w:vAlign w:val="center"/>
          </w:tcPr>
          <w:p w14:paraId="4A40C4D6">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p>
        </w:tc>
        <w:tc>
          <w:tcPr>
            <w:tcW w:w="870" w:type="dxa"/>
            <w:vMerge w:val="continue"/>
            <w:tcBorders>
              <w:left w:val="single" w:color="auto" w:sz="4" w:space="0"/>
              <w:right w:val="single" w:color="auto" w:sz="4" w:space="0"/>
            </w:tcBorders>
            <w:noWrap w:val="0"/>
            <w:vAlign w:val="center"/>
          </w:tcPr>
          <w:p w14:paraId="3D2DF066">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945" w:type="dxa"/>
            <w:vMerge w:val="continue"/>
            <w:tcBorders>
              <w:left w:val="single" w:color="auto" w:sz="4" w:space="0"/>
              <w:right w:val="single" w:color="auto" w:sz="6" w:space="0"/>
            </w:tcBorders>
            <w:noWrap w:val="0"/>
            <w:vAlign w:val="center"/>
          </w:tcPr>
          <w:p w14:paraId="3D05F71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525" w:type="dxa"/>
            <w:vMerge w:val="continue"/>
            <w:tcBorders>
              <w:left w:val="single" w:color="auto" w:sz="6" w:space="0"/>
              <w:right w:val="single" w:color="auto" w:sz="4" w:space="0"/>
            </w:tcBorders>
            <w:noWrap w:val="0"/>
            <w:vAlign w:val="center"/>
          </w:tcPr>
          <w:p w14:paraId="3A7CBB94">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p>
        </w:tc>
        <w:tc>
          <w:tcPr>
            <w:tcW w:w="450" w:type="dxa"/>
            <w:vMerge w:val="continue"/>
            <w:tcBorders>
              <w:left w:val="single" w:color="auto" w:sz="6" w:space="0"/>
              <w:right w:val="single" w:color="auto" w:sz="4" w:space="0"/>
            </w:tcBorders>
            <w:noWrap w:val="0"/>
            <w:vAlign w:val="center"/>
          </w:tcPr>
          <w:p w14:paraId="46DB82BE">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p>
        </w:tc>
        <w:tc>
          <w:tcPr>
            <w:tcW w:w="735" w:type="dxa"/>
            <w:vMerge w:val="continue"/>
            <w:tcBorders>
              <w:left w:val="single" w:color="auto" w:sz="6" w:space="0"/>
              <w:right w:val="single" w:color="auto" w:sz="4" w:space="0"/>
            </w:tcBorders>
            <w:noWrap w:val="0"/>
            <w:vAlign w:val="center"/>
          </w:tcPr>
          <w:p w14:paraId="2D8958F4">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690" w:type="dxa"/>
            <w:vMerge w:val="continue"/>
            <w:tcBorders>
              <w:left w:val="single" w:color="auto" w:sz="4" w:space="0"/>
              <w:right w:val="single" w:color="auto" w:sz="6" w:space="0"/>
            </w:tcBorders>
            <w:noWrap w:val="0"/>
            <w:vAlign w:val="center"/>
          </w:tcPr>
          <w:p w14:paraId="5247BA6F">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885" w:type="dxa"/>
            <w:vMerge w:val="continue"/>
            <w:tcBorders>
              <w:left w:val="single" w:color="auto" w:sz="6" w:space="0"/>
              <w:right w:val="single" w:color="auto" w:sz="4" w:space="0"/>
            </w:tcBorders>
            <w:noWrap w:val="0"/>
            <w:vAlign w:val="center"/>
          </w:tcPr>
          <w:p w14:paraId="03B9061E">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675" w:type="dxa"/>
            <w:vMerge w:val="continue"/>
            <w:tcBorders>
              <w:left w:val="single" w:color="auto" w:sz="6" w:space="0"/>
              <w:right w:val="single" w:color="auto" w:sz="4" w:space="0"/>
            </w:tcBorders>
            <w:noWrap w:val="0"/>
            <w:vAlign w:val="center"/>
          </w:tcPr>
          <w:p w14:paraId="21210AAE">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1875" w:type="dxa"/>
            <w:vMerge w:val="continue"/>
            <w:tcBorders>
              <w:left w:val="single" w:color="auto" w:sz="4" w:space="0"/>
              <w:right w:val="single" w:color="auto" w:sz="6" w:space="0"/>
            </w:tcBorders>
            <w:noWrap w:val="0"/>
            <w:vAlign w:val="center"/>
          </w:tcPr>
          <w:p w14:paraId="7D679ACA">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35" w:type="dxa"/>
            <w:tcBorders>
              <w:top w:val="single" w:color="auto" w:sz="4" w:space="0"/>
              <w:left w:val="single" w:color="auto" w:sz="4" w:space="0"/>
              <w:right w:val="single" w:color="auto" w:sz="6" w:space="0"/>
            </w:tcBorders>
            <w:noWrap w:val="0"/>
            <w:vAlign w:val="center"/>
          </w:tcPr>
          <w:p w14:paraId="20E7BC7D">
            <w:pPr>
              <w:pStyle w:val="95"/>
              <w:keepNext w:val="0"/>
              <w:keepLines w:val="0"/>
              <w:pageBreakBefore w:val="0"/>
              <w:kinsoku/>
              <w:wordWrap/>
              <w:overflowPunct/>
              <w:topLinePunct w:val="0"/>
              <w:autoSpaceDE/>
              <w:autoSpaceDN/>
              <w:bidi w:val="0"/>
              <w:spacing w:line="240" w:lineRule="auto"/>
              <w:ind w:firstLine="0" w:firstLineChars="0"/>
              <w:jc w:val="center"/>
              <w:rPr>
                <w:rFonts w:hint="default" w:cs="Times New Roman"/>
                <w:color w:val="auto"/>
                <w:sz w:val="21"/>
                <w:szCs w:val="21"/>
                <w:lang w:val="en-US" w:eastAsia="zh-CN"/>
              </w:rPr>
            </w:pPr>
            <w:r>
              <w:rPr>
                <w:rFonts w:hint="eastAsia" w:ascii="Times New Roman" w:hAnsi="Times New Roman" w:cs="Times New Roman"/>
                <w:color w:val="auto"/>
                <w:kern w:val="0"/>
                <w:sz w:val="21"/>
                <w:szCs w:val="21"/>
                <w:lang w:val="en-US" w:eastAsia="zh-CN"/>
              </w:rPr>
              <w:t>20</w:t>
            </w:r>
          </w:p>
        </w:tc>
        <w:tc>
          <w:tcPr>
            <w:tcW w:w="675" w:type="dxa"/>
            <w:tcBorders>
              <w:top w:val="single" w:color="auto" w:sz="4" w:space="0"/>
              <w:left w:val="single" w:color="auto" w:sz="6" w:space="0"/>
              <w:right w:val="single" w:color="auto" w:sz="4" w:space="0"/>
            </w:tcBorders>
            <w:noWrap w:val="0"/>
            <w:vAlign w:val="center"/>
          </w:tcPr>
          <w:p w14:paraId="3AC148CB">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412" w:type="dxa"/>
            <w:vMerge w:val="continue"/>
            <w:tcBorders>
              <w:left w:val="single" w:color="auto" w:sz="6" w:space="0"/>
              <w:right w:val="single" w:color="auto" w:sz="12" w:space="0"/>
            </w:tcBorders>
            <w:noWrap w:val="0"/>
            <w:vAlign w:val="center"/>
          </w:tcPr>
          <w:p w14:paraId="379FF425">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r>
      <w:tr w14:paraId="1BD249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dxa"/>
            <w:vMerge w:val="continue"/>
            <w:tcBorders>
              <w:left w:val="single" w:color="auto" w:sz="12" w:space="0"/>
              <w:right w:val="single" w:color="auto" w:sz="4" w:space="0"/>
            </w:tcBorders>
            <w:noWrap w:val="0"/>
            <w:vAlign w:val="center"/>
          </w:tcPr>
          <w:p w14:paraId="5E70BBA9">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675" w:type="dxa"/>
            <w:vMerge w:val="continue"/>
            <w:tcBorders>
              <w:left w:val="single" w:color="auto" w:sz="4" w:space="0"/>
              <w:right w:val="single" w:color="auto" w:sz="4" w:space="0"/>
            </w:tcBorders>
            <w:noWrap w:val="0"/>
            <w:vAlign w:val="center"/>
          </w:tcPr>
          <w:p w14:paraId="0B2B3C2B">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80" w:type="dxa"/>
            <w:tcBorders>
              <w:top w:val="single" w:color="auto" w:sz="4" w:space="0"/>
              <w:left w:val="single" w:color="auto" w:sz="4" w:space="0"/>
              <w:right w:val="single" w:color="auto" w:sz="4" w:space="0"/>
            </w:tcBorders>
            <w:noWrap w:val="0"/>
            <w:vAlign w:val="center"/>
          </w:tcPr>
          <w:p w14:paraId="44BF1082">
            <w:pPr>
              <w:pStyle w:val="120"/>
              <w:bidi w:val="0"/>
              <w:ind w:firstLine="0" w:firstLineChars="0"/>
              <w:jc w:val="center"/>
              <w:rPr>
                <w:rFonts w:hint="eastAsia"/>
                <w:color w:val="auto"/>
                <w:highlight w:val="none"/>
                <w:lang w:val="en-US" w:eastAsia="zh-CN"/>
              </w:rPr>
            </w:pPr>
            <w:r>
              <w:rPr>
                <w:rFonts w:hint="eastAsia"/>
                <w:color w:val="auto"/>
                <w:highlight w:val="none"/>
                <w:lang w:val="en-US" w:eastAsia="zh-CN"/>
              </w:rPr>
              <w:t>粪大肠杆菌</w:t>
            </w:r>
          </w:p>
          <w:p w14:paraId="12AAE2CD">
            <w:pPr>
              <w:pStyle w:val="120"/>
              <w:bidi w:val="0"/>
              <w:ind w:firstLine="0" w:firstLineChars="0"/>
              <w:jc w:val="center"/>
              <w:rPr>
                <w:rFonts w:hint="eastAsia" w:ascii="Times New Roman" w:hAnsi="Times New Roman" w:eastAsia="宋体" w:cs="Times New Roman"/>
                <w:color w:val="auto"/>
                <w:sz w:val="21"/>
                <w:szCs w:val="21"/>
                <w:lang w:val="en-US" w:eastAsia="zh-CN"/>
              </w:rPr>
            </w:pPr>
            <w:r>
              <w:rPr>
                <w:rFonts w:hint="eastAsia"/>
                <w:color w:val="auto"/>
                <w:highlight w:val="none"/>
                <w:lang w:val="en-US" w:eastAsia="zh-CN"/>
              </w:rPr>
              <w:t>(个/L)</w:t>
            </w:r>
          </w:p>
        </w:tc>
        <w:tc>
          <w:tcPr>
            <w:tcW w:w="690" w:type="dxa"/>
            <w:vMerge w:val="continue"/>
            <w:tcBorders>
              <w:left w:val="single" w:color="auto" w:sz="4" w:space="0"/>
              <w:right w:val="single" w:color="auto" w:sz="4" w:space="0"/>
            </w:tcBorders>
            <w:noWrap w:val="0"/>
            <w:vAlign w:val="center"/>
          </w:tcPr>
          <w:p w14:paraId="4678A54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750" w:type="dxa"/>
            <w:vMerge w:val="continue"/>
            <w:tcBorders>
              <w:left w:val="single" w:color="auto" w:sz="4" w:space="0"/>
              <w:right w:val="single" w:color="auto" w:sz="4" w:space="0"/>
            </w:tcBorders>
            <w:noWrap w:val="0"/>
            <w:vAlign w:val="center"/>
          </w:tcPr>
          <w:p w14:paraId="42F705B6">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825" w:type="dxa"/>
            <w:vMerge w:val="continue"/>
            <w:tcBorders>
              <w:left w:val="single" w:color="auto" w:sz="4" w:space="0"/>
              <w:right w:val="single" w:color="auto" w:sz="4" w:space="0"/>
            </w:tcBorders>
            <w:noWrap w:val="0"/>
            <w:vAlign w:val="center"/>
          </w:tcPr>
          <w:p w14:paraId="6CDB6A96">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675" w:type="dxa"/>
            <w:vMerge w:val="continue"/>
            <w:tcBorders>
              <w:left w:val="single" w:color="auto" w:sz="4" w:space="0"/>
              <w:right w:val="single" w:color="auto" w:sz="4" w:space="0"/>
            </w:tcBorders>
            <w:noWrap w:val="0"/>
            <w:vAlign w:val="center"/>
          </w:tcPr>
          <w:p w14:paraId="1D2F30C0">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p>
        </w:tc>
        <w:tc>
          <w:tcPr>
            <w:tcW w:w="870" w:type="dxa"/>
            <w:vMerge w:val="continue"/>
            <w:tcBorders>
              <w:left w:val="single" w:color="auto" w:sz="4" w:space="0"/>
              <w:right w:val="single" w:color="auto" w:sz="4" w:space="0"/>
            </w:tcBorders>
            <w:noWrap w:val="0"/>
            <w:vAlign w:val="center"/>
          </w:tcPr>
          <w:p w14:paraId="60879B19">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945" w:type="dxa"/>
            <w:vMerge w:val="continue"/>
            <w:tcBorders>
              <w:left w:val="single" w:color="auto" w:sz="4" w:space="0"/>
              <w:right w:val="single" w:color="auto" w:sz="6" w:space="0"/>
            </w:tcBorders>
            <w:noWrap w:val="0"/>
            <w:vAlign w:val="center"/>
          </w:tcPr>
          <w:p w14:paraId="46247C42">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525" w:type="dxa"/>
            <w:vMerge w:val="continue"/>
            <w:tcBorders>
              <w:left w:val="single" w:color="auto" w:sz="6" w:space="0"/>
              <w:right w:val="single" w:color="auto" w:sz="4" w:space="0"/>
            </w:tcBorders>
            <w:noWrap w:val="0"/>
            <w:vAlign w:val="center"/>
          </w:tcPr>
          <w:p w14:paraId="07CF09D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p>
        </w:tc>
        <w:tc>
          <w:tcPr>
            <w:tcW w:w="450" w:type="dxa"/>
            <w:vMerge w:val="continue"/>
            <w:tcBorders>
              <w:left w:val="single" w:color="auto" w:sz="6" w:space="0"/>
              <w:right w:val="single" w:color="auto" w:sz="4" w:space="0"/>
            </w:tcBorders>
            <w:noWrap w:val="0"/>
            <w:vAlign w:val="center"/>
          </w:tcPr>
          <w:p w14:paraId="6A08B7D6">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p>
        </w:tc>
        <w:tc>
          <w:tcPr>
            <w:tcW w:w="735" w:type="dxa"/>
            <w:vMerge w:val="continue"/>
            <w:tcBorders>
              <w:left w:val="single" w:color="auto" w:sz="6" w:space="0"/>
              <w:right w:val="single" w:color="auto" w:sz="4" w:space="0"/>
            </w:tcBorders>
            <w:noWrap w:val="0"/>
            <w:vAlign w:val="center"/>
          </w:tcPr>
          <w:p w14:paraId="5F681E63">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690" w:type="dxa"/>
            <w:vMerge w:val="continue"/>
            <w:tcBorders>
              <w:left w:val="single" w:color="auto" w:sz="4" w:space="0"/>
              <w:right w:val="single" w:color="auto" w:sz="6" w:space="0"/>
            </w:tcBorders>
            <w:noWrap w:val="0"/>
            <w:vAlign w:val="center"/>
          </w:tcPr>
          <w:p w14:paraId="624232C9">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885" w:type="dxa"/>
            <w:vMerge w:val="continue"/>
            <w:tcBorders>
              <w:left w:val="single" w:color="auto" w:sz="6" w:space="0"/>
              <w:right w:val="single" w:color="auto" w:sz="4" w:space="0"/>
            </w:tcBorders>
            <w:noWrap w:val="0"/>
            <w:vAlign w:val="center"/>
          </w:tcPr>
          <w:p w14:paraId="744BD1F5">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675" w:type="dxa"/>
            <w:vMerge w:val="continue"/>
            <w:tcBorders>
              <w:left w:val="single" w:color="auto" w:sz="6" w:space="0"/>
              <w:right w:val="single" w:color="auto" w:sz="4" w:space="0"/>
            </w:tcBorders>
            <w:noWrap w:val="0"/>
            <w:vAlign w:val="center"/>
          </w:tcPr>
          <w:p w14:paraId="31FDCA6B">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1875" w:type="dxa"/>
            <w:vMerge w:val="continue"/>
            <w:tcBorders>
              <w:left w:val="single" w:color="auto" w:sz="4" w:space="0"/>
              <w:right w:val="single" w:color="auto" w:sz="6" w:space="0"/>
            </w:tcBorders>
            <w:noWrap w:val="0"/>
            <w:vAlign w:val="center"/>
          </w:tcPr>
          <w:p w14:paraId="64AE5FA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35" w:type="dxa"/>
            <w:tcBorders>
              <w:top w:val="single" w:color="auto" w:sz="4" w:space="0"/>
              <w:left w:val="single" w:color="auto" w:sz="4" w:space="0"/>
              <w:right w:val="single" w:color="auto" w:sz="6" w:space="0"/>
            </w:tcBorders>
            <w:noWrap w:val="0"/>
            <w:vAlign w:val="center"/>
          </w:tcPr>
          <w:p w14:paraId="29B50CAD">
            <w:pPr>
              <w:pStyle w:val="95"/>
              <w:keepNext w:val="0"/>
              <w:keepLines w:val="0"/>
              <w:pageBreakBefore w:val="0"/>
              <w:kinsoku/>
              <w:wordWrap/>
              <w:overflowPunct/>
              <w:topLinePunct w:val="0"/>
              <w:autoSpaceDE/>
              <w:autoSpaceDN/>
              <w:bidi w:val="0"/>
              <w:spacing w:line="240" w:lineRule="auto"/>
              <w:ind w:firstLine="0" w:firstLineChars="0"/>
              <w:jc w:val="center"/>
              <w:rPr>
                <w:rFonts w:hint="default" w:cs="Times New Roman"/>
                <w:color w:val="auto"/>
                <w:sz w:val="21"/>
                <w:szCs w:val="21"/>
                <w:lang w:val="en-US" w:eastAsia="zh-CN"/>
              </w:rPr>
            </w:pPr>
            <w:r>
              <w:rPr>
                <w:rFonts w:hint="eastAsia" w:ascii="Times New Roman" w:hAnsi="Times New Roman" w:eastAsia="宋体" w:cs="Times New Roman"/>
                <w:color w:val="auto"/>
                <w:kern w:val="0"/>
                <w:sz w:val="21"/>
                <w:szCs w:val="21"/>
                <w:lang w:val="en-US" w:eastAsia="zh-CN"/>
              </w:rPr>
              <w:t>5000</w:t>
            </w:r>
            <w:r>
              <w:rPr>
                <w:rFonts w:hint="eastAsia"/>
                <w:color w:val="auto"/>
                <w:highlight w:val="none"/>
                <w:lang w:val="en-US" w:eastAsia="zh-CN"/>
              </w:rPr>
              <w:t>(个/L)</w:t>
            </w:r>
          </w:p>
        </w:tc>
        <w:tc>
          <w:tcPr>
            <w:tcW w:w="675" w:type="dxa"/>
            <w:tcBorders>
              <w:top w:val="single" w:color="auto" w:sz="4" w:space="0"/>
              <w:left w:val="single" w:color="auto" w:sz="6" w:space="0"/>
              <w:right w:val="single" w:color="auto" w:sz="4" w:space="0"/>
            </w:tcBorders>
            <w:noWrap w:val="0"/>
            <w:vAlign w:val="center"/>
          </w:tcPr>
          <w:p w14:paraId="09BE8C87">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412" w:type="dxa"/>
            <w:vMerge w:val="continue"/>
            <w:tcBorders>
              <w:left w:val="single" w:color="auto" w:sz="6" w:space="0"/>
              <w:right w:val="single" w:color="auto" w:sz="12" w:space="0"/>
            </w:tcBorders>
            <w:noWrap w:val="0"/>
            <w:vAlign w:val="center"/>
          </w:tcPr>
          <w:p w14:paraId="73F544E5">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r>
      <w:tr w14:paraId="75006E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dxa"/>
            <w:vMerge w:val="restart"/>
            <w:tcBorders>
              <w:top w:val="single" w:color="auto" w:sz="4" w:space="0"/>
              <w:left w:val="single" w:color="auto" w:sz="12" w:space="0"/>
              <w:right w:val="single" w:color="auto" w:sz="4" w:space="0"/>
            </w:tcBorders>
            <w:noWrap w:val="0"/>
            <w:vAlign w:val="center"/>
          </w:tcPr>
          <w:p w14:paraId="7A2B486F">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w:t>
            </w:r>
          </w:p>
        </w:tc>
        <w:tc>
          <w:tcPr>
            <w:tcW w:w="675" w:type="dxa"/>
            <w:vMerge w:val="restart"/>
            <w:tcBorders>
              <w:top w:val="single" w:color="auto" w:sz="4" w:space="0"/>
              <w:left w:val="single" w:color="auto" w:sz="4" w:space="0"/>
              <w:right w:val="single" w:color="auto" w:sz="4" w:space="0"/>
            </w:tcBorders>
            <w:noWrap w:val="0"/>
            <w:vAlign w:val="center"/>
          </w:tcPr>
          <w:p w14:paraId="2613C55B">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kern w:val="0"/>
                <w:sz w:val="21"/>
                <w:szCs w:val="21"/>
                <w:lang w:val="en-US" w:eastAsia="zh-CN"/>
              </w:rPr>
              <w:t>浓水</w:t>
            </w:r>
          </w:p>
        </w:tc>
        <w:tc>
          <w:tcPr>
            <w:tcW w:w="780" w:type="dxa"/>
            <w:tcBorders>
              <w:top w:val="single" w:color="auto" w:sz="4" w:space="0"/>
              <w:left w:val="single" w:color="auto" w:sz="4" w:space="0"/>
              <w:right w:val="single" w:color="auto" w:sz="4" w:space="0"/>
            </w:tcBorders>
            <w:noWrap w:val="0"/>
            <w:vAlign w:val="center"/>
          </w:tcPr>
          <w:p w14:paraId="5B1F2CF2">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ascii="Times New Roman" w:hAnsi="Times New Roman" w:eastAsia="宋体" w:cs="Times New Roman"/>
                <w:color w:val="auto"/>
                <w:sz w:val="21"/>
                <w:szCs w:val="21"/>
                <w:lang w:val="en-US" w:eastAsia="zh-CN"/>
              </w:rPr>
            </w:pPr>
            <w:r>
              <w:rPr>
                <w:rFonts w:hint="default"/>
                <w:color w:val="auto"/>
                <w:highlight w:val="none"/>
                <w:lang w:val="en-US" w:eastAsia="zh-CN"/>
              </w:rPr>
              <w:t>pH</w:t>
            </w:r>
          </w:p>
        </w:tc>
        <w:tc>
          <w:tcPr>
            <w:tcW w:w="690" w:type="dxa"/>
            <w:vMerge w:val="restart"/>
            <w:tcBorders>
              <w:top w:val="single" w:color="auto" w:sz="4" w:space="0"/>
              <w:left w:val="single" w:color="auto" w:sz="4" w:space="0"/>
              <w:right w:val="single" w:color="auto" w:sz="4" w:space="0"/>
            </w:tcBorders>
            <w:noWrap w:val="0"/>
            <w:vAlign w:val="center"/>
          </w:tcPr>
          <w:p w14:paraId="23BFCFC4">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750" w:type="dxa"/>
            <w:vMerge w:val="restart"/>
            <w:tcBorders>
              <w:top w:val="single" w:color="auto" w:sz="4" w:space="0"/>
              <w:left w:val="single" w:color="auto" w:sz="4" w:space="0"/>
              <w:right w:val="single" w:color="auto" w:sz="4" w:space="0"/>
            </w:tcBorders>
            <w:noWrap w:val="0"/>
            <w:vAlign w:val="center"/>
          </w:tcPr>
          <w:p w14:paraId="2A4B60E5">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r>
              <w:rPr>
                <w:rFonts w:hint="eastAsia" w:cs="Times New Roman"/>
                <w:color w:val="auto"/>
                <w:sz w:val="21"/>
                <w:szCs w:val="21"/>
                <w:lang w:val="en-US" w:eastAsia="zh-CN"/>
              </w:rPr>
              <w:t>/</w:t>
            </w:r>
          </w:p>
        </w:tc>
        <w:tc>
          <w:tcPr>
            <w:tcW w:w="825" w:type="dxa"/>
            <w:vMerge w:val="restart"/>
            <w:tcBorders>
              <w:top w:val="single" w:color="auto" w:sz="4" w:space="0"/>
              <w:left w:val="single" w:color="auto" w:sz="4" w:space="0"/>
              <w:right w:val="single" w:color="auto" w:sz="4" w:space="0"/>
            </w:tcBorders>
            <w:noWrap w:val="0"/>
            <w:vAlign w:val="center"/>
          </w:tcPr>
          <w:p w14:paraId="526D2E08">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675" w:type="dxa"/>
            <w:vMerge w:val="restart"/>
            <w:tcBorders>
              <w:top w:val="single" w:color="auto" w:sz="4" w:space="0"/>
              <w:left w:val="single" w:color="auto" w:sz="4" w:space="0"/>
              <w:right w:val="single" w:color="auto" w:sz="4" w:space="0"/>
            </w:tcBorders>
            <w:noWrap w:val="0"/>
            <w:vAlign w:val="center"/>
          </w:tcPr>
          <w:p w14:paraId="57DB433F">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r>
              <w:rPr>
                <w:rFonts w:hint="eastAsia" w:cs="Times New Roman"/>
                <w:color w:val="auto"/>
                <w:sz w:val="21"/>
                <w:szCs w:val="21"/>
                <w:lang w:val="en-US" w:eastAsia="zh-CN"/>
              </w:rPr>
              <w:t>/</w:t>
            </w:r>
          </w:p>
        </w:tc>
        <w:tc>
          <w:tcPr>
            <w:tcW w:w="870" w:type="dxa"/>
            <w:vMerge w:val="restart"/>
            <w:tcBorders>
              <w:top w:val="single" w:color="auto" w:sz="4" w:space="0"/>
              <w:left w:val="single" w:color="auto" w:sz="4" w:space="0"/>
              <w:right w:val="single" w:color="auto" w:sz="4" w:space="0"/>
            </w:tcBorders>
            <w:noWrap w:val="0"/>
            <w:vAlign w:val="center"/>
          </w:tcPr>
          <w:p w14:paraId="4502A4B3">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945" w:type="dxa"/>
            <w:vMerge w:val="restart"/>
            <w:tcBorders>
              <w:top w:val="single" w:color="auto" w:sz="4" w:space="0"/>
              <w:left w:val="single" w:color="auto" w:sz="4" w:space="0"/>
              <w:right w:val="single" w:color="auto" w:sz="6" w:space="0"/>
            </w:tcBorders>
            <w:noWrap w:val="0"/>
            <w:vAlign w:val="center"/>
          </w:tcPr>
          <w:p w14:paraId="271E5B73">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r>
              <w:rPr>
                <w:rFonts w:hint="eastAsia" w:cs="Times New Roman"/>
                <w:color w:val="auto"/>
                <w:sz w:val="21"/>
                <w:szCs w:val="21"/>
                <w:lang w:val="en-US" w:eastAsia="zh-CN"/>
              </w:rPr>
              <w:t>潘集污水处理厂</w:t>
            </w:r>
          </w:p>
        </w:tc>
        <w:tc>
          <w:tcPr>
            <w:tcW w:w="525" w:type="dxa"/>
            <w:vMerge w:val="restart"/>
            <w:tcBorders>
              <w:top w:val="single" w:color="auto" w:sz="4" w:space="0"/>
              <w:left w:val="single" w:color="auto" w:sz="6" w:space="0"/>
              <w:right w:val="single" w:color="auto" w:sz="4" w:space="0"/>
            </w:tcBorders>
            <w:noWrap w:val="0"/>
            <w:vAlign w:val="center"/>
          </w:tcPr>
          <w:p w14:paraId="4B64E9F2">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r>
              <w:rPr>
                <w:rFonts w:hint="eastAsia" w:ascii="Times New Roman" w:hAnsi="Times New Roman" w:eastAsia="宋体" w:cs="Times New Roman"/>
                <w:color w:val="auto"/>
                <w:sz w:val="21"/>
                <w:szCs w:val="21"/>
                <w:lang w:val="zh-CN" w:eastAsia="zh-CN"/>
              </w:rPr>
              <w:t>间接排放</w:t>
            </w:r>
          </w:p>
        </w:tc>
        <w:tc>
          <w:tcPr>
            <w:tcW w:w="450" w:type="dxa"/>
            <w:vMerge w:val="restart"/>
            <w:tcBorders>
              <w:top w:val="single" w:color="auto" w:sz="4" w:space="0"/>
              <w:left w:val="single" w:color="auto" w:sz="6" w:space="0"/>
              <w:right w:val="single" w:color="auto" w:sz="4" w:space="0"/>
            </w:tcBorders>
            <w:noWrap w:val="0"/>
            <w:vAlign w:val="center"/>
          </w:tcPr>
          <w:p w14:paraId="7BF9FD70">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r>
              <w:rPr>
                <w:rFonts w:hint="eastAsia" w:ascii="Times New Roman" w:hAnsi="Times New Roman" w:eastAsia="宋体" w:cs="Times New Roman"/>
                <w:color w:val="auto"/>
                <w:sz w:val="21"/>
                <w:szCs w:val="21"/>
                <w:lang w:val="zh-CN" w:eastAsia="zh-CN"/>
              </w:rPr>
              <w:t>连续排放</w:t>
            </w:r>
          </w:p>
        </w:tc>
        <w:tc>
          <w:tcPr>
            <w:tcW w:w="735" w:type="dxa"/>
            <w:vMerge w:val="restart"/>
            <w:tcBorders>
              <w:top w:val="single" w:color="auto" w:sz="4" w:space="0"/>
              <w:left w:val="single" w:color="auto" w:sz="6" w:space="0"/>
              <w:right w:val="single" w:color="auto" w:sz="4" w:space="0"/>
            </w:tcBorders>
            <w:noWrap w:val="0"/>
            <w:vAlign w:val="center"/>
          </w:tcPr>
          <w:p w14:paraId="25BAFA16">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DW001</w:t>
            </w:r>
          </w:p>
        </w:tc>
        <w:tc>
          <w:tcPr>
            <w:tcW w:w="690" w:type="dxa"/>
            <w:vMerge w:val="restart"/>
            <w:tcBorders>
              <w:top w:val="single" w:color="auto" w:sz="4" w:space="0"/>
              <w:left w:val="single" w:color="auto" w:sz="4" w:space="0"/>
              <w:right w:val="single" w:color="auto" w:sz="6" w:space="0"/>
            </w:tcBorders>
            <w:noWrap w:val="0"/>
            <w:vAlign w:val="center"/>
          </w:tcPr>
          <w:p w14:paraId="0B6740B3">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污水总排口</w:t>
            </w:r>
          </w:p>
        </w:tc>
        <w:tc>
          <w:tcPr>
            <w:tcW w:w="885" w:type="dxa"/>
            <w:vMerge w:val="restart"/>
            <w:tcBorders>
              <w:top w:val="single" w:color="auto" w:sz="4" w:space="0"/>
              <w:left w:val="single" w:color="auto" w:sz="6" w:space="0"/>
              <w:right w:val="single" w:color="auto" w:sz="4" w:space="0"/>
            </w:tcBorders>
            <w:noWrap w:val="0"/>
            <w:vAlign w:val="center"/>
          </w:tcPr>
          <w:p w14:paraId="33240CA5">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r>
              <w:rPr>
                <w:rFonts w:hint="eastAsia" w:ascii="Times New Roman" w:hAnsi="Times New Roman" w:eastAsia="宋体" w:cs="Times New Roman"/>
                <w:color w:val="auto"/>
                <w:sz w:val="21"/>
                <w:szCs w:val="21"/>
                <w:lang w:val="en-US" w:eastAsia="zh-CN"/>
              </w:rPr>
              <w:t>是</w:t>
            </w:r>
          </w:p>
        </w:tc>
        <w:tc>
          <w:tcPr>
            <w:tcW w:w="675" w:type="dxa"/>
            <w:vMerge w:val="restart"/>
            <w:tcBorders>
              <w:top w:val="single" w:color="auto" w:sz="4" w:space="0"/>
              <w:left w:val="single" w:color="auto" w:sz="6" w:space="0"/>
              <w:right w:val="single" w:color="auto" w:sz="4" w:space="0"/>
            </w:tcBorders>
            <w:noWrap w:val="0"/>
            <w:vAlign w:val="center"/>
          </w:tcPr>
          <w:p w14:paraId="6BD53EA8">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r>
              <w:rPr>
                <w:rFonts w:hint="eastAsia" w:cs="Times New Roman"/>
                <w:color w:val="auto"/>
                <w:sz w:val="21"/>
                <w:szCs w:val="21"/>
                <w:lang w:val="en-US" w:eastAsia="zh-CN"/>
              </w:rPr>
              <w:t>一般排放</w:t>
            </w:r>
            <w:r>
              <w:rPr>
                <w:rFonts w:hint="eastAsia" w:ascii="Times New Roman" w:hAnsi="Times New Roman" w:eastAsia="宋体" w:cs="Times New Roman"/>
                <w:color w:val="auto"/>
                <w:sz w:val="21"/>
                <w:szCs w:val="21"/>
                <w:lang w:val="en-US" w:eastAsia="zh-CN"/>
              </w:rPr>
              <w:t>排口</w:t>
            </w:r>
          </w:p>
        </w:tc>
        <w:tc>
          <w:tcPr>
            <w:tcW w:w="1875" w:type="dxa"/>
            <w:vMerge w:val="restart"/>
            <w:tcBorders>
              <w:top w:val="single" w:color="auto" w:sz="4" w:space="0"/>
              <w:left w:val="single" w:color="auto" w:sz="4" w:space="0"/>
              <w:right w:val="single" w:color="auto" w:sz="6" w:space="0"/>
            </w:tcBorders>
            <w:noWrap w:val="0"/>
            <w:vAlign w:val="center"/>
          </w:tcPr>
          <w:p w14:paraId="1036D44D">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highlight w:val="none"/>
              </w:rPr>
              <w:t>《医疗机构水污染物排放标准》（GB18466</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2005）表</w:t>
            </w:r>
            <w:r>
              <w:rPr>
                <w:rFonts w:hint="eastAsia"/>
                <w:color w:val="auto"/>
                <w:sz w:val="21"/>
                <w:szCs w:val="21"/>
                <w:highlight w:val="none"/>
              </w:rPr>
              <w:t>2中预处理标准</w:t>
            </w:r>
            <w:r>
              <w:rPr>
                <w:rFonts w:hint="eastAsia"/>
                <w:color w:val="auto"/>
                <w:sz w:val="21"/>
                <w:szCs w:val="21"/>
                <w:highlight w:val="none"/>
                <w:lang w:val="en-US" w:eastAsia="zh-CN"/>
              </w:rPr>
              <w:t>及</w:t>
            </w:r>
            <w:r>
              <w:rPr>
                <w:rFonts w:hint="eastAsia" w:cs="Times New Roman"/>
                <w:color w:val="auto"/>
                <w:kern w:val="0"/>
                <w:sz w:val="21"/>
                <w:szCs w:val="21"/>
                <w:lang w:val="en-US" w:eastAsia="zh-CN" w:bidi="ar-SA"/>
              </w:rPr>
              <w:t>潘集污水处理厂</w:t>
            </w:r>
            <w:r>
              <w:rPr>
                <w:rFonts w:hint="eastAsia" w:ascii="Times New Roman" w:hAnsi="Times New Roman" w:eastAsia="宋体" w:cs="Times New Roman"/>
                <w:color w:val="auto"/>
                <w:kern w:val="0"/>
                <w:sz w:val="21"/>
                <w:szCs w:val="21"/>
                <w:lang w:val="en-US" w:eastAsia="zh-CN" w:bidi="ar-SA"/>
              </w:rPr>
              <w:t>接管标准</w:t>
            </w:r>
          </w:p>
        </w:tc>
        <w:tc>
          <w:tcPr>
            <w:tcW w:w="735" w:type="dxa"/>
            <w:tcBorders>
              <w:top w:val="single" w:color="auto" w:sz="4" w:space="0"/>
              <w:left w:val="single" w:color="auto" w:sz="4" w:space="0"/>
              <w:right w:val="single" w:color="auto" w:sz="6" w:space="0"/>
            </w:tcBorders>
            <w:noWrap w:val="0"/>
            <w:vAlign w:val="center"/>
          </w:tcPr>
          <w:p w14:paraId="03B3DD38">
            <w:pPr>
              <w:pStyle w:val="95"/>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olor w:val="auto"/>
                <w:sz w:val="21"/>
                <w:szCs w:val="21"/>
                <w:highlight w:val="none"/>
                <w:lang w:val="en-US" w:eastAsia="zh-CN"/>
              </w:rPr>
              <w:t>6-9</w:t>
            </w:r>
          </w:p>
        </w:tc>
        <w:tc>
          <w:tcPr>
            <w:tcW w:w="675" w:type="dxa"/>
            <w:tcBorders>
              <w:top w:val="single" w:color="auto" w:sz="4" w:space="0"/>
              <w:left w:val="single" w:color="auto" w:sz="6" w:space="0"/>
              <w:right w:val="single" w:color="auto" w:sz="4" w:space="0"/>
            </w:tcBorders>
            <w:noWrap w:val="0"/>
            <w:vAlign w:val="center"/>
          </w:tcPr>
          <w:p w14:paraId="47D114F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412" w:type="dxa"/>
            <w:vMerge w:val="restart"/>
            <w:tcBorders>
              <w:top w:val="single" w:color="auto" w:sz="4" w:space="0"/>
              <w:left w:val="single" w:color="auto" w:sz="6" w:space="0"/>
              <w:right w:val="single" w:color="auto" w:sz="12" w:space="0"/>
            </w:tcBorders>
            <w:noWrap w:val="0"/>
            <w:vAlign w:val="center"/>
          </w:tcPr>
          <w:p w14:paraId="56917457">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r>
              <w:rPr>
                <w:rFonts w:hint="eastAsia" w:ascii="Times New Roman" w:hAnsi="Times New Roman" w:eastAsia="宋体" w:cs="Times New Roman"/>
                <w:color w:val="auto"/>
                <w:sz w:val="21"/>
                <w:szCs w:val="21"/>
                <w:lang w:val="en-US" w:eastAsia="zh-CN"/>
              </w:rPr>
              <w:t>/</w:t>
            </w:r>
          </w:p>
        </w:tc>
      </w:tr>
      <w:tr w14:paraId="32F0C6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dxa"/>
            <w:vMerge w:val="continue"/>
            <w:tcBorders>
              <w:left w:val="single" w:color="auto" w:sz="12" w:space="0"/>
              <w:right w:val="single" w:color="auto" w:sz="4" w:space="0"/>
            </w:tcBorders>
            <w:noWrap w:val="0"/>
            <w:vAlign w:val="center"/>
          </w:tcPr>
          <w:p w14:paraId="1E2F7B55">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675" w:type="dxa"/>
            <w:vMerge w:val="continue"/>
            <w:tcBorders>
              <w:left w:val="single" w:color="auto" w:sz="4" w:space="0"/>
              <w:right w:val="single" w:color="auto" w:sz="4" w:space="0"/>
            </w:tcBorders>
            <w:noWrap w:val="0"/>
            <w:vAlign w:val="center"/>
          </w:tcPr>
          <w:p w14:paraId="5EC5C4A2">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80" w:type="dxa"/>
            <w:tcBorders>
              <w:top w:val="single" w:color="auto" w:sz="4" w:space="0"/>
              <w:left w:val="single" w:color="auto" w:sz="4" w:space="0"/>
              <w:right w:val="single" w:color="auto" w:sz="4" w:space="0"/>
            </w:tcBorders>
            <w:noWrap w:val="0"/>
            <w:vAlign w:val="center"/>
          </w:tcPr>
          <w:p w14:paraId="1C2E9C03">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rPr>
              <w:t>COD</w:t>
            </w:r>
          </w:p>
        </w:tc>
        <w:tc>
          <w:tcPr>
            <w:tcW w:w="690" w:type="dxa"/>
            <w:vMerge w:val="continue"/>
            <w:tcBorders>
              <w:left w:val="single" w:color="auto" w:sz="4" w:space="0"/>
              <w:right w:val="single" w:color="auto" w:sz="4" w:space="0"/>
            </w:tcBorders>
            <w:noWrap w:val="0"/>
            <w:vAlign w:val="center"/>
          </w:tcPr>
          <w:p w14:paraId="745AE467">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750" w:type="dxa"/>
            <w:vMerge w:val="continue"/>
            <w:tcBorders>
              <w:left w:val="single" w:color="auto" w:sz="4" w:space="0"/>
              <w:right w:val="single" w:color="auto" w:sz="4" w:space="0"/>
            </w:tcBorders>
            <w:noWrap w:val="0"/>
            <w:vAlign w:val="center"/>
          </w:tcPr>
          <w:p w14:paraId="61876E78">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825" w:type="dxa"/>
            <w:vMerge w:val="continue"/>
            <w:tcBorders>
              <w:left w:val="single" w:color="auto" w:sz="4" w:space="0"/>
              <w:right w:val="single" w:color="auto" w:sz="4" w:space="0"/>
            </w:tcBorders>
            <w:noWrap w:val="0"/>
            <w:vAlign w:val="center"/>
          </w:tcPr>
          <w:p w14:paraId="1970C2D6">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675" w:type="dxa"/>
            <w:vMerge w:val="continue"/>
            <w:tcBorders>
              <w:left w:val="single" w:color="auto" w:sz="4" w:space="0"/>
              <w:right w:val="single" w:color="auto" w:sz="4" w:space="0"/>
            </w:tcBorders>
            <w:noWrap w:val="0"/>
            <w:vAlign w:val="center"/>
          </w:tcPr>
          <w:p w14:paraId="7308518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p>
        </w:tc>
        <w:tc>
          <w:tcPr>
            <w:tcW w:w="870" w:type="dxa"/>
            <w:vMerge w:val="continue"/>
            <w:tcBorders>
              <w:left w:val="single" w:color="auto" w:sz="4" w:space="0"/>
              <w:right w:val="single" w:color="auto" w:sz="4" w:space="0"/>
            </w:tcBorders>
            <w:noWrap w:val="0"/>
            <w:vAlign w:val="center"/>
          </w:tcPr>
          <w:p w14:paraId="0C0B52B2">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945" w:type="dxa"/>
            <w:vMerge w:val="continue"/>
            <w:tcBorders>
              <w:left w:val="single" w:color="auto" w:sz="4" w:space="0"/>
              <w:right w:val="single" w:color="auto" w:sz="6" w:space="0"/>
            </w:tcBorders>
            <w:noWrap w:val="0"/>
            <w:vAlign w:val="center"/>
          </w:tcPr>
          <w:p w14:paraId="64B6378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525" w:type="dxa"/>
            <w:vMerge w:val="continue"/>
            <w:tcBorders>
              <w:left w:val="single" w:color="auto" w:sz="6" w:space="0"/>
              <w:right w:val="single" w:color="auto" w:sz="4" w:space="0"/>
            </w:tcBorders>
            <w:noWrap w:val="0"/>
            <w:vAlign w:val="center"/>
          </w:tcPr>
          <w:p w14:paraId="0E5D7EEC">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p>
        </w:tc>
        <w:tc>
          <w:tcPr>
            <w:tcW w:w="450" w:type="dxa"/>
            <w:vMerge w:val="continue"/>
            <w:tcBorders>
              <w:left w:val="single" w:color="auto" w:sz="6" w:space="0"/>
              <w:right w:val="single" w:color="auto" w:sz="4" w:space="0"/>
            </w:tcBorders>
            <w:noWrap w:val="0"/>
            <w:vAlign w:val="center"/>
          </w:tcPr>
          <w:p w14:paraId="1816CA66">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p>
        </w:tc>
        <w:tc>
          <w:tcPr>
            <w:tcW w:w="735" w:type="dxa"/>
            <w:vMerge w:val="continue"/>
            <w:tcBorders>
              <w:left w:val="single" w:color="auto" w:sz="6" w:space="0"/>
              <w:right w:val="single" w:color="auto" w:sz="4" w:space="0"/>
            </w:tcBorders>
            <w:noWrap w:val="0"/>
            <w:vAlign w:val="center"/>
          </w:tcPr>
          <w:p w14:paraId="309058E2">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690" w:type="dxa"/>
            <w:vMerge w:val="continue"/>
            <w:tcBorders>
              <w:left w:val="single" w:color="auto" w:sz="4" w:space="0"/>
              <w:right w:val="single" w:color="auto" w:sz="6" w:space="0"/>
            </w:tcBorders>
            <w:noWrap w:val="0"/>
            <w:vAlign w:val="center"/>
          </w:tcPr>
          <w:p w14:paraId="5FD10E93">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885" w:type="dxa"/>
            <w:vMerge w:val="continue"/>
            <w:tcBorders>
              <w:left w:val="single" w:color="auto" w:sz="6" w:space="0"/>
              <w:right w:val="single" w:color="auto" w:sz="4" w:space="0"/>
            </w:tcBorders>
            <w:noWrap w:val="0"/>
            <w:vAlign w:val="center"/>
          </w:tcPr>
          <w:p w14:paraId="6022B4B6">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675" w:type="dxa"/>
            <w:vMerge w:val="continue"/>
            <w:tcBorders>
              <w:left w:val="single" w:color="auto" w:sz="6" w:space="0"/>
              <w:right w:val="single" w:color="auto" w:sz="4" w:space="0"/>
            </w:tcBorders>
            <w:noWrap w:val="0"/>
            <w:vAlign w:val="center"/>
          </w:tcPr>
          <w:p w14:paraId="55453D42">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1875" w:type="dxa"/>
            <w:vMerge w:val="continue"/>
            <w:tcBorders>
              <w:left w:val="single" w:color="auto" w:sz="4" w:space="0"/>
              <w:right w:val="single" w:color="auto" w:sz="6" w:space="0"/>
            </w:tcBorders>
            <w:noWrap w:val="0"/>
            <w:vAlign w:val="center"/>
          </w:tcPr>
          <w:p w14:paraId="509D522A">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35" w:type="dxa"/>
            <w:tcBorders>
              <w:top w:val="single" w:color="auto" w:sz="4" w:space="0"/>
              <w:left w:val="single" w:color="auto" w:sz="4" w:space="0"/>
              <w:right w:val="single" w:color="auto" w:sz="6" w:space="0"/>
            </w:tcBorders>
            <w:noWrap w:val="0"/>
            <w:vAlign w:val="center"/>
          </w:tcPr>
          <w:p w14:paraId="44A7E8CB">
            <w:pPr>
              <w:pStyle w:val="95"/>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lang w:val="en-US" w:eastAsia="zh-CN"/>
              </w:rPr>
            </w:pPr>
            <w:r>
              <w:rPr>
                <w:rFonts w:hint="eastAsia"/>
                <w:color w:val="auto"/>
                <w:sz w:val="21"/>
                <w:szCs w:val="21"/>
                <w:highlight w:val="none"/>
                <w:lang w:val="en-US" w:eastAsia="zh-CN"/>
              </w:rPr>
              <w:t>250</w:t>
            </w:r>
          </w:p>
        </w:tc>
        <w:tc>
          <w:tcPr>
            <w:tcW w:w="675" w:type="dxa"/>
            <w:tcBorders>
              <w:top w:val="single" w:color="auto" w:sz="4" w:space="0"/>
              <w:left w:val="single" w:color="auto" w:sz="6" w:space="0"/>
              <w:right w:val="single" w:color="auto" w:sz="4" w:space="0"/>
            </w:tcBorders>
            <w:noWrap w:val="0"/>
            <w:vAlign w:val="center"/>
          </w:tcPr>
          <w:p w14:paraId="0D4D39DD">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412" w:type="dxa"/>
            <w:vMerge w:val="continue"/>
            <w:tcBorders>
              <w:left w:val="single" w:color="auto" w:sz="6" w:space="0"/>
              <w:right w:val="single" w:color="auto" w:sz="12" w:space="0"/>
            </w:tcBorders>
            <w:noWrap w:val="0"/>
            <w:vAlign w:val="center"/>
          </w:tcPr>
          <w:p w14:paraId="6E709CD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r>
      <w:tr w14:paraId="130B18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dxa"/>
            <w:vMerge w:val="continue"/>
            <w:tcBorders>
              <w:left w:val="single" w:color="auto" w:sz="12" w:space="0"/>
              <w:right w:val="single" w:color="auto" w:sz="4" w:space="0"/>
            </w:tcBorders>
            <w:noWrap w:val="0"/>
            <w:vAlign w:val="center"/>
          </w:tcPr>
          <w:p w14:paraId="2C7A9A6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675" w:type="dxa"/>
            <w:vMerge w:val="continue"/>
            <w:tcBorders>
              <w:left w:val="single" w:color="auto" w:sz="4" w:space="0"/>
              <w:right w:val="single" w:color="auto" w:sz="4" w:space="0"/>
            </w:tcBorders>
            <w:noWrap w:val="0"/>
            <w:vAlign w:val="center"/>
          </w:tcPr>
          <w:p w14:paraId="0D6DA209">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80" w:type="dxa"/>
            <w:tcBorders>
              <w:top w:val="single" w:color="auto" w:sz="4" w:space="0"/>
              <w:left w:val="single" w:color="auto" w:sz="4" w:space="0"/>
              <w:right w:val="single" w:color="auto" w:sz="4" w:space="0"/>
            </w:tcBorders>
            <w:noWrap w:val="0"/>
            <w:vAlign w:val="center"/>
          </w:tcPr>
          <w:p w14:paraId="6B3ABC6F">
            <w:pPr>
              <w:keepNext w:val="0"/>
              <w:keepLines w:val="0"/>
              <w:pageBreakBefore w:val="0"/>
              <w:widowControl w:val="0"/>
              <w:kinsoku/>
              <w:wordWrap/>
              <w:overflowPunct/>
              <w:topLinePunct w:val="0"/>
              <w:autoSpaceDE/>
              <w:autoSpaceDN/>
              <w:bidi w:val="0"/>
              <w:spacing w:beforeAutospacing="0" w:afterAutospacing="0" w:line="240" w:lineRule="auto"/>
              <w:ind w:left="0" w:leftChars="0" w:right="0" w:rightChars="0"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kern w:val="0"/>
                <w:sz w:val="21"/>
                <w:szCs w:val="21"/>
                <w:lang w:val="en-US" w:eastAsia="zh-CN"/>
              </w:rPr>
              <w:t>SS</w:t>
            </w:r>
          </w:p>
        </w:tc>
        <w:tc>
          <w:tcPr>
            <w:tcW w:w="690" w:type="dxa"/>
            <w:vMerge w:val="continue"/>
            <w:tcBorders>
              <w:left w:val="single" w:color="auto" w:sz="4" w:space="0"/>
              <w:right w:val="single" w:color="auto" w:sz="4" w:space="0"/>
            </w:tcBorders>
            <w:noWrap w:val="0"/>
            <w:vAlign w:val="center"/>
          </w:tcPr>
          <w:p w14:paraId="7BF2B29E">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750" w:type="dxa"/>
            <w:vMerge w:val="continue"/>
            <w:tcBorders>
              <w:left w:val="single" w:color="auto" w:sz="4" w:space="0"/>
              <w:right w:val="single" w:color="auto" w:sz="4" w:space="0"/>
            </w:tcBorders>
            <w:noWrap w:val="0"/>
            <w:vAlign w:val="center"/>
          </w:tcPr>
          <w:p w14:paraId="0A787E5D">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825" w:type="dxa"/>
            <w:vMerge w:val="continue"/>
            <w:tcBorders>
              <w:left w:val="single" w:color="auto" w:sz="4" w:space="0"/>
              <w:right w:val="single" w:color="auto" w:sz="4" w:space="0"/>
            </w:tcBorders>
            <w:noWrap w:val="0"/>
            <w:vAlign w:val="center"/>
          </w:tcPr>
          <w:p w14:paraId="0B2109E0">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675" w:type="dxa"/>
            <w:vMerge w:val="continue"/>
            <w:tcBorders>
              <w:left w:val="single" w:color="auto" w:sz="4" w:space="0"/>
              <w:right w:val="single" w:color="auto" w:sz="4" w:space="0"/>
            </w:tcBorders>
            <w:noWrap w:val="0"/>
            <w:vAlign w:val="center"/>
          </w:tcPr>
          <w:p w14:paraId="53A3A47F">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p>
        </w:tc>
        <w:tc>
          <w:tcPr>
            <w:tcW w:w="870" w:type="dxa"/>
            <w:vMerge w:val="continue"/>
            <w:tcBorders>
              <w:left w:val="single" w:color="auto" w:sz="4" w:space="0"/>
              <w:right w:val="single" w:color="auto" w:sz="4" w:space="0"/>
            </w:tcBorders>
            <w:noWrap w:val="0"/>
            <w:vAlign w:val="center"/>
          </w:tcPr>
          <w:p w14:paraId="1B35E370">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945" w:type="dxa"/>
            <w:vMerge w:val="continue"/>
            <w:tcBorders>
              <w:left w:val="single" w:color="auto" w:sz="4" w:space="0"/>
              <w:right w:val="single" w:color="auto" w:sz="6" w:space="0"/>
            </w:tcBorders>
            <w:noWrap w:val="0"/>
            <w:vAlign w:val="center"/>
          </w:tcPr>
          <w:p w14:paraId="65AF9A0E">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525" w:type="dxa"/>
            <w:vMerge w:val="continue"/>
            <w:tcBorders>
              <w:left w:val="single" w:color="auto" w:sz="6" w:space="0"/>
              <w:right w:val="single" w:color="auto" w:sz="4" w:space="0"/>
            </w:tcBorders>
            <w:noWrap w:val="0"/>
            <w:vAlign w:val="center"/>
          </w:tcPr>
          <w:p w14:paraId="15D68FF0">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p>
        </w:tc>
        <w:tc>
          <w:tcPr>
            <w:tcW w:w="450" w:type="dxa"/>
            <w:vMerge w:val="continue"/>
            <w:tcBorders>
              <w:left w:val="single" w:color="auto" w:sz="6" w:space="0"/>
              <w:right w:val="single" w:color="auto" w:sz="4" w:space="0"/>
            </w:tcBorders>
            <w:noWrap w:val="0"/>
            <w:vAlign w:val="center"/>
          </w:tcPr>
          <w:p w14:paraId="164655A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zh-CN" w:eastAsia="zh-CN"/>
              </w:rPr>
            </w:pPr>
          </w:p>
        </w:tc>
        <w:tc>
          <w:tcPr>
            <w:tcW w:w="735" w:type="dxa"/>
            <w:vMerge w:val="continue"/>
            <w:tcBorders>
              <w:left w:val="single" w:color="auto" w:sz="6" w:space="0"/>
              <w:right w:val="single" w:color="auto" w:sz="4" w:space="0"/>
            </w:tcBorders>
            <w:noWrap w:val="0"/>
            <w:vAlign w:val="center"/>
          </w:tcPr>
          <w:p w14:paraId="64BF3002">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690" w:type="dxa"/>
            <w:vMerge w:val="continue"/>
            <w:tcBorders>
              <w:left w:val="single" w:color="auto" w:sz="4" w:space="0"/>
              <w:right w:val="single" w:color="auto" w:sz="6" w:space="0"/>
            </w:tcBorders>
            <w:noWrap w:val="0"/>
            <w:vAlign w:val="center"/>
          </w:tcPr>
          <w:p w14:paraId="4C71ADE8">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885" w:type="dxa"/>
            <w:vMerge w:val="continue"/>
            <w:tcBorders>
              <w:left w:val="single" w:color="auto" w:sz="6" w:space="0"/>
              <w:right w:val="single" w:color="auto" w:sz="4" w:space="0"/>
            </w:tcBorders>
            <w:noWrap w:val="0"/>
            <w:vAlign w:val="center"/>
          </w:tcPr>
          <w:p w14:paraId="6FE7409C">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675" w:type="dxa"/>
            <w:vMerge w:val="continue"/>
            <w:tcBorders>
              <w:left w:val="single" w:color="auto" w:sz="6" w:space="0"/>
              <w:right w:val="single" w:color="auto" w:sz="4" w:space="0"/>
            </w:tcBorders>
            <w:noWrap w:val="0"/>
            <w:vAlign w:val="center"/>
          </w:tcPr>
          <w:p w14:paraId="5D73AC80">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1875" w:type="dxa"/>
            <w:vMerge w:val="continue"/>
            <w:tcBorders>
              <w:left w:val="single" w:color="auto" w:sz="4" w:space="0"/>
              <w:right w:val="single" w:color="auto" w:sz="6" w:space="0"/>
            </w:tcBorders>
            <w:noWrap w:val="0"/>
            <w:vAlign w:val="center"/>
          </w:tcPr>
          <w:p w14:paraId="18F34872">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735" w:type="dxa"/>
            <w:tcBorders>
              <w:top w:val="single" w:color="auto" w:sz="4" w:space="0"/>
              <w:left w:val="single" w:color="auto" w:sz="4" w:space="0"/>
              <w:right w:val="single" w:color="auto" w:sz="6" w:space="0"/>
            </w:tcBorders>
            <w:noWrap w:val="0"/>
            <w:vAlign w:val="center"/>
          </w:tcPr>
          <w:p w14:paraId="11356AE5">
            <w:pPr>
              <w:pStyle w:val="95"/>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lang w:val="en-US" w:eastAsia="zh-CN"/>
              </w:rPr>
            </w:pPr>
            <w:r>
              <w:rPr>
                <w:rFonts w:hint="eastAsia"/>
                <w:color w:val="auto"/>
                <w:sz w:val="21"/>
                <w:szCs w:val="21"/>
                <w:highlight w:val="none"/>
                <w:lang w:val="en-US" w:eastAsia="zh-CN"/>
              </w:rPr>
              <w:t>60</w:t>
            </w:r>
          </w:p>
        </w:tc>
        <w:tc>
          <w:tcPr>
            <w:tcW w:w="675" w:type="dxa"/>
            <w:tcBorders>
              <w:top w:val="single" w:color="auto" w:sz="4" w:space="0"/>
              <w:left w:val="single" w:color="auto" w:sz="6" w:space="0"/>
              <w:right w:val="single" w:color="auto" w:sz="4" w:space="0"/>
            </w:tcBorders>
            <w:noWrap w:val="0"/>
            <w:vAlign w:val="center"/>
          </w:tcPr>
          <w:p w14:paraId="3F454DE9">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412" w:type="dxa"/>
            <w:vMerge w:val="continue"/>
            <w:tcBorders>
              <w:left w:val="single" w:color="auto" w:sz="6" w:space="0"/>
              <w:right w:val="single" w:color="auto" w:sz="12" w:space="0"/>
            </w:tcBorders>
            <w:noWrap w:val="0"/>
            <w:vAlign w:val="center"/>
          </w:tcPr>
          <w:p w14:paraId="5E2D6EC4">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r>
    </w:tbl>
    <w:p w14:paraId="419296FD">
      <w:pPr>
        <w:pStyle w:val="23"/>
        <w:widowControl/>
        <w:shd w:val="clear" w:color="auto" w:fill="FFFFFF"/>
        <w:spacing w:before="0" w:beforeAutospacing="0" w:after="0" w:afterAutospacing="0"/>
        <w:jc w:val="center"/>
        <w:rPr>
          <w:rFonts w:hint="eastAsia" w:ascii="Times New Roman" w:hAnsi="Times New Roman" w:eastAsia="宋体" w:cs="Times New Roman"/>
          <w:b/>
          <w:color w:val="auto"/>
          <w:kern w:val="2"/>
          <w:sz w:val="30"/>
          <w:szCs w:val="30"/>
          <w:lang w:val="en-US" w:eastAsia="zh-CN" w:bidi="ar-SA"/>
        </w:rPr>
      </w:pPr>
      <w:r>
        <w:rPr>
          <w:rFonts w:hint="eastAsia" w:ascii="Times New Roman" w:hAnsi="Times New Roman" w:eastAsia="宋体" w:cs="Times New Roman"/>
          <w:b/>
          <w:color w:val="auto"/>
          <w:kern w:val="2"/>
          <w:sz w:val="30"/>
          <w:szCs w:val="30"/>
          <w:lang w:val="en-US" w:eastAsia="zh-CN" w:bidi="ar-SA"/>
        </w:rPr>
        <w:t xml:space="preserve">表8  </w:t>
      </w:r>
      <w:bookmarkStart w:id="9" w:name="OLE_LINK1"/>
      <w:r>
        <w:rPr>
          <w:rFonts w:hint="eastAsia" w:ascii="Times New Roman" w:hAnsi="Times New Roman" w:eastAsia="宋体" w:cs="Times New Roman"/>
          <w:b/>
          <w:color w:val="auto"/>
          <w:kern w:val="2"/>
          <w:sz w:val="30"/>
          <w:szCs w:val="30"/>
          <w:lang w:val="en-US" w:eastAsia="zh-CN" w:bidi="ar-SA"/>
        </w:rPr>
        <w:t>建设项目废水直接排放口基本情况表</w:t>
      </w:r>
      <w:bookmarkEnd w:id="9"/>
    </w:p>
    <w:tbl>
      <w:tblPr>
        <w:tblStyle w:val="2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94"/>
        <w:gridCol w:w="836"/>
        <w:gridCol w:w="1267"/>
        <w:gridCol w:w="890"/>
        <w:gridCol w:w="1391"/>
        <w:gridCol w:w="1060"/>
        <w:gridCol w:w="1046"/>
        <w:gridCol w:w="878"/>
        <w:gridCol w:w="1032"/>
        <w:gridCol w:w="1056"/>
        <w:gridCol w:w="1405"/>
        <w:gridCol w:w="1583"/>
        <w:gridCol w:w="1382"/>
      </w:tblGrid>
      <w:tr w14:paraId="390787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dxa"/>
            <w:vMerge w:val="restart"/>
            <w:tcBorders>
              <w:top w:val="single" w:color="auto" w:sz="12" w:space="0"/>
              <w:left w:val="single" w:color="auto" w:sz="12" w:space="0"/>
              <w:bottom w:val="single" w:color="auto" w:sz="4" w:space="0"/>
              <w:right w:val="single" w:color="auto" w:sz="4" w:space="0"/>
            </w:tcBorders>
            <w:noWrap w:val="0"/>
            <w:vAlign w:val="center"/>
          </w:tcPr>
          <w:p w14:paraId="5E1BEC96">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序</w:t>
            </w:r>
          </w:p>
          <w:p w14:paraId="43C1C155">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号</w:t>
            </w:r>
          </w:p>
        </w:tc>
        <w:tc>
          <w:tcPr>
            <w:tcW w:w="853" w:type="dxa"/>
            <w:vMerge w:val="restart"/>
            <w:tcBorders>
              <w:top w:val="single" w:color="auto" w:sz="12" w:space="0"/>
              <w:left w:val="single" w:color="auto" w:sz="4" w:space="0"/>
              <w:bottom w:val="single" w:color="auto" w:sz="4" w:space="0"/>
              <w:right w:val="single" w:color="auto" w:sz="4" w:space="0"/>
            </w:tcBorders>
            <w:noWrap w:val="0"/>
            <w:vAlign w:val="center"/>
          </w:tcPr>
          <w:p w14:paraId="154031E0">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排放口编号</w:t>
            </w:r>
          </w:p>
        </w:tc>
        <w:tc>
          <w:tcPr>
            <w:tcW w:w="1298" w:type="dxa"/>
            <w:vMerge w:val="restart"/>
            <w:tcBorders>
              <w:top w:val="single" w:color="auto" w:sz="12" w:space="0"/>
              <w:left w:val="single" w:color="auto" w:sz="4" w:space="0"/>
              <w:bottom w:val="single" w:color="auto" w:sz="4" w:space="0"/>
              <w:right w:val="single" w:color="auto" w:sz="4" w:space="0"/>
            </w:tcBorders>
            <w:noWrap w:val="0"/>
            <w:vAlign w:val="center"/>
          </w:tcPr>
          <w:p w14:paraId="03B1D1FC">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排放口名称</w:t>
            </w:r>
          </w:p>
        </w:tc>
        <w:tc>
          <w:tcPr>
            <w:tcW w:w="2335" w:type="dxa"/>
            <w:gridSpan w:val="2"/>
            <w:tcBorders>
              <w:top w:val="single" w:color="auto" w:sz="12" w:space="0"/>
              <w:left w:val="single" w:color="auto" w:sz="4" w:space="0"/>
              <w:bottom w:val="single" w:color="auto" w:sz="6" w:space="0"/>
              <w:right w:val="single" w:color="auto" w:sz="4" w:space="0"/>
            </w:tcBorders>
            <w:noWrap w:val="0"/>
            <w:vAlign w:val="center"/>
          </w:tcPr>
          <w:p w14:paraId="0A28E182">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排放口地理坐标</w:t>
            </w:r>
          </w:p>
        </w:tc>
        <w:tc>
          <w:tcPr>
            <w:tcW w:w="1084" w:type="dxa"/>
            <w:vMerge w:val="restart"/>
            <w:tcBorders>
              <w:top w:val="single" w:color="auto" w:sz="12" w:space="0"/>
              <w:left w:val="single" w:color="auto" w:sz="4" w:space="0"/>
              <w:bottom w:val="single" w:color="auto" w:sz="4" w:space="0"/>
              <w:right w:val="single" w:color="auto" w:sz="6" w:space="0"/>
            </w:tcBorders>
            <w:noWrap w:val="0"/>
            <w:vAlign w:val="center"/>
          </w:tcPr>
          <w:p w14:paraId="7EE0128D">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排放去向</w:t>
            </w:r>
          </w:p>
        </w:tc>
        <w:tc>
          <w:tcPr>
            <w:tcW w:w="1070" w:type="dxa"/>
            <w:vMerge w:val="restart"/>
            <w:tcBorders>
              <w:top w:val="single" w:color="auto" w:sz="12" w:space="0"/>
              <w:left w:val="single" w:color="auto" w:sz="6" w:space="0"/>
              <w:bottom w:val="single" w:color="auto" w:sz="4" w:space="0"/>
              <w:right w:val="single" w:color="auto" w:sz="4" w:space="0"/>
            </w:tcBorders>
            <w:noWrap w:val="0"/>
            <w:vAlign w:val="center"/>
          </w:tcPr>
          <w:p w14:paraId="58CCC25B">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排放规律</w:t>
            </w:r>
          </w:p>
        </w:tc>
        <w:tc>
          <w:tcPr>
            <w:tcW w:w="897" w:type="dxa"/>
            <w:vMerge w:val="restart"/>
            <w:tcBorders>
              <w:top w:val="single" w:color="auto" w:sz="12" w:space="0"/>
              <w:left w:val="single" w:color="auto" w:sz="6" w:space="0"/>
              <w:bottom w:val="single" w:color="auto" w:sz="4" w:space="0"/>
              <w:right w:val="single" w:color="auto" w:sz="4" w:space="0"/>
            </w:tcBorders>
            <w:noWrap w:val="0"/>
            <w:vAlign w:val="center"/>
          </w:tcPr>
          <w:p w14:paraId="6B085798">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间歇排</w:t>
            </w:r>
          </w:p>
          <w:p w14:paraId="64550AE3">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放时段</w:t>
            </w:r>
          </w:p>
        </w:tc>
        <w:tc>
          <w:tcPr>
            <w:tcW w:w="2136" w:type="dxa"/>
            <w:gridSpan w:val="2"/>
            <w:tcBorders>
              <w:top w:val="single" w:color="auto" w:sz="12" w:space="0"/>
              <w:left w:val="single" w:color="auto" w:sz="4" w:space="0"/>
              <w:bottom w:val="single" w:color="auto" w:sz="6" w:space="0"/>
              <w:right w:val="single" w:color="auto" w:sz="4" w:space="0"/>
            </w:tcBorders>
            <w:noWrap w:val="0"/>
            <w:vAlign w:val="center"/>
          </w:tcPr>
          <w:p w14:paraId="09AB6AFF">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受纳自然水体信息</w:t>
            </w:r>
          </w:p>
        </w:tc>
        <w:tc>
          <w:tcPr>
            <w:tcW w:w="3064" w:type="dxa"/>
            <w:gridSpan w:val="2"/>
            <w:tcBorders>
              <w:top w:val="single" w:color="auto" w:sz="12" w:space="0"/>
              <w:left w:val="single" w:color="auto" w:sz="4" w:space="0"/>
              <w:bottom w:val="single" w:color="auto" w:sz="6" w:space="0"/>
              <w:right w:val="single" w:color="auto" w:sz="4" w:space="0"/>
            </w:tcBorders>
            <w:noWrap w:val="0"/>
            <w:vAlign w:val="center"/>
          </w:tcPr>
          <w:p w14:paraId="5D8FB1C7">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汇入受纳自然水体处地理坐标</w:t>
            </w:r>
          </w:p>
        </w:tc>
        <w:tc>
          <w:tcPr>
            <w:tcW w:w="1416" w:type="dxa"/>
            <w:vMerge w:val="restart"/>
            <w:tcBorders>
              <w:top w:val="single" w:color="auto" w:sz="12" w:space="0"/>
              <w:left w:val="single" w:color="auto" w:sz="4" w:space="0"/>
              <w:bottom w:val="single" w:color="auto" w:sz="4" w:space="0"/>
              <w:right w:val="single" w:color="auto" w:sz="12" w:space="0"/>
            </w:tcBorders>
            <w:noWrap w:val="0"/>
            <w:vAlign w:val="center"/>
          </w:tcPr>
          <w:p w14:paraId="55D649A5">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其他信息</w:t>
            </w:r>
          </w:p>
        </w:tc>
      </w:tr>
      <w:tr w14:paraId="3DCE0E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auto" w:sz="12" w:space="0"/>
              <w:left w:val="single" w:color="auto" w:sz="12" w:space="0"/>
              <w:bottom w:val="single" w:color="auto" w:sz="4" w:space="0"/>
              <w:right w:val="single" w:color="auto" w:sz="4" w:space="0"/>
            </w:tcBorders>
            <w:noWrap w:val="0"/>
            <w:vAlign w:val="center"/>
          </w:tcPr>
          <w:p w14:paraId="060A8614">
            <w:pPr>
              <w:widowControl/>
              <w:jc w:val="left"/>
              <w:rPr>
                <w:rFonts w:ascii="仿宋" w:hAnsi="仿宋" w:eastAsia="仿宋" w:cs="仿宋"/>
                <w:b/>
                <w:color w:val="FF0000"/>
                <w:sz w:val="18"/>
                <w:szCs w:val="18"/>
              </w:rPr>
            </w:pPr>
          </w:p>
        </w:tc>
        <w:tc>
          <w:tcPr>
            <w:tcW w:w="0" w:type="auto"/>
            <w:vMerge w:val="continue"/>
            <w:tcBorders>
              <w:top w:val="single" w:color="auto" w:sz="12" w:space="0"/>
              <w:left w:val="single" w:color="auto" w:sz="4" w:space="0"/>
              <w:bottom w:val="single" w:color="auto" w:sz="4" w:space="0"/>
              <w:right w:val="single" w:color="auto" w:sz="4" w:space="0"/>
            </w:tcBorders>
            <w:noWrap w:val="0"/>
            <w:vAlign w:val="center"/>
          </w:tcPr>
          <w:p w14:paraId="7AEF03B0">
            <w:pPr>
              <w:widowControl/>
              <w:jc w:val="left"/>
              <w:rPr>
                <w:rFonts w:ascii="仿宋" w:hAnsi="仿宋" w:eastAsia="仿宋" w:cs="仿宋"/>
                <w:b/>
                <w:color w:val="FF0000"/>
                <w:sz w:val="18"/>
                <w:szCs w:val="18"/>
              </w:rPr>
            </w:pPr>
          </w:p>
        </w:tc>
        <w:tc>
          <w:tcPr>
            <w:tcW w:w="0" w:type="auto"/>
            <w:vMerge w:val="continue"/>
            <w:tcBorders>
              <w:top w:val="single" w:color="auto" w:sz="12" w:space="0"/>
              <w:left w:val="single" w:color="auto" w:sz="4" w:space="0"/>
              <w:bottom w:val="single" w:color="auto" w:sz="4" w:space="0"/>
              <w:right w:val="single" w:color="auto" w:sz="4" w:space="0"/>
            </w:tcBorders>
            <w:noWrap w:val="0"/>
            <w:vAlign w:val="center"/>
          </w:tcPr>
          <w:p w14:paraId="2305C728">
            <w:pPr>
              <w:widowControl/>
              <w:jc w:val="left"/>
              <w:rPr>
                <w:rFonts w:ascii="仿宋" w:hAnsi="仿宋" w:eastAsia="仿宋" w:cs="仿宋"/>
                <w:b/>
                <w:color w:val="FF0000"/>
                <w:sz w:val="18"/>
                <w:szCs w:val="18"/>
              </w:rPr>
            </w:pPr>
          </w:p>
        </w:tc>
        <w:tc>
          <w:tcPr>
            <w:tcW w:w="909" w:type="dxa"/>
            <w:tcBorders>
              <w:top w:val="single" w:color="auto" w:sz="6" w:space="0"/>
              <w:left w:val="single" w:color="auto" w:sz="4" w:space="0"/>
              <w:bottom w:val="single" w:color="auto" w:sz="4" w:space="0"/>
              <w:right w:val="single" w:color="auto" w:sz="6" w:space="0"/>
            </w:tcBorders>
            <w:noWrap w:val="0"/>
            <w:vAlign w:val="center"/>
          </w:tcPr>
          <w:p w14:paraId="4F6458B9">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经度</w:t>
            </w:r>
          </w:p>
        </w:tc>
        <w:tc>
          <w:tcPr>
            <w:tcW w:w="1426" w:type="dxa"/>
            <w:tcBorders>
              <w:top w:val="single" w:color="auto" w:sz="6" w:space="0"/>
              <w:left w:val="single" w:color="auto" w:sz="6" w:space="0"/>
              <w:bottom w:val="single" w:color="auto" w:sz="4" w:space="0"/>
              <w:right w:val="single" w:color="auto" w:sz="4" w:space="0"/>
            </w:tcBorders>
            <w:noWrap w:val="0"/>
            <w:vAlign w:val="center"/>
          </w:tcPr>
          <w:p w14:paraId="37D60BD0">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纬度</w:t>
            </w:r>
          </w:p>
        </w:tc>
        <w:tc>
          <w:tcPr>
            <w:tcW w:w="0" w:type="auto"/>
            <w:vMerge w:val="continue"/>
            <w:tcBorders>
              <w:top w:val="single" w:color="auto" w:sz="12" w:space="0"/>
              <w:left w:val="single" w:color="auto" w:sz="4" w:space="0"/>
              <w:bottom w:val="single" w:color="auto" w:sz="4" w:space="0"/>
              <w:right w:val="single" w:color="auto" w:sz="6" w:space="0"/>
            </w:tcBorders>
            <w:noWrap w:val="0"/>
            <w:vAlign w:val="center"/>
          </w:tcPr>
          <w:p w14:paraId="0A4D7D9D">
            <w:pPr>
              <w:adjustRightInd w:val="0"/>
              <w:snapToGrid w:val="0"/>
              <w:ind w:left="-107" w:leftChars="-51" w:right="-107" w:rightChars="-51"/>
              <w:jc w:val="center"/>
              <w:rPr>
                <w:rFonts w:hint="eastAsia" w:ascii="Times New Roman" w:hAnsi="Times New Roman" w:eastAsia="宋体" w:cs="Times New Roman"/>
                <w:b/>
                <w:color w:val="000000"/>
                <w:sz w:val="21"/>
                <w:szCs w:val="21"/>
              </w:rPr>
            </w:pPr>
          </w:p>
        </w:tc>
        <w:tc>
          <w:tcPr>
            <w:tcW w:w="0" w:type="auto"/>
            <w:vMerge w:val="continue"/>
            <w:tcBorders>
              <w:top w:val="single" w:color="auto" w:sz="12" w:space="0"/>
              <w:left w:val="single" w:color="auto" w:sz="6" w:space="0"/>
              <w:bottom w:val="single" w:color="auto" w:sz="4" w:space="0"/>
              <w:right w:val="single" w:color="auto" w:sz="4" w:space="0"/>
            </w:tcBorders>
            <w:noWrap w:val="0"/>
            <w:vAlign w:val="center"/>
          </w:tcPr>
          <w:p w14:paraId="41AE54CF">
            <w:pPr>
              <w:adjustRightInd w:val="0"/>
              <w:snapToGrid w:val="0"/>
              <w:ind w:left="-107" w:leftChars="-51" w:right="-107" w:rightChars="-51"/>
              <w:jc w:val="center"/>
              <w:rPr>
                <w:rFonts w:hint="eastAsia" w:ascii="Times New Roman" w:hAnsi="Times New Roman" w:eastAsia="宋体" w:cs="Times New Roman"/>
                <w:b/>
                <w:color w:val="000000"/>
                <w:sz w:val="21"/>
                <w:szCs w:val="21"/>
              </w:rPr>
            </w:pPr>
          </w:p>
        </w:tc>
        <w:tc>
          <w:tcPr>
            <w:tcW w:w="0" w:type="auto"/>
            <w:vMerge w:val="continue"/>
            <w:tcBorders>
              <w:top w:val="single" w:color="auto" w:sz="12" w:space="0"/>
              <w:left w:val="single" w:color="auto" w:sz="6" w:space="0"/>
              <w:bottom w:val="single" w:color="auto" w:sz="4" w:space="0"/>
              <w:right w:val="single" w:color="auto" w:sz="4" w:space="0"/>
            </w:tcBorders>
            <w:noWrap w:val="0"/>
            <w:vAlign w:val="center"/>
          </w:tcPr>
          <w:p w14:paraId="57B5E223">
            <w:pPr>
              <w:adjustRightInd w:val="0"/>
              <w:snapToGrid w:val="0"/>
              <w:ind w:left="-107" w:leftChars="-51" w:right="-107" w:rightChars="-51"/>
              <w:jc w:val="center"/>
              <w:rPr>
                <w:rFonts w:hint="eastAsia" w:ascii="Times New Roman" w:hAnsi="Times New Roman" w:eastAsia="宋体" w:cs="Times New Roman"/>
                <w:b/>
                <w:color w:val="000000"/>
                <w:sz w:val="21"/>
                <w:szCs w:val="21"/>
              </w:rPr>
            </w:pPr>
          </w:p>
        </w:tc>
        <w:tc>
          <w:tcPr>
            <w:tcW w:w="1056" w:type="dxa"/>
            <w:tcBorders>
              <w:top w:val="single" w:color="auto" w:sz="6" w:space="0"/>
              <w:left w:val="single" w:color="auto" w:sz="4" w:space="0"/>
              <w:bottom w:val="single" w:color="auto" w:sz="4" w:space="0"/>
              <w:right w:val="single" w:color="auto" w:sz="4" w:space="0"/>
            </w:tcBorders>
            <w:noWrap w:val="0"/>
            <w:vAlign w:val="center"/>
          </w:tcPr>
          <w:p w14:paraId="3AA832D2">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水体名称</w:t>
            </w:r>
          </w:p>
        </w:tc>
        <w:tc>
          <w:tcPr>
            <w:tcW w:w="1080" w:type="dxa"/>
            <w:tcBorders>
              <w:top w:val="single" w:color="auto" w:sz="6" w:space="0"/>
              <w:left w:val="single" w:color="auto" w:sz="4" w:space="0"/>
              <w:bottom w:val="single" w:color="auto" w:sz="4" w:space="0"/>
              <w:right w:val="single" w:color="auto" w:sz="4" w:space="0"/>
            </w:tcBorders>
            <w:noWrap w:val="0"/>
            <w:vAlign w:val="center"/>
          </w:tcPr>
          <w:p w14:paraId="284DA320">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受纳水体功能目标</w:t>
            </w:r>
          </w:p>
        </w:tc>
        <w:tc>
          <w:tcPr>
            <w:tcW w:w="1440" w:type="dxa"/>
            <w:tcBorders>
              <w:top w:val="single" w:color="auto" w:sz="6" w:space="0"/>
              <w:left w:val="single" w:color="auto" w:sz="4" w:space="0"/>
              <w:bottom w:val="single" w:color="auto" w:sz="4" w:space="0"/>
              <w:right w:val="single" w:color="auto" w:sz="6" w:space="0"/>
            </w:tcBorders>
            <w:noWrap w:val="0"/>
            <w:vAlign w:val="center"/>
          </w:tcPr>
          <w:p w14:paraId="5DDA9C38">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经度</w:t>
            </w:r>
          </w:p>
        </w:tc>
        <w:tc>
          <w:tcPr>
            <w:tcW w:w="1624" w:type="dxa"/>
            <w:tcBorders>
              <w:top w:val="single" w:color="auto" w:sz="6" w:space="0"/>
              <w:left w:val="single" w:color="auto" w:sz="6" w:space="0"/>
              <w:bottom w:val="single" w:color="auto" w:sz="4" w:space="0"/>
              <w:right w:val="single" w:color="auto" w:sz="4" w:space="0"/>
            </w:tcBorders>
            <w:noWrap w:val="0"/>
            <w:vAlign w:val="center"/>
          </w:tcPr>
          <w:p w14:paraId="185125D6">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纬度</w:t>
            </w:r>
          </w:p>
        </w:tc>
        <w:tc>
          <w:tcPr>
            <w:tcW w:w="0" w:type="auto"/>
            <w:vMerge w:val="continue"/>
            <w:tcBorders>
              <w:top w:val="single" w:color="auto" w:sz="12" w:space="0"/>
              <w:left w:val="single" w:color="auto" w:sz="4" w:space="0"/>
              <w:bottom w:val="single" w:color="auto" w:sz="4" w:space="0"/>
              <w:right w:val="single" w:color="auto" w:sz="12" w:space="0"/>
            </w:tcBorders>
            <w:noWrap w:val="0"/>
            <w:vAlign w:val="center"/>
          </w:tcPr>
          <w:p w14:paraId="139B7A76">
            <w:pPr>
              <w:widowControl/>
              <w:jc w:val="left"/>
              <w:rPr>
                <w:rFonts w:ascii="宋体" w:hAnsi="宋体" w:eastAsia="宋体"/>
                <w:b/>
                <w:color w:val="FF0000"/>
                <w:sz w:val="18"/>
                <w:szCs w:val="18"/>
              </w:rPr>
            </w:pPr>
          </w:p>
        </w:tc>
      </w:tr>
      <w:tr w14:paraId="749B70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dxa"/>
            <w:tcBorders>
              <w:top w:val="single" w:color="auto" w:sz="4" w:space="0"/>
              <w:left w:val="single" w:color="auto" w:sz="12" w:space="0"/>
              <w:bottom w:val="single" w:color="auto" w:sz="4" w:space="0"/>
              <w:right w:val="single" w:color="auto" w:sz="4" w:space="0"/>
            </w:tcBorders>
            <w:noWrap w:val="0"/>
            <w:vAlign w:val="center"/>
          </w:tcPr>
          <w:p w14:paraId="4F52ED6E">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853" w:type="dxa"/>
            <w:tcBorders>
              <w:top w:val="single" w:color="auto" w:sz="4" w:space="0"/>
              <w:left w:val="single" w:color="auto" w:sz="4" w:space="0"/>
              <w:bottom w:val="single" w:color="auto" w:sz="4" w:space="0"/>
              <w:right w:val="single" w:color="auto" w:sz="4" w:space="0"/>
            </w:tcBorders>
            <w:noWrap w:val="0"/>
            <w:vAlign w:val="center"/>
          </w:tcPr>
          <w:p w14:paraId="591306E7">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298" w:type="dxa"/>
            <w:tcBorders>
              <w:top w:val="single" w:color="auto" w:sz="4" w:space="0"/>
              <w:left w:val="single" w:color="auto" w:sz="4" w:space="0"/>
              <w:bottom w:val="single" w:color="auto" w:sz="4" w:space="0"/>
              <w:right w:val="single" w:color="auto" w:sz="4" w:space="0"/>
            </w:tcBorders>
            <w:noWrap w:val="0"/>
            <w:vAlign w:val="center"/>
          </w:tcPr>
          <w:p w14:paraId="032DEF90">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909" w:type="dxa"/>
            <w:tcBorders>
              <w:top w:val="single" w:color="auto" w:sz="4" w:space="0"/>
              <w:left w:val="single" w:color="auto" w:sz="4" w:space="0"/>
              <w:bottom w:val="single" w:color="auto" w:sz="4" w:space="0"/>
              <w:right w:val="single" w:color="auto" w:sz="6" w:space="0"/>
            </w:tcBorders>
            <w:noWrap w:val="0"/>
            <w:vAlign w:val="center"/>
          </w:tcPr>
          <w:p w14:paraId="6AEFDA81">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426" w:type="dxa"/>
            <w:tcBorders>
              <w:top w:val="single" w:color="auto" w:sz="4" w:space="0"/>
              <w:left w:val="single" w:color="auto" w:sz="6" w:space="0"/>
              <w:bottom w:val="single" w:color="auto" w:sz="4" w:space="0"/>
              <w:right w:val="single" w:color="auto" w:sz="4" w:space="0"/>
            </w:tcBorders>
            <w:noWrap w:val="0"/>
            <w:vAlign w:val="center"/>
          </w:tcPr>
          <w:p w14:paraId="3E5BAB45">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084" w:type="dxa"/>
            <w:tcBorders>
              <w:top w:val="single" w:color="auto" w:sz="4" w:space="0"/>
              <w:left w:val="single" w:color="auto" w:sz="4" w:space="0"/>
              <w:bottom w:val="single" w:color="auto" w:sz="4" w:space="0"/>
              <w:right w:val="single" w:color="auto" w:sz="6" w:space="0"/>
            </w:tcBorders>
            <w:noWrap w:val="0"/>
            <w:vAlign w:val="center"/>
          </w:tcPr>
          <w:p w14:paraId="5E663AE0">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070" w:type="dxa"/>
            <w:tcBorders>
              <w:top w:val="single" w:color="auto" w:sz="4" w:space="0"/>
              <w:left w:val="single" w:color="auto" w:sz="6" w:space="0"/>
              <w:bottom w:val="single" w:color="auto" w:sz="4" w:space="0"/>
              <w:right w:val="single" w:color="auto" w:sz="4" w:space="0"/>
            </w:tcBorders>
            <w:noWrap w:val="0"/>
            <w:vAlign w:val="center"/>
          </w:tcPr>
          <w:p w14:paraId="6426B9F5">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897" w:type="dxa"/>
            <w:tcBorders>
              <w:top w:val="single" w:color="auto" w:sz="4" w:space="0"/>
              <w:left w:val="single" w:color="auto" w:sz="6" w:space="0"/>
              <w:bottom w:val="single" w:color="auto" w:sz="4" w:space="0"/>
              <w:right w:val="single" w:color="auto" w:sz="4" w:space="0"/>
            </w:tcBorders>
            <w:noWrap w:val="0"/>
            <w:vAlign w:val="center"/>
          </w:tcPr>
          <w:p w14:paraId="7A3DB3A6">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056" w:type="dxa"/>
            <w:tcBorders>
              <w:top w:val="single" w:color="auto" w:sz="4" w:space="0"/>
              <w:left w:val="single" w:color="auto" w:sz="4" w:space="0"/>
              <w:bottom w:val="single" w:color="auto" w:sz="4" w:space="0"/>
              <w:right w:val="single" w:color="auto" w:sz="4" w:space="0"/>
            </w:tcBorders>
            <w:noWrap w:val="0"/>
            <w:vAlign w:val="center"/>
          </w:tcPr>
          <w:p w14:paraId="0402FD5F">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E51A4F4">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440" w:type="dxa"/>
            <w:tcBorders>
              <w:top w:val="single" w:color="auto" w:sz="4" w:space="0"/>
              <w:left w:val="single" w:color="auto" w:sz="4" w:space="0"/>
              <w:bottom w:val="single" w:color="auto" w:sz="4" w:space="0"/>
              <w:right w:val="single" w:color="auto" w:sz="6" w:space="0"/>
            </w:tcBorders>
            <w:noWrap w:val="0"/>
            <w:vAlign w:val="center"/>
          </w:tcPr>
          <w:p w14:paraId="5DD38E5C">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624" w:type="dxa"/>
            <w:tcBorders>
              <w:top w:val="single" w:color="auto" w:sz="4" w:space="0"/>
              <w:left w:val="single" w:color="auto" w:sz="6" w:space="0"/>
              <w:bottom w:val="single" w:color="auto" w:sz="4" w:space="0"/>
              <w:right w:val="single" w:color="auto" w:sz="4" w:space="0"/>
            </w:tcBorders>
            <w:noWrap w:val="0"/>
            <w:vAlign w:val="center"/>
          </w:tcPr>
          <w:p w14:paraId="498BD193">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416" w:type="dxa"/>
            <w:tcBorders>
              <w:top w:val="single" w:color="auto" w:sz="4" w:space="0"/>
              <w:left w:val="single" w:color="auto" w:sz="4" w:space="0"/>
              <w:bottom w:val="single" w:color="auto" w:sz="4" w:space="0"/>
              <w:right w:val="single" w:color="auto" w:sz="12" w:space="0"/>
            </w:tcBorders>
            <w:noWrap w:val="0"/>
            <w:vAlign w:val="center"/>
          </w:tcPr>
          <w:p w14:paraId="255775F8">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r>
    </w:tbl>
    <w:p w14:paraId="3528D9A7">
      <w:pPr>
        <w:pStyle w:val="23"/>
        <w:widowControl/>
        <w:shd w:val="clear" w:color="auto" w:fill="FFFFFF"/>
        <w:spacing w:before="0" w:beforeAutospacing="0" w:after="0" w:afterAutospacing="0"/>
        <w:jc w:val="center"/>
        <w:rPr>
          <w:rFonts w:hint="eastAsia" w:ascii="Times New Roman" w:hAnsi="Times New Roman" w:eastAsia="宋体" w:cs="Times New Roman"/>
          <w:b/>
          <w:color w:val="auto"/>
          <w:kern w:val="2"/>
          <w:sz w:val="30"/>
          <w:szCs w:val="30"/>
          <w:lang w:val="en-US" w:eastAsia="zh-CN" w:bidi="ar-SA"/>
        </w:rPr>
      </w:pPr>
      <w:r>
        <w:rPr>
          <w:rFonts w:hint="eastAsia" w:ascii="Times New Roman" w:hAnsi="Times New Roman" w:eastAsia="宋体" w:cs="Times New Roman"/>
          <w:b/>
          <w:color w:val="auto"/>
          <w:kern w:val="2"/>
          <w:sz w:val="30"/>
          <w:szCs w:val="30"/>
          <w:lang w:val="en-US" w:eastAsia="zh-CN" w:bidi="ar-SA"/>
        </w:rPr>
        <w:t>表9  建设项目直接排放入河排污口信息表</w:t>
      </w:r>
    </w:p>
    <w:tbl>
      <w:tblPr>
        <w:tblStyle w:val="2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47"/>
        <w:gridCol w:w="885"/>
        <w:gridCol w:w="1231"/>
        <w:gridCol w:w="3516"/>
        <w:gridCol w:w="1938"/>
        <w:gridCol w:w="3523"/>
        <w:gridCol w:w="2780"/>
      </w:tblGrid>
      <w:tr w14:paraId="2A47D3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8" w:type="dxa"/>
            <w:vMerge w:val="restart"/>
            <w:tcBorders>
              <w:top w:val="single" w:color="auto" w:sz="12" w:space="0"/>
              <w:left w:val="single" w:color="auto" w:sz="12" w:space="0"/>
              <w:bottom w:val="single" w:color="auto" w:sz="4" w:space="0"/>
              <w:right w:val="single" w:color="auto" w:sz="4" w:space="0"/>
            </w:tcBorders>
            <w:noWrap w:val="0"/>
            <w:vAlign w:val="center"/>
          </w:tcPr>
          <w:p w14:paraId="47CB5D61">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序</w:t>
            </w:r>
          </w:p>
          <w:p w14:paraId="59CB0ED8">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号</w:t>
            </w:r>
          </w:p>
        </w:tc>
        <w:tc>
          <w:tcPr>
            <w:tcW w:w="902" w:type="dxa"/>
            <w:vMerge w:val="restart"/>
            <w:tcBorders>
              <w:top w:val="single" w:color="auto" w:sz="12" w:space="0"/>
              <w:left w:val="single" w:color="auto" w:sz="4" w:space="0"/>
              <w:bottom w:val="single" w:color="auto" w:sz="4" w:space="0"/>
              <w:right w:val="single" w:color="auto" w:sz="4" w:space="0"/>
            </w:tcBorders>
            <w:noWrap w:val="0"/>
            <w:vAlign w:val="center"/>
          </w:tcPr>
          <w:p w14:paraId="485121D8">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排放口编号</w:t>
            </w:r>
          </w:p>
        </w:tc>
        <w:tc>
          <w:tcPr>
            <w:tcW w:w="1258" w:type="dxa"/>
            <w:vMerge w:val="restart"/>
            <w:tcBorders>
              <w:top w:val="single" w:color="auto" w:sz="12" w:space="0"/>
              <w:left w:val="single" w:color="auto" w:sz="4" w:space="0"/>
              <w:bottom w:val="single" w:color="auto" w:sz="4" w:space="0"/>
              <w:right w:val="single" w:color="auto" w:sz="4" w:space="0"/>
            </w:tcBorders>
            <w:noWrap w:val="0"/>
            <w:vAlign w:val="center"/>
          </w:tcPr>
          <w:p w14:paraId="47890B3F">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排放口名称</w:t>
            </w:r>
          </w:p>
        </w:tc>
        <w:tc>
          <w:tcPr>
            <w:tcW w:w="9192" w:type="dxa"/>
            <w:gridSpan w:val="3"/>
            <w:tcBorders>
              <w:top w:val="single" w:color="auto" w:sz="12" w:space="0"/>
              <w:left w:val="single" w:color="auto" w:sz="4" w:space="0"/>
              <w:bottom w:val="single" w:color="auto" w:sz="6" w:space="0"/>
              <w:right w:val="single" w:color="auto" w:sz="4" w:space="0"/>
            </w:tcBorders>
            <w:noWrap w:val="0"/>
            <w:vAlign w:val="center"/>
          </w:tcPr>
          <w:p w14:paraId="3EFFBE26">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入河排污口</w:t>
            </w:r>
          </w:p>
        </w:tc>
        <w:tc>
          <w:tcPr>
            <w:tcW w:w="2850" w:type="dxa"/>
            <w:vMerge w:val="restart"/>
            <w:tcBorders>
              <w:top w:val="single" w:color="auto" w:sz="12" w:space="0"/>
              <w:left w:val="single" w:color="auto" w:sz="4" w:space="0"/>
              <w:bottom w:val="single" w:color="auto" w:sz="4" w:space="0"/>
              <w:right w:val="single" w:color="auto" w:sz="12" w:space="0"/>
            </w:tcBorders>
            <w:noWrap w:val="0"/>
            <w:vAlign w:val="center"/>
          </w:tcPr>
          <w:p w14:paraId="2B8728A0">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其他</w:t>
            </w:r>
          </w:p>
          <w:p w14:paraId="38588632">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信息</w:t>
            </w:r>
          </w:p>
        </w:tc>
      </w:tr>
      <w:tr w14:paraId="4D58F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auto" w:sz="12" w:space="0"/>
              <w:left w:val="single" w:color="auto" w:sz="12" w:space="0"/>
              <w:bottom w:val="single" w:color="auto" w:sz="4" w:space="0"/>
              <w:right w:val="single" w:color="auto" w:sz="4" w:space="0"/>
            </w:tcBorders>
            <w:noWrap w:val="0"/>
            <w:vAlign w:val="center"/>
          </w:tcPr>
          <w:p w14:paraId="559CA05F">
            <w:pPr>
              <w:widowControl/>
              <w:jc w:val="left"/>
              <w:rPr>
                <w:rFonts w:ascii="宋体" w:hAnsi="宋体"/>
                <w:b/>
                <w:color w:val="FF0000"/>
                <w:sz w:val="18"/>
                <w:szCs w:val="18"/>
              </w:rPr>
            </w:pPr>
          </w:p>
        </w:tc>
        <w:tc>
          <w:tcPr>
            <w:tcW w:w="0" w:type="auto"/>
            <w:vMerge w:val="continue"/>
            <w:tcBorders>
              <w:top w:val="single" w:color="auto" w:sz="12" w:space="0"/>
              <w:left w:val="single" w:color="auto" w:sz="4" w:space="0"/>
              <w:bottom w:val="single" w:color="auto" w:sz="4" w:space="0"/>
              <w:right w:val="single" w:color="auto" w:sz="4" w:space="0"/>
            </w:tcBorders>
            <w:noWrap w:val="0"/>
            <w:vAlign w:val="center"/>
          </w:tcPr>
          <w:p w14:paraId="495D5122">
            <w:pPr>
              <w:widowControl/>
              <w:jc w:val="left"/>
              <w:rPr>
                <w:rFonts w:ascii="仿宋" w:hAnsi="仿宋" w:eastAsia="仿宋" w:cs="仿宋"/>
                <w:b/>
                <w:color w:val="FF0000"/>
                <w:sz w:val="18"/>
                <w:szCs w:val="18"/>
              </w:rPr>
            </w:pPr>
          </w:p>
        </w:tc>
        <w:tc>
          <w:tcPr>
            <w:tcW w:w="0" w:type="auto"/>
            <w:vMerge w:val="continue"/>
            <w:tcBorders>
              <w:top w:val="single" w:color="auto" w:sz="12" w:space="0"/>
              <w:left w:val="single" w:color="auto" w:sz="4" w:space="0"/>
              <w:bottom w:val="single" w:color="auto" w:sz="4" w:space="0"/>
              <w:right w:val="single" w:color="auto" w:sz="4" w:space="0"/>
            </w:tcBorders>
            <w:noWrap w:val="0"/>
            <w:vAlign w:val="center"/>
          </w:tcPr>
          <w:p w14:paraId="0E8FC339">
            <w:pPr>
              <w:widowControl/>
              <w:jc w:val="left"/>
              <w:rPr>
                <w:rFonts w:ascii="仿宋" w:hAnsi="仿宋" w:eastAsia="仿宋" w:cs="仿宋"/>
                <w:b/>
                <w:color w:val="FF0000"/>
                <w:sz w:val="18"/>
                <w:szCs w:val="18"/>
              </w:rPr>
            </w:pPr>
          </w:p>
        </w:tc>
        <w:tc>
          <w:tcPr>
            <w:tcW w:w="3602" w:type="dxa"/>
            <w:tcBorders>
              <w:top w:val="single" w:color="auto" w:sz="6" w:space="0"/>
              <w:left w:val="single" w:color="auto" w:sz="4" w:space="0"/>
              <w:bottom w:val="single" w:color="auto" w:sz="4" w:space="0"/>
              <w:right w:val="single" w:color="auto" w:sz="6" w:space="0"/>
            </w:tcBorders>
            <w:noWrap w:val="0"/>
            <w:vAlign w:val="center"/>
          </w:tcPr>
          <w:p w14:paraId="01EDE430">
            <w:pPr>
              <w:pStyle w:val="126"/>
              <w:adjustRightInd w:val="0"/>
              <w:snapToGrid w:val="0"/>
              <w:jc w:val="center"/>
              <w:rPr>
                <w:rFonts w:hint="eastAsia" w:ascii="Times New Roman" w:hAnsi="Times New Roman" w:eastAsia="宋体" w:cs="Times New Roman"/>
                <w:b/>
                <w:color w:val="000000"/>
                <w:kern w:val="2"/>
                <w:sz w:val="21"/>
                <w:szCs w:val="21"/>
                <w:lang w:val="en-US" w:eastAsia="zh-CN" w:bidi="ar-SA"/>
              </w:rPr>
            </w:pPr>
            <w:r>
              <w:rPr>
                <w:rFonts w:hint="eastAsia" w:ascii="Times New Roman" w:hAnsi="Times New Roman" w:eastAsia="宋体" w:cs="Times New Roman"/>
                <w:b/>
                <w:color w:val="000000"/>
                <w:kern w:val="2"/>
                <w:sz w:val="21"/>
                <w:szCs w:val="21"/>
                <w:lang w:val="en-US" w:eastAsia="zh-CN" w:bidi="ar-SA"/>
              </w:rPr>
              <w:t>水体名称</w:t>
            </w:r>
          </w:p>
        </w:tc>
        <w:tc>
          <w:tcPr>
            <w:tcW w:w="1980" w:type="dxa"/>
            <w:tcBorders>
              <w:top w:val="single" w:color="auto" w:sz="6" w:space="0"/>
              <w:left w:val="single" w:color="auto" w:sz="6" w:space="0"/>
              <w:bottom w:val="single" w:color="auto" w:sz="4" w:space="0"/>
              <w:right w:val="single" w:color="auto" w:sz="4" w:space="0"/>
            </w:tcBorders>
            <w:noWrap w:val="0"/>
            <w:vAlign w:val="center"/>
          </w:tcPr>
          <w:p w14:paraId="54FB40A8">
            <w:pPr>
              <w:pStyle w:val="126"/>
              <w:adjustRightInd w:val="0"/>
              <w:snapToGrid w:val="0"/>
              <w:jc w:val="center"/>
              <w:rPr>
                <w:rFonts w:hint="eastAsia" w:ascii="Times New Roman" w:hAnsi="Times New Roman" w:eastAsia="宋体" w:cs="Times New Roman"/>
                <w:b/>
                <w:color w:val="000000"/>
                <w:kern w:val="2"/>
                <w:sz w:val="21"/>
                <w:szCs w:val="21"/>
                <w:lang w:val="en-US" w:eastAsia="zh-CN" w:bidi="ar-SA"/>
              </w:rPr>
            </w:pPr>
            <w:r>
              <w:rPr>
                <w:rFonts w:hint="eastAsia" w:ascii="Times New Roman" w:hAnsi="Times New Roman" w:eastAsia="宋体" w:cs="Times New Roman"/>
                <w:b/>
                <w:color w:val="000000"/>
                <w:kern w:val="2"/>
                <w:sz w:val="21"/>
                <w:szCs w:val="21"/>
                <w:lang w:val="en-US" w:eastAsia="zh-CN" w:bidi="ar-SA"/>
              </w:rPr>
              <w:t>编号</w:t>
            </w:r>
          </w:p>
        </w:tc>
        <w:tc>
          <w:tcPr>
            <w:tcW w:w="3610" w:type="dxa"/>
            <w:tcBorders>
              <w:top w:val="single" w:color="auto" w:sz="6" w:space="0"/>
              <w:left w:val="single" w:color="auto" w:sz="4" w:space="0"/>
              <w:bottom w:val="single" w:color="auto" w:sz="4" w:space="0"/>
              <w:right w:val="single" w:color="auto" w:sz="4" w:space="0"/>
            </w:tcBorders>
            <w:noWrap w:val="0"/>
            <w:vAlign w:val="center"/>
          </w:tcPr>
          <w:p w14:paraId="3AECDB88">
            <w:pPr>
              <w:pStyle w:val="126"/>
              <w:adjustRightInd w:val="0"/>
              <w:snapToGrid w:val="0"/>
              <w:jc w:val="center"/>
              <w:rPr>
                <w:rFonts w:hint="eastAsia" w:ascii="Times New Roman" w:hAnsi="Times New Roman" w:eastAsia="宋体" w:cs="Times New Roman"/>
                <w:b/>
                <w:color w:val="000000"/>
                <w:kern w:val="2"/>
                <w:sz w:val="21"/>
                <w:szCs w:val="21"/>
                <w:lang w:val="en-US" w:eastAsia="zh-CN" w:bidi="ar-SA"/>
              </w:rPr>
            </w:pPr>
            <w:r>
              <w:rPr>
                <w:rFonts w:hint="eastAsia" w:ascii="Times New Roman" w:hAnsi="Times New Roman" w:eastAsia="宋体" w:cs="Times New Roman"/>
                <w:b/>
                <w:color w:val="000000"/>
                <w:kern w:val="2"/>
                <w:sz w:val="21"/>
                <w:szCs w:val="21"/>
                <w:lang w:val="en-US" w:eastAsia="zh-CN" w:bidi="ar-SA"/>
              </w:rPr>
              <w:t>批复文号</w:t>
            </w:r>
          </w:p>
        </w:tc>
        <w:tc>
          <w:tcPr>
            <w:tcW w:w="0" w:type="auto"/>
            <w:vMerge w:val="continue"/>
            <w:tcBorders>
              <w:top w:val="single" w:color="auto" w:sz="12" w:space="0"/>
              <w:left w:val="single" w:color="auto" w:sz="4" w:space="0"/>
              <w:bottom w:val="single" w:color="auto" w:sz="4" w:space="0"/>
              <w:right w:val="single" w:color="auto" w:sz="12" w:space="0"/>
            </w:tcBorders>
            <w:noWrap w:val="0"/>
            <w:vAlign w:val="center"/>
          </w:tcPr>
          <w:p w14:paraId="25797DF4">
            <w:pPr>
              <w:widowControl/>
              <w:jc w:val="left"/>
              <w:rPr>
                <w:rFonts w:ascii="仿宋" w:hAnsi="仿宋" w:eastAsia="仿宋" w:cs="仿宋"/>
                <w:b/>
                <w:color w:val="FF0000"/>
                <w:sz w:val="18"/>
                <w:szCs w:val="18"/>
              </w:rPr>
            </w:pPr>
          </w:p>
        </w:tc>
      </w:tr>
      <w:tr w14:paraId="07BB8A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8" w:type="dxa"/>
            <w:tcBorders>
              <w:top w:val="single" w:color="auto" w:sz="4" w:space="0"/>
              <w:left w:val="single" w:color="auto" w:sz="12" w:space="0"/>
              <w:bottom w:val="single" w:color="auto" w:sz="4" w:space="0"/>
              <w:right w:val="single" w:color="auto" w:sz="4" w:space="0"/>
            </w:tcBorders>
            <w:noWrap w:val="0"/>
            <w:vAlign w:val="center"/>
          </w:tcPr>
          <w:p w14:paraId="5220E8A0">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902" w:type="dxa"/>
            <w:tcBorders>
              <w:top w:val="single" w:color="auto" w:sz="4" w:space="0"/>
              <w:left w:val="single" w:color="auto" w:sz="4" w:space="0"/>
              <w:bottom w:val="single" w:color="auto" w:sz="4" w:space="0"/>
              <w:right w:val="single" w:color="auto" w:sz="4" w:space="0"/>
            </w:tcBorders>
            <w:noWrap w:val="0"/>
            <w:vAlign w:val="center"/>
          </w:tcPr>
          <w:p w14:paraId="7A6C0E26">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258" w:type="dxa"/>
            <w:tcBorders>
              <w:top w:val="single" w:color="auto" w:sz="4" w:space="0"/>
              <w:left w:val="single" w:color="auto" w:sz="4" w:space="0"/>
              <w:bottom w:val="single" w:color="auto" w:sz="4" w:space="0"/>
              <w:right w:val="single" w:color="auto" w:sz="4" w:space="0"/>
            </w:tcBorders>
            <w:noWrap w:val="0"/>
            <w:vAlign w:val="center"/>
          </w:tcPr>
          <w:p w14:paraId="001D59C3">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3602" w:type="dxa"/>
            <w:tcBorders>
              <w:top w:val="single" w:color="auto" w:sz="4" w:space="0"/>
              <w:left w:val="single" w:color="auto" w:sz="4" w:space="0"/>
              <w:bottom w:val="single" w:color="auto" w:sz="4" w:space="0"/>
              <w:right w:val="single" w:color="auto" w:sz="6" w:space="0"/>
            </w:tcBorders>
            <w:noWrap w:val="0"/>
            <w:vAlign w:val="center"/>
          </w:tcPr>
          <w:p w14:paraId="072DCEF3">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980" w:type="dxa"/>
            <w:tcBorders>
              <w:top w:val="single" w:color="auto" w:sz="4" w:space="0"/>
              <w:left w:val="single" w:color="auto" w:sz="6" w:space="0"/>
              <w:bottom w:val="single" w:color="auto" w:sz="4" w:space="0"/>
              <w:right w:val="single" w:color="auto" w:sz="4" w:space="0"/>
            </w:tcBorders>
            <w:noWrap w:val="0"/>
            <w:vAlign w:val="center"/>
          </w:tcPr>
          <w:p w14:paraId="09ED258B">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3610" w:type="dxa"/>
            <w:tcBorders>
              <w:top w:val="single" w:color="auto" w:sz="4" w:space="0"/>
              <w:left w:val="single" w:color="auto" w:sz="4" w:space="0"/>
              <w:bottom w:val="single" w:color="auto" w:sz="4" w:space="0"/>
              <w:right w:val="single" w:color="auto" w:sz="4" w:space="0"/>
            </w:tcBorders>
            <w:noWrap w:val="0"/>
            <w:vAlign w:val="center"/>
          </w:tcPr>
          <w:p w14:paraId="5828F490">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2850" w:type="dxa"/>
            <w:tcBorders>
              <w:top w:val="single" w:color="auto" w:sz="4" w:space="0"/>
              <w:left w:val="single" w:color="auto" w:sz="4" w:space="0"/>
              <w:bottom w:val="single" w:color="auto" w:sz="4" w:space="0"/>
              <w:right w:val="single" w:color="auto" w:sz="12" w:space="0"/>
            </w:tcBorders>
            <w:noWrap w:val="0"/>
            <w:vAlign w:val="center"/>
          </w:tcPr>
          <w:p w14:paraId="067F38B8">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r>
    </w:tbl>
    <w:p w14:paraId="5DAD50D2">
      <w:pPr>
        <w:pStyle w:val="23"/>
        <w:widowControl/>
        <w:shd w:val="clear" w:color="auto" w:fill="FFFFFF"/>
        <w:spacing w:before="0" w:beforeAutospacing="0" w:after="0" w:afterAutospacing="0"/>
        <w:jc w:val="center"/>
        <w:rPr>
          <w:rFonts w:hint="eastAsia" w:ascii="Times New Roman" w:hAnsi="Times New Roman" w:eastAsia="宋体" w:cs="Times New Roman"/>
          <w:b/>
          <w:color w:val="auto"/>
          <w:kern w:val="2"/>
          <w:sz w:val="30"/>
          <w:szCs w:val="30"/>
          <w:lang w:val="en-US" w:eastAsia="zh-CN" w:bidi="ar-SA"/>
        </w:rPr>
      </w:pPr>
      <w:r>
        <w:rPr>
          <w:rFonts w:hint="eastAsia" w:ascii="Times New Roman" w:hAnsi="Times New Roman" w:eastAsia="宋体" w:cs="Times New Roman"/>
          <w:b/>
          <w:color w:val="auto"/>
          <w:kern w:val="2"/>
          <w:sz w:val="30"/>
          <w:szCs w:val="30"/>
          <w:lang w:val="en-US" w:eastAsia="zh-CN" w:bidi="ar-SA"/>
        </w:rPr>
        <w:t>表10  建设项目雨水排放口基本情况表</w:t>
      </w:r>
    </w:p>
    <w:tbl>
      <w:tblPr>
        <w:tblStyle w:val="2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97"/>
        <w:gridCol w:w="851"/>
        <w:gridCol w:w="1262"/>
        <w:gridCol w:w="1109"/>
        <w:gridCol w:w="1201"/>
        <w:gridCol w:w="1055"/>
        <w:gridCol w:w="1042"/>
        <w:gridCol w:w="877"/>
        <w:gridCol w:w="1028"/>
        <w:gridCol w:w="1051"/>
        <w:gridCol w:w="1398"/>
        <w:gridCol w:w="1573"/>
        <w:gridCol w:w="1376"/>
      </w:tblGrid>
      <w:tr w14:paraId="065834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dxa"/>
            <w:vMerge w:val="restart"/>
            <w:tcBorders>
              <w:top w:val="single" w:color="auto" w:sz="12" w:space="0"/>
              <w:left w:val="single" w:color="auto" w:sz="12" w:space="0"/>
              <w:bottom w:val="single" w:color="auto" w:sz="4" w:space="0"/>
              <w:right w:val="single" w:color="auto" w:sz="4" w:space="0"/>
            </w:tcBorders>
            <w:noWrap w:val="0"/>
            <w:vAlign w:val="center"/>
          </w:tcPr>
          <w:p w14:paraId="65086326">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序</w:t>
            </w:r>
          </w:p>
          <w:p w14:paraId="697F269D">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号</w:t>
            </w:r>
          </w:p>
        </w:tc>
        <w:tc>
          <w:tcPr>
            <w:tcW w:w="851" w:type="dxa"/>
            <w:vMerge w:val="restart"/>
            <w:tcBorders>
              <w:top w:val="single" w:color="auto" w:sz="12" w:space="0"/>
              <w:left w:val="single" w:color="auto" w:sz="4" w:space="0"/>
              <w:bottom w:val="single" w:color="auto" w:sz="4" w:space="0"/>
              <w:right w:val="single" w:color="auto" w:sz="4" w:space="0"/>
            </w:tcBorders>
            <w:noWrap w:val="0"/>
            <w:vAlign w:val="center"/>
          </w:tcPr>
          <w:p w14:paraId="02C6C6A3">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排放口编号</w:t>
            </w:r>
          </w:p>
        </w:tc>
        <w:tc>
          <w:tcPr>
            <w:tcW w:w="1263" w:type="dxa"/>
            <w:vMerge w:val="restart"/>
            <w:tcBorders>
              <w:top w:val="single" w:color="auto" w:sz="12" w:space="0"/>
              <w:left w:val="single" w:color="auto" w:sz="4" w:space="0"/>
              <w:bottom w:val="single" w:color="auto" w:sz="4" w:space="0"/>
              <w:right w:val="single" w:color="auto" w:sz="4" w:space="0"/>
            </w:tcBorders>
            <w:noWrap w:val="0"/>
            <w:vAlign w:val="center"/>
          </w:tcPr>
          <w:p w14:paraId="710DE759">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排放口名称</w:t>
            </w:r>
          </w:p>
        </w:tc>
        <w:tc>
          <w:tcPr>
            <w:tcW w:w="2258" w:type="dxa"/>
            <w:gridSpan w:val="2"/>
            <w:tcBorders>
              <w:top w:val="single" w:color="auto" w:sz="12" w:space="0"/>
              <w:left w:val="single" w:color="auto" w:sz="4" w:space="0"/>
              <w:bottom w:val="single" w:color="auto" w:sz="6" w:space="0"/>
              <w:right w:val="single" w:color="auto" w:sz="4" w:space="0"/>
            </w:tcBorders>
            <w:noWrap w:val="0"/>
            <w:vAlign w:val="center"/>
          </w:tcPr>
          <w:p w14:paraId="0B4D8160">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排放口地理坐标</w:t>
            </w:r>
          </w:p>
        </w:tc>
        <w:tc>
          <w:tcPr>
            <w:tcW w:w="1056" w:type="dxa"/>
            <w:vMerge w:val="restart"/>
            <w:tcBorders>
              <w:top w:val="single" w:color="auto" w:sz="12" w:space="0"/>
              <w:left w:val="single" w:color="auto" w:sz="4" w:space="0"/>
              <w:bottom w:val="single" w:color="auto" w:sz="4" w:space="0"/>
              <w:right w:val="single" w:color="auto" w:sz="6" w:space="0"/>
            </w:tcBorders>
            <w:noWrap w:val="0"/>
            <w:vAlign w:val="center"/>
          </w:tcPr>
          <w:p w14:paraId="0B17C538">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排放去向</w:t>
            </w:r>
          </w:p>
        </w:tc>
        <w:tc>
          <w:tcPr>
            <w:tcW w:w="1043" w:type="dxa"/>
            <w:vMerge w:val="restart"/>
            <w:tcBorders>
              <w:top w:val="single" w:color="auto" w:sz="12" w:space="0"/>
              <w:left w:val="single" w:color="auto" w:sz="6" w:space="0"/>
              <w:bottom w:val="single" w:color="auto" w:sz="4" w:space="0"/>
              <w:right w:val="single" w:color="auto" w:sz="4" w:space="0"/>
            </w:tcBorders>
            <w:noWrap w:val="0"/>
            <w:vAlign w:val="center"/>
          </w:tcPr>
          <w:p w14:paraId="5EC5AB81">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排放规律</w:t>
            </w:r>
          </w:p>
        </w:tc>
        <w:tc>
          <w:tcPr>
            <w:tcW w:w="877" w:type="dxa"/>
            <w:vMerge w:val="restart"/>
            <w:tcBorders>
              <w:top w:val="single" w:color="auto" w:sz="12" w:space="0"/>
              <w:left w:val="single" w:color="auto" w:sz="6" w:space="0"/>
              <w:bottom w:val="single" w:color="auto" w:sz="4" w:space="0"/>
              <w:right w:val="single" w:color="auto" w:sz="4" w:space="0"/>
            </w:tcBorders>
            <w:noWrap w:val="0"/>
            <w:vAlign w:val="center"/>
          </w:tcPr>
          <w:p w14:paraId="453AAC31">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间歇排</w:t>
            </w:r>
          </w:p>
          <w:p w14:paraId="403C9A8F">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放时段</w:t>
            </w:r>
          </w:p>
        </w:tc>
        <w:tc>
          <w:tcPr>
            <w:tcW w:w="2081" w:type="dxa"/>
            <w:gridSpan w:val="2"/>
            <w:tcBorders>
              <w:top w:val="single" w:color="auto" w:sz="12" w:space="0"/>
              <w:left w:val="single" w:color="auto" w:sz="4" w:space="0"/>
              <w:bottom w:val="single" w:color="auto" w:sz="6" w:space="0"/>
              <w:right w:val="single" w:color="auto" w:sz="4" w:space="0"/>
            </w:tcBorders>
            <w:noWrap w:val="0"/>
            <w:vAlign w:val="center"/>
          </w:tcPr>
          <w:p w14:paraId="1A3F44B5">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受纳自然水体信息</w:t>
            </w:r>
          </w:p>
        </w:tc>
        <w:tc>
          <w:tcPr>
            <w:tcW w:w="2972" w:type="dxa"/>
            <w:gridSpan w:val="2"/>
            <w:tcBorders>
              <w:top w:val="single" w:color="auto" w:sz="12" w:space="0"/>
              <w:left w:val="single" w:color="auto" w:sz="4" w:space="0"/>
              <w:bottom w:val="single" w:color="auto" w:sz="6" w:space="0"/>
              <w:right w:val="single" w:color="auto" w:sz="4" w:space="0"/>
            </w:tcBorders>
            <w:noWrap w:val="0"/>
            <w:vAlign w:val="center"/>
          </w:tcPr>
          <w:p w14:paraId="55E68208">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汇入受纳自然水体处地理坐标</w:t>
            </w:r>
          </w:p>
        </w:tc>
        <w:tc>
          <w:tcPr>
            <w:tcW w:w="1376" w:type="dxa"/>
            <w:vMerge w:val="restart"/>
            <w:tcBorders>
              <w:top w:val="single" w:color="auto" w:sz="12" w:space="0"/>
              <w:left w:val="single" w:color="auto" w:sz="4" w:space="0"/>
              <w:bottom w:val="single" w:color="auto" w:sz="4" w:space="0"/>
              <w:right w:val="single" w:color="auto" w:sz="12" w:space="0"/>
            </w:tcBorders>
            <w:noWrap w:val="0"/>
            <w:vAlign w:val="center"/>
          </w:tcPr>
          <w:p w14:paraId="131887CB">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其他信息</w:t>
            </w:r>
          </w:p>
        </w:tc>
      </w:tr>
      <w:tr w14:paraId="2A828B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auto" w:sz="12" w:space="0"/>
              <w:left w:val="single" w:color="auto" w:sz="12" w:space="0"/>
              <w:bottom w:val="single" w:color="auto" w:sz="4" w:space="0"/>
              <w:right w:val="single" w:color="auto" w:sz="4" w:space="0"/>
            </w:tcBorders>
            <w:noWrap w:val="0"/>
            <w:vAlign w:val="center"/>
          </w:tcPr>
          <w:p w14:paraId="37F9E11C">
            <w:pPr>
              <w:widowControl/>
              <w:jc w:val="left"/>
              <w:rPr>
                <w:rFonts w:ascii="仿宋" w:hAnsi="仿宋" w:eastAsia="仿宋" w:cs="仿宋"/>
                <w:b/>
                <w:color w:val="FF0000"/>
                <w:sz w:val="18"/>
                <w:szCs w:val="18"/>
              </w:rPr>
            </w:pPr>
          </w:p>
        </w:tc>
        <w:tc>
          <w:tcPr>
            <w:tcW w:w="0" w:type="auto"/>
            <w:vMerge w:val="continue"/>
            <w:tcBorders>
              <w:top w:val="single" w:color="auto" w:sz="12" w:space="0"/>
              <w:left w:val="single" w:color="auto" w:sz="4" w:space="0"/>
              <w:bottom w:val="single" w:color="auto" w:sz="4" w:space="0"/>
              <w:right w:val="single" w:color="auto" w:sz="4" w:space="0"/>
            </w:tcBorders>
            <w:noWrap w:val="0"/>
            <w:vAlign w:val="center"/>
          </w:tcPr>
          <w:p w14:paraId="728CEC40">
            <w:pPr>
              <w:widowControl/>
              <w:jc w:val="left"/>
              <w:rPr>
                <w:rFonts w:ascii="仿宋" w:hAnsi="仿宋" w:eastAsia="仿宋" w:cs="仿宋"/>
                <w:b/>
                <w:color w:val="FF0000"/>
                <w:sz w:val="18"/>
                <w:szCs w:val="18"/>
              </w:rPr>
            </w:pPr>
          </w:p>
        </w:tc>
        <w:tc>
          <w:tcPr>
            <w:tcW w:w="0" w:type="auto"/>
            <w:vMerge w:val="continue"/>
            <w:tcBorders>
              <w:top w:val="single" w:color="auto" w:sz="12" w:space="0"/>
              <w:left w:val="single" w:color="auto" w:sz="4" w:space="0"/>
              <w:bottom w:val="single" w:color="auto" w:sz="4" w:space="0"/>
              <w:right w:val="single" w:color="auto" w:sz="4" w:space="0"/>
            </w:tcBorders>
            <w:noWrap w:val="0"/>
            <w:vAlign w:val="center"/>
          </w:tcPr>
          <w:p w14:paraId="2EC5836D">
            <w:pPr>
              <w:adjustRightInd w:val="0"/>
              <w:snapToGrid w:val="0"/>
              <w:ind w:left="-107" w:leftChars="-51" w:right="-107" w:rightChars="-51"/>
              <w:jc w:val="center"/>
              <w:rPr>
                <w:rFonts w:hint="eastAsia" w:ascii="Times New Roman" w:hAnsi="Times New Roman" w:eastAsia="宋体" w:cs="Times New Roman"/>
                <w:b/>
                <w:color w:val="000000"/>
                <w:sz w:val="21"/>
                <w:szCs w:val="21"/>
              </w:rPr>
            </w:pPr>
          </w:p>
        </w:tc>
        <w:tc>
          <w:tcPr>
            <w:tcW w:w="1057" w:type="dxa"/>
            <w:tcBorders>
              <w:top w:val="single" w:color="auto" w:sz="6" w:space="0"/>
              <w:left w:val="single" w:color="auto" w:sz="4" w:space="0"/>
              <w:bottom w:val="single" w:color="auto" w:sz="4" w:space="0"/>
              <w:right w:val="single" w:color="auto" w:sz="6" w:space="0"/>
            </w:tcBorders>
            <w:noWrap w:val="0"/>
            <w:vAlign w:val="center"/>
          </w:tcPr>
          <w:p w14:paraId="413065AD">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经度</w:t>
            </w:r>
          </w:p>
        </w:tc>
        <w:tc>
          <w:tcPr>
            <w:tcW w:w="1201" w:type="dxa"/>
            <w:tcBorders>
              <w:top w:val="single" w:color="auto" w:sz="6" w:space="0"/>
              <w:left w:val="single" w:color="auto" w:sz="6" w:space="0"/>
              <w:bottom w:val="single" w:color="auto" w:sz="4" w:space="0"/>
              <w:right w:val="single" w:color="auto" w:sz="4" w:space="0"/>
            </w:tcBorders>
            <w:noWrap w:val="0"/>
            <w:vAlign w:val="center"/>
          </w:tcPr>
          <w:p w14:paraId="54F6F477">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纬度</w:t>
            </w:r>
          </w:p>
        </w:tc>
        <w:tc>
          <w:tcPr>
            <w:tcW w:w="0" w:type="auto"/>
            <w:vMerge w:val="continue"/>
            <w:tcBorders>
              <w:top w:val="single" w:color="auto" w:sz="12" w:space="0"/>
              <w:left w:val="single" w:color="auto" w:sz="4" w:space="0"/>
              <w:bottom w:val="single" w:color="auto" w:sz="4" w:space="0"/>
              <w:right w:val="single" w:color="auto" w:sz="6" w:space="0"/>
            </w:tcBorders>
            <w:noWrap w:val="0"/>
            <w:vAlign w:val="center"/>
          </w:tcPr>
          <w:p w14:paraId="27551011">
            <w:pPr>
              <w:adjustRightInd w:val="0"/>
              <w:snapToGrid w:val="0"/>
              <w:ind w:left="-107" w:leftChars="-51" w:right="-107" w:rightChars="-51"/>
              <w:jc w:val="center"/>
              <w:rPr>
                <w:rFonts w:hint="eastAsia" w:ascii="Times New Roman" w:hAnsi="Times New Roman" w:eastAsia="宋体" w:cs="Times New Roman"/>
                <w:b/>
                <w:color w:val="000000"/>
                <w:sz w:val="21"/>
                <w:szCs w:val="21"/>
              </w:rPr>
            </w:pPr>
          </w:p>
        </w:tc>
        <w:tc>
          <w:tcPr>
            <w:tcW w:w="0" w:type="auto"/>
            <w:vMerge w:val="continue"/>
            <w:tcBorders>
              <w:top w:val="single" w:color="auto" w:sz="12" w:space="0"/>
              <w:left w:val="single" w:color="auto" w:sz="6" w:space="0"/>
              <w:bottom w:val="single" w:color="auto" w:sz="4" w:space="0"/>
              <w:right w:val="single" w:color="auto" w:sz="4" w:space="0"/>
            </w:tcBorders>
            <w:noWrap w:val="0"/>
            <w:vAlign w:val="center"/>
          </w:tcPr>
          <w:p w14:paraId="7A5927D9">
            <w:pPr>
              <w:adjustRightInd w:val="0"/>
              <w:snapToGrid w:val="0"/>
              <w:ind w:left="-107" w:leftChars="-51" w:right="-107" w:rightChars="-51"/>
              <w:jc w:val="center"/>
              <w:rPr>
                <w:rFonts w:hint="eastAsia" w:ascii="Times New Roman" w:hAnsi="Times New Roman" w:eastAsia="宋体" w:cs="Times New Roman"/>
                <w:b/>
                <w:color w:val="000000"/>
                <w:sz w:val="21"/>
                <w:szCs w:val="21"/>
              </w:rPr>
            </w:pPr>
          </w:p>
        </w:tc>
        <w:tc>
          <w:tcPr>
            <w:tcW w:w="0" w:type="auto"/>
            <w:vMerge w:val="continue"/>
            <w:tcBorders>
              <w:top w:val="single" w:color="auto" w:sz="12" w:space="0"/>
              <w:left w:val="single" w:color="auto" w:sz="6" w:space="0"/>
              <w:bottom w:val="single" w:color="auto" w:sz="4" w:space="0"/>
              <w:right w:val="single" w:color="auto" w:sz="4" w:space="0"/>
            </w:tcBorders>
            <w:noWrap w:val="0"/>
            <w:vAlign w:val="center"/>
          </w:tcPr>
          <w:p w14:paraId="617B78A2">
            <w:pPr>
              <w:adjustRightInd w:val="0"/>
              <w:snapToGrid w:val="0"/>
              <w:ind w:left="-107" w:leftChars="-51" w:right="-107" w:rightChars="-51"/>
              <w:jc w:val="center"/>
              <w:rPr>
                <w:rFonts w:hint="eastAsia" w:ascii="Times New Roman" w:hAnsi="Times New Roman" w:eastAsia="宋体" w:cs="Times New Roman"/>
                <w:b/>
                <w:color w:val="000000"/>
                <w:sz w:val="21"/>
                <w:szCs w:val="21"/>
              </w:rPr>
            </w:pPr>
          </w:p>
        </w:tc>
        <w:tc>
          <w:tcPr>
            <w:tcW w:w="1029" w:type="dxa"/>
            <w:tcBorders>
              <w:top w:val="single" w:color="auto" w:sz="6" w:space="0"/>
              <w:left w:val="single" w:color="auto" w:sz="4" w:space="0"/>
              <w:bottom w:val="single" w:color="auto" w:sz="4" w:space="0"/>
              <w:right w:val="single" w:color="auto" w:sz="4" w:space="0"/>
            </w:tcBorders>
            <w:noWrap w:val="0"/>
            <w:vAlign w:val="center"/>
          </w:tcPr>
          <w:p w14:paraId="0A393183">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水体名称</w:t>
            </w:r>
          </w:p>
        </w:tc>
        <w:tc>
          <w:tcPr>
            <w:tcW w:w="1052" w:type="dxa"/>
            <w:tcBorders>
              <w:top w:val="single" w:color="auto" w:sz="6" w:space="0"/>
              <w:left w:val="single" w:color="auto" w:sz="4" w:space="0"/>
              <w:bottom w:val="single" w:color="auto" w:sz="4" w:space="0"/>
              <w:right w:val="single" w:color="auto" w:sz="4" w:space="0"/>
            </w:tcBorders>
            <w:noWrap w:val="0"/>
            <w:vAlign w:val="center"/>
          </w:tcPr>
          <w:p w14:paraId="5F118251">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受纳水体功能目标</w:t>
            </w:r>
          </w:p>
        </w:tc>
        <w:tc>
          <w:tcPr>
            <w:tcW w:w="1398" w:type="dxa"/>
            <w:tcBorders>
              <w:top w:val="single" w:color="auto" w:sz="6" w:space="0"/>
              <w:left w:val="single" w:color="auto" w:sz="4" w:space="0"/>
              <w:bottom w:val="single" w:color="auto" w:sz="4" w:space="0"/>
              <w:right w:val="single" w:color="auto" w:sz="6" w:space="0"/>
            </w:tcBorders>
            <w:noWrap w:val="0"/>
            <w:vAlign w:val="center"/>
          </w:tcPr>
          <w:p w14:paraId="7B7B6147">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经度</w:t>
            </w:r>
          </w:p>
        </w:tc>
        <w:tc>
          <w:tcPr>
            <w:tcW w:w="1574" w:type="dxa"/>
            <w:tcBorders>
              <w:top w:val="single" w:color="auto" w:sz="6" w:space="0"/>
              <w:left w:val="single" w:color="auto" w:sz="6" w:space="0"/>
              <w:bottom w:val="single" w:color="auto" w:sz="4" w:space="0"/>
              <w:right w:val="single" w:color="auto" w:sz="4" w:space="0"/>
            </w:tcBorders>
            <w:noWrap w:val="0"/>
            <w:vAlign w:val="center"/>
          </w:tcPr>
          <w:p w14:paraId="073F1900">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纬度</w:t>
            </w:r>
          </w:p>
        </w:tc>
        <w:tc>
          <w:tcPr>
            <w:tcW w:w="0" w:type="auto"/>
            <w:vMerge w:val="continue"/>
            <w:tcBorders>
              <w:top w:val="single" w:color="auto" w:sz="12" w:space="0"/>
              <w:left w:val="single" w:color="auto" w:sz="4" w:space="0"/>
              <w:bottom w:val="single" w:color="auto" w:sz="4" w:space="0"/>
              <w:right w:val="single" w:color="auto" w:sz="12" w:space="0"/>
            </w:tcBorders>
            <w:noWrap w:val="0"/>
            <w:vAlign w:val="center"/>
          </w:tcPr>
          <w:p w14:paraId="6FD15841">
            <w:pPr>
              <w:widowControl/>
              <w:jc w:val="left"/>
              <w:rPr>
                <w:rFonts w:ascii="仿宋" w:hAnsi="仿宋" w:eastAsia="仿宋" w:cs="仿宋"/>
                <w:b/>
                <w:color w:val="FF0000"/>
                <w:sz w:val="18"/>
                <w:szCs w:val="18"/>
              </w:rPr>
            </w:pPr>
          </w:p>
        </w:tc>
      </w:tr>
      <w:tr w14:paraId="4F4C88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dxa"/>
            <w:tcBorders>
              <w:top w:val="single" w:color="auto" w:sz="4" w:space="0"/>
              <w:left w:val="single" w:color="auto" w:sz="12" w:space="0"/>
              <w:bottom w:val="single" w:color="auto" w:sz="4" w:space="0"/>
              <w:right w:val="single" w:color="auto" w:sz="4" w:space="0"/>
            </w:tcBorders>
            <w:noWrap w:val="0"/>
            <w:vAlign w:val="center"/>
          </w:tcPr>
          <w:p w14:paraId="0AC1BB37">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FE8258B">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YS001</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50DB8092">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雨水排放口</w:t>
            </w:r>
          </w:p>
        </w:tc>
        <w:tc>
          <w:tcPr>
            <w:tcW w:w="1057" w:type="dxa"/>
            <w:tcBorders>
              <w:top w:val="single" w:color="auto" w:sz="4" w:space="0"/>
              <w:left w:val="single" w:color="auto" w:sz="4" w:space="0"/>
              <w:bottom w:val="single" w:color="auto" w:sz="4" w:space="0"/>
              <w:right w:val="single" w:color="auto" w:sz="6" w:space="0"/>
            </w:tcBorders>
            <w:noWrap w:val="0"/>
            <w:vAlign w:val="center"/>
          </w:tcPr>
          <w:p w14:paraId="3C1CB07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rPr>
              <w:t>11</w:t>
            </w:r>
            <w:r>
              <w:rPr>
                <w:rFonts w:hint="eastAsia" w:ascii="Times New Roman" w:hAnsi="Times New Roman" w:eastAsia="宋体" w:cs="Times New Roman"/>
                <w:color w:val="auto"/>
                <w:kern w:val="0"/>
                <w:sz w:val="21"/>
                <w:szCs w:val="21"/>
                <w:lang w:val="en-US" w:eastAsia="zh-CN"/>
              </w:rPr>
              <w:t>6.82594</w:t>
            </w:r>
          </w:p>
        </w:tc>
        <w:tc>
          <w:tcPr>
            <w:tcW w:w="1201" w:type="dxa"/>
            <w:tcBorders>
              <w:top w:val="single" w:color="auto" w:sz="4" w:space="0"/>
              <w:left w:val="single" w:color="auto" w:sz="6" w:space="0"/>
              <w:bottom w:val="single" w:color="auto" w:sz="4" w:space="0"/>
              <w:right w:val="single" w:color="auto" w:sz="4" w:space="0"/>
            </w:tcBorders>
            <w:noWrap w:val="0"/>
            <w:vAlign w:val="center"/>
          </w:tcPr>
          <w:p w14:paraId="47B0027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rPr>
              <w:t>3</w:t>
            </w:r>
            <w:r>
              <w:rPr>
                <w:rFonts w:hint="eastAsia" w:cs="Times New Roman"/>
                <w:color w:val="auto"/>
                <w:kern w:val="0"/>
                <w:sz w:val="21"/>
                <w:szCs w:val="21"/>
                <w:lang w:val="en-US" w:eastAsia="zh-CN"/>
              </w:rPr>
              <w:t>2.77184</w:t>
            </w:r>
          </w:p>
        </w:tc>
        <w:tc>
          <w:tcPr>
            <w:tcW w:w="1056" w:type="dxa"/>
            <w:tcBorders>
              <w:top w:val="single" w:color="auto" w:sz="4" w:space="0"/>
              <w:left w:val="single" w:color="auto" w:sz="4" w:space="0"/>
              <w:bottom w:val="single" w:color="auto" w:sz="4" w:space="0"/>
              <w:right w:val="single" w:color="auto" w:sz="6" w:space="0"/>
            </w:tcBorders>
            <w:noWrap w:val="0"/>
            <w:vAlign w:val="center"/>
          </w:tcPr>
          <w:p w14:paraId="001525A9">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市政雨水管网</w:t>
            </w:r>
          </w:p>
        </w:tc>
        <w:tc>
          <w:tcPr>
            <w:tcW w:w="1043" w:type="dxa"/>
            <w:tcBorders>
              <w:top w:val="single" w:color="auto" w:sz="4" w:space="0"/>
              <w:left w:val="single" w:color="auto" w:sz="6" w:space="0"/>
              <w:bottom w:val="single" w:color="auto" w:sz="4" w:space="0"/>
              <w:right w:val="single" w:color="auto" w:sz="4" w:space="0"/>
            </w:tcBorders>
            <w:noWrap w:val="0"/>
            <w:vAlign w:val="center"/>
          </w:tcPr>
          <w:p w14:paraId="65E3D0E3">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间歇</w:t>
            </w:r>
          </w:p>
        </w:tc>
        <w:tc>
          <w:tcPr>
            <w:tcW w:w="877" w:type="dxa"/>
            <w:tcBorders>
              <w:top w:val="single" w:color="auto" w:sz="4" w:space="0"/>
              <w:left w:val="single" w:color="auto" w:sz="6" w:space="0"/>
              <w:bottom w:val="single" w:color="auto" w:sz="4" w:space="0"/>
              <w:right w:val="single" w:color="auto" w:sz="4" w:space="0"/>
            </w:tcBorders>
            <w:noWrap w:val="0"/>
            <w:vAlign w:val="center"/>
          </w:tcPr>
          <w:p w14:paraId="30A42335">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雨天</w:t>
            </w:r>
          </w:p>
        </w:tc>
        <w:tc>
          <w:tcPr>
            <w:tcW w:w="1029" w:type="dxa"/>
            <w:tcBorders>
              <w:top w:val="single" w:color="auto" w:sz="4" w:space="0"/>
              <w:left w:val="single" w:color="auto" w:sz="4" w:space="0"/>
              <w:bottom w:val="single" w:color="auto" w:sz="4" w:space="0"/>
              <w:right w:val="single" w:color="auto" w:sz="4" w:space="0"/>
            </w:tcBorders>
            <w:noWrap w:val="0"/>
            <w:vAlign w:val="center"/>
          </w:tcPr>
          <w:p w14:paraId="69610B34">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淮河</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61A9C3DF">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III</w:t>
            </w:r>
          </w:p>
        </w:tc>
        <w:tc>
          <w:tcPr>
            <w:tcW w:w="1398" w:type="dxa"/>
            <w:tcBorders>
              <w:top w:val="single" w:color="auto" w:sz="4" w:space="0"/>
              <w:left w:val="single" w:color="auto" w:sz="4" w:space="0"/>
              <w:bottom w:val="single" w:color="auto" w:sz="4" w:space="0"/>
              <w:right w:val="single" w:color="auto" w:sz="6" w:space="0"/>
            </w:tcBorders>
            <w:noWrap w:val="0"/>
            <w:vAlign w:val="center"/>
          </w:tcPr>
          <w:p w14:paraId="7FD4D909">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11</w:t>
            </w:r>
            <w:r>
              <w:rPr>
                <w:rFonts w:hint="eastAsia" w:cs="Times New Roman"/>
                <w:color w:val="auto"/>
                <w:sz w:val="21"/>
                <w:szCs w:val="21"/>
                <w:lang w:val="en-US" w:eastAsia="zh-CN"/>
              </w:rPr>
              <w:t>6.94005</w:t>
            </w:r>
          </w:p>
        </w:tc>
        <w:tc>
          <w:tcPr>
            <w:tcW w:w="1574" w:type="dxa"/>
            <w:tcBorders>
              <w:top w:val="single" w:color="auto" w:sz="4" w:space="0"/>
              <w:left w:val="single" w:color="auto" w:sz="6" w:space="0"/>
              <w:bottom w:val="single" w:color="auto" w:sz="4" w:space="0"/>
              <w:right w:val="single" w:color="auto" w:sz="4" w:space="0"/>
            </w:tcBorders>
            <w:noWrap w:val="0"/>
            <w:vAlign w:val="center"/>
          </w:tcPr>
          <w:p w14:paraId="723EAA91">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w:t>
            </w:r>
            <w:r>
              <w:rPr>
                <w:rFonts w:hint="eastAsia" w:cs="Times New Roman"/>
                <w:color w:val="auto"/>
                <w:sz w:val="21"/>
                <w:szCs w:val="21"/>
                <w:lang w:val="en-US" w:eastAsia="zh-CN"/>
              </w:rPr>
              <w:t>2.67777</w:t>
            </w:r>
          </w:p>
        </w:tc>
        <w:tc>
          <w:tcPr>
            <w:tcW w:w="1376" w:type="dxa"/>
            <w:tcBorders>
              <w:top w:val="single" w:color="auto" w:sz="4" w:space="0"/>
              <w:left w:val="single" w:color="auto" w:sz="4" w:space="0"/>
              <w:bottom w:val="single" w:color="auto" w:sz="4" w:space="0"/>
              <w:right w:val="single" w:color="auto" w:sz="12" w:space="0"/>
            </w:tcBorders>
            <w:noWrap w:val="0"/>
            <w:vAlign w:val="center"/>
          </w:tcPr>
          <w:p w14:paraId="1634C189">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r>
    </w:tbl>
    <w:p w14:paraId="00430CA7">
      <w:pPr>
        <w:pStyle w:val="23"/>
        <w:widowControl/>
        <w:shd w:val="clear" w:color="auto" w:fill="FFFFFF"/>
        <w:spacing w:before="0" w:beforeAutospacing="0" w:after="0" w:afterAutospacing="0"/>
        <w:jc w:val="center"/>
        <w:rPr>
          <w:rFonts w:hint="eastAsia" w:ascii="Times New Roman" w:hAnsi="Times New Roman" w:eastAsia="宋体" w:cs="Times New Roman"/>
          <w:b/>
          <w:color w:val="auto"/>
          <w:kern w:val="2"/>
          <w:sz w:val="30"/>
          <w:szCs w:val="30"/>
          <w:lang w:val="en-US" w:eastAsia="zh-CN" w:bidi="ar-SA"/>
        </w:rPr>
      </w:pPr>
      <w:r>
        <w:rPr>
          <w:rFonts w:hint="eastAsia" w:ascii="Times New Roman" w:hAnsi="Times New Roman" w:eastAsia="宋体" w:cs="Times New Roman"/>
          <w:b/>
          <w:color w:val="auto"/>
          <w:kern w:val="2"/>
          <w:sz w:val="30"/>
          <w:szCs w:val="30"/>
          <w:lang w:val="en-US" w:eastAsia="zh-CN" w:bidi="ar-SA"/>
        </w:rPr>
        <w:t>表11  建设项目废水间接排放口基本情况表</w:t>
      </w:r>
    </w:p>
    <w:tbl>
      <w:tblPr>
        <w:tblStyle w:val="2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881"/>
        <w:gridCol w:w="1182"/>
        <w:gridCol w:w="1103"/>
        <w:gridCol w:w="1020"/>
        <w:gridCol w:w="1110"/>
        <w:gridCol w:w="1065"/>
        <w:gridCol w:w="975"/>
        <w:gridCol w:w="1080"/>
        <w:gridCol w:w="1080"/>
        <w:gridCol w:w="1500"/>
        <w:gridCol w:w="1950"/>
        <w:gridCol w:w="847"/>
      </w:tblGrid>
      <w:tr w14:paraId="75699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vMerge w:val="restart"/>
            <w:tcBorders>
              <w:top w:val="single" w:color="auto" w:sz="12" w:space="0"/>
              <w:left w:val="single" w:color="auto" w:sz="12" w:space="0"/>
              <w:bottom w:val="single" w:color="auto" w:sz="4" w:space="0"/>
              <w:right w:val="single" w:color="auto" w:sz="4" w:space="0"/>
            </w:tcBorders>
            <w:noWrap w:val="0"/>
            <w:vAlign w:val="center"/>
          </w:tcPr>
          <w:p w14:paraId="54FE297F">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序</w:t>
            </w:r>
          </w:p>
          <w:p w14:paraId="0676F774">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号</w:t>
            </w:r>
          </w:p>
        </w:tc>
        <w:tc>
          <w:tcPr>
            <w:tcW w:w="881" w:type="dxa"/>
            <w:vMerge w:val="restart"/>
            <w:tcBorders>
              <w:top w:val="single" w:color="auto" w:sz="12" w:space="0"/>
              <w:left w:val="single" w:color="auto" w:sz="4" w:space="0"/>
              <w:bottom w:val="single" w:color="auto" w:sz="4" w:space="0"/>
              <w:right w:val="single" w:color="auto" w:sz="4" w:space="0"/>
            </w:tcBorders>
            <w:noWrap w:val="0"/>
            <w:vAlign w:val="center"/>
          </w:tcPr>
          <w:p w14:paraId="67CAB732">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排放口编号</w:t>
            </w:r>
          </w:p>
        </w:tc>
        <w:tc>
          <w:tcPr>
            <w:tcW w:w="1182" w:type="dxa"/>
            <w:vMerge w:val="restart"/>
            <w:tcBorders>
              <w:top w:val="single" w:color="auto" w:sz="12" w:space="0"/>
              <w:left w:val="single" w:color="auto" w:sz="4" w:space="0"/>
              <w:bottom w:val="single" w:color="auto" w:sz="4" w:space="0"/>
              <w:right w:val="single" w:color="auto" w:sz="4" w:space="0"/>
            </w:tcBorders>
            <w:noWrap w:val="0"/>
            <w:vAlign w:val="center"/>
          </w:tcPr>
          <w:p w14:paraId="1A70345D">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排放口名称</w:t>
            </w:r>
          </w:p>
        </w:tc>
        <w:tc>
          <w:tcPr>
            <w:tcW w:w="2123" w:type="dxa"/>
            <w:gridSpan w:val="2"/>
            <w:tcBorders>
              <w:top w:val="single" w:color="auto" w:sz="12" w:space="0"/>
              <w:left w:val="single" w:color="auto" w:sz="4" w:space="0"/>
              <w:bottom w:val="single" w:color="auto" w:sz="6" w:space="0"/>
              <w:right w:val="single" w:color="auto" w:sz="4" w:space="0"/>
            </w:tcBorders>
            <w:noWrap w:val="0"/>
            <w:vAlign w:val="center"/>
          </w:tcPr>
          <w:p w14:paraId="7A3DBD16">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排放口地理坐标</w:t>
            </w:r>
          </w:p>
        </w:tc>
        <w:tc>
          <w:tcPr>
            <w:tcW w:w="1110" w:type="dxa"/>
            <w:vMerge w:val="restart"/>
            <w:tcBorders>
              <w:top w:val="single" w:color="auto" w:sz="12" w:space="0"/>
              <w:left w:val="single" w:color="auto" w:sz="4" w:space="0"/>
              <w:bottom w:val="single" w:color="auto" w:sz="4" w:space="0"/>
              <w:right w:val="single" w:color="auto" w:sz="6" w:space="0"/>
            </w:tcBorders>
            <w:noWrap w:val="0"/>
            <w:vAlign w:val="center"/>
          </w:tcPr>
          <w:p w14:paraId="16745032">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排放去向</w:t>
            </w:r>
          </w:p>
        </w:tc>
        <w:tc>
          <w:tcPr>
            <w:tcW w:w="1065" w:type="dxa"/>
            <w:vMerge w:val="restart"/>
            <w:tcBorders>
              <w:top w:val="single" w:color="auto" w:sz="12" w:space="0"/>
              <w:left w:val="single" w:color="auto" w:sz="6" w:space="0"/>
              <w:bottom w:val="single" w:color="auto" w:sz="4" w:space="0"/>
              <w:right w:val="single" w:color="auto" w:sz="4" w:space="0"/>
            </w:tcBorders>
            <w:noWrap w:val="0"/>
            <w:vAlign w:val="center"/>
          </w:tcPr>
          <w:p w14:paraId="1C354D23">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排放规律</w:t>
            </w:r>
          </w:p>
        </w:tc>
        <w:tc>
          <w:tcPr>
            <w:tcW w:w="975" w:type="dxa"/>
            <w:vMerge w:val="restart"/>
            <w:tcBorders>
              <w:top w:val="single" w:color="auto" w:sz="12" w:space="0"/>
              <w:left w:val="single" w:color="auto" w:sz="6" w:space="0"/>
              <w:bottom w:val="single" w:color="auto" w:sz="4" w:space="0"/>
              <w:right w:val="single" w:color="auto" w:sz="4" w:space="0"/>
            </w:tcBorders>
            <w:noWrap w:val="0"/>
            <w:vAlign w:val="center"/>
          </w:tcPr>
          <w:p w14:paraId="1313D446">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间歇排</w:t>
            </w:r>
          </w:p>
          <w:p w14:paraId="70E21E75">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放时段</w:t>
            </w:r>
          </w:p>
        </w:tc>
        <w:tc>
          <w:tcPr>
            <w:tcW w:w="5610" w:type="dxa"/>
            <w:gridSpan w:val="4"/>
            <w:tcBorders>
              <w:top w:val="single" w:color="auto" w:sz="12" w:space="0"/>
              <w:left w:val="single" w:color="auto" w:sz="4" w:space="0"/>
              <w:bottom w:val="single" w:color="auto" w:sz="6" w:space="0"/>
              <w:right w:val="single" w:color="auto" w:sz="4" w:space="0"/>
            </w:tcBorders>
            <w:noWrap w:val="0"/>
            <w:vAlign w:val="center"/>
          </w:tcPr>
          <w:p w14:paraId="24E062B2">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受纳污水处理厂信息</w:t>
            </w:r>
          </w:p>
        </w:tc>
        <w:tc>
          <w:tcPr>
            <w:tcW w:w="847" w:type="dxa"/>
            <w:vMerge w:val="restart"/>
            <w:tcBorders>
              <w:top w:val="single" w:color="auto" w:sz="12" w:space="0"/>
              <w:left w:val="single" w:color="auto" w:sz="4" w:space="0"/>
              <w:bottom w:val="single" w:color="auto" w:sz="4" w:space="0"/>
              <w:right w:val="single" w:color="auto" w:sz="12" w:space="0"/>
            </w:tcBorders>
            <w:noWrap w:val="0"/>
            <w:vAlign w:val="center"/>
          </w:tcPr>
          <w:p w14:paraId="6E662052">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其他信息</w:t>
            </w:r>
          </w:p>
        </w:tc>
      </w:tr>
      <w:tr w14:paraId="7F320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vMerge w:val="continue"/>
            <w:tcBorders>
              <w:top w:val="single" w:color="auto" w:sz="12" w:space="0"/>
              <w:left w:val="single" w:color="auto" w:sz="12" w:space="0"/>
              <w:bottom w:val="single" w:color="auto" w:sz="4" w:space="0"/>
              <w:right w:val="single" w:color="auto" w:sz="4" w:space="0"/>
            </w:tcBorders>
            <w:noWrap w:val="0"/>
            <w:vAlign w:val="center"/>
          </w:tcPr>
          <w:p w14:paraId="58EB2890">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left"/>
              <w:textAlignment w:val="auto"/>
              <w:rPr>
                <w:rFonts w:ascii="仿宋" w:hAnsi="仿宋" w:eastAsia="仿宋" w:cs="仿宋"/>
                <w:b/>
                <w:color w:val="FF0000"/>
                <w:sz w:val="18"/>
                <w:szCs w:val="18"/>
              </w:rPr>
            </w:pPr>
          </w:p>
        </w:tc>
        <w:tc>
          <w:tcPr>
            <w:tcW w:w="881" w:type="dxa"/>
            <w:vMerge w:val="continue"/>
            <w:tcBorders>
              <w:top w:val="single" w:color="auto" w:sz="12" w:space="0"/>
              <w:left w:val="single" w:color="auto" w:sz="4" w:space="0"/>
              <w:bottom w:val="single" w:color="auto" w:sz="4" w:space="0"/>
              <w:right w:val="single" w:color="auto" w:sz="4" w:space="0"/>
            </w:tcBorders>
            <w:noWrap w:val="0"/>
            <w:vAlign w:val="center"/>
          </w:tcPr>
          <w:p w14:paraId="47F518FA">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left"/>
              <w:textAlignment w:val="auto"/>
              <w:rPr>
                <w:rFonts w:ascii="仿宋" w:hAnsi="仿宋" w:eastAsia="仿宋" w:cs="仿宋"/>
                <w:b/>
                <w:color w:val="FF0000"/>
                <w:sz w:val="18"/>
                <w:szCs w:val="18"/>
              </w:rPr>
            </w:pPr>
          </w:p>
        </w:tc>
        <w:tc>
          <w:tcPr>
            <w:tcW w:w="0" w:type="auto"/>
            <w:vMerge w:val="continue"/>
            <w:tcBorders>
              <w:top w:val="single" w:color="auto" w:sz="12" w:space="0"/>
              <w:left w:val="single" w:color="auto" w:sz="4" w:space="0"/>
              <w:bottom w:val="single" w:color="auto" w:sz="4" w:space="0"/>
              <w:right w:val="single" w:color="auto" w:sz="4" w:space="0"/>
            </w:tcBorders>
            <w:noWrap w:val="0"/>
            <w:vAlign w:val="center"/>
          </w:tcPr>
          <w:p w14:paraId="10F80713">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left"/>
              <w:textAlignment w:val="auto"/>
              <w:rPr>
                <w:rFonts w:ascii="仿宋" w:hAnsi="仿宋" w:eastAsia="仿宋" w:cs="仿宋"/>
                <w:b/>
                <w:color w:val="FF0000"/>
                <w:sz w:val="18"/>
                <w:szCs w:val="18"/>
              </w:rPr>
            </w:pPr>
          </w:p>
        </w:tc>
        <w:tc>
          <w:tcPr>
            <w:tcW w:w="1103" w:type="dxa"/>
            <w:tcBorders>
              <w:top w:val="single" w:color="auto" w:sz="6" w:space="0"/>
              <w:left w:val="single" w:color="auto" w:sz="4" w:space="0"/>
              <w:bottom w:val="single" w:color="auto" w:sz="4" w:space="0"/>
              <w:right w:val="single" w:color="auto" w:sz="6" w:space="0"/>
            </w:tcBorders>
            <w:noWrap w:val="0"/>
            <w:vAlign w:val="center"/>
          </w:tcPr>
          <w:p w14:paraId="24CE6269">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经度</w:t>
            </w:r>
          </w:p>
        </w:tc>
        <w:tc>
          <w:tcPr>
            <w:tcW w:w="1020" w:type="dxa"/>
            <w:tcBorders>
              <w:top w:val="single" w:color="auto" w:sz="6" w:space="0"/>
              <w:left w:val="single" w:color="auto" w:sz="6" w:space="0"/>
              <w:bottom w:val="single" w:color="auto" w:sz="4" w:space="0"/>
              <w:right w:val="single" w:color="auto" w:sz="4" w:space="0"/>
            </w:tcBorders>
            <w:noWrap w:val="0"/>
            <w:vAlign w:val="center"/>
          </w:tcPr>
          <w:p w14:paraId="742DD03B">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纬度</w:t>
            </w:r>
          </w:p>
        </w:tc>
        <w:tc>
          <w:tcPr>
            <w:tcW w:w="1110" w:type="dxa"/>
            <w:vMerge w:val="continue"/>
            <w:tcBorders>
              <w:top w:val="single" w:color="auto" w:sz="12" w:space="0"/>
              <w:left w:val="single" w:color="auto" w:sz="4" w:space="0"/>
              <w:bottom w:val="single" w:color="auto" w:sz="4" w:space="0"/>
              <w:right w:val="single" w:color="auto" w:sz="6" w:space="0"/>
            </w:tcBorders>
            <w:noWrap w:val="0"/>
            <w:vAlign w:val="center"/>
          </w:tcPr>
          <w:p w14:paraId="71AE8710">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1065" w:type="dxa"/>
            <w:vMerge w:val="continue"/>
            <w:tcBorders>
              <w:top w:val="single" w:color="auto" w:sz="12" w:space="0"/>
              <w:left w:val="single" w:color="auto" w:sz="6" w:space="0"/>
              <w:bottom w:val="single" w:color="auto" w:sz="4" w:space="0"/>
              <w:right w:val="single" w:color="auto" w:sz="4" w:space="0"/>
            </w:tcBorders>
            <w:noWrap w:val="0"/>
            <w:vAlign w:val="center"/>
          </w:tcPr>
          <w:p w14:paraId="0DA5A5C6">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975" w:type="dxa"/>
            <w:vMerge w:val="continue"/>
            <w:tcBorders>
              <w:top w:val="single" w:color="auto" w:sz="12" w:space="0"/>
              <w:left w:val="single" w:color="auto" w:sz="6" w:space="0"/>
              <w:bottom w:val="single" w:color="auto" w:sz="4" w:space="0"/>
              <w:right w:val="single" w:color="auto" w:sz="4" w:space="0"/>
            </w:tcBorders>
            <w:noWrap w:val="0"/>
            <w:vAlign w:val="center"/>
          </w:tcPr>
          <w:p w14:paraId="3DF3BA33">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p>
        </w:tc>
        <w:tc>
          <w:tcPr>
            <w:tcW w:w="1080" w:type="dxa"/>
            <w:tcBorders>
              <w:top w:val="single" w:color="auto" w:sz="6" w:space="0"/>
              <w:left w:val="single" w:color="auto" w:sz="4" w:space="0"/>
              <w:bottom w:val="single" w:color="auto" w:sz="4" w:space="0"/>
              <w:right w:val="single" w:color="auto" w:sz="4" w:space="0"/>
            </w:tcBorders>
            <w:noWrap w:val="0"/>
            <w:vAlign w:val="center"/>
          </w:tcPr>
          <w:p w14:paraId="6F98558F">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污水处理厂名称</w:t>
            </w:r>
          </w:p>
        </w:tc>
        <w:tc>
          <w:tcPr>
            <w:tcW w:w="1080" w:type="dxa"/>
            <w:tcBorders>
              <w:top w:val="single" w:color="auto" w:sz="6" w:space="0"/>
              <w:left w:val="single" w:color="auto" w:sz="4" w:space="0"/>
              <w:bottom w:val="single" w:color="auto" w:sz="4" w:space="0"/>
              <w:right w:val="single" w:color="auto" w:sz="4" w:space="0"/>
            </w:tcBorders>
            <w:noWrap w:val="0"/>
            <w:vAlign w:val="center"/>
          </w:tcPr>
          <w:p w14:paraId="23293154">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污染物种类</w:t>
            </w:r>
          </w:p>
        </w:tc>
        <w:tc>
          <w:tcPr>
            <w:tcW w:w="1500" w:type="dxa"/>
            <w:tcBorders>
              <w:top w:val="single" w:color="auto" w:sz="6" w:space="0"/>
              <w:left w:val="single" w:color="auto" w:sz="4" w:space="0"/>
              <w:bottom w:val="single" w:color="auto" w:sz="4" w:space="0"/>
              <w:right w:val="single" w:color="auto" w:sz="6" w:space="0"/>
            </w:tcBorders>
            <w:noWrap w:val="0"/>
            <w:vAlign w:val="center"/>
          </w:tcPr>
          <w:p w14:paraId="3DA3730D">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排水协议规定的浓度限值</w:t>
            </w:r>
          </w:p>
        </w:tc>
        <w:tc>
          <w:tcPr>
            <w:tcW w:w="1950" w:type="dxa"/>
            <w:tcBorders>
              <w:top w:val="single" w:color="auto" w:sz="6" w:space="0"/>
              <w:left w:val="single" w:color="auto" w:sz="6" w:space="0"/>
              <w:bottom w:val="single" w:color="auto" w:sz="4" w:space="0"/>
              <w:right w:val="single" w:color="auto" w:sz="4" w:space="0"/>
            </w:tcBorders>
            <w:noWrap w:val="0"/>
            <w:vAlign w:val="center"/>
          </w:tcPr>
          <w:p w14:paraId="1B7489F3">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国家或地方污染物排放标准浓度限值</w:t>
            </w:r>
          </w:p>
        </w:tc>
        <w:tc>
          <w:tcPr>
            <w:tcW w:w="847" w:type="dxa"/>
            <w:vMerge w:val="continue"/>
            <w:tcBorders>
              <w:top w:val="single" w:color="auto" w:sz="12" w:space="0"/>
              <w:left w:val="single" w:color="auto" w:sz="4" w:space="0"/>
              <w:bottom w:val="single" w:color="auto" w:sz="4" w:space="0"/>
              <w:right w:val="single" w:color="auto" w:sz="12" w:space="0"/>
            </w:tcBorders>
            <w:noWrap w:val="0"/>
            <w:vAlign w:val="center"/>
          </w:tcPr>
          <w:p w14:paraId="14418C05">
            <w:pPr>
              <w:keepNext w:val="0"/>
              <w:keepLines w:val="0"/>
              <w:pageBreakBefore w:val="0"/>
              <w:widowControl/>
              <w:kinsoku/>
              <w:wordWrap/>
              <w:overflowPunct/>
              <w:topLinePunct w:val="0"/>
              <w:autoSpaceDE/>
              <w:autoSpaceDN/>
              <w:bidi w:val="0"/>
              <w:spacing w:line="240" w:lineRule="auto"/>
              <w:ind w:left="0" w:leftChars="0" w:right="0" w:rightChars="0" w:firstLine="0" w:firstLineChars="0"/>
              <w:jc w:val="left"/>
              <w:textAlignment w:val="auto"/>
              <w:rPr>
                <w:rFonts w:ascii="仿宋" w:hAnsi="仿宋" w:eastAsia="仿宋" w:cs="仿宋"/>
                <w:b/>
                <w:color w:val="FF0000"/>
                <w:sz w:val="18"/>
                <w:szCs w:val="18"/>
              </w:rPr>
            </w:pPr>
          </w:p>
        </w:tc>
      </w:tr>
      <w:tr w14:paraId="44DDE1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vMerge w:val="restart"/>
            <w:tcBorders>
              <w:top w:val="single" w:color="auto" w:sz="4" w:space="0"/>
              <w:left w:val="single" w:color="auto" w:sz="12" w:space="0"/>
              <w:right w:val="single" w:color="auto" w:sz="4" w:space="0"/>
            </w:tcBorders>
            <w:noWrap w:val="0"/>
            <w:vAlign w:val="center"/>
          </w:tcPr>
          <w:p w14:paraId="52FED18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881" w:type="dxa"/>
            <w:vMerge w:val="restart"/>
            <w:tcBorders>
              <w:top w:val="single" w:color="auto" w:sz="4" w:space="0"/>
              <w:left w:val="single" w:color="auto" w:sz="4" w:space="0"/>
              <w:right w:val="single" w:color="auto" w:sz="4" w:space="0"/>
            </w:tcBorders>
            <w:noWrap w:val="0"/>
            <w:vAlign w:val="center"/>
          </w:tcPr>
          <w:p w14:paraId="2F9F8560">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DW001</w:t>
            </w:r>
          </w:p>
        </w:tc>
        <w:tc>
          <w:tcPr>
            <w:tcW w:w="1182" w:type="dxa"/>
            <w:vMerge w:val="restart"/>
            <w:tcBorders>
              <w:top w:val="single" w:color="auto" w:sz="4" w:space="0"/>
              <w:left w:val="single" w:color="auto" w:sz="4" w:space="0"/>
              <w:right w:val="single" w:color="auto" w:sz="4" w:space="0"/>
            </w:tcBorders>
            <w:noWrap w:val="0"/>
            <w:vAlign w:val="center"/>
          </w:tcPr>
          <w:p w14:paraId="3E385B1A">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厂区污水排放口</w:t>
            </w:r>
          </w:p>
        </w:tc>
        <w:tc>
          <w:tcPr>
            <w:tcW w:w="1103" w:type="dxa"/>
            <w:vMerge w:val="restart"/>
            <w:tcBorders>
              <w:top w:val="single" w:color="auto" w:sz="4" w:space="0"/>
              <w:left w:val="single" w:color="auto" w:sz="4" w:space="0"/>
              <w:right w:val="single" w:color="auto" w:sz="6" w:space="0"/>
            </w:tcBorders>
            <w:noWrap w:val="0"/>
            <w:vAlign w:val="center"/>
          </w:tcPr>
          <w:p w14:paraId="21D46F16">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11</w:t>
            </w:r>
            <w:r>
              <w:rPr>
                <w:rFonts w:hint="eastAsia" w:cs="Times New Roman"/>
                <w:color w:val="auto"/>
                <w:sz w:val="21"/>
                <w:szCs w:val="21"/>
                <w:lang w:val="en-US" w:eastAsia="zh-CN"/>
              </w:rPr>
              <w:t>6.82602</w:t>
            </w:r>
          </w:p>
        </w:tc>
        <w:tc>
          <w:tcPr>
            <w:tcW w:w="1020" w:type="dxa"/>
            <w:vMerge w:val="restart"/>
            <w:tcBorders>
              <w:top w:val="single" w:color="auto" w:sz="4" w:space="0"/>
              <w:left w:val="single" w:color="auto" w:sz="6" w:space="0"/>
              <w:right w:val="single" w:color="auto" w:sz="4" w:space="0"/>
            </w:tcBorders>
            <w:noWrap w:val="0"/>
            <w:vAlign w:val="center"/>
          </w:tcPr>
          <w:p w14:paraId="653A3B3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w:t>
            </w:r>
            <w:r>
              <w:rPr>
                <w:rFonts w:hint="eastAsia" w:cs="Times New Roman"/>
                <w:color w:val="auto"/>
                <w:sz w:val="21"/>
                <w:szCs w:val="21"/>
                <w:lang w:val="en-US" w:eastAsia="zh-CN"/>
              </w:rPr>
              <w:t>2.77202</w:t>
            </w:r>
          </w:p>
        </w:tc>
        <w:tc>
          <w:tcPr>
            <w:tcW w:w="1110" w:type="dxa"/>
            <w:vMerge w:val="restart"/>
            <w:tcBorders>
              <w:top w:val="single" w:color="auto" w:sz="4" w:space="0"/>
              <w:left w:val="single" w:color="auto" w:sz="4" w:space="0"/>
              <w:right w:val="single" w:color="auto" w:sz="6" w:space="0"/>
            </w:tcBorders>
            <w:noWrap w:val="0"/>
            <w:vAlign w:val="center"/>
          </w:tcPr>
          <w:p w14:paraId="1B210FA5">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潘集污水处理厂</w:t>
            </w:r>
          </w:p>
        </w:tc>
        <w:tc>
          <w:tcPr>
            <w:tcW w:w="1065" w:type="dxa"/>
            <w:vMerge w:val="restart"/>
            <w:tcBorders>
              <w:top w:val="single" w:color="auto" w:sz="4" w:space="0"/>
              <w:left w:val="single" w:color="auto" w:sz="6" w:space="0"/>
              <w:right w:val="single" w:color="auto" w:sz="4" w:space="0"/>
            </w:tcBorders>
            <w:noWrap w:val="0"/>
            <w:vAlign w:val="center"/>
          </w:tcPr>
          <w:p w14:paraId="15C3D225">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连续排放</w:t>
            </w:r>
          </w:p>
        </w:tc>
        <w:tc>
          <w:tcPr>
            <w:tcW w:w="975" w:type="dxa"/>
            <w:vMerge w:val="restart"/>
            <w:tcBorders>
              <w:top w:val="single" w:color="auto" w:sz="4" w:space="0"/>
              <w:left w:val="single" w:color="auto" w:sz="6" w:space="0"/>
              <w:right w:val="single" w:color="auto" w:sz="4" w:space="0"/>
            </w:tcBorders>
            <w:noWrap w:val="0"/>
            <w:vAlign w:val="center"/>
          </w:tcPr>
          <w:p w14:paraId="2FABBA17">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080" w:type="dxa"/>
            <w:vMerge w:val="restart"/>
            <w:tcBorders>
              <w:top w:val="single" w:color="auto" w:sz="4" w:space="0"/>
              <w:left w:val="single" w:color="auto" w:sz="4" w:space="0"/>
              <w:right w:val="single" w:color="auto" w:sz="4" w:space="0"/>
            </w:tcBorders>
            <w:noWrap w:val="0"/>
            <w:vAlign w:val="center"/>
          </w:tcPr>
          <w:p w14:paraId="21327CC9">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潘集污水处理厂</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528DCEA">
            <w:pPr>
              <w:pStyle w:val="120"/>
              <w:bidi w:val="0"/>
              <w:ind w:firstLine="0" w:firstLineChars="0"/>
              <w:jc w:val="center"/>
              <w:rPr>
                <w:rFonts w:hint="eastAsia" w:ascii="Times New Roman" w:hAnsi="Times New Roman" w:eastAsia="宋体" w:cs="Times New Roman"/>
                <w:color w:val="auto"/>
                <w:sz w:val="21"/>
                <w:szCs w:val="21"/>
                <w:lang w:val="en-US" w:eastAsia="zh-CN"/>
              </w:rPr>
            </w:pPr>
            <w:r>
              <w:rPr>
                <w:rFonts w:hint="default"/>
                <w:color w:val="auto"/>
                <w:highlight w:val="none"/>
                <w:lang w:val="en-US" w:eastAsia="zh-CN"/>
              </w:rPr>
              <w:t>pH</w:t>
            </w:r>
          </w:p>
        </w:tc>
        <w:tc>
          <w:tcPr>
            <w:tcW w:w="1500" w:type="dxa"/>
            <w:tcBorders>
              <w:top w:val="single" w:color="auto" w:sz="4" w:space="0"/>
              <w:left w:val="single" w:color="auto" w:sz="4" w:space="0"/>
              <w:right w:val="single" w:color="auto" w:sz="6" w:space="0"/>
            </w:tcBorders>
            <w:noWrap w:val="0"/>
            <w:vAlign w:val="center"/>
          </w:tcPr>
          <w:p w14:paraId="55B5F3EC">
            <w:pPr>
              <w:pStyle w:val="95"/>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olor w:val="auto"/>
                <w:sz w:val="21"/>
                <w:szCs w:val="21"/>
                <w:highlight w:val="none"/>
                <w:lang w:val="en-US" w:eastAsia="zh-CN"/>
              </w:rPr>
              <w:t>6-9（无量纲）</w:t>
            </w:r>
          </w:p>
        </w:tc>
        <w:tc>
          <w:tcPr>
            <w:tcW w:w="1950" w:type="dxa"/>
            <w:tcBorders>
              <w:top w:val="single" w:color="auto" w:sz="4" w:space="0"/>
              <w:left w:val="single" w:color="auto" w:sz="6" w:space="0"/>
              <w:right w:val="single" w:color="auto" w:sz="4" w:space="0"/>
            </w:tcBorders>
            <w:noWrap w:val="0"/>
            <w:vAlign w:val="center"/>
          </w:tcPr>
          <w:p w14:paraId="790C224D">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olor w:val="auto"/>
                <w:sz w:val="21"/>
                <w:szCs w:val="21"/>
                <w:highlight w:val="none"/>
                <w:lang w:val="en-US" w:eastAsia="zh-CN"/>
              </w:rPr>
              <w:t>6-9（无量纲）</w:t>
            </w:r>
          </w:p>
        </w:tc>
        <w:tc>
          <w:tcPr>
            <w:tcW w:w="847" w:type="dxa"/>
            <w:vMerge w:val="restart"/>
            <w:tcBorders>
              <w:top w:val="single" w:color="auto" w:sz="4" w:space="0"/>
              <w:left w:val="single" w:color="auto" w:sz="4" w:space="0"/>
              <w:right w:val="single" w:color="auto" w:sz="12" w:space="0"/>
            </w:tcBorders>
            <w:noWrap w:val="0"/>
            <w:vAlign w:val="center"/>
          </w:tcPr>
          <w:p w14:paraId="56939E0B">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r>
      <w:tr w14:paraId="6B1195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vMerge w:val="continue"/>
            <w:tcBorders>
              <w:left w:val="single" w:color="auto" w:sz="12" w:space="0"/>
              <w:right w:val="single" w:color="auto" w:sz="4" w:space="0"/>
            </w:tcBorders>
            <w:noWrap w:val="0"/>
            <w:vAlign w:val="center"/>
          </w:tcPr>
          <w:p w14:paraId="1231B7BD">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881" w:type="dxa"/>
            <w:vMerge w:val="continue"/>
            <w:tcBorders>
              <w:left w:val="single" w:color="auto" w:sz="4" w:space="0"/>
              <w:right w:val="single" w:color="auto" w:sz="4" w:space="0"/>
            </w:tcBorders>
            <w:noWrap w:val="0"/>
            <w:vAlign w:val="center"/>
          </w:tcPr>
          <w:p w14:paraId="0B948EE0">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1182" w:type="dxa"/>
            <w:vMerge w:val="continue"/>
            <w:tcBorders>
              <w:left w:val="single" w:color="auto" w:sz="4" w:space="0"/>
              <w:right w:val="single" w:color="auto" w:sz="4" w:space="0"/>
            </w:tcBorders>
            <w:noWrap w:val="0"/>
            <w:vAlign w:val="center"/>
          </w:tcPr>
          <w:p w14:paraId="3758C14B">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1103" w:type="dxa"/>
            <w:vMerge w:val="continue"/>
            <w:tcBorders>
              <w:left w:val="single" w:color="auto" w:sz="4" w:space="0"/>
              <w:right w:val="single" w:color="auto" w:sz="6" w:space="0"/>
            </w:tcBorders>
            <w:noWrap w:val="0"/>
            <w:vAlign w:val="center"/>
          </w:tcPr>
          <w:p w14:paraId="53A97D63">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1020" w:type="dxa"/>
            <w:vMerge w:val="continue"/>
            <w:tcBorders>
              <w:left w:val="single" w:color="auto" w:sz="6" w:space="0"/>
              <w:right w:val="single" w:color="auto" w:sz="4" w:space="0"/>
            </w:tcBorders>
            <w:noWrap w:val="0"/>
            <w:vAlign w:val="center"/>
          </w:tcPr>
          <w:p w14:paraId="49E394BB">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1110" w:type="dxa"/>
            <w:vMerge w:val="continue"/>
            <w:tcBorders>
              <w:left w:val="single" w:color="auto" w:sz="4" w:space="0"/>
              <w:right w:val="single" w:color="auto" w:sz="6" w:space="0"/>
            </w:tcBorders>
            <w:noWrap w:val="0"/>
            <w:vAlign w:val="center"/>
          </w:tcPr>
          <w:p w14:paraId="7947A869">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1065" w:type="dxa"/>
            <w:vMerge w:val="continue"/>
            <w:tcBorders>
              <w:left w:val="single" w:color="auto" w:sz="6" w:space="0"/>
              <w:right w:val="single" w:color="auto" w:sz="4" w:space="0"/>
            </w:tcBorders>
            <w:noWrap w:val="0"/>
            <w:vAlign w:val="center"/>
          </w:tcPr>
          <w:p w14:paraId="74586B26">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975" w:type="dxa"/>
            <w:vMerge w:val="continue"/>
            <w:tcBorders>
              <w:left w:val="single" w:color="auto" w:sz="6" w:space="0"/>
              <w:right w:val="single" w:color="auto" w:sz="4" w:space="0"/>
            </w:tcBorders>
            <w:noWrap w:val="0"/>
            <w:vAlign w:val="center"/>
          </w:tcPr>
          <w:p w14:paraId="7CB2B1BA">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1080" w:type="dxa"/>
            <w:vMerge w:val="continue"/>
            <w:tcBorders>
              <w:left w:val="single" w:color="auto" w:sz="4" w:space="0"/>
              <w:right w:val="single" w:color="auto" w:sz="4" w:space="0"/>
            </w:tcBorders>
            <w:noWrap w:val="0"/>
            <w:vAlign w:val="center"/>
          </w:tcPr>
          <w:p w14:paraId="799D8AC6">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8A6FAEC">
            <w:pPr>
              <w:pStyle w:val="120"/>
              <w:bidi w:val="0"/>
              <w:ind w:firstLine="0" w:firstLineChars="0"/>
              <w:jc w:val="center"/>
              <w:rPr>
                <w:rFonts w:hint="default" w:ascii="Times New Roman" w:hAnsi="Times New Roman" w:eastAsia="宋体" w:cs="Times New Roman"/>
                <w:color w:val="000000"/>
                <w:kern w:val="0"/>
                <w:sz w:val="21"/>
                <w:szCs w:val="21"/>
              </w:rPr>
            </w:pPr>
            <w:r>
              <w:rPr>
                <w:rFonts w:hint="default"/>
                <w:color w:val="auto"/>
                <w:highlight w:val="none"/>
                <w:lang w:val="en-US" w:eastAsia="zh-CN"/>
              </w:rPr>
              <w:t>COD</w:t>
            </w:r>
          </w:p>
        </w:tc>
        <w:tc>
          <w:tcPr>
            <w:tcW w:w="1500" w:type="dxa"/>
            <w:tcBorders>
              <w:top w:val="single" w:color="auto" w:sz="4" w:space="0"/>
              <w:left w:val="single" w:color="auto" w:sz="4" w:space="0"/>
              <w:right w:val="single" w:color="auto" w:sz="6" w:space="0"/>
            </w:tcBorders>
            <w:noWrap w:val="0"/>
            <w:vAlign w:val="center"/>
          </w:tcPr>
          <w:p w14:paraId="129C70FC">
            <w:pPr>
              <w:pStyle w:val="95"/>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cs="Times New Roman"/>
                <w:color w:val="auto"/>
                <w:sz w:val="21"/>
                <w:szCs w:val="21"/>
                <w:lang w:val="en-US" w:eastAsia="zh-CN"/>
              </w:rPr>
            </w:pPr>
            <w:r>
              <w:rPr>
                <w:rFonts w:hint="eastAsia"/>
                <w:color w:val="auto"/>
                <w:sz w:val="21"/>
                <w:szCs w:val="21"/>
                <w:highlight w:val="none"/>
                <w:lang w:val="en-US" w:eastAsia="zh-CN"/>
              </w:rPr>
              <w:t>250</w:t>
            </w:r>
            <w:r>
              <w:rPr>
                <w:rFonts w:hint="default" w:ascii="Times New Roman" w:hAnsi="Times New Roman" w:eastAsia="宋体" w:cs="Times New Roman"/>
                <w:color w:val="000000"/>
                <w:kern w:val="0"/>
                <w:sz w:val="21"/>
                <w:szCs w:val="21"/>
              </w:rPr>
              <w:t>mg/L</w:t>
            </w:r>
          </w:p>
        </w:tc>
        <w:tc>
          <w:tcPr>
            <w:tcW w:w="1950" w:type="dxa"/>
            <w:tcBorders>
              <w:top w:val="single" w:color="auto" w:sz="4" w:space="0"/>
              <w:left w:val="single" w:color="auto" w:sz="6" w:space="0"/>
              <w:right w:val="single" w:color="auto" w:sz="4" w:space="0"/>
            </w:tcBorders>
            <w:noWrap w:val="0"/>
            <w:vAlign w:val="center"/>
          </w:tcPr>
          <w:p w14:paraId="4C01E0E5">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50</w:t>
            </w:r>
            <w:r>
              <w:rPr>
                <w:rFonts w:hint="default" w:ascii="Times New Roman" w:hAnsi="Times New Roman" w:eastAsia="宋体" w:cs="Times New Roman"/>
                <w:color w:val="000000"/>
                <w:kern w:val="0"/>
                <w:sz w:val="21"/>
                <w:szCs w:val="21"/>
              </w:rPr>
              <w:t>mg/L</w:t>
            </w:r>
          </w:p>
        </w:tc>
        <w:tc>
          <w:tcPr>
            <w:tcW w:w="847" w:type="dxa"/>
            <w:vMerge w:val="continue"/>
            <w:tcBorders>
              <w:left w:val="single" w:color="auto" w:sz="4" w:space="0"/>
              <w:right w:val="single" w:color="auto" w:sz="12" w:space="0"/>
            </w:tcBorders>
            <w:noWrap w:val="0"/>
            <w:vAlign w:val="center"/>
          </w:tcPr>
          <w:p w14:paraId="6494C942">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r>
      <w:tr w14:paraId="66BEC1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vMerge w:val="continue"/>
            <w:tcBorders>
              <w:left w:val="single" w:color="auto" w:sz="12" w:space="0"/>
              <w:right w:val="single" w:color="auto" w:sz="4" w:space="0"/>
            </w:tcBorders>
            <w:noWrap w:val="0"/>
            <w:vAlign w:val="center"/>
          </w:tcPr>
          <w:p w14:paraId="4B55634E">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881" w:type="dxa"/>
            <w:vMerge w:val="continue"/>
            <w:tcBorders>
              <w:left w:val="single" w:color="auto" w:sz="4" w:space="0"/>
              <w:right w:val="single" w:color="auto" w:sz="4" w:space="0"/>
            </w:tcBorders>
            <w:noWrap w:val="0"/>
            <w:vAlign w:val="center"/>
          </w:tcPr>
          <w:p w14:paraId="47C77C9D">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1182" w:type="dxa"/>
            <w:vMerge w:val="continue"/>
            <w:tcBorders>
              <w:left w:val="single" w:color="auto" w:sz="4" w:space="0"/>
              <w:right w:val="single" w:color="auto" w:sz="4" w:space="0"/>
            </w:tcBorders>
            <w:noWrap w:val="0"/>
            <w:vAlign w:val="center"/>
          </w:tcPr>
          <w:p w14:paraId="2114DDCF">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1103" w:type="dxa"/>
            <w:vMerge w:val="continue"/>
            <w:tcBorders>
              <w:left w:val="single" w:color="auto" w:sz="4" w:space="0"/>
              <w:right w:val="single" w:color="auto" w:sz="6" w:space="0"/>
            </w:tcBorders>
            <w:noWrap w:val="0"/>
            <w:vAlign w:val="center"/>
          </w:tcPr>
          <w:p w14:paraId="27D51115">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1020" w:type="dxa"/>
            <w:vMerge w:val="continue"/>
            <w:tcBorders>
              <w:left w:val="single" w:color="auto" w:sz="6" w:space="0"/>
              <w:right w:val="single" w:color="auto" w:sz="4" w:space="0"/>
            </w:tcBorders>
            <w:noWrap w:val="0"/>
            <w:vAlign w:val="center"/>
          </w:tcPr>
          <w:p w14:paraId="2D9E2D7E">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1110" w:type="dxa"/>
            <w:vMerge w:val="continue"/>
            <w:tcBorders>
              <w:left w:val="single" w:color="auto" w:sz="4" w:space="0"/>
              <w:right w:val="single" w:color="auto" w:sz="6" w:space="0"/>
            </w:tcBorders>
            <w:noWrap w:val="0"/>
            <w:vAlign w:val="center"/>
          </w:tcPr>
          <w:p w14:paraId="06C3EB8B">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1065" w:type="dxa"/>
            <w:vMerge w:val="continue"/>
            <w:tcBorders>
              <w:left w:val="single" w:color="auto" w:sz="6" w:space="0"/>
              <w:right w:val="single" w:color="auto" w:sz="4" w:space="0"/>
            </w:tcBorders>
            <w:noWrap w:val="0"/>
            <w:vAlign w:val="center"/>
          </w:tcPr>
          <w:p w14:paraId="719CD8EC">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975" w:type="dxa"/>
            <w:vMerge w:val="continue"/>
            <w:tcBorders>
              <w:left w:val="single" w:color="auto" w:sz="6" w:space="0"/>
              <w:right w:val="single" w:color="auto" w:sz="4" w:space="0"/>
            </w:tcBorders>
            <w:noWrap w:val="0"/>
            <w:vAlign w:val="center"/>
          </w:tcPr>
          <w:p w14:paraId="11223D52">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1080" w:type="dxa"/>
            <w:vMerge w:val="continue"/>
            <w:tcBorders>
              <w:left w:val="single" w:color="auto" w:sz="4" w:space="0"/>
              <w:right w:val="single" w:color="auto" w:sz="4" w:space="0"/>
            </w:tcBorders>
            <w:noWrap w:val="0"/>
            <w:vAlign w:val="center"/>
          </w:tcPr>
          <w:p w14:paraId="3429C99F">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73A91D7">
            <w:pPr>
              <w:pStyle w:val="120"/>
              <w:bidi w:val="0"/>
              <w:ind w:firstLine="0" w:firstLineChars="0"/>
              <w:jc w:val="center"/>
              <w:rPr>
                <w:rFonts w:hint="default" w:ascii="Times New Roman" w:hAnsi="Times New Roman" w:eastAsia="宋体" w:cs="Times New Roman"/>
                <w:color w:val="000000"/>
                <w:kern w:val="0"/>
                <w:sz w:val="21"/>
                <w:szCs w:val="21"/>
              </w:rPr>
            </w:pPr>
            <w:r>
              <w:rPr>
                <w:rFonts w:hint="default"/>
                <w:color w:val="auto"/>
                <w:highlight w:val="none"/>
                <w:lang w:val="en-US" w:eastAsia="zh-CN"/>
              </w:rPr>
              <w:t>BOD</w:t>
            </w:r>
            <w:r>
              <w:rPr>
                <w:rFonts w:hint="default"/>
                <w:color w:val="auto"/>
                <w:highlight w:val="none"/>
                <w:vertAlign w:val="subscript"/>
                <w:lang w:val="en-US" w:eastAsia="zh-CN"/>
              </w:rPr>
              <w:t>5</w:t>
            </w:r>
          </w:p>
        </w:tc>
        <w:tc>
          <w:tcPr>
            <w:tcW w:w="1500" w:type="dxa"/>
            <w:tcBorders>
              <w:top w:val="single" w:color="auto" w:sz="4" w:space="0"/>
              <w:left w:val="single" w:color="auto" w:sz="4" w:space="0"/>
              <w:right w:val="single" w:color="auto" w:sz="6" w:space="0"/>
            </w:tcBorders>
            <w:noWrap w:val="0"/>
            <w:vAlign w:val="center"/>
          </w:tcPr>
          <w:p w14:paraId="6F4D4EF2">
            <w:pPr>
              <w:pStyle w:val="95"/>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cs="Times New Roman"/>
                <w:color w:val="auto"/>
                <w:sz w:val="21"/>
                <w:szCs w:val="21"/>
                <w:lang w:val="en-US" w:eastAsia="zh-CN"/>
              </w:rPr>
            </w:pPr>
            <w:r>
              <w:rPr>
                <w:rFonts w:hint="eastAsia"/>
                <w:color w:val="auto"/>
                <w:sz w:val="21"/>
                <w:szCs w:val="21"/>
                <w:highlight w:val="none"/>
                <w:lang w:val="en-US" w:eastAsia="zh-CN"/>
              </w:rPr>
              <w:t>100</w:t>
            </w:r>
            <w:r>
              <w:rPr>
                <w:rFonts w:hint="default" w:ascii="Times New Roman" w:hAnsi="Times New Roman" w:eastAsia="宋体" w:cs="Times New Roman"/>
                <w:color w:val="000000"/>
                <w:kern w:val="0"/>
                <w:sz w:val="21"/>
                <w:szCs w:val="21"/>
              </w:rPr>
              <w:t>mg/L</w:t>
            </w:r>
          </w:p>
        </w:tc>
        <w:tc>
          <w:tcPr>
            <w:tcW w:w="1950" w:type="dxa"/>
            <w:tcBorders>
              <w:top w:val="single" w:color="auto" w:sz="4" w:space="0"/>
              <w:left w:val="single" w:color="auto" w:sz="6" w:space="0"/>
              <w:right w:val="single" w:color="auto" w:sz="4" w:space="0"/>
            </w:tcBorders>
            <w:noWrap w:val="0"/>
            <w:vAlign w:val="center"/>
          </w:tcPr>
          <w:p w14:paraId="029F0F0C">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10</w:t>
            </w:r>
            <w:r>
              <w:rPr>
                <w:rFonts w:hint="default" w:ascii="Times New Roman" w:hAnsi="Times New Roman" w:eastAsia="宋体" w:cs="Times New Roman"/>
                <w:color w:val="000000"/>
                <w:kern w:val="0"/>
                <w:sz w:val="21"/>
                <w:szCs w:val="21"/>
              </w:rPr>
              <w:t>mg/L</w:t>
            </w:r>
          </w:p>
        </w:tc>
        <w:tc>
          <w:tcPr>
            <w:tcW w:w="847" w:type="dxa"/>
            <w:vMerge w:val="continue"/>
            <w:tcBorders>
              <w:left w:val="single" w:color="auto" w:sz="4" w:space="0"/>
              <w:right w:val="single" w:color="auto" w:sz="12" w:space="0"/>
            </w:tcBorders>
            <w:noWrap w:val="0"/>
            <w:vAlign w:val="center"/>
          </w:tcPr>
          <w:p w14:paraId="3BDC0E9B">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p>
        </w:tc>
      </w:tr>
      <w:tr w14:paraId="323B07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vMerge w:val="continue"/>
            <w:tcBorders>
              <w:left w:val="single" w:color="auto" w:sz="12" w:space="0"/>
              <w:right w:val="single" w:color="auto" w:sz="4" w:space="0"/>
            </w:tcBorders>
            <w:noWrap w:val="0"/>
            <w:vAlign w:val="center"/>
          </w:tcPr>
          <w:p w14:paraId="19289C9E">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pPr>
          </w:p>
        </w:tc>
        <w:tc>
          <w:tcPr>
            <w:tcW w:w="881" w:type="dxa"/>
            <w:vMerge w:val="continue"/>
            <w:tcBorders>
              <w:left w:val="single" w:color="auto" w:sz="4" w:space="0"/>
              <w:right w:val="single" w:color="auto" w:sz="4" w:space="0"/>
            </w:tcBorders>
            <w:noWrap w:val="0"/>
            <w:vAlign w:val="center"/>
          </w:tcPr>
          <w:p w14:paraId="2CD45829">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pPr>
          </w:p>
        </w:tc>
        <w:tc>
          <w:tcPr>
            <w:tcW w:w="1182" w:type="dxa"/>
            <w:vMerge w:val="continue"/>
            <w:tcBorders>
              <w:left w:val="single" w:color="auto" w:sz="4" w:space="0"/>
              <w:right w:val="single" w:color="auto" w:sz="4" w:space="0"/>
            </w:tcBorders>
            <w:noWrap w:val="0"/>
            <w:vAlign w:val="center"/>
          </w:tcPr>
          <w:p w14:paraId="4B5EE890">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pPr>
          </w:p>
        </w:tc>
        <w:tc>
          <w:tcPr>
            <w:tcW w:w="1103" w:type="dxa"/>
            <w:vMerge w:val="continue"/>
            <w:tcBorders>
              <w:left w:val="single" w:color="auto" w:sz="4" w:space="0"/>
              <w:right w:val="single" w:color="auto" w:sz="6" w:space="0"/>
            </w:tcBorders>
            <w:noWrap w:val="0"/>
            <w:vAlign w:val="center"/>
          </w:tcPr>
          <w:p w14:paraId="1D668718">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pPr>
          </w:p>
        </w:tc>
        <w:tc>
          <w:tcPr>
            <w:tcW w:w="1020" w:type="dxa"/>
            <w:vMerge w:val="continue"/>
            <w:tcBorders>
              <w:left w:val="single" w:color="auto" w:sz="6" w:space="0"/>
              <w:right w:val="single" w:color="auto" w:sz="4" w:space="0"/>
            </w:tcBorders>
            <w:noWrap w:val="0"/>
            <w:vAlign w:val="center"/>
          </w:tcPr>
          <w:p w14:paraId="4E1944D9">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pPr>
          </w:p>
        </w:tc>
        <w:tc>
          <w:tcPr>
            <w:tcW w:w="1110" w:type="dxa"/>
            <w:vMerge w:val="continue"/>
            <w:tcBorders>
              <w:left w:val="single" w:color="auto" w:sz="4" w:space="0"/>
              <w:right w:val="single" w:color="auto" w:sz="6" w:space="0"/>
            </w:tcBorders>
            <w:noWrap w:val="0"/>
            <w:vAlign w:val="center"/>
          </w:tcPr>
          <w:p w14:paraId="5EB66806">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pPr>
          </w:p>
        </w:tc>
        <w:tc>
          <w:tcPr>
            <w:tcW w:w="1065" w:type="dxa"/>
            <w:vMerge w:val="continue"/>
            <w:tcBorders>
              <w:left w:val="single" w:color="auto" w:sz="6" w:space="0"/>
              <w:right w:val="single" w:color="auto" w:sz="4" w:space="0"/>
            </w:tcBorders>
            <w:noWrap w:val="0"/>
            <w:vAlign w:val="center"/>
          </w:tcPr>
          <w:p w14:paraId="4BFC953E">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pPr>
          </w:p>
        </w:tc>
        <w:tc>
          <w:tcPr>
            <w:tcW w:w="975" w:type="dxa"/>
            <w:vMerge w:val="continue"/>
            <w:tcBorders>
              <w:left w:val="single" w:color="auto" w:sz="6" w:space="0"/>
              <w:right w:val="single" w:color="auto" w:sz="4" w:space="0"/>
            </w:tcBorders>
            <w:noWrap w:val="0"/>
            <w:vAlign w:val="center"/>
          </w:tcPr>
          <w:p w14:paraId="61DD277A">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pPr>
          </w:p>
        </w:tc>
        <w:tc>
          <w:tcPr>
            <w:tcW w:w="1080" w:type="dxa"/>
            <w:vMerge w:val="continue"/>
            <w:tcBorders>
              <w:left w:val="single" w:color="auto" w:sz="4" w:space="0"/>
              <w:right w:val="single" w:color="auto" w:sz="4" w:space="0"/>
            </w:tcBorders>
            <w:noWrap w:val="0"/>
            <w:vAlign w:val="center"/>
          </w:tcPr>
          <w:p w14:paraId="469C893D">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409CEE1">
            <w:pPr>
              <w:pStyle w:val="120"/>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color w:val="auto"/>
                <w:highlight w:val="none"/>
                <w:lang w:val="en-US" w:eastAsia="zh-CN"/>
              </w:rPr>
              <w:t>SS</w:t>
            </w:r>
          </w:p>
        </w:tc>
        <w:tc>
          <w:tcPr>
            <w:tcW w:w="1500" w:type="dxa"/>
            <w:tcBorders>
              <w:left w:val="single" w:color="auto" w:sz="4" w:space="0"/>
              <w:right w:val="single" w:color="auto" w:sz="6" w:space="0"/>
            </w:tcBorders>
            <w:noWrap w:val="0"/>
            <w:vAlign w:val="center"/>
          </w:tcPr>
          <w:p w14:paraId="107998CF">
            <w:pPr>
              <w:pStyle w:val="95"/>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olor w:val="auto"/>
                <w:sz w:val="21"/>
                <w:szCs w:val="21"/>
                <w:highlight w:val="none"/>
                <w:lang w:val="en-US" w:eastAsia="zh-CN"/>
              </w:rPr>
              <w:t>60</w:t>
            </w:r>
            <w:r>
              <w:rPr>
                <w:rFonts w:hint="default" w:ascii="Times New Roman" w:hAnsi="Times New Roman" w:eastAsia="宋体" w:cs="Times New Roman"/>
                <w:color w:val="000000"/>
                <w:kern w:val="0"/>
                <w:sz w:val="21"/>
                <w:szCs w:val="21"/>
              </w:rPr>
              <w:t>mg/L</w:t>
            </w:r>
          </w:p>
        </w:tc>
        <w:tc>
          <w:tcPr>
            <w:tcW w:w="1950" w:type="dxa"/>
            <w:tcBorders>
              <w:left w:val="single" w:color="auto" w:sz="6" w:space="0"/>
              <w:right w:val="single" w:color="auto" w:sz="4" w:space="0"/>
            </w:tcBorders>
            <w:noWrap w:val="0"/>
            <w:vAlign w:val="center"/>
          </w:tcPr>
          <w:p w14:paraId="61153B1F">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10</w:t>
            </w:r>
            <w:r>
              <w:rPr>
                <w:rFonts w:hint="default" w:ascii="Times New Roman" w:hAnsi="Times New Roman" w:eastAsia="宋体" w:cs="Times New Roman"/>
                <w:color w:val="000000"/>
                <w:kern w:val="0"/>
                <w:sz w:val="21"/>
                <w:szCs w:val="21"/>
              </w:rPr>
              <w:t>mg/L</w:t>
            </w:r>
          </w:p>
        </w:tc>
        <w:tc>
          <w:tcPr>
            <w:tcW w:w="847" w:type="dxa"/>
            <w:vMerge w:val="continue"/>
            <w:tcBorders>
              <w:left w:val="single" w:color="auto" w:sz="4" w:space="0"/>
              <w:right w:val="single" w:color="auto" w:sz="12" w:space="0"/>
            </w:tcBorders>
            <w:noWrap w:val="0"/>
            <w:vAlign w:val="center"/>
          </w:tcPr>
          <w:p w14:paraId="6B2870F7">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r>
      <w:tr w14:paraId="05A7E8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vMerge w:val="continue"/>
            <w:tcBorders>
              <w:left w:val="single" w:color="auto" w:sz="12" w:space="0"/>
              <w:right w:val="single" w:color="auto" w:sz="4" w:space="0"/>
            </w:tcBorders>
            <w:noWrap w:val="0"/>
            <w:vAlign w:val="center"/>
          </w:tcPr>
          <w:p w14:paraId="6CE9B004">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881" w:type="dxa"/>
            <w:vMerge w:val="continue"/>
            <w:tcBorders>
              <w:left w:val="single" w:color="auto" w:sz="4" w:space="0"/>
              <w:right w:val="single" w:color="auto" w:sz="4" w:space="0"/>
            </w:tcBorders>
            <w:noWrap w:val="0"/>
            <w:vAlign w:val="center"/>
          </w:tcPr>
          <w:p w14:paraId="758FD457">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182" w:type="dxa"/>
            <w:vMerge w:val="continue"/>
            <w:tcBorders>
              <w:left w:val="single" w:color="auto" w:sz="4" w:space="0"/>
              <w:right w:val="single" w:color="auto" w:sz="4" w:space="0"/>
            </w:tcBorders>
            <w:noWrap w:val="0"/>
            <w:vAlign w:val="center"/>
          </w:tcPr>
          <w:p w14:paraId="38E0A67E">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103" w:type="dxa"/>
            <w:vMerge w:val="continue"/>
            <w:tcBorders>
              <w:left w:val="single" w:color="auto" w:sz="4" w:space="0"/>
              <w:right w:val="single" w:color="auto" w:sz="6" w:space="0"/>
            </w:tcBorders>
            <w:noWrap w:val="0"/>
            <w:vAlign w:val="center"/>
          </w:tcPr>
          <w:p w14:paraId="42829BE6">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020" w:type="dxa"/>
            <w:vMerge w:val="continue"/>
            <w:tcBorders>
              <w:left w:val="single" w:color="auto" w:sz="6" w:space="0"/>
              <w:right w:val="single" w:color="auto" w:sz="4" w:space="0"/>
            </w:tcBorders>
            <w:noWrap w:val="0"/>
            <w:vAlign w:val="center"/>
          </w:tcPr>
          <w:p w14:paraId="045FDAC6">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110" w:type="dxa"/>
            <w:vMerge w:val="continue"/>
            <w:tcBorders>
              <w:left w:val="single" w:color="auto" w:sz="4" w:space="0"/>
              <w:right w:val="single" w:color="auto" w:sz="6" w:space="0"/>
            </w:tcBorders>
            <w:noWrap w:val="0"/>
            <w:vAlign w:val="center"/>
          </w:tcPr>
          <w:p w14:paraId="18A62470">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065" w:type="dxa"/>
            <w:vMerge w:val="continue"/>
            <w:tcBorders>
              <w:left w:val="single" w:color="auto" w:sz="6" w:space="0"/>
              <w:right w:val="single" w:color="auto" w:sz="4" w:space="0"/>
            </w:tcBorders>
            <w:noWrap w:val="0"/>
            <w:vAlign w:val="center"/>
          </w:tcPr>
          <w:p w14:paraId="3FEC637E">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975" w:type="dxa"/>
            <w:vMerge w:val="continue"/>
            <w:tcBorders>
              <w:left w:val="single" w:color="auto" w:sz="6" w:space="0"/>
              <w:right w:val="single" w:color="auto" w:sz="4" w:space="0"/>
            </w:tcBorders>
            <w:noWrap w:val="0"/>
            <w:vAlign w:val="center"/>
          </w:tcPr>
          <w:p w14:paraId="7DBC456F">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080" w:type="dxa"/>
            <w:vMerge w:val="continue"/>
            <w:tcBorders>
              <w:left w:val="single" w:color="auto" w:sz="4" w:space="0"/>
              <w:right w:val="single" w:color="auto" w:sz="4" w:space="0"/>
            </w:tcBorders>
            <w:noWrap w:val="0"/>
            <w:vAlign w:val="center"/>
          </w:tcPr>
          <w:p w14:paraId="2E8DBB1D">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A8A85E1">
            <w:pPr>
              <w:pStyle w:val="120"/>
              <w:bidi w:val="0"/>
              <w:ind w:firstLine="0" w:firstLineChars="0"/>
              <w:jc w:val="center"/>
              <w:rPr>
                <w:rFonts w:hint="eastAsia" w:ascii="Times New Roman" w:hAnsi="Times New Roman" w:eastAsia="宋体" w:cs="Times New Roman"/>
                <w:color w:val="auto"/>
                <w:kern w:val="2"/>
                <w:sz w:val="21"/>
                <w:szCs w:val="21"/>
                <w:lang w:val="en-US" w:eastAsia="zh-CN" w:bidi="ar-SA"/>
              </w:rPr>
            </w:pPr>
            <w:r>
              <w:rPr>
                <w:rFonts w:hint="default"/>
                <w:color w:val="auto"/>
                <w:highlight w:val="none"/>
                <w:lang w:val="en-US" w:eastAsia="zh-CN"/>
              </w:rPr>
              <w:t>NH</w:t>
            </w:r>
            <w:r>
              <w:rPr>
                <w:rFonts w:hint="default"/>
                <w:color w:val="auto"/>
                <w:highlight w:val="none"/>
                <w:vertAlign w:val="subscript"/>
                <w:lang w:val="en-US" w:eastAsia="zh-CN"/>
              </w:rPr>
              <w:t>3</w:t>
            </w:r>
            <w:r>
              <w:rPr>
                <w:rFonts w:hint="default"/>
                <w:color w:val="auto"/>
                <w:highlight w:val="none"/>
                <w:lang w:val="en-US" w:eastAsia="zh-CN"/>
              </w:rPr>
              <w:t>-N</w:t>
            </w:r>
          </w:p>
        </w:tc>
        <w:tc>
          <w:tcPr>
            <w:tcW w:w="1500" w:type="dxa"/>
            <w:tcBorders>
              <w:left w:val="single" w:color="auto" w:sz="4" w:space="0"/>
              <w:right w:val="single" w:color="auto" w:sz="6" w:space="0"/>
            </w:tcBorders>
            <w:noWrap w:val="0"/>
            <w:vAlign w:val="center"/>
          </w:tcPr>
          <w:p w14:paraId="1B45D09C">
            <w:pPr>
              <w:pStyle w:val="95"/>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olor w:val="auto"/>
                <w:sz w:val="21"/>
                <w:szCs w:val="21"/>
                <w:highlight w:val="none"/>
                <w:lang w:val="en-US" w:eastAsia="zh-CN"/>
              </w:rPr>
              <w:t>25</w:t>
            </w:r>
            <w:r>
              <w:rPr>
                <w:rFonts w:hint="default" w:ascii="Times New Roman" w:hAnsi="Times New Roman" w:eastAsia="宋体" w:cs="Times New Roman"/>
                <w:color w:val="000000"/>
                <w:kern w:val="0"/>
                <w:sz w:val="21"/>
                <w:szCs w:val="21"/>
              </w:rPr>
              <w:t>mg/L</w:t>
            </w:r>
          </w:p>
        </w:tc>
        <w:tc>
          <w:tcPr>
            <w:tcW w:w="1950" w:type="dxa"/>
            <w:tcBorders>
              <w:left w:val="single" w:color="auto" w:sz="6" w:space="0"/>
              <w:right w:val="single" w:color="auto" w:sz="4" w:space="0"/>
            </w:tcBorders>
            <w:noWrap w:val="0"/>
            <w:vAlign w:val="center"/>
          </w:tcPr>
          <w:p w14:paraId="619CA808">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5（8）</w:t>
            </w:r>
            <w:r>
              <w:rPr>
                <w:rFonts w:hint="default" w:ascii="Times New Roman" w:hAnsi="Times New Roman" w:eastAsia="宋体" w:cs="Times New Roman"/>
                <w:color w:val="000000"/>
                <w:kern w:val="0"/>
                <w:sz w:val="21"/>
                <w:szCs w:val="21"/>
              </w:rPr>
              <w:t>mg/L</w:t>
            </w:r>
          </w:p>
        </w:tc>
        <w:tc>
          <w:tcPr>
            <w:tcW w:w="847" w:type="dxa"/>
            <w:vMerge w:val="continue"/>
            <w:tcBorders>
              <w:left w:val="single" w:color="auto" w:sz="4" w:space="0"/>
              <w:right w:val="single" w:color="auto" w:sz="12" w:space="0"/>
            </w:tcBorders>
            <w:noWrap w:val="0"/>
            <w:vAlign w:val="center"/>
          </w:tcPr>
          <w:p w14:paraId="2EF2DCA4">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r>
      <w:tr w14:paraId="3B46DB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vMerge w:val="continue"/>
            <w:tcBorders>
              <w:left w:val="single" w:color="auto" w:sz="12" w:space="0"/>
              <w:right w:val="single" w:color="auto" w:sz="4" w:space="0"/>
            </w:tcBorders>
            <w:noWrap w:val="0"/>
            <w:vAlign w:val="center"/>
          </w:tcPr>
          <w:p w14:paraId="3BCA5B74">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881" w:type="dxa"/>
            <w:vMerge w:val="continue"/>
            <w:tcBorders>
              <w:left w:val="single" w:color="auto" w:sz="4" w:space="0"/>
              <w:right w:val="single" w:color="auto" w:sz="4" w:space="0"/>
            </w:tcBorders>
            <w:noWrap w:val="0"/>
            <w:vAlign w:val="center"/>
          </w:tcPr>
          <w:p w14:paraId="44206A78">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182" w:type="dxa"/>
            <w:vMerge w:val="continue"/>
            <w:tcBorders>
              <w:left w:val="single" w:color="auto" w:sz="4" w:space="0"/>
              <w:right w:val="single" w:color="auto" w:sz="4" w:space="0"/>
            </w:tcBorders>
            <w:noWrap w:val="0"/>
            <w:vAlign w:val="center"/>
          </w:tcPr>
          <w:p w14:paraId="72FF0B4C">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103" w:type="dxa"/>
            <w:vMerge w:val="continue"/>
            <w:tcBorders>
              <w:left w:val="single" w:color="auto" w:sz="4" w:space="0"/>
              <w:right w:val="single" w:color="auto" w:sz="6" w:space="0"/>
            </w:tcBorders>
            <w:noWrap w:val="0"/>
            <w:vAlign w:val="center"/>
          </w:tcPr>
          <w:p w14:paraId="2AA2D344">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020" w:type="dxa"/>
            <w:vMerge w:val="continue"/>
            <w:tcBorders>
              <w:left w:val="single" w:color="auto" w:sz="6" w:space="0"/>
              <w:right w:val="single" w:color="auto" w:sz="4" w:space="0"/>
            </w:tcBorders>
            <w:noWrap w:val="0"/>
            <w:vAlign w:val="center"/>
          </w:tcPr>
          <w:p w14:paraId="710BD44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110" w:type="dxa"/>
            <w:vMerge w:val="continue"/>
            <w:tcBorders>
              <w:left w:val="single" w:color="auto" w:sz="4" w:space="0"/>
              <w:right w:val="single" w:color="auto" w:sz="6" w:space="0"/>
            </w:tcBorders>
            <w:noWrap w:val="0"/>
            <w:vAlign w:val="center"/>
          </w:tcPr>
          <w:p w14:paraId="7AA1555F">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065" w:type="dxa"/>
            <w:vMerge w:val="continue"/>
            <w:tcBorders>
              <w:left w:val="single" w:color="auto" w:sz="6" w:space="0"/>
              <w:right w:val="single" w:color="auto" w:sz="4" w:space="0"/>
            </w:tcBorders>
            <w:noWrap w:val="0"/>
            <w:vAlign w:val="center"/>
          </w:tcPr>
          <w:p w14:paraId="3C6ACC3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975" w:type="dxa"/>
            <w:vMerge w:val="continue"/>
            <w:tcBorders>
              <w:left w:val="single" w:color="auto" w:sz="6" w:space="0"/>
              <w:right w:val="single" w:color="auto" w:sz="4" w:space="0"/>
            </w:tcBorders>
            <w:noWrap w:val="0"/>
            <w:vAlign w:val="center"/>
          </w:tcPr>
          <w:p w14:paraId="25BB9EA5">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080" w:type="dxa"/>
            <w:vMerge w:val="continue"/>
            <w:tcBorders>
              <w:left w:val="single" w:color="auto" w:sz="4" w:space="0"/>
              <w:right w:val="single" w:color="auto" w:sz="4" w:space="0"/>
            </w:tcBorders>
            <w:noWrap w:val="0"/>
            <w:vAlign w:val="center"/>
          </w:tcPr>
          <w:p w14:paraId="5A2C6A50">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D4485A2">
            <w:pPr>
              <w:pStyle w:val="120"/>
              <w:bidi w:val="0"/>
              <w:ind w:firstLine="0" w:firstLineChars="0"/>
              <w:jc w:val="center"/>
              <w:rPr>
                <w:rFonts w:hint="eastAsia" w:ascii="Times New Roman" w:hAnsi="Times New Roman" w:eastAsia="宋体" w:cs="Times New Roman"/>
                <w:color w:val="000000"/>
                <w:kern w:val="0"/>
                <w:sz w:val="21"/>
                <w:szCs w:val="21"/>
                <w:lang w:eastAsia="zh-CN"/>
              </w:rPr>
            </w:pPr>
            <w:r>
              <w:rPr>
                <w:rFonts w:hint="eastAsia"/>
                <w:color w:val="auto"/>
                <w:highlight w:val="none"/>
                <w:lang w:val="en-US" w:eastAsia="zh-CN"/>
              </w:rPr>
              <w:t>LAS</w:t>
            </w:r>
          </w:p>
        </w:tc>
        <w:tc>
          <w:tcPr>
            <w:tcW w:w="1500" w:type="dxa"/>
            <w:tcBorders>
              <w:left w:val="single" w:color="auto" w:sz="4" w:space="0"/>
              <w:right w:val="single" w:color="auto" w:sz="6" w:space="0"/>
            </w:tcBorders>
            <w:noWrap w:val="0"/>
            <w:vAlign w:val="center"/>
          </w:tcPr>
          <w:p w14:paraId="7B8FB03B">
            <w:pPr>
              <w:pStyle w:val="95"/>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kern w:val="0"/>
                <w:sz w:val="21"/>
                <w:szCs w:val="21"/>
                <w:lang w:val="en-US" w:eastAsia="zh-CN"/>
              </w:rPr>
              <w:t>10</w:t>
            </w:r>
            <w:r>
              <w:rPr>
                <w:rFonts w:hint="default" w:ascii="Times New Roman" w:hAnsi="Times New Roman" w:eastAsia="宋体" w:cs="Times New Roman"/>
                <w:color w:val="000000"/>
                <w:kern w:val="0"/>
                <w:sz w:val="21"/>
                <w:szCs w:val="21"/>
              </w:rPr>
              <w:t>mg/L</w:t>
            </w:r>
          </w:p>
        </w:tc>
        <w:tc>
          <w:tcPr>
            <w:tcW w:w="1950" w:type="dxa"/>
            <w:tcBorders>
              <w:left w:val="single" w:color="auto" w:sz="6" w:space="0"/>
              <w:right w:val="single" w:color="auto" w:sz="4" w:space="0"/>
            </w:tcBorders>
            <w:noWrap w:val="0"/>
            <w:vAlign w:val="center"/>
          </w:tcPr>
          <w:p w14:paraId="662E3C92">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0.5</w:t>
            </w:r>
            <w:r>
              <w:rPr>
                <w:rFonts w:hint="default" w:ascii="Times New Roman" w:hAnsi="Times New Roman" w:eastAsia="宋体" w:cs="Times New Roman"/>
                <w:color w:val="000000"/>
                <w:kern w:val="0"/>
                <w:sz w:val="21"/>
                <w:szCs w:val="21"/>
              </w:rPr>
              <w:t>mg/L</w:t>
            </w:r>
          </w:p>
        </w:tc>
        <w:tc>
          <w:tcPr>
            <w:tcW w:w="847" w:type="dxa"/>
            <w:vMerge w:val="continue"/>
            <w:tcBorders>
              <w:left w:val="single" w:color="auto" w:sz="4" w:space="0"/>
              <w:right w:val="single" w:color="auto" w:sz="12" w:space="0"/>
            </w:tcBorders>
            <w:noWrap w:val="0"/>
            <w:vAlign w:val="center"/>
          </w:tcPr>
          <w:p w14:paraId="79DD83AF">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r>
      <w:tr w14:paraId="79EB5C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vMerge w:val="continue"/>
            <w:tcBorders>
              <w:left w:val="single" w:color="auto" w:sz="12" w:space="0"/>
              <w:right w:val="single" w:color="auto" w:sz="4" w:space="0"/>
            </w:tcBorders>
            <w:noWrap w:val="0"/>
            <w:vAlign w:val="center"/>
          </w:tcPr>
          <w:p w14:paraId="65F4FBAC">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881" w:type="dxa"/>
            <w:vMerge w:val="continue"/>
            <w:tcBorders>
              <w:left w:val="single" w:color="auto" w:sz="4" w:space="0"/>
              <w:right w:val="single" w:color="auto" w:sz="4" w:space="0"/>
            </w:tcBorders>
            <w:noWrap w:val="0"/>
            <w:vAlign w:val="center"/>
          </w:tcPr>
          <w:p w14:paraId="6CC2903D">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182" w:type="dxa"/>
            <w:vMerge w:val="continue"/>
            <w:tcBorders>
              <w:left w:val="single" w:color="auto" w:sz="4" w:space="0"/>
              <w:right w:val="single" w:color="auto" w:sz="4" w:space="0"/>
            </w:tcBorders>
            <w:noWrap w:val="0"/>
            <w:vAlign w:val="center"/>
          </w:tcPr>
          <w:p w14:paraId="6A27FCEB">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103" w:type="dxa"/>
            <w:vMerge w:val="continue"/>
            <w:tcBorders>
              <w:left w:val="single" w:color="auto" w:sz="4" w:space="0"/>
              <w:right w:val="single" w:color="auto" w:sz="6" w:space="0"/>
            </w:tcBorders>
            <w:noWrap w:val="0"/>
            <w:vAlign w:val="center"/>
          </w:tcPr>
          <w:p w14:paraId="5202A6F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020" w:type="dxa"/>
            <w:vMerge w:val="continue"/>
            <w:tcBorders>
              <w:left w:val="single" w:color="auto" w:sz="6" w:space="0"/>
              <w:right w:val="single" w:color="auto" w:sz="4" w:space="0"/>
            </w:tcBorders>
            <w:noWrap w:val="0"/>
            <w:vAlign w:val="center"/>
          </w:tcPr>
          <w:p w14:paraId="70C791C7">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110" w:type="dxa"/>
            <w:vMerge w:val="continue"/>
            <w:tcBorders>
              <w:left w:val="single" w:color="auto" w:sz="4" w:space="0"/>
              <w:right w:val="single" w:color="auto" w:sz="6" w:space="0"/>
            </w:tcBorders>
            <w:noWrap w:val="0"/>
            <w:vAlign w:val="center"/>
          </w:tcPr>
          <w:p w14:paraId="4D29C785">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065" w:type="dxa"/>
            <w:vMerge w:val="continue"/>
            <w:tcBorders>
              <w:left w:val="single" w:color="auto" w:sz="6" w:space="0"/>
              <w:right w:val="single" w:color="auto" w:sz="4" w:space="0"/>
            </w:tcBorders>
            <w:noWrap w:val="0"/>
            <w:vAlign w:val="center"/>
          </w:tcPr>
          <w:p w14:paraId="41BEBCA4">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975" w:type="dxa"/>
            <w:vMerge w:val="continue"/>
            <w:tcBorders>
              <w:left w:val="single" w:color="auto" w:sz="6" w:space="0"/>
              <w:right w:val="single" w:color="auto" w:sz="4" w:space="0"/>
            </w:tcBorders>
            <w:noWrap w:val="0"/>
            <w:vAlign w:val="center"/>
          </w:tcPr>
          <w:p w14:paraId="3536E6EA">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080" w:type="dxa"/>
            <w:vMerge w:val="continue"/>
            <w:tcBorders>
              <w:left w:val="single" w:color="auto" w:sz="4" w:space="0"/>
              <w:right w:val="single" w:color="auto" w:sz="4" w:space="0"/>
            </w:tcBorders>
            <w:noWrap w:val="0"/>
            <w:vAlign w:val="center"/>
          </w:tcPr>
          <w:p w14:paraId="2F961C09">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C18434A">
            <w:pPr>
              <w:pStyle w:val="120"/>
              <w:bidi w:val="0"/>
              <w:ind w:firstLine="0" w:firstLineChars="0"/>
              <w:jc w:val="center"/>
              <w:rPr>
                <w:rFonts w:hint="default" w:ascii="Times New Roman" w:hAnsi="Times New Roman" w:eastAsia="宋体" w:cs="Times New Roman"/>
                <w:color w:val="000000"/>
                <w:kern w:val="0"/>
                <w:sz w:val="21"/>
                <w:szCs w:val="21"/>
                <w:lang w:val="en-US" w:eastAsia="zh-CN"/>
              </w:rPr>
            </w:pPr>
            <w:r>
              <w:rPr>
                <w:rFonts w:hint="eastAsia"/>
                <w:color w:val="auto"/>
                <w:highlight w:val="none"/>
                <w:lang w:val="en-US" w:eastAsia="zh-CN"/>
              </w:rPr>
              <w:t>动植物油</w:t>
            </w:r>
          </w:p>
        </w:tc>
        <w:tc>
          <w:tcPr>
            <w:tcW w:w="1500" w:type="dxa"/>
            <w:tcBorders>
              <w:left w:val="single" w:color="auto" w:sz="4" w:space="0"/>
              <w:right w:val="single" w:color="auto" w:sz="6" w:space="0"/>
            </w:tcBorders>
            <w:noWrap w:val="0"/>
            <w:vAlign w:val="center"/>
          </w:tcPr>
          <w:p w14:paraId="383F93F9">
            <w:pPr>
              <w:pStyle w:val="95"/>
              <w:keepNext w:val="0"/>
              <w:keepLines w:val="0"/>
              <w:pageBreakBefore w:val="0"/>
              <w:kinsoku/>
              <w:wordWrap/>
              <w:overflowPunct/>
              <w:topLinePunct w:val="0"/>
              <w:autoSpaceDE/>
              <w:autoSpaceDN/>
              <w:bidi w:val="0"/>
              <w:spacing w:line="240" w:lineRule="auto"/>
              <w:ind w:firstLine="0" w:firstLineChars="0"/>
              <w:jc w:val="center"/>
              <w:rPr>
                <w:rFonts w:hint="default" w:cs="Times New Roman"/>
                <w:color w:val="auto"/>
                <w:sz w:val="21"/>
                <w:szCs w:val="21"/>
                <w:lang w:val="en-US" w:eastAsia="zh-CN"/>
              </w:rPr>
            </w:pPr>
            <w:r>
              <w:rPr>
                <w:rFonts w:hint="eastAsia" w:ascii="Times New Roman" w:hAnsi="Times New Roman" w:cs="Times New Roman"/>
                <w:color w:val="auto"/>
                <w:kern w:val="0"/>
                <w:sz w:val="21"/>
                <w:szCs w:val="21"/>
                <w:lang w:val="en-US" w:eastAsia="zh-CN"/>
              </w:rPr>
              <w:t>20</w:t>
            </w:r>
            <w:r>
              <w:rPr>
                <w:rFonts w:hint="default" w:ascii="Times New Roman" w:hAnsi="Times New Roman" w:eastAsia="宋体" w:cs="Times New Roman"/>
                <w:color w:val="000000"/>
                <w:kern w:val="0"/>
                <w:sz w:val="21"/>
                <w:szCs w:val="21"/>
              </w:rPr>
              <w:t>mg/L</w:t>
            </w:r>
          </w:p>
        </w:tc>
        <w:tc>
          <w:tcPr>
            <w:tcW w:w="1950" w:type="dxa"/>
            <w:tcBorders>
              <w:left w:val="single" w:color="auto" w:sz="6" w:space="0"/>
              <w:right w:val="single" w:color="auto" w:sz="4" w:space="0"/>
            </w:tcBorders>
            <w:noWrap w:val="0"/>
            <w:vAlign w:val="center"/>
          </w:tcPr>
          <w:p w14:paraId="318C462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r>
              <w:rPr>
                <w:rFonts w:hint="default" w:ascii="Times New Roman" w:hAnsi="Times New Roman" w:eastAsia="宋体" w:cs="Times New Roman"/>
                <w:color w:val="000000"/>
                <w:kern w:val="0"/>
                <w:sz w:val="21"/>
                <w:szCs w:val="21"/>
              </w:rPr>
              <w:t>mg/L</w:t>
            </w:r>
          </w:p>
        </w:tc>
        <w:tc>
          <w:tcPr>
            <w:tcW w:w="847" w:type="dxa"/>
            <w:vMerge w:val="continue"/>
            <w:tcBorders>
              <w:left w:val="single" w:color="auto" w:sz="4" w:space="0"/>
              <w:right w:val="single" w:color="auto" w:sz="12" w:space="0"/>
            </w:tcBorders>
            <w:noWrap w:val="0"/>
            <w:vAlign w:val="center"/>
          </w:tcPr>
          <w:p w14:paraId="35FC202F">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r>
      <w:tr w14:paraId="535D96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vMerge w:val="continue"/>
            <w:tcBorders>
              <w:left w:val="single" w:color="auto" w:sz="12" w:space="0"/>
              <w:bottom w:val="single" w:color="auto" w:sz="4" w:space="0"/>
              <w:right w:val="single" w:color="auto" w:sz="4" w:space="0"/>
            </w:tcBorders>
            <w:noWrap w:val="0"/>
            <w:vAlign w:val="center"/>
          </w:tcPr>
          <w:p w14:paraId="16A61927">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881" w:type="dxa"/>
            <w:vMerge w:val="continue"/>
            <w:tcBorders>
              <w:left w:val="single" w:color="auto" w:sz="4" w:space="0"/>
              <w:bottom w:val="single" w:color="auto" w:sz="4" w:space="0"/>
              <w:right w:val="single" w:color="auto" w:sz="4" w:space="0"/>
            </w:tcBorders>
            <w:noWrap w:val="0"/>
            <w:vAlign w:val="center"/>
          </w:tcPr>
          <w:p w14:paraId="0D8AC319">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182" w:type="dxa"/>
            <w:vMerge w:val="continue"/>
            <w:tcBorders>
              <w:left w:val="single" w:color="auto" w:sz="4" w:space="0"/>
              <w:bottom w:val="single" w:color="auto" w:sz="4" w:space="0"/>
              <w:right w:val="single" w:color="auto" w:sz="4" w:space="0"/>
            </w:tcBorders>
            <w:noWrap w:val="0"/>
            <w:vAlign w:val="center"/>
          </w:tcPr>
          <w:p w14:paraId="6E9FCA29">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103" w:type="dxa"/>
            <w:vMerge w:val="continue"/>
            <w:tcBorders>
              <w:left w:val="single" w:color="auto" w:sz="4" w:space="0"/>
              <w:bottom w:val="single" w:color="auto" w:sz="4" w:space="0"/>
              <w:right w:val="single" w:color="auto" w:sz="6" w:space="0"/>
            </w:tcBorders>
            <w:noWrap w:val="0"/>
            <w:vAlign w:val="center"/>
          </w:tcPr>
          <w:p w14:paraId="23ED659E">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020" w:type="dxa"/>
            <w:vMerge w:val="continue"/>
            <w:tcBorders>
              <w:left w:val="single" w:color="auto" w:sz="6" w:space="0"/>
              <w:bottom w:val="single" w:color="auto" w:sz="4" w:space="0"/>
              <w:right w:val="single" w:color="auto" w:sz="4" w:space="0"/>
            </w:tcBorders>
            <w:noWrap w:val="0"/>
            <w:vAlign w:val="center"/>
          </w:tcPr>
          <w:p w14:paraId="6C2ABBFF">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110" w:type="dxa"/>
            <w:vMerge w:val="continue"/>
            <w:tcBorders>
              <w:left w:val="single" w:color="auto" w:sz="4" w:space="0"/>
              <w:bottom w:val="single" w:color="auto" w:sz="4" w:space="0"/>
              <w:right w:val="single" w:color="auto" w:sz="6" w:space="0"/>
            </w:tcBorders>
            <w:noWrap w:val="0"/>
            <w:vAlign w:val="center"/>
          </w:tcPr>
          <w:p w14:paraId="52CBA822">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065" w:type="dxa"/>
            <w:vMerge w:val="continue"/>
            <w:tcBorders>
              <w:left w:val="single" w:color="auto" w:sz="6" w:space="0"/>
              <w:bottom w:val="single" w:color="auto" w:sz="4" w:space="0"/>
              <w:right w:val="single" w:color="auto" w:sz="4" w:space="0"/>
            </w:tcBorders>
            <w:noWrap w:val="0"/>
            <w:vAlign w:val="center"/>
          </w:tcPr>
          <w:p w14:paraId="005F642A">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975" w:type="dxa"/>
            <w:vMerge w:val="continue"/>
            <w:tcBorders>
              <w:left w:val="single" w:color="auto" w:sz="6" w:space="0"/>
              <w:bottom w:val="single" w:color="auto" w:sz="4" w:space="0"/>
              <w:right w:val="single" w:color="auto" w:sz="4" w:space="0"/>
            </w:tcBorders>
            <w:noWrap w:val="0"/>
            <w:vAlign w:val="center"/>
          </w:tcPr>
          <w:p w14:paraId="2F4673FF">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080" w:type="dxa"/>
            <w:vMerge w:val="continue"/>
            <w:tcBorders>
              <w:left w:val="single" w:color="auto" w:sz="4" w:space="0"/>
              <w:bottom w:val="single" w:color="auto" w:sz="4" w:space="0"/>
              <w:right w:val="single" w:color="auto" w:sz="4" w:space="0"/>
            </w:tcBorders>
            <w:noWrap w:val="0"/>
            <w:vAlign w:val="center"/>
          </w:tcPr>
          <w:p w14:paraId="58210189">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ABA89D0">
            <w:pPr>
              <w:pStyle w:val="120"/>
              <w:bidi w:val="0"/>
              <w:ind w:firstLine="0" w:firstLineChars="0"/>
              <w:jc w:val="center"/>
              <w:rPr>
                <w:rFonts w:hint="eastAsia"/>
                <w:color w:val="auto"/>
                <w:highlight w:val="none"/>
                <w:lang w:val="en-US" w:eastAsia="zh-CN"/>
              </w:rPr>
            </w:pPr>
            <w:r>
              <w:rPr>
                <w:rFonts w:hint="eastAsia"/>
                <w:color w:val="auto"/>
                <w:highlight w:val="none"/>
                <w:lang w:val="en-US" w:eastAsia="zh-CN"/>
              </w:rPr>
              <w:t>粪大肠杆菌</w:t>
            </w:r>
          </w:p>
          <w:p w14:paraId="5AC3E20B">
            <w:pPr>
              <w:pStyle w:val="120"/>
              <w:bidi w:val="0"/>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olor w:val="auto"/>
                <w:highlight w:val="none"/>
                <w:lang w:val="en-US" w:eastAsia="zh-CN"/>
              </w:rPr>
              <w:t>(个/L)</w:t>
            </w:r>
          </w:p>
        </w:tc>
        <w:tc>
          <w:tcPr>
            <w:tcW w:w="1500" w:type="dxa"/>
            <w:tcBorders>
              <w:left w:val="single" w:color="auto" w:sz="4" w:space="0"/>
              <w:bottom w:val="single" w:color="auto" w:sz="4" w:space="0"/>
              <w:right w:val="single" w:color="auto" w:sz="6" w:space="0"/>
            </w:tcBorders>
            <w:noWrap w:val="0"/>
            <w:vAlign w:val="center"/>
          </w:tcPr>
          <w:p w14:paraId="7E2F3BF8">
            <w:pPr>
              <w:pStyle w:val="95"/>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0"/>
                <w:sz w:val="21"/>
                <w:szCs w:val="21"/>
                <w:lang w:val="en-US" w:eastAsia="zh-CN"/>
              </w:rPr>
              <w:t>5000</w:t>
            </w:r>
            <w:r>
              <w:rPr>
                <w:rFonts w:hint="eastAsia"/>
                <w:color w:val="auto"/>
                <w:highlight w:val="none"/>
                <w:lang w:val="en-US" w:eastAsia="zh-CN"/>
              </w:rPr>
              <w:t>(个/L)</w:t>
            </w:r>
          </w:p>
        </w:tc>
        <w:tc>
          <w:tcPr>
            <w:tcW w:w="1950" w:type="dxa"/>
            <w:tcBorders>
              <w:left w:val="single" w:color="auto" w:sz="6" w:space="0"/>
              <w:bottom w:val="single" w:color="auto" w:sz="4" w:space="0"/>
              <w:right w:val="single" w:color="auto" w:sz="4" w:space="0"/>
            </w:tcBorders>
            <w:noWrap w:val="0"/>
            <w:vAlign w:val="center"/>
          </w:tcPr>
          <w:p w14:paraId="254F7478">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r>
              <w:rPr>
                <w:rFonts w:hint="eastAsia" w:cs="Times New Roman"/>
                <w:b w:val="0"/>
                <w:bCs w:val="0"/>
                <w:color w:val="auto"/>
                <w:sz w:val="21"/>
                <w:szCs w:val="21"/>
                <w:lang w:val="en-US" w:eastAsia="zh-CN"/>
              </w:rPr>
              <w:t>000</w:t>
            </w:r>
            <w:r>
              <w:rPr>
                <w:rFonts w:hint="eastAsia"/>
                <w:b w:val="0"/>
                <w:bCs w:val="0"/>
                <w:color w:val="auto"/>
                <w:highlight w:val="none"/>
                <w:lang w:eastAsia="zh-CN"/>
              </w:rPr>
              <w:t>（</w:t>
            </w:r>
            <w:r>
              <w:rPr>
                <w:b w:val="0"/>
                <w:bCs w:val="0"/>
                <w:color w:val="auto"/>
                <w:highlight w:val="none"/>
              </w:rPr>
              <w:t>MPN/L</w:t>
            </w:r>
            <w:r>
              <w:rPr>
                <w:rFonts w:hint="eastAsia"/>
                <w:b w:val="0"/>
                <w:bCs w:val="0"/>
                <w:color w:val="auto"/>
                <w:highlight w:val="none"/>
                <w:lang w:eastAsia="zh-CN"/>
              </w:rPr>
              <w:t>）</w:t>
            </w:r>
          </w:p>
        </w:tc>
        <w:tc>
          <w:tcPr>
            <w:tcW w:w="847" w:type="dxa"/>
            <w:vMerge w:val="continue"/>
            <w:tcBorders>
              <w:left w:val="single" w:color="auto" w:sz="4" w:space="0"/>
              <w:bottom w:val="single" w:color="auto" w:sz="4" w:space="0"/>
              <w:right w:val="single" w:color="auto" w:sz="12" w:space="0"/>
            </w:tcBorders>
            <w:noWrap w:val="0"/>
            <w:vAlign w:val="center"/>
          </w:tcPr>
          <w:p w14:paraId="09A9CEAD">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FF0000"/>
                <w:sz w:val="21"/>
                <w:szCs w:val="21"/>
                <w:lang w:val="en-US" w:eastAsia="zh-CN"/>
              </w:rPr>
            </w:pPr>
          </w:p>
        </w:tc>
      </w:tr>
    </w:tbl>
    <w:p w14:paraId="617AB039">
      <w:pPr>
        <w:pStyle w:val="23"/>
        <w:widowControl/>
        <w:shd w:val="clear" w:color="auto" w:fill="FFFFFF"/>
        <w:spacing w:before="0" w:beforeAutospacing="0" w:after="0" w:afterAutospacing="0"/>
        <w:jc w:val="center"/>
        <w:rPr>
          <w:rFonts w:hint="eastAsia" w:ascii="Times New Roman" w:hAnsi="Times New Roman" w:eastAsia="宋体" w:cs="Times New Roman"/>
          <w:b/>
          <w:color w:val="auto"/>
          <w:kern w:val="2"/>
          <w:sz w:val="30"/>
          <w:szCs w:val="30"/>
          <w:lang w:val="en-US" w:eastAsia="zh-CN" w:bidi="ar-SA"/>
        </w:rPr>
      </w:pPr>
    </w:p>
    <w:p w14:paraId="50CEE3C9">
      <w:pPr>
        <w:pStyle w:val="23"/>
        <w:widowControl/>
        <w:shd w:val="clear" w:color="auto" w:fill="FFFFFF"/>
        <w:spacing w:before="0" w:beforeAutospacing="0" w:after="0" w:afterAutospacing="0"/>
        <w:jc w:val="center"/>
        <w:rPr>
          <w:rFonts w:ascii="宋体" w:hAnsi="宋体" w:eastAsia="仿宋_GB2312" w:cs="宋体"/>
          <w:b/>
          <w:color w:val="FF0000"/>
          <w:kern w:val="2"/>
          <w:sz w:val="30"/>
          <w:szCs w:val="21"/>
        </w:rPr>
      </w:pPr>
      <w:r>
        <w:rPr>
          <w:rFonts w:hint="eastAsia" w:ascii="Times New Roman" w:hAnsi="Times New Roman" w:eastAsia="宋体" w:cs="Times New Roman"/>
          <w:b/>
          <w:color w:val="auto"/>
          <w:kern w:val="2"/>
          <w:sz w:val="30"/>
          <w:szCs w:val="30"/>
          <w:lang w:val="en-US" w:eastAsia="zh-CN" w:bidi="ar-SA"/>
        </w:rPr>
        <w:t>表12  建设项目噪声排放信息表</w:t>
      </w:r>
    </w:p>
    <w:tbl>
      <w:tblPr>
        <w:tblStyle w:val="2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52"/>
        <w:gridCol w:w="1366"/>
        <w:gridCol w:w="1291"/>
        <w:gridCol w:w="4516"/>
        <w:gridCol w:w="1835"/>
        <w:gridCol w:w="2019"/>
        <w:gridCol w:w="1595"/>
      </w:tblGrid>
      <w:tr w14:paraId="4F2056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52" w:type="dxa"/>
            <w:vMerge w:val="restart"/>
            <w:tcBorders>
              <w:top w:val="single" w:color="auto" w:sz="12" w:space="0"/>
              <w:left w:val="single" w:color="auto" w:sz="12" w:space="0"/>
              <w:bottom w:val="single" w:color="auto" w:sz="4" w:space="0"/>
              <w:right w:val="single" w:color="auto" w:sz="4" w:space="0"/>
            </w:tcBorders>
            <w:noWrap w:val="0"/>
            <w:vAlign w:val="center"/>
          </w:tcPr>
          <w:p w14:paraId="466336F5">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噪声类别</w:t>
            </w:r>
          </w:p>
        </w:tc>
        <w:tc>
          <w:tcPr>
            <w:tcW w:w="2657" w:type="dxa"/>
            <w:gridSpan w:val="2"/>
            <w:tcBorders>
              <w:top w:val="single" w:color="auto" w:sz="12" w:space="0"/>
              <w:left w:val="single" w:color="auto" w:sz="4" w:space="0"/>
              <w:bottom w:val="single" w:color="auto" w:sz="6" w:space="0"/>
              <w:right w:val="single" w:color="auto" w:sz="4" w:space="0"/>
            </w:tcBorders>
            <w:noWrap w:val="0"/>
            <w:vAlign w:val="center"/>
          </w:tcPr>
          <w:p w14:paraId="2241AF18">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生产时段</w:t>
            </w:r>
          </w:p>
        </w:tc>
        <w:tc>
          <w:tcPr>
            <w:tcW w:w="4516" w:type="dxa"/>
            <w:vMerge w:val="restart"/>
            <w:tcBorders>
              <w:top w:val="single" w:color="auto" w:sz="12" w:space="0"/>
              <w:left w:val="single" w:color="auto" w:sz="4" w:space="0"/>
              <w:bottom w:val="single" w:color="auto" w:sz="4" w:space="0"/>
              <w:right w:val="single" w:color="auto" w:sz="4" w:space="0"/>
            </w:tcBorders>
            <w:noWrap w:val="0"/>
            <w:vAlign w:val="center"/>
          </w:tcPr>
          <w:p w14:paraId="43A94922">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执行排放标准名称</w:t>
            </w:r>
          </w:p>
        </w:tc>
        <w:tc>
          <w:tcPr>
            <w:tcW w:w="3854" w:type="dxa"/>
            <w:gridSpan w:val="2"/>
            <w:tcBorders>
              <w:top w:val="single" w:color="auto" w:sz="12" w:space="0"/>
              <w:left w:val="single" w:color="auto" w:sz="4" w:space="0"/>
              <w:bottom w:val="single" w:color="auto" w:sz="6" w:space="0"/>
              <w:right w:val="single" w:color="auto" w:sz="4" w:space="0"/>
            </w:tcBorders>
            <w:noWrap w:val="0"/>
            <w:vAlign w:val="center"/>
          </w:tcPr>
          <w:p w14:paraId="362C0945">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厂界噪声排放限值</w:t>
            </w:r>
          </w:p>
        </w:tc>
        <w:tc>
          <w:tcPr>
            <w:tcW w:w="1595" w:type="dxa"/>
            <w:vMerge w:val="restart"/>
            <w:tcBorders>
              <w:top w:val="single" w:color="auto" w:sz="12" w:space="0"/>
              <w:left w:val="single" w:color="auto" w:sz="4" w:space="0"/>
              <w:bottom w:val="single" w:color="auto" w:sz="4" w:space="0"/>
              <w:right w:val="single" w:color="auto" w:sz="12" w:space="0"/>
            </w:tcBorders>
            <w:noWrap w:val="0"/>
            <w:vAlign w:val="center"/>
          </w:tcPr>
          <w:p w14:paraId="57242834">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备注</w:t>
            </w:r>
          </w:p>
        </w:tc>
      </w:tr>
      <w:tr w14:paraId="16987A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52" w:type="dxa"/>
            <w:vMerge w:val="continue"/>
            <w:tcBorders>
              <w:top w:val="single" w:color="auto" w:sz="12" w:space="0"/>
              <w:left w:val="single" w:color="auto" w:sz="12" w:space="0"/>
              <w:bottom w:val="single" w:color="auto" w:sz="4" w:space="0"/>
              <w:right w:val="single" w:color="auto" w:sz="4" w:space="0"/>
            </w:tcBorders>
            <w:noWrap w:val="0"/>
            <w:vAlign w:val="center"/>
          </w:tcPr>
          <w:p w14:paraId="4119A847">
            <w:pPr>
              <w:widowControl/>
              <w:jc w:val="left"/>
              <w:rPr>
                <w:rFonts w:ascii="宋体" w:hAnsi="宋体"/>
                <w:b/>
                <w:color w:val="FF0000"/>
                <w:sz w:val="18"/>
                <w:szCs w:val="18"/>
              </w:rPr>
            </w:pPr>
          </w:p>
        </w:tc>
        <w:tc>
          <w:tcPr>
            <w:tcW w:w="1366" w:type="dxa"/>
            <w:tcBorders>
              <w:top w:val="single" w:color="auto" w:sz="6" w:space="0"/>
              <w:left w:val="single" w:color="auto" w:sz="4" w:space="0"/>
              <w:bottom w:val="single" w:color="auto" w:sz="4" w:space="0"/>
              <w:right w:val="single" w:color="auto" w:sz="4" w:space="0"/>
            </w:tcBorders>
            <w:noWrap w:val="0"/>
            <w:vAlign w:val="center"/>
          </w:tcPr>
          <w:p w14:paraId="78F52ACA">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昼间</w:t>
            </w:r>
          </w:p>
        </w:tc>
        <w:tc>
          <w:tcPr>
            <w:tcW w:w="1291" w:type="dxa"/>
            <w:tcBorders>
              <w:top w:val="single" w:color="auto" w:sz="6" w:space="0"/>
              <w:left w:val="single" w:color="auto" w:sz="4" w:space="0"/>
              <w:bottom w:val="single" w:color="auto" w:sz="4" w:space="0"/>
              <w:right w:val="single" w:color="auto" w:sz="4" w:space="0"/>
            </w:tcBorders>
            <w:noWrap w:val="0"/>
            <w:vAlign w:val="center"/>
          </w:tcPr>
          <w:p w14:paraId="6A977F3A">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夜间</w:t>
            </w:r>
          </w:p>
        </w:tc>
        <w:tc>
          <w:tcPr>
            <w:tcW w:w="4516" w:type="dxa"/>
            <w:vMerge w:val="continue"/>
            <w:tcBorders>
              <w:top w:val="single" w:color="auto" w:sz="12" w:space="0"/>
              <w:left w:val="single" w:color="auto" w:sz="4" w:space="0"/>
              <w:bottom w:val="single" w:color="auto" w:sz="4" w:space="0"/>
              <w:right w:val="single" w:color="auto" w:sz="4" w:space="0"/>
            </w:tcBorders>
            <w:noWrap w:val="0"/>
            <w:vAlign w:val="center"/>
          </w:tcPr>
          <w:p w14:paraId="361516C9">
            <w:pPr>
              <w:adjustRightInd w:val="0"/>
              <w:snapToGrid w:val="0"/>
              <w:ind w:left="-107" w:leftChars="-51" w:right="-107" w:rightChars="-51"/>
              <w:jc w:val="center"/>
              <w:rPr>
                <w:rFonts w:hint="eastAsia" w:ascii="Times New Roman" w:hAnsi="Times New Roman" w:eastAsia="宋体" w:cs="Times New Roman"/>
                <w:b/>
                <w:color w:val="000000"/>
                <w:sz w:val="21"/>
                <w:szCs w:val="21"/>
              </w:rPr>
            </w:pPr>
          </w:p>
        </w:tc>
        <w:tc>
          <w:tcPr>
            <w:tcW w:w="1835" w:type="dxa"/>
            <w:tcBorders>
              <w:top w:val="single" w:color="auto" w:sz="6" w:space="0"/>
              <w:left w:val="single" w:color="auto" w:sz="4" w:space="0"/>
              <w:bottom w:val="single" w:color="auto" w:sz="4" w:space="0"/>
              <w:right w:val="single" w:color="auto" w:sz="4" w:space="0"/>
            </w:tcBorders>
            <w:noWrap w:val="0"/>
            <w:vAlign w:val="center"/>
          </w:tcPr>
          <w:p w14:paraId="4C4478AE">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昼间dB(A)</w:t>
            </w:r>
          </w:p>
        </w:tc>
        <w:tc>
          <w:tcPr>
            <w:tcW w:w="2019" w:type="dxa"/>
            <w:tcBorders>
              <w:top w:val="single" w:color="auto" w:sz="6" w:space="0"/>
              <w:left w:val="single" w:color="auto" w:sz="4" w:space="0"/>
              <w:bottom w:val="single" w:color="auto" w:sz="4" w:space="0"/>
              <w:right w:val="single" w:color="auto" w:sz="4" w:space="0"/>
            </w:tcBorders>
            <w:noWrap w:val="0"/>
            <w:vAlign w:val="center"/>
          </w:tcPr>
          <w:p w14:paraId="6AF937A2">
            <w:pPr>
              <w:adjustRightInd w:val="0"/>
              <w:snapToGrid w:val="0"/>
              <w:ind w:left="-107" w:leftChars="-51" w:right="-107" w:rightChars="-51"/>
              <w:jc w:val="center"/>
              <w:rPr>
                <w:rFonts w:hint="eastAsia"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rPr>
              <w:t>夜间dB(A)</w:t>
            </w:r>
          </w:p>
        </w:tc>
        <w:tc>
          <w:tcPr>
            <w:tcW w:w="1595" w:type="dxa"/>
            <w:vMerge w:val="continue"/>
            <w:tcBorders>
              <w:top w:val="single" w:color="auto" w:sz="12" w:space="0"/>
              <w:left w:val="single" w:color="auto" w:sz="4" w:space="0"/>
              <w:bottom w:val="single" w:color="auto" w:sz="4" w:space="0"/>
              <w:right w:val="single" w:color="auto" w:sz="12" w:space="0"/>
            </w:tcBorders>
            <w:noWrap w:val="0"/>
            <w:vAlign w:val="center"/>
          </w:tcPr>
          <w:p w14:paraId="54DB3B50">
            <w:pPr>
              <w:widowControl/>
              <w:jc w:val="left"/>
              <w:rPr>
                <w:rFonts w:ascii="宋体" w:hAnsi="宋体"/>
                <w:b/>
                <w:color w:val="FF0000"/>
                <w:sz w:val="18"/>
                <w:szCs w:val="18"/>
              </w:rPr>
            </w:pPr>
          </w:p>
        </w:tc>
      </w:tr>
      <w:tr w14:paraId="37CDD7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52" w:type="dxa"/>
            <w:tcBorders>
              <w:top w:val="single" w:color="auto" w:sz="4" w:space="0"/>
              <w:left w:val="single" w:color="auto" w:sz="12" w:space="0"/>
              <w:bottom w:val="single" w:color="auto" w:sz="4" w:space="0"/>
              <w:right w:val="single" w:color="auto" w:sz="4" w:space="0"/>
            </w:tcBorders>
            <w:noWrap w:val="0"/>
            <w:vAlign w:val="center"/>
          </w:tcPr>
          <w:p w14:paraId="793198D2">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稳态噪声</w:t>
            </w:r>
          </w:p>
        </w:tc>
        <w:tc>
          <w:tcPr>
            <w:tcW w:w="1366" w:type="dxa"/>
            <w:tcBorders>
              <w:top w:val="single" w:color="auto" w:sz="4" w:space="0"/>
              <w:left w:val="single" w:color="auto" w:sz="4" w:space="0"/>
              <w:bottom w:val="single" w:color="auto" w:sz="4" w:space="0"/>
              <w:right w:val="single" w:color="auto" w:sz="4" w:space="0"/>
            </w:tcBorders>
            <w:noWrap w:val="0"/>
            <w:vAlign w:val="center"/>
          </w:tcPr>
          <w:p w14:paraId="1AD42CEC">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06</w:t>
            </w:r>
            <w:r>
              <w:rPr>
                <w:rFonts w:hint="eastAsia" w:ascii="Times New Roman" w:hAnsi="Times New Roman" w:eastAsia="宋体" w:cs="Times New Roman"/>
                <w:color w:val="auto"/>
                <w:sz w:val="21"/>
                <w:szCs w:val="21"/>
                <w:lang w:val="en-US" w:eastAsia="zh-CN"/>
              </w:rPr>
              <w:t>:00~</w:t>
            </w:r>
            <w:r>
              <w:rPr>
                <w:rFonts w:hint="eastAsia" w:ascii="Times New Roman" w:hAnsi="Times New Roman" w:cs="Times New Roman"/>
                <w:color w:val="auto"/>
                <w:sz w:val="21"/>
                <w:szCs w:val="21"/>
                <w:lang w:val="en-US" w:eastAsia="zh-CN"/>
              </w:rPr>
              <w:t>22</w:t>
            </w:r>
            <w:r>
              <w:rPr>
                <w:rFonts w:hint="eastAsia" w:ascii="Times New Roman" w:hAnsi="Times New Roman" w:eastAsia="宋体" w:cs="Times New Roman"/>
                <w:color w:val="auto"/>
                <w:sz w:val="21"/>
                <w:szCs w:val="21"/>
                <w:lang w:val="en-US" w:eastAsia="zh-CN"/>
              </w:rPr>
              <w:t>:00</w:t>
            </w:r>
          </w:p>
        </w:tc>
        <w:tc>
          <w:tcPr>
            <w:tcW w:w="1291" w:type="dxa"/>
            <w:tcBorders>
              <w:top w:val="single" w:color="auto" w:sz="4" w:space="0"/>
              <w:left w:val="single" w:color="auto" w:sz="4" w:space="0"/>
              <w:bottom w:val="single" w:color="auto" w:sz="4" w:space="0"/>
              <w:right w:val="single" w:color="auto" w:sz="4" w:space="0"/>
            </w:tcBorders>
            <w:noWrap w:val="0"/>
            <w:vAlign w:val="center"/>
          </w:tcPr>
          <w:p w14:paraId="6F4EA06C">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22</w:t>
            </w:r>
            <w:r>
              <w:rPr>
                <w:rFonts w:hint="eastAsia" w:ascii="Times New Roman" w:hAnsi="Times New Roman" w:eastAsia="宋体" w:cs="Times New Roman"/>
                <w:color w:val="auto"/>
                <w:sz w:val="21"/>
                <w:szCs w:val="21"/>
                <w:lang w:val="en-US" w:eastAsia="zh-CN"/>
              </w:rPr>
              <w:t>:00~</w:t>
            </w:r>
            <w:r>
              <w:rPr>
                <w:rFonts w:hint="eastAsia" w:ascii="Times New Roman" w:hAnsi="Times New Roman" w:cs="Times New Roman"/>
                <w:color w:val="auto"/>
                <w:sz w:val="21"/>
                <w:szCs w:val="21"/>
                <w:lang w:val="en-US" w:eastAsia="zh-CN"/>
              </w:rPr>
              <w:t>06</w:t>
            </w:r>
            <w:r>
              <w:rPr>
                <w:rFonts w:hint="eastAsia" w:ascii="Times New Roman" w:hAnsi="Times New Roman" w:eastAsia="宋体" w:cs="Times New Roman"/>
                <w:color w:val="auto"/>
                <w:sz w:val="21"/>
                <w:szCs w:val="21"/>
                <w:lang w:val="en-US" w:eastAsia="zh-CN"/>
              </w:rPr>
              <w:t>:00</w:t>
            </w:r>
          </w:p>
        </w:tc>
        <w:tc>
          <w:tcPr>
            <w:tcW w:w="4516" w:type="dxa"/>
            <w:tcBorders>
              <w:top w:val="single" w:color="auto" w:sz="4" w:space="0"/>
              <w:left w:val="single" w:color="auto" w:sz="4" w:space="0"/>
              <w:bottom w:val="single" w:color="auto" w:sz="4" w:space="0"/>
              <w:right w:val="single" w:color="auto" w:sz="4" w:space="0"/>
            </w:tcBorders>
            <w:noWrap w:val="0"/>
            <w:vAlign w:val="center"/>
          </w:tcPr>
          <w:p w14:paraId="2C8E9869">
            <w:pPr>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《工业企业厂界环境噪声排放标准》（GB12348-2008）中的</w:t>
            </w:r>
            <w:r>
              <w:rPr>
                <w:rFonts w:hint="eastAsia" w:ascii="Times New Roman" w:hAnsi="Times New Roman" w:cs="Times New Roman"/>
                <w:color w:val="auto"/>
                <w:sz w:val="21"/>
                <w:szCs w:val="21"/>
                <w:lang w:val="en-US" w:eastAsia="zh-CN"/>
              </w:rPr>
              <w:t>2</w:t>
            </w: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 3 \* ROMAN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fldChar w:fldCharType="end"/>
            </w:r>
            <w:r>
              <w:rPr>
                <w:rFonts w:hint="default" w:ascii="Times New Roman" w:hAnsi="Times New Roman" w:eastAsia="宋体" w:cs="Times New Roman"/>
                <w:color w:val="auto"/>
                <w:sz w:val="21"/>
                <w:szCs w:val="21"/>
                <w:lang w:val="en-US" w:eastAsia="zh-CN"/>
              </w:rPr>
              <w:t>类标准</w:t>
            </w:r>
          </w:p>
        </w:tc>
        <w:tc>
          <w:tcPr>
            <w:tcW w:w="1835" w:type="dxa"/>
            <w:tcBorders>
              <w:top w:val="single" w:color="auto" w:sz="4" w:space="0"/>
              <w:left w:val="single" w:color="auto" w:sz="4" w:space="0"/>
              <w:bottom w:val="single" w:color="auto" w:sz="4" w:space="0"/>
              <w:right w:val="single" w:color="auto" w:sz="4" w:space="0"/>
            </w:tcBorders>
            <w:noWrap w:val="0"/>
            <w:vAlign w:val="center"/>
          </w:tcPr>
          <w:p w14:paraId="25B0F51F">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w:t>
            </w:r>
            <w:r>
              <w:rPr>
                <w:rFonts w:hint="eastAsia" w:ascii="Times New Roman" w:hAnsi="Times New Roman" w:cs="Times New Roman"/>
                <w:color w:val="auto"/>
                <w:sz w:val="21"/>
                <w:szCs w:val="21"/>
                <w:lang w:val="en-US" w:eastAsia="zh-CN"/>
              </w:rPr>
              <w:t>0</w:t>
            </w:r>
          </w:p>
        </w:tc>
        <w:tc>
          <w:tcPr>
            <w:tcW w:w="2019" w:type="dxa"/>
            <w:tcBorders>
              <w:top w:val="single" w:color="auto" w:sz="4" w:space="0"/>
              <w:left w:val="single" w:color="auto" w:sz="4" w:space="0"/>
              <w:bottom w:val="single" w:color="auto" w:sz="4" w:space="0"/>
              <w:right w:val="single" w:color="auto" w:sz="4" w:space="0"/>
            </w:tcBorders>
            <w:noWrap w:val="0"/>
            <w:vAlign w:val="center"/>
          </w:tcPr>
          <w:p w14:paraId="0EF193D8">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w:t>
            </w:r>
            <w:r>
              <w:rPr>
                <w:rFonts w:hint="eastAsia" w:ascii="Times New Roman" w:hAnsi="Times New Roman" w:cs="Times New Roman"/>
                <w:color w:val="auto"/>
                <w:sz w:val="21"/>
                <w:szCs w:val="21"/>
                <w:lang w:val="en-US" w:eastAsia="zh-CN"/>
              </w:rPr>
              <w:t>0</w:t>
            </w:r>
          </w:p>
        </w:tc>
        <w:tc>
          <w:tcPr>
            <w:tcW w:w="1595" w:type="dxa"/>
            <w:tcBorders>
              <w:top w:val="single" w:color="auto" w:sz="4" w:space="0"/>
              <w:left w:val="single" w:color="auto" w:sz="4" w:space="0"/>
              <w:bottom w:val="single" w:color="auto" w:sz="4" w:space="0"/>
              <w:right w:val="single" w:color="auto" w:sz="12" w:space="0"/>
            </w:tcBorders>
            <w:noWrap w:val="0"/>
            <w:vAlign w:val="center"/>
          </w:tcPr>
          <w:p w14:paraId="336E72BB">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r>
      <w:tr w14:paraId="7D72C7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52" w:type="dxa"/>
            <w:tcBorders>
              <w:top w:val="single" w:color="auto" w:sz="4" w:space="0"/>
              <w:left w:val="single" w:color="auto" w:sz="12" w:space="0"/>
              <w:bottom w:val="single" w:color="auto" w:sz="4" w:space="0"/>
              <w:right w:val="single" w:color="auto" w:sz="4" w:space="0"/>
            </w:tcBorders>
            <w:noWrap w:val="0"/>
            <w:vAlign w:val="center"/>
          </w:tcPr>
          <w:p w14:paraId="437187E5">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频发噪声</w:t>
            </w:r>
          </w:p>
        </w:tc>
        <w:tc>
          <w:tcPr>
            <w:tcW w:w="1366" w:type="dxa"/>
            <w:tcBorders>
              <w:top w:val="single" w:color="auto" w:sz="4" w:space="0"/>
              <w:left w:val="single" w:color="auto" w:sz="4" w:space="0"/>
              <w:bottom w:val="single" w:color="auto" w:sz="4" w:space="0"/>
              <w:right w:val="single" w:color="auto" w:sz="4" w:space="0"/>
            </w:tcBorders>
            <w:noWrap w:val="0"/>
            <w:vAlign w:val="center"/>
          </w:tcPr>
          <w:p w14:paraId="2707CDF7">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291" w:type="dxa"/>
            <w:tcBorders>
              <w:top w:val="single" w:color="auto" w:sz="4" w:space="0"/>
              <w:left w:val="single" w:color="auto" w:sz="4" w:space="0"/>
              <w:bottom w:val="single" w:color="auto" w:sz="4" w:space="0"/>
              <w:right w:val="single" w:color="auto" w:sz="4" w:space="0"/>
            </w:tcBorders>
            <w:noWrap w:val="0"/>
            <w:vAlign w:val="center"/>
          </w:tcPr>
          <w:p w14:paraId="53FD2AD4">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4516" w:type="dxa"/>
            <w:tcBorders>
              <w:top w:val="single" w:color="auto" w:sz="4" w:space="0"/>
              <w:left w:val="single" w:color="auto" w:sz="4" w:space="0"/>
              <w:bottom w:val="single" w:color="auto" w:sz="4" w:space="0"/>
              <w:right w:val="single" w:color="auto" w:sz="4" w:space="0"/>
            </w:tcBorders>
            <w:noWrap w:val="0"/>
            <w:vAlign w:val="center"/>
          </w:tcPr>
          <w:p w14:paraId="0661126E">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835" w:type="dxa"/>
            <w:tcBorders>
              <w:top w:val="single" w:color="auto" w:sz="4" w:space="0"/>
              <w:left w:val="single" w:color="auto" w:sz="4" w:space="0"/>
              <w:bottom w:val="single" w:color="auto" w:sz="4" w:space="0"/>
              <w:right w:val="single" w:color="auto" w:sz="4" w:space="0"/>
            </w:tcBorders>
            <w:noWrap w:val="0"/>
            <w:vAlign w:val="center"/>
          </w:tcPr>
          <w:p w14:paraId="3FA08AD2">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2019" w:type="dxa"/>
            <w:tcBorders>
              <w:top w:val="single" w:color="auto" w:sz="4" w:space="0"/>
              <w:left w:val="single" w:color="auto" w:sz="4" w:space="0"/>
              <w:bottom w:val="single" w:color="auto" w:sz="4" w:space="0"/>
              <w:right w:val="single" w:color="auto" w:sz="4" w:space="0"/>
            </w:tcBorders>
            <w:noWrap w:val="0"/>
            <w:vAlign w:val="center"/>
          </w:tcPr>
          <w:p w14:paraId="19892395">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595" w:type="dxa"/>
            <w:tcBorders>
              <w:top w:val="single" w:color="auto" w:sz="4" w:space="0"/>
              <w:left w:val="single" w:color="auto" w:sz="4" w:space="0"/>
              <w:bottom w:val="single" w:color="auto" w:sz="4" w:space="0"/>
              <w:right w:val="single" w:color="auto" w:sz="12" w:space="0"/>
            </w:tcBorders>
            <w:noWrap w:val="0"/>
            <w:vAlign w:val="center"/>
          </w:tcPr>
          <w:p w14:paraId="1577E4DC">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r>
      <w:tr w14:paraId="356759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52" w:type="dxa"/>
            <w:tcBorders>
              <w:top w:val="single" w:color="auto" w:sz="4" w:space="0"/>
              <w:left w:val="single" w:color="auto" w:sz="12" w:space="0"/>
              <w:bottom w:val="single" w:color="auto" w:sz="12" w:space="0"/>
              <w:right w:val="single" w:color="auto" w:sz="4" w:space="0"/>
            </w:tcBorders>
            <w:noWrap w:val="0"/>
            <w:vAlign w:val="center"/>
          </w:tcPr>
          <w:p w14:paraId="279A9BC0">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偶发噪声</w:t>
            </w:r>
          </w:p>
        </w:tc>
        <w:tc>
          <w:tcPr>
            <w:tcW w:w="1366" w:type="dxa"/>
            <w:tcBorders>
              <w:top w:val="single" w:color="auto" w:sz="4" w:space="0"/>
              <w:left w:val="single" w:color="auto" w:sz="4" w:space="0"/>
              <w:bottom w:val="single" w:color="auto" w:sz="12" w:space="0"/>
              <w:right w:val="single" w:color="auto" w:sz="4" w:space="0"/>
            </w:tcBorders>
            <w:noWrap w:val="0"/>
            <w:vAlign w:val="center"/>
          </w:tcPr>
          <w:p w14:paraId="673D7FC5">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291" w:type="dxa"/>
            <w:tcBorders>
              <w:top w:val="single" w:color="auto" w:sz="4" w:space="0"/>
              <w:left w:val="single" w:color="auto" w:sz="4" w:space="0"/>
              <w:bottom w:val="single" w:color="auto" w:sz="12" w:space="0"/>
              <w:right w:val="single" w:color="auto" w:sz="4" w:space="0"/>
            </w:tcBorders>
            <w:noWrap w:val="0"/>
            <w:vAlign w:val="center"/>
          </w:tcPr>
          <w:p w14:paraId="01F114DA">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4516" w:type="dxa"/>
            <w:tcBorders>
              <w:top w:val="single" w:color="auto" w:sz="4" w:space="0"/>
              <w:left w:val="single" w:color="auto" w:sz="4" w:space="0"/>
              <w:bottom w:val="single" w:color="auto" w:sz="12" w:space="0"/>
              <w:right w:val="single" w:color="auto" w:sz="4" w:space="0"/>
            </w:tcBorders>
            <w:noWrap w:val="0"/>
            <w:vAlign w:val="center"/>
          </w:tcPr>
          <w:p w14:paraId="3D827E5E">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835" w:type="dxa"/>
            <w:tcBorders>
              <w:top w:val="single" w:color="auto" w:sz="4" w:space="0"/>
              <w:left w:val="single" w:color="auto" w:sz="4" w:space="0"/>
              <w:bottom w:val="single" w:color="auto" w:sz="12" w:space="0"/>
              <w:right w:val="single" w:color="auto" w:sz="4" w:space="0"/>
            </w:tcBorders>
            <w:noWrap w:val="0"/>
            <w:vAlign w:val="center"/>
          </w:tcPr>
          <w:p w14:paraId="71D917BD">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2019" w:type="dxa"/>
            <w:tcBorders>
              <w:top w:val="single" w:color="auto" w:sz="4" w:space="0"/>
              <w:left w:val="single" w:color="auto" w:sz="4" w:space="0"/>
              <w:bottom w:val="single" w:color="auto" w:sz="12" w:space="0"/>
              <w:right w:val="single" w:color="auto" w:sz="4" w:space="0"/>
            </w:tcBorders>
            <w:noWrap w:val="0"/>
            <w:vAlign w:val="center"/>
          </w:tcPr>
          <w:p w14:paraId="04895547">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595" w:type="dxa"/>
            <w:tcBorders>
              <w:top w:val="single" w:color="auto" w:sz="4" w:space="0"/>
              <w:left w:val="single" w:color="auto" w:sz="4" w:space="0"/>
              <w:bottom w:val="single" w:color="auto" w:sz="12" w:space="0"/>
              <w:right w:val="single" w:color="auto" w:sz="12" w:space="0"/>
            </w:tcBorders>
            <w:noWrap w:val="0"/>
            <w:vAlign w:val="center"/>
          </w:tcPr>
          <w:p w14:paraId="3DE7355C">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r>
    </w:tbl>
    <w:p w14:paraId="5E515B93">
      <w:pPr>
        <w:pStyle w:val="23"/>
        <w:widowControl/>
        <w:shd w:val="clear" w:color="auto" w:fill="FFFFFF"/>
        <w:spacing w:before="0" w:beforeAutospacing="0" w:after="0" w:afterAutospacing="0"/>
        <w:jc w:val="center"/>
        <w:rPr>
          <w:rFonts w:hint="eastAsia" w:ascii="Times New Roman" w:hAnsi="Times New Roman" w:eastAsia="宋体" w:cs="Times New Roman"/>
          <w:b/>
          <w:color w:val="auto"/>
          <w:kern w:val="2"/>
          <w:sz w:val="30"/>
          <w:szCs w:val="30"/>
          <w:lang w:val="en-US" w:eastAsia="zh-CN" w:bidi="ar-SA"/>
        </w:rPr>
      </w:pPr>
      <w:r>
        <w:rPr>
          <w:rFonts w:hint="eastAsia" w:ascii="Times New Roman" w:hAnsi="Times New Roman" w:eastAsia="宋体" w:cs="Times New Roman"/>
          <w:b/>
          <w:color w:val="auto"/>
          <w:kern w:val="2"/>
          <w:sz w:val="30"/>
          <w:szCs w:val="30"/>
          <w:lang w:val="en-US" w:eastAsia="zh-CN" w:bidi="ar-SA"/>
        </w:rPr>
        <w:t>表13  建设项目固体废物（一般固体废物和危险固体废物）排放信息表</w:t>
      </w:r>
    </w:p>
    <w:tbl>
      <w:tblPr>
        <w:tblStyle w:val="2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37"/>
        <w:gridCol w:w="722"/>
        <w:gridCol w:w="1239"/>
        <w:gridCol w:w="995"/>
        <w:gridCol w:w="993"/>
        <w:gridCol w:w="1305"/>
        <w:gridCol w:w="1109"/>
        <w:gridCol w:w="1022"/>
        <w:gridCol w:w="1002"/>
        <w:gridCol w:w="1109"/>
        <w:gridCol w:w="853"/>
        <w:gridCol w:w="1089"/>
        <w:gridCol w:w="1088"/>
        <w:gridCol w:w="871"/>
        <w:gridCol w:w="486"/>
      </w:tblGrid>
      <w:tr w14:paraId="4093E4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7" w:type="dxa"/>
            <w:vMerge w:val="restart"/>
            <w:tcBorders>
              <w:top w:val="single" w:color="auto" w:sz="12" w:space="0"/>
              <w:left w:val="single" w:color="auto" w:sz="12" w:space="0"/>
              <w:bottom w:val="single" w:color="auto" w:sz="4" w:space="0"/>
              <w:right w:val="single" w:color="auto" w:sz="4" w:space="0"/>
            </w:tcBorders>
            <w:noWrap w:val="0"/>
            <w:vAlign w:val="center"/>
          </w:tcPr>
          <w:p w14:paraId="442543E7">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序</w:t>
            </w:r>
          </w:p>
          <w:p w14:paraId="6723BF3D">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号</w:t>
            </w:r>
          </w:p>
        </w:tc>
        <w:tc>
          <w:tcPr>
            <w:tcW w:w="722" w:type="dxa"/>
            <w:vMerge w:val="restart"/>
            <w:tcBorders>
              <w:top w:val="single" w:color="auto" w:sz="12" w:space="0"/>
              <w:left w:val="single" w:color="auto" w:sz="4" w:space="0"/>
              <w:bottom w:val="single" w:color="auto" w:sz="4" w:space="0"/>
              <w:right w:val="single" w:color="auto" w:sz="4" w:space="0"/>
            </w:tcBorders>
            <w:noWrap w:val="0"/>
            <w:vAlign w:val="center"/>
          </w:tcPr>
          <w:p w14:paraId="405DCC45">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固体废物来源</w:t>
            </w:r>
          </w:p>
        </w:tc>
        <w:tc>
          <w:tcPr>
            <w:tcW w:w="1239" w:type="dxa"/>
            <w:vMerge w:val="restart"/>
            <w:tcBorders>
              <w:top w:val="single" w:color="auto" w:sz="12" w:space="0"/>
              <w:left w:val="single" w:color="auto" w:sz="4" w:space="0"/>
              <w:bottom w:val="single" w:color="auto" w:sz="4" w:space="0"/>
              <w:right w:val="single" w:color="auto" w:sz="4" w:space="0"/>
            </w:tcBorders>
            <w:noWrap w:val="0"/>
            <w:vAlign w:val="center"/>
          </w:tcPr>
          <w:p w14:paraId="1E62344D">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固体废物名称</w:t>
            </w:r>
          </w:p>
        </w:tc>
        <w:tc>
          <w:tcPr>
            <w:tcW w:w="995" w:type="dxa"/>
            <w:vMerge w:val="restart"/>
            <w:tcBorders>
              <w:top w:val="single" w:color="auto" w:sz="12" w:space="0"/>
              <w:left w:val="single" w:color="auto" w:sz="4" w:space="0"/>
              <w:bottom w:val="single" w:color="auto" w:sz="4" w:space="0"/>
              <w:right w:val="single" w:color="auto" w:sz="4" w:space="0"/>
            </w:tcBorders>
            <w:noWrap w:val="0"/>
            <w:vAlign w:val="center"/>
          </w:tcPr>
          <w:p w14:paraId="431E8EC0">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固体废物</w:t>
            </w:r>
          </w:p>
          <w:p w14:paraId="59BE2306">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种类</w:t>
            </w:r>
          </w:p>
        </w:tc>
        <w:tc>
          <w:tcPr>
            <w:tcW w:w="993" w:type="dxa"/>
            <w:vMerge w:val="restart"/>
            <w:tcBorders>
              <w:top w:val="single" w:color="auto" w:sz="12" w:space="0"/>
              <w:left w:val="single" w:color="auto" w:sz="4" w:space="0"/>
              <w:bottom w:val="single" w:color="auto" w:sz="4" w:space="0"/>
              <w:right w:val="single" w:color="auto" w:sz="6" w:space="0"/>
            </w:tcBorders>
            <w:noWrap w:val="0"/>
            <w:vAlign w:val="center"/>
          </w:tcPr>
          <w:p w14:paraId="1F6E796F">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固体废物</w:t>
            </w:r>
          </w:p>
          <w:p w14:paraId="591EDD84">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类别</w:t>
            </w:r>
          </w:p>
        </w:tc>
        <w:tc>
          <w:tcPr>
            <w:tcW w:w="1305" w:type="dxa"/>
            <w:vMerge w:val="restart"/>
            <w:tcBorders>
              <w:top w:val="single" w:color="auto" w:sz="12" w:space="0"/>
              <w:left w:val="single" w:color="auto" w:sz="6" w:space="0"/>
              <w:bottom w:val="single" w:color="auto" w:sz="4" w:space="0"/>
              <w:right w:val="single" w:color="auto" w:sz="4" w:space="0"/>
            </w:tcBorders>
            <w:noWrap w:val="0"/>
            <w:vAlign w:val="center"/>
          </w:tcPr>
          <w:p w14:paraId="3C253B42">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固体废物描述</w:t>
            </w:r>
          </w:p>
        </w:tc>
        <w:tc>
          <w:tcPr>
            <w:tcW w:w="1109" w:type="dxa"/>
            <w:vMerge w:val="restart"/>
            <w:tcBorders>
              <w:top w:val="single" w:color="auto" w:sz="12" w:space="0"/>
              <w:left w:val="single" w:color="auto" w:sz="6" w:space="0"/>
              <w:bottom w:val="single" w:color="auto" w:sz="4" w:space="0"/>
              <w:right w:val="single" w:color="auto" w:sz="4" w:space="0"/>
            </w:tcBorders>
            <w:noWrap w:val="0"/>
            <w:vAlign w:val="center"/>
          </w:tcPr>
          <w:p w14:paraId="2022E796">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固体废物产生量</w:t>
            </w:r>
          </w:p>
        </w:tc>
        <w:tc>
          <w:tcPr>
            <w:tcW w:w="1022" w:type="dxa"/>
            <w:vMerge w:val="restart"/>
            <w:tcBorders>
              <w:top w:val="single" w:color="auto" w:sz="12" w:space="0"/>
              <w:left w:val="single" w:color="auto" w:sz="6" w:space="0"/>
              <w:bottom w:val="single" w:color="auto" w:sz="4" w:space="0"/>
              <w:right w:val="single" w:color="auto" w:sz="4" w:space="0"/>
            </w:tcBorders>
            <w:noWrap w:val="0"/>
            <w:vAlign w:val="center"/>
          </w:tcPr>
          <w:p w14:paraId="06104EC9">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处理方式</w:t>
            </w:r>
          </w:p>
        </w:tc>
        <w:tc>
          <w:tcPr>
            <w:tcW w:w="6012" w:type="dxa"/>
            <w:gridSpan w:val="6"/>
            <w:tcBorders>
              <w:top w:val="single" w:color="auto" w:sz="12" w:space="0"/>
              <w:left w:val="single" w:color="auto" w:sz="4" w:space="0"/>
              <w:bottom w:val="single" w:color="auto" w:sz="6" w:space="0"/>
              <w:right w:val="single" w:color="auto" w:sz="4" w:space="0"/>
            </w:tcBorders>
            <w:noWrap w:val="0"/>
            <w:vAlign w:val="center"/>
          </w:tcPr>
          <w:p w14:paraId="7A3E0250">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处理去向</w:t>
            </w:r>
          </w:p>
        </w:tc>
        <w:tc>
          <w:tcPr>
            <w:tcW w:w="486" w:type="dxa"/>
            <w:vMerge w:val="restart"/>
            <w:tcBorders>
              <w:top w:val="single" w:color="auto" w:sz="12" w:space="0"/>
              <w:left w:val="single" w:color="auto" w:sz="4" w:space="0"/>
              <w:bottom w:val="single" w:color="auto" w:sz="4" w:space="0"/>
              <w:right w:val="single" w:color="auto" w:sz="12" w:space="0"/>
            </w:tcBorders>
            <w:noWrap w:val="0"/>
            <w:vAlign w:val="center"/>
          </w:tcPr>
          <w:p w14:paraId="64A7EECD">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其他</w:t>
            </w:r>
          </w:p>
          <w:p w14:paraId="15D61791">
            <w:pPr>
              <w:adjustRightInd w:val="0"/>
              <w:snapToGrid w:val="0"/>
              <w:ind w:left="-107" w:leftChars="-51" w:right="-107" w:rightChars="-51"/>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信息</w:t>
            </w:r>
          </w:p>
        </w:tc>
      </w:tr>
      <w:tr w14:paraId="437DC8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auto" w:sz="12" w:space="0"/>
              <w:left w:val="single" w:color="auto" w:sz="12" w:space="0"/>
              <w:bottom w:val="single" w:color="auto" w:sz="4" w:space="0"/>
              <w:right w:val="single" w:color="auto" w:sz="4" w:space="0"/>
            </w:tcBorders>
            <w:noWrap w:val="0"/>
            <w:vAlign w:val="center"/>
          </w:tcPr>
          <w:p w14:paraId="0E288E95">
            <w:pPr>
              <w:widowControl/>
              <w:jc w:val="left"/>
              <w:rPr>
                <w:rFonts w:hint="default" w:ascii="Times New Roman" w:hAnsi="Times New Roman" w:eastAsia="仿宋" w:cs="Times New Roman"/>
                <w:b/>
                <w:color w:val="FF0000"/>
                <w:sz w:val="18"/>
                <w:szCs w:val="18"/>
              </w:rPr>
            </w:pPr>
          </w:p>
        </w:tc>
        <w:tc>
          <w:tcPr>
            <w:tcW w:w="722" w:type="dxa"/>
            <w:vMerge w:val="continue"/>
            <w:tcBorders>
              <w:top w:val="single" w:color="auto" w:sz="12" w:space="0"/>
              <w:left w:val="single" w:color="auto" w:sz="4" w:space="0"/>
              <w:bottom w:val="single" w:color="auto" w:sz="4" w:space="0"/>
              <w:right w:val="single" w:color="auto" w:sz="4" w:space="0"/>
            </w:tcBorders>
            <w:noWrap w:val="0"/>
            <w:vAlign w:val="center"/>
          </w:tcPr>
          <w:p w14:paraId="55CBA5D7">
            <w:pPr>
              <w:widowControl/>
              <w:jc w:val="left"/>
              <w:rPr>
                <w:rFonts w:hint="default" w:ascii="Times New Roman" w:hAnsi="Times New Roman" w:eastAsia="仿宋" w:cs="Times New Roman"/>
                <w:b/>
                <w:color w:val="FF0000"/>
                <w:sz w:val="18"/>
                <w:szCs w:val="18"/>
              </w:rPr>
            </w:pPr>
          </w:p>
        </w:tc>
        <w:tc>
          <w:tcPr>
            <w:tcW w:w="1239" w:type="dxa"/>
            <w:vMerge w:val="continue"/>
            <w:tcBorders>
              <w:top w:val="single" w:color="auto" w:sz="12" w:space="0"/>
              <w:left w:val="single" w:color="auto" w:sz="4" w:space="0"/>
              <w:bottom w:val="single" w:color="auto" w:sz="4" w:space="0"/>
              <w:right w:val="single" w:color="auto" w:sz="4" w:space="0"/>
            </w:tcBorders>
            <w:noWrap w:val="0"/>
            <w:vAlign w:val="center"/>
          </w:tcPr>
          <w:p w14:paraId="2E178FFB">
            <w:pPr>
              <w:widowControl/>
              <w:jc w:val="left"/>
              <w:rPr>
                <w:rFonts w:hint="default" w:ascii="Times New Roman" w:hAnsi="Times New Roman" w:eastAsia="仿宋" w:cs="Times New Roman"/>
                <w:b/>
                <w:color w:val="FF0000"/>
                <w:sz w:val="18"/>
                <w:szCs w:val="18"/>
              </w:rPr>
            </w:pPr>
          </w:p>
        </w:tc>
        <w:tc>
          <w:tcPr>
            <w:tcW w:w="0" w:type="auto"/>
            <w:vMerge w:val="continue"/>
            <w:tcBorders>
              <w:top w:val="single" w:color="auto" w:sz="12" w:space="0"/>
              <w:left w:val="single" w:color="auto" w:sz="4" w:space="0"/>
              <w:bottom w:val="single" w:color="auto" w:sz="4" w:space="0"/>
              <w:right w:val="single" w:color="auto" w:sz="4" w:space="0"/>
            </w:tcBorders>
            <w:noWrap w:val="0"/>
            <w:vAlign w:val="center"/>
          </w:tcPr>
          <w:p w14:paraId="18A768EC">
            <w:pPr>
              <w:widowControl/>
              <w:jc w:val="left"/>
              <w:rPr>
                <w:rFonts w:hint="default" w:ascii="Times New Roman" w:hAnsi="Times New Roman" w:eastAsia="仿宋" w:cs="Times New Roman"/>
                <w:b/>
                <w:color w:val="FF0000"/>
                <w:sz w:val="18"/>
                <w:szCs w:val="18"/>
              </w:rPr>
            </w:pPr>
          </w:p>
        </w:tc>
        <w:tc>
          <w:tcPr>
            <w:tcW w:w="0" w:type="auto"/>
            <w:vMerge w:val="continue"/>
            <w:tcBorders>
              <w:top w:val="single" w:color="auto" w:sz="12" w:space="0"/>
              <w:left w:val="single" w:color="auto" w:sz="4" w:space="0"/>
              <w:bottom w:val="single" w:color="auto" w:sz="4" w:space="0"/>
              <w:right w:val="single" w:color="auto" w:sz="6" w:space="0"/>
            </w:tcBorders>
            <w:noWrap w:val="0"/>
            <w:vAlign w:val="center"/>
          </w:tcPr>
          <w:p w14:paraId="7A379074">
            <w:pPr>
              <w:widowControl/>
              <w:jc w:val="left"/>
              <w:rPr>
                <w:rFonts w:hint="default" w:ascii="Times New Roman" w:hAnsi="Times New Roman" w:eastAsia="仿宋" w:cs="Times New Roman"/>
                <w:b/>
                <w:color w:val="FF0000"/>
                <w:sz w:val="18"/>
                <w:szCs w:val="18"/>
              </w:rPr>
            </w:pPr>
          </w:p>
        </w:tc>
        <w:tc>
          <w:tcPr>
            <w:tcW w:w="0" w:type="auto"/>
            <w:vMerge w:val="continue"/>
            <w:tcBorders>
              <w:top w:val="single" w:color="auto" w:sz="12" w:space="0"/>
              <w:left w:val="single" w:color="auto" w:sz="6" w:space="0"/>
              <w:bottom w:val="single" w:color="auto" w:sz="4" w:space="0"/>
              <w:right w:val="single" w:color="auto" w:sz="4" w:space="0"/>
            </w:tcBorders>
            <w:noWrap w:val="0"/>
            <w:vAlign w:val="center"/>
          </w:tcPr>
          <w:p w14:paraId="3FD7D188">
            <w:pPr>
              <w:widowControl/>
              <w:jc w:val="left"/>
              <w:rPr>
                <w:rFonts w:hint="default" w:ascii="Times New Roman" w:hAnsi="Times New Roman" w:eastAsia="仿宋" w:cs="Times New Roman"/>
                <w:b/>
                <w:color w:val="FF0000"/>
                <w:sz w:val="18"/>
                <w:szCs w:val="18"/>
              </w:rPr>
            </w:pPr>
          </w:p>
        </w:tc>
        <w:tc>
          <w:tcPr>
            <w:tcW w:w="1109" w:type="dxa"/>
            <w:vMerge w:val="continue"/>
            <w:tcBorders>
              <w:top w:val="single" w:color="auto" w:sz="12" w:space="0"/>
              <w:left w:val="single" w:color="auto" w:sz="6" w:space="0"/>
              <w:bottom w:val="single" w:color="auto" w:sz="4" w:space="0"/>
              <w:right w:val="single" w:color="auto" w:sz="4" w:space="0"/>
            </w:tcBorders>
            <w:noWrap w:val="0"/>
            <w:vAlign w:val="center"/>
          </w:tcPr>
          <w:p w14:paraId="70B6C7E9">
            <w:pPr>
              <w:widowControl/>
              <w:jc w:val="left"/>
              <w:rPr>
                <w:rFonts w:hint="default" w:ascii="Times New Roman" w:hAnsi="Times New Roman" w:eastAsia="仿宋" w:cs="Times New Roman"/>
                <w:b/>
                <w:color w:val="FF0000"/>
                <w:sz w:val="18"/>
                <w:szCs w:val="18"/>
              </w:rPr>
            </w:pPr>
          </w:p>
        </w:tc>
        <w:tc>
          <w:tcPr>
            <w:tcW w:w="1022" w:type="dxa"/>
            <w:vMerge w:val="continue"/>
            <w:tcBorders>
              <w:top w:val="single" w:color="auto" w:sz="12" w:space="0"/>
              <w:left w:val="single" w:color="auto" w:sz="6" w:space="0"/>
              <w:bottom w:val="single" w:color="auto" w:sz="4" w:space="0"/>
              <w:right w:val="single" w:color="auto" w:sz="4" w:space="0"/>
            </w:tcBorders>
            <w:noWrap w:val="0"/>
            <w:vAlign w:val="center"/>
          </w:tcPr>
          <w:p w14:paraId="29A36A66">
            <w:pPr>
              <w:widowControl/>
              <w:jc w:val="left"/>
              <w:rPr>
                <w:rFonts w:hint="default" w:ascii="Times New Roman" w:hAnsi="Times New Roman" w:eastAsia="仿宋" w:cs="Times New Roman"/>
                <w:b/>
                <w:color w:val="FF0000"/>
                <w:sz w:val="18"/>
                <w:szCs w:val="18"/>
              </w:rPr>
            </w:pPr>
          </w:p>
        </w:tc>
        <w:tc>
          <w:tcPr>
            <w:tcW w:w="1002" w:type="dxa"/>
            <w:vMerge w:val="restart"/>
            <w:tcBorders>
              <w:top w:val="single" w:color="auto" w:sz="6" w:space="0"/>
              <w:left w:val="single" w:color="auto" w:sz="4" w:space="0"/>
              <w:bottom w:val="single" w:color="auto" w:sz="4" w:space="0"/>
              <w:right w:val="single" w:color="auto" w:sz="4" w:space="0"/>
            </w:tcBorders>
            <w:noWrap w:val="0"/>
            <w:vAlign w:val="center"/>
          </w:tcPr>
          <w:p w14:paraId="7DA073B1">
            <w:pPr>
              <w:pStyle w:val="127"/>
              <w:adjustRightInd w:val="0"/>
              <w:snapToGrid w:val="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自行贮存量</w:t>
            </w:r>
          </w:p>
        </w:tc>
        <w:tc>
          <w:tcPr>
            <w:tcW w:w="1109" w:type="dxa"/>
            <w:vMerge w:val="restart"/>
            <w:tcBorders>
              <w:top w:val="single" w:color="auto" w:sz="6" w:space="0"/>
              <w:left w:val="single" w:color="auto" w:sz="4" w:space="0"/>
              <w:bottom w:val="single" w:color="auto" w:sz="4" w:space="0"/>
              <w:right w:val="single" w:color="auto" w:sz="6" w:space="0"/>
            </w:tcBorders>
            <w:noWrap w:val="0"/>
            <w:vAlign w:val="center"/>
          </w:tcPr>
          <w:p w14:paraId="1DEFE3E2">
            <w:pPr>
              <w:pStyle w:val="127"/>
              <w:adjustRightInd w:val="0"/>
              <w:snapToGrid w:val="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自行利用</w:t>
            </w:r>
          </w:p>
        </w:tc>
        <w:tc>
          <w:tcPr>
            <w:tcW w:w="853" w:type="dxa"/>
            <w:vMerge w:val="restart"/>
            <w:tcBorders>
              <w:top w:val="single" w:color="auto" w:sz="6" w:space="0"/>
              <w:left w:val="single" w:color="auto" w:sz="4" w:space="0"/>
              <w:bottom w:val="single" w:color="auto" w:sz="4" w:space="0"/>
              <w:right w:val="single" w:color="auto" w:sz="6" w:space="0"/>
            </w:tcBorders>
            <w:noWrap w:val="0"/>
            <w:vAlign w:val="center"/>
          </w:tcPr>
          <w:p w14:paraId="3C360DE0">
            <w:pPr>
              <w:pStyle w:val="127"/>
              <w:adjustRightInd w:val="0"/>
              <w:snapToGrid w:val="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自行处置</w:t>
            </w:r>
          </w:p>
        </w:tc>
        <w:tc>
          <w:tcPr>
            <w:tcW w:w="2177" w:type="dxa"/>
            <w:gridSpan w:val="2"/>
            <w:tcBorders>
              <w:top w:val="single" w:color="auto" w:sz="6" w:space="0"/>
              <w:left w:val="single" w:color="auto" w:sz="6" w:space="0"/>
              <w:bottom w:val="single" w:color="auto" w:sz="6" w:space="0"/>
              <w:right w:val="single" w:color="auto" w:sz="4" w:space="0"/>
            </w:tcBorders>
            <w:noWrap w:val="0"/>
            <w:vAlign w:val="center"/>
          </w:tcPr>
          <w:p w14:paraId="42C8C22F">
            <w:pPr>
              <w:pStyle w:val="127"/>
              <w:adjustRightInd w:val="0"/>
              <w:snapToGrid w:val="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转移量</w:t>
            </w:r>
          </w:p>
        </w:tc>
        <w:tc>
          <w:tcPr>
            <w:tcW w:w="871" w:type="dxa"/>
            <w:vMerge w:val="restart"/>
            <w:tcBorders>
              <w:top w:val="single" w:color="auto" w:sz="6" w:space="0"/>
              <w:left w:val="single" w:color="auto" w:sz="6" w:space="0"/>
              <w:bottom w:val="single" w:color="auto" w:sz="4" w:space="0"/>
              <w:right w:val="single" w:color="auto" w:sz="4" w:space="0"/>
            </w:tcBorders>
            <w:noWrap w:val="0"/>
            <w:vAlign w:val="center"/>
          </w:tcPr>
          <w:p w14:paraId="7F4E35BA">
            <w:pPr>
              <w:pStyle w:val="127"/>
              <w:adjustRightInd w:val="0"/>
              <w:snapToGrid w:val="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排放量（t/a）</w:t>
            </w:r>
          </w:p>
        </w:tc>
        <w:tc>
          <w:tcPr>
            <w:tcW w:w="0" w:type="auto"/>
            <w:vMerge w:val="continue"/>
            <w:tcBorders>
              <w:top w:val="single" w:color="auto" w:sz="12" w:space="0"/>
              <w:left w:val="single" w:color="auto" w:sz="4" w:space="0"/>
              <w:bottom w:val="single" w:color="auto" w:sz="4" w:space="0"/>
              <w:right w:val="single" w:color="auto" w:sz="12" w:space="0"/>
            </w:tcBorders>
            <w:noWrap w:val="0"/>
            <w:vAlign w:val="center"/>
          </w:tcPr>
          <w:p w14:paraId="455B3019">
            <w:pPr>
              <w:widowControl/>
              <w:jc w:val="left"/>
              <w:rPr>
                <w:rFonts w:hint="default" w:ascii="Times New Roman" w:hAnsi="Times New Roman" w:eastAsia="仿宋" w:cs="Times New Roman"/>
                <w:b/>
                <w:color w:val="FF0000"/>
                <w:sz w:val="18"/>
                <w:szCs w:val="18"/>
              </w:rPr>
            </w:pPr>
          </w:p>
        </w:tc>
      </w:tr>
      <w:tr w14:paraId="664787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auto" w:sz="12" w:space="0"/>
              <w:left w:val="single" w:color="auto" w:sz="12" w:space="0"/>
              <w:bottom w:val="single" w:color="auto" w:sz="4" w:space="0"/>
              <w:right w:val="single" w:color="auto" w:sz="4" w:space="0"/>
            </w:tcBorders>
            <w:noWrap w:val="0"/>
            <w:vAlign w:val="center"/>
          </w:tcPr>
          <w:p w14:paraId="05996334">
            <w:pPr>
              <w:widowControl/>
              <w:jc w:val="left"/>
              <w:rPr>
                <w:rFonts w:hint="default" w:ascii="Times New Roman" w:hAnsi="Times New Roman" w:eastAsia="仿宋" w:cs="Times New Roman"/>
                <w:b/>
                <w:color w:val="FF0000"/>
                <w:sz w:val="18"/>
                <w:szCs w:val="18"/>
              </w:rPr>
            </w:pPr>
          </w:p>
        </w:tc>
        <w:tc>
          <w:tcPr>
            <w:tcW w:w="722" w:type="dxa"/>
            <w:vMerge w:val="continue"/>
            <w:tcBorders>
              <w:top w:val="single" w:color="auto" w:sz="12" w:space="0"/>
              <w:left w:val="single" w:color="auto" w:sz="4" w:space="0"/>
              <w:bottom w:val="single" w:color="auto" w:sz="4" w:space="0"/>
              <w:right w:val="single" w:color="auto" w:sz="4" w:space="0"/>
            </w:tcBorders>
            <w:noWrap w:val="0"/>
            <w:vAlign w:val="center"/>
          </w:tcPr>
          <w:p w14:paraId="33F6E91A">
            <w:pPr>
              <w:widowControl/>
              <w:jc w:val="left"/>
              <w:rPr>
                <w:rFonts w:hint="default" w:ascii="Times New Roman" w:hAnsi="Times New Roman" w:eastAsia="仿宋" w:cs="Times New Roman"/>
                <w:b/>
                <w:color w:val="FF0000"/>
                <w:sz w:val="18"/>
                <w:szCs w:val="18"/>
              </w:rPr>
            </w:pPr>
          </w:p>
        </w:tc>
        <w:tc>
          <w:tcPr>
            <w:tcW w:w="1239" w:type="dxa"/>
            <w:vMerge w:val="continue"/>
            <w:tcBorders>
              <w:top w:val="single" w:color="auto" w:sz="12" w:space="0"/>
              <w:left w:val="single" w:color="auto" w:sz="4" w:space="0"/>
              <w:bottom w:val="single" w:color="auto" w:sz="4" w:space="0"/>
              <w:right w:val="single" w:color="auto" w:sz="4" w:space="0"/>
            </w:tcBorders>
            <w:noWrap w:val="0"/>
            <w:vAlign w:val="center"/>
          </w:tcPr>
          <w:p w14:paraId="2588158F">
            <w:pPr>
              <w:widowControl/>
              <w:jc w:val="left"/>
              <w:rPr>
                <w:rFonts w:hint="default" w:ascii="Times New Roman" w:hAnsi="Times New Roman" w:eastAsia="仿宋" w:cs="Times New Roman"/>
                <w:b/>
                <w:color w:val="FF0000"/>
                <w:sz w:val="18"/>
                <w:szCs w:val="18"/>
              </w:rPr>
            </w:pPr>
          </w:p>
        </w:tc>
        <w:tc>
          <w:tcPr>
            <w:tcW w:w="0" w:type="auto"/>
            <w:vMerge w:val="continue"/>
            <w:tcBorders>
              <w:top w:val="single" w:color="auto" w:sz="12" w:space="0"/>
              <w:left w:val="single" w:color="auto" w:sz="4" w:space="0"/>
              <w:bottom w:val="single" w:color="auto" w:sz="4" w:space="0"/>
              <w:right w:val="single" w:color="auto" w:sz="4" w:space="0"/>
            </w:tcBorders>
            <w:noWrap w:val="0"/>
            <w:vAlign w:val="center"/>
          </w:tcPr>
          <w:p w14:paraId="3C232175">
            <w:pPr>
              <w:widowControl/>
              <w:jc w:val="left"/>
              <w:rPr>
                <w:rFonts w:hint="default" w:ascii="Times New Roman" w:hAnsi="Times New Roman" w:eastAsia="仿宋" w:cs="Times New Roman"/>
                <w:b/>
                <w:color w:val="FF0000"/>
                <w:sz w:val="18"/>
                <w:szCs w:val="18"/>
              </w:rPr>
            </w:pPr>
          </w:p>
        </w:tc>
        <w:tc>
          <w:tcPr>
            <w:tcW w:w="0" w:type="auto"/>
            <w:vMerge w:val="continue"/>
            <w:tcBorders>
              <w:top w:val="single" w:color="auto" w:sz="12" w:space="0"/>
              <w:left w:val="single" w:color="auto" w:sz="4" w:space="0"/>
              <w:bottom w:val="single" w:color="auto" w:sz="4" w:space="0"/>
              <w:right w:val="single" w:color="auto" w:sz="6" w:space="0"/>
            </w:tcBorders>
            <w:noWrap w:val="0"/>
            <w:vAlign w:val="center"/>
          </w:tcPr>
          <w:p w14:paraId="346BFC73">
            <w:pPr>
              <w:widowControl/>
              <w:jc w:val="left"/>
              <w:rPr>
                <w:rFonts w:hint="default" w:ascii="Times New Roman" w:hAnsi="Times New Roman" w:eastAsia="仿宋" w:cs="Times New Roman"/>
                <w:b/>
                <w:color w:val="FF0000"/>
                <w:sz w:val="18"/>
                <w:szCs w:val="18"/>
              </w:rPr>
            </w:pPr>
          </w:p>
        </w:tc>
        <w:tc>
          <w:tcPr>
            <w:tcW w:w="0" w:type="auto"/>
            <w:vMerge w:val="continue"/>
            <w:tcBorders>
              <w:top w:val="single" w:color="auto" w:sz="12" w:space="0"/>
              <w:left w:val="single" w:color="auto" w:sz="6" w:space="0"/>
              <w:bottom w:val="single" w:color="auto" w:sz="4" w:space="0"/>
              <w:right w:val="single" w:color="auto" w:sz="4" w:space="0"/>
            </w:tcBorders>
            <w:noWrap w:val="0"/>
            <w:vAlign w:val="center"/>
          </w:tcPr>
          <w:p w14:paraId="7CD50400">
            <w:pPr>
              <w:widowControl/>
              <w:jc w:val="left"/>
              <w:rPr>
                <w:rFonts w:hint="default" w:ascii="Times New Roman" w:hAnsi="Times New Roman" w:eastAsia="仿宋" w:cs="Times New Roman"/>
                <w:b/>
                <w:color w:val="FF0000"/>
                <w:sz w:val="18"/>
                <w:szCs w:val="18"/>
              </w:rPr>
            </w:pPr>
          </w:p>
        </w:tc>
        <w:tc>
          <w:tcPr>
            <w:tcW w:w="1109" w:type="dxa"/>
            <w:vMerge w:val="continue"/>
            <w:tcBorders>
              <w:top w:val="single" w:color="auto" w:sz="12" w:space="0"/>
              <w:left w:val="single" w:color="auto" w:sz="6" w:space="0"/>
              <w:bottom w:val="single" w:color="auto" w:sz="4" w:space="0"/>
              <w:right w:val="single" w:color="auto" w:sz="4" w:space="0"/>
            </w:tcBorders>
            <w:noWrap w:val="0"/>
            <w:vAlign w:val="center"/>
          </w:tcPr>
          <w:p w14:paraId="4312A482">
            <w:pPr>
              <w:widowControl/>
              <w:jc w:val="left"/>
              <w:rPr>
                <w:rFonts w:hint="default" w:ascii="Times New Roman" w:hAnsi="Times New Roman" w:eastAsia="仿宋" w:cs="Times New Roman"/>
                <w:b/>
                <w:color w:val="FF0000"/>
                <w:sz w:val="18"/>
                <w:szCs w:val="18"/>
              </w:rPr>
            </w:pPr>
          </w:p>
        </w:tc>
        <w:tc>
          <w:tcPr>
            <w:tcW w:w="1022" w:type="dxa"/>
            <w:vMerge w:val="continue"/>
            <w:tcBorders>
              <w:top w:val="single" w:color="auto" w:sz="12" w:space="0"/>
              <w:left w:val="single" w:color="auto" w:sz="6" w:space="0"/>
              <w:bottom w:val="single" w:color="auto" w:sz="4" w:space="0"/>
              <w:right w:val="single" w:color="auto" w:sz="4" w:space="0"/>
            </w:tcBorders>
            <w:noWrap w:val="0"/>
            <w:vAlign w:val="center"/>
          </w:tcPr>
          <w:p w14:paraId="207C5169">
            <w:pPr>
              <w:widowControl/>
              <w:jc w:val="left"/>
              <w:rPr>
                <w:rFonts w:hint="default" w:ascii="Times New Roman" w:hAnsi="Times New Roman" w:eastAsia="仿宋" w:cs="Times New Roman"/>
                <w:b/>
                <w:color w:val="FF0000"/>
                <w:sz w:val="18"/>
                <w:szCs w:val="18"/>
              </w:rPr>
            </w:pPr>
          </w:p>
        </w:tc>
        <w:tc>
          <w:tcPr>
            <w:tcW w:w="1002" w:type="dxa"/>
            <w:vMerge w:val="continue"/>
            <w:tcBorders>
              <w:top w:val="single" w:color="auto" w:sz="6" w:space="0"/>
              <w:left w:val="single" w:color="auto" w:sz="4" w:space="0"/>
              <w:bottom w:val="single" w:color="auto" w:sz="4" w:space="0"/>
              <w:right w:val="single" w:color="auto" w:sz="4" w:space="0"/>
            </w:tcBorders>
            <w:noWrap w:val="0"/>
            <w:vAlign w:val="center"/>
          </w:tcPr>
          <w:p w14:paraId="1B186255">
            <w:pPr>
              <w:widowControl/>
              <w:jc w:val="left"/>
              <w:rPr>
                <w:rFonts w:hint="default" w:ascii="Times New Roman" w:hAnsi="Times New Roman" w:eastAsia="仿宋" w:cs="Times New Roman"/>
                <w:b/>
                <w:color w:val="FF0000"/>
                <w:sz w:val="18"/>
                <w:szCs w:val="18"/>
              </w:rPr>
            </w:pPr>
          </w:p>
        </w:tc>
        <w:tc>
          <w:tcPr>
            <w:tcW w:w="0" w:type="auto"/>
            <w:vMerge w:val="continue"/>
            <w:tcBorders>
              <w:top w:val="single" w:color="auto" w:sz="6" w:space="0"/>
              <w:left w:val="single" w:color="auto" w:sz="4" w:space="0"/>
              <w:bottom w:val="single" w:color="auto" w:sz="4" w:space="0"/>
              <w:right w:val="single" w:color="auto" w:sz="6" w:space="0"/>
            </w:tcBorders>
            <w:noWrap w:val="0"/>
            <w:vAlign w:val="center"/>
          </w:tcPr>
          <w:p w14:paraId="2D3C43E2">
            <w:pPr>
              <w:widowControl/>
              <w:jc w:val="left"/>
              <w:rPr>
                <w:rFonts w:hint="default" w:ascii="Times New Roman" w:hAnsi="Times New Roman" w:eastAsia="仿宋" w:cs="Times New Roman"/>
                <w:b/>
                <w:color w:val="FF0000"/>
                <w:sz w:val="18"/>
                <w:szCs w:val="18"/>
              </w:rPr>
            </w:pPr>
          </w:p>
        </w:tc>
        <w:tc>
          <w:tcPr>
            <w:tcW w:w="0" w:type="auto"/>
            <w:vMerge w:val="continue"/>
            <w:tcBorders>
              <w:top w:val="single" w:color="auto" w:sz="6" w:space="0"/>
              <w:left w:val="single" w:color="auto" w:sz="4" w:space="0"/>
              <w:bottom w:val="single" w:color="auto" w:sz="4" w:space="0"/>
              <w:right w:val="single" w:color="auto" w:sz="6" w:space="0"/>
            </w:tcBorders>
            <w:noWrap w:val="0"/>
            <w:vAlign w:val="center"/>
          </w:tcPr>
          <w:p w14:paraId="1F433D00">
            <w:pPr>
              <w:widowControl/>
              <w:jc w:val="left"/>
              <w:rPr>
                <w:rFonts w:hint="default" w:ascii="Times New Roman" w:hAnsi="Times New Roman" w:eastAsia="仿宋" w:cs="Times New Roman"/>
                <w:b/>
                <w:color w:val="FF0000"/>
                <w:sz w:val="18"/>
                <w:szCs w:val="18"/>
              </w:rPr>
            </w:pPr>
          </w:p>
        </w:tc>
        <w:tc>
          <w:tcPr>
            <w:tcW w:w="1089" w:type="dxa"/>
            <w:tcBorders>
              <w:top w:val="single" w:color="auto" w:sz="6" w:space="0"/>
              <w:left w:val="single" w:color="auto" w:sz="6" w:space="0"/>
              <w:bottom w:val="single" w:color="auto" w:sz="4" w:space="0"/>
              <w:right w:val="single" w:color="auto" w:sz="4" w:space="0"/>
            </w:tcBorders>
            <w:noWrap w:val="0"/>
            <w:vAlign w:val="center"/>
          </w:tcPr>
          <w:p w14:paraId="6F2086B3">
            <w:pPr>
              <w:pStyle w:val="127"/>
              <w:adjustRightInd w:val="0"/>
              <w:snapToGrid w:val="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委托利用量</w:t>
            </w:r>
          </w:p>
        </w:tc>
        <w:tc>
          <w:tcPr>
            <w:tcW w:w="1088" w:type="dxa"/>
            <w:tcBorders>
              <w:top w:val="single" w:color="auto" w:sz="6" w:space="0"/>
              <w:left w:val="single" w:color="auto" w:sz="6" w:space="0"/>
              <w:bottom w:val="single" w:color="auto" w:sz="4" w:space="0"/>
              <w:right w:val="single" w:color="auto" w:sz="4" w:space="0"/>
            </w:tcBorders>
            <w:noWrap w:val="0"/>
            <w:vAlign w:val="center"/>
          </w:tcPr>
          <w:p w14:paraId="43E54681">
            <w:pPr>
              <w:pStyle w:val="127"/>
              <w:adjustRightInd w:val="0"/>
              <w:snapToGrid w:val="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委托处置量</w:t>
            </w:r>
          </w:p>
        </w:tc>
        <w:tc>
          <w:tcPr>
            <w:tcW w:w="0" w:type="auto"/>
            <w:vMerge w:val="continue"/>
            <w:tcBorders>
              <w:top w:val="single" w:color="auto" w:sz="6" w:space="0"/>
              <w:left w:val="single" w:color="auto" w:sz="6" w:space="0"/>
              <w:bottom w:val="single" w:color="auto" w:sz="4" w:space="0"/>
              <w:right w:val="single" w:color="auto" w:sz="4" w:space="0"/>
            </w:tcBorders>
            <w:noWrap w:val="0"/>
            <w:vAlign w:val="center"/>
          </w:tcPr>
          <w:p w14:paraId="37DB6C94">
            <w:pPr>
              <w:widowControl/>
              <w:jc w:val="left"/>
              <w:rPr>
                <w:rFonts w:hint="default" w:ascii="Times New Roman" w:hAnsi="Times New Roman" w:eastAsia="仿宋" w:cs="Times New Roman"/>
                <w:b/>
                <w:color w:val="FF0000"/>
                <w:sz w:val="18"/>
                <w:szCs w:val="18"/>
              </w:rPr>
            </w:pPr>
          </w:p>
        </w:tc>
        <w:tc>
          <w:tcPr>
            <w:tcW w:w="0" w:type="auto"/>
            <w:vMerge w:val="continue"/>
            <w:tcBorders>
              <w:top w:val="single" w:color="auto" w:sz="12" w:space="0"/>
              <w:left w:val="single" w:color="auto" w:sz="4" w:space="0"/>
              <w:bottom w:val="single" w:color="auto" w:sz="4" w:space="0"/>
              <w:right w:val="single" w:color="auto" w:sz="12" w:space="0"/>
            </w:tcBorders>
            <w:noWrap w:val="0"/>
            <w:vAlign w:val="center"/>
          </w:tcPr>
          <w:p w14:paraId="177FE096">
            <w:pPr>
              <w:widowControl/>
              <w:jc w:val="left"/>
              <w:rPr>
                <w:rFonts w:hint="default" w:ascii="Times New Roman" w:hAnsi="Times New Roman" w:eastAsia="仿宋" w:cs="Times New Roman"/>
                <w:b/>
                <w:color w:val="FF0000"/>
                <w:sz w:val="18"/>
                <w:szCs w:val="18"/>
              </w:rPr>
            </w:pPr>
          </w:p>
        </w:tc>
      </w:tr>
      <w:tr w14:paraId="4B27D2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337" w:type="dxa"/>
            <w:tcBorders>
              <w:top w:val="single" w:color="auto" w:sz="4" w:space="0"/>
              <w:left w:val="single" w:color="auto" w:sz="12" w:space="0"/>
              <w:bottom w:val="single" w:color="auto" w:sz="4" w:space="0"/>
              <w:right w:val="single" w:color="auto" w:sz="4" w:space="0"/>
            </w:tcBorders>
            <w:noWrap w:val="0"/>
            <w:vAlign w:val="center"/>
          </w:tcPr>
          <w:p w14:paraId="09E65092">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0B0BA01C">
            <w:pPr>
              <w:keepNext w:val="0"/>
              <w:keepLines w:val="0"/>
              <w:pageBreakBefore w:val="0"/>
              <w:widowControl w:val="0"/>
              <w:bidi w:val="0"/>
              <w:spacing w:beforeAutospacing="0" w:afterAutospacing="0"/>
              <w:ind w:left="0" w:leftChars="0" w:right="0" w:rightChars="0"/>
              <w:jc w:val="center"/>
              <w:rPr>
                <w:rFonts w:hint="eastAsia"/>
                <w:szCs w:val="21"/>
                <w:lang w:eastAsia="zh-CN"/>
              </w:rPr>
            </w:pPr>
            <w:r>
              <w:rPr>
                <w:rFonts w:hint="eastAsia"/>
                <w:szCs w:val="21"/>
                <w:lang w:eastAsia="zh-CN"/>
              </w:rPr>
              <w:t>职工生活</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1BFA65D1">
            <w:pPr>
              <w:jc w:val="center"/>
              <w:rPr>
                <w:rFonts w:hint="eastAsia"/>
                <w:szCs w:val="21"/>
                <w:lang w:eastAsia="zh-CN"/>
              </w:rPr>
            </w:pPr>
            <w:r>
              <w:rPr>
                <w:rFonts w:hint="eastAsia"/>
                <w:color w:val="auto"/>
                <w:szCs w:val="21"/>
                <w:lang w:val="en-US" w:eastAsia="zh-CN"/>
              </w:rPr>
              <w:t>生活垃圾</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7065076C">
            <w:pPr>
              <w:keepNext w:val="0"/>
              <w:keepLines w:val="0"/>
              <w:pageBreakBefore w:val="0"/>
              <w:widowControl w:val="0"/>
              <w:bidi w:val="0"/>
              <w:spacing w:beforeAutospacing="0" w:afterAutospacing="0"/>
              <w:ind w:left="0" w:leftChars="0" w:right="0" w:rightChars="0"/>
              <w:jc w:val="center"/>
              <w:rPr>
                <w:rFonts w:hint="default" w:cs="Times New Roman"/>
                <w:color w:val="auto"/>
                <w:sz w:val="21"/>
                <w:szCs w:val="21"/>
                <w:lang w:val="en-US" w:eastAsia="zh-CN"/>
              </w:rPr>
            </w:pPr>
            <w:r>
              <w:rPr>
                <w:rFonts w:hint="eastAsia"/>
                <w:szCs w:val="21"/>
                <w:lang w:eastAsia="zh-CN"/>
              </w:rPr>
              <w:t>生活垃圾</w:t>
            </w:r>
          </w:p>
        </w:tc>
        <w:tc>
          <w:tcPr>
            <w:tcW w:w="993" w:type="dxa"/>
            <w:tcBorders>
              <w:top w:val="single" w:color="auto" w:sz="4" w:space="0"/>
              <w:left w:val="single" w:color="auto" w:sz="4" w:space="0"/>
              <w:bottom w:val="single" w:color="auto" w:sz="4" w:space="0"/>
              <w:right w:val="single" w:color="auto" w:sz="6" w:space="0"/>
            </w:tcBorders>
            <w:noWrap w:val="0"/>
            <w:vAlign w:val="center"/>
          </w:tcPr>
          <w:p w14:paraId="52C8C571">
            <w:pPr>
              <w:keepNext w:val="0"/>
              <w:keepLines w:val="0"/>
              <w:pageBreakBefore w:val="0"/>
              <w:widowControl w:val="0"/>
              <w:bidi w:val="0"/>
              <w:spacing w:beforeAutospacing="0" w:afterAutospacing="0"/>
              <w:ind w:left="0" w:leftChars="0" w:right="0" w:rightChars="0"/>
              <w:jc w:val="center"/>
              <w:rPr>
                <w:rFonts w:hint="eastAsia" w:cs="Times New Roman"/>
                <w:color w:val="auto"/>
                <w:sz w:val="21"/>
                <w:szCs w:val="21"/>
                <w:lang w:val="en-US" w:eastAsia="zh-CN"/>
              </w:rPr>
            </w:pPr>
            <w:r>
              <w:rPr>
                <w:rFonts w:hint="eastAsia"/>
                <w:szCs w:val="21"/>
                <w:lang w:eastAsia="zh-CN"/>
              </w:rPr>
              <w:t>生活垃圾</w:t>
            </w:r>
          </w:p>
        </w:tc>
        <w:tc>
          <w:tcPr>
            <w:tcW w:w="1305" w:type="dxa"/>
            <w:tcBorders>
              <w:top w:val="single" w:color="auto" w:sz="4" w:space="0"/>
              <w:left w:val="single" w:color="auto" w:sz="6" w:space="0"/>
              <w:bottom w:val="single" w:color="auto" w:sz="4" w:space="0"/>
              <w:right w:val="single" w:color="auto" w:sz="4" w:space="0"/>
            </w:tcBorders>
            <w:noWrap w:val="0"/>
            <w:vAlign w:val="center"/>
          </w:tcPr>
          <w:p w14:paraId="04F0F965">
            <w:pPr>
              <w:jc w:val="center"/>
              <w:rPr>
                <w:rFonts w:hint="eastAsia" w:cs="Times New Roman"/>
                <w:color w:val="auto"/>
                <w:sz w:val="21"/>
                <w:szCs w:val="21"/>
                <w:lang w:val="en-US" w:eastAsia="zh-CN"/>
              </w:rPr>
            </w:pPr>
            <w:r>
              <w:rPr>
                <w:rFonts w:hint="eastAsia"/>
                <w:color w:val="auto"/>
                <w:szCs w:val="21"/>
                <w:lang w:val="en-US" w:eastAsia="zh-CN"/>
              </w:rPr>
              <w:t>生活垃圾</w:t>
            </w:r>
          </w:p>
        </w:tc>
        <w:tc>
          <w:tcPr>
            <w:tcW w:w="1109" w:type="dxa"/>
            <w:tcBorders>
              <w:top w:val="single" w:color="auto" w:sz="4" w:space="0"/>
              <w:left w:val="single" w:color="auto" w:sz="6" w:space="0"/>
              <w:bottom w:val="single" w:color="auto" w:sz="4" w:space="0"/>
              <w:right w:val="single" w:color="auto" w:sz="4" w:space="0"/>
            </w:tcBorders>
            <w:noWrap w:val="0"/>
            <w:vAlign w:val="center"/>
          </w:tcPr>
          <w:p w14:paraId="65A1DC85">
            <w:pPr>
              <w:keepNext w:val="0"/>
              <w:keepLines w:val="0"/>
              <w:pageBreakBefore w:val="0"/>
              <w:widowControl w:val="0"/>
              <w:bidi w:val="0"/>
              <w:spacing w:beforeAutospacing="0" w:afterAutospacing="0"/>
              <w:ind w:left="0" w:leftChars="0" w:right="0" w:rightChars="0"/>
              <w:jc w:val="center"/>
              <w:rPr>
                <w:rFonts w:hint="eastAsia"/>
                <w:szCs w:val="21"/>
                <w:lang w:val="en-US" w:eastAsia="zh-CN"/>
              </w:rPr>
            </w:pPr>
            <w:r>
              <w:rPr>
                <w:rFonts w:hint="eastAsia"/>
                <w:color w:val="auto"/>
                <w:szCs w:val="21"/>
                <w:lang w:val="en-US" w:eastAsia="zh-CN"/>
              </w:rPr>
              <w:t>99.5t/a</w:t>
            </w:r>
          </w:p>
        </w:tc>
        <w:tc>
          <w:tcPr>
            <w:tcW w:w="1022" w:type="dxa"/>
            <w:tcBorders>
              <w:top w:val="single" w:color="auto" w:sz="4" w:space="0"/>
              <w:left w:val="single" w:color="auto" w:sz="6" w:space="0"/>
              <w:bottom w:val="single" w:color="auto" w:sz="4" w:space="0"/>
              <w:right w:val="single" w:color="auto" w:sz="4" w:space="0"/>
            </w:tcBorders>
            <w:noWrap w:val="0"/>
            <w:vAlign w:val="center"/>
          </w:tcPr>
          <w:p w14:paraId="47464E82">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委托处置</w:t>
            </w:r>
          </w:p>
        </w:tc>
        <w:tc>
          <w:tcPr>
            <w:tcW w:w="1002" w:type="dxa"/>
            <w:tcBorders>
              <w:top w:val="single" w:color="auto" w:sz="4" w:space="0"/>
              <w:left w:val="single" w:color="auto" w:sz="4" w:space="0"/>
              <w:bottom w:val="single" w:color="auto" w:sz="4" w:space="0"/>
              <w:right w:val="single" w:color="auto" w:sz="4" w:space="0"/>
            </w:tcBorders>
            <w:noWrap w:val="0"/>
            <w:vAlign w:val="center"/>
          </w:tcPr>
          <w:p w14:paraId="2C9279C2">
            <w:pPr>
              <w:keepNext w:val="0"/>
              <w:keepLines w:val="0"/>
              <w:pageBreakBefore w:val="0"/>
              <w:widowControl w:val="0"/>
              <w:bidi w:val="0"/>
              <w:spacing w:beforeAutospacing="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color w:val="auto"/>
                <w:szCs w:val="21"/>
                <w:lang w:val="en-US" w:eastAsia="zh-CN"/>
              </w:rPr>
              <w:t>99.5t/a</w:t>
            </w:r>
          </w:p>
        </w:tc>
        <w:tc>
          <w:tcPr>
            <w:tcW w:w="1109" w:type="dxa"/>
            <w:tcBorders>
              <w:top w:val="single" w:color="auto" w:sz="4" w:space="0"/>
              <w:left w:val="single" w:color="auto" w:sz="4" w:space="0"/>
              <w:bottom w:val="single" w:color="auto" w:sz="4" w:space="0"/>
              <w:right w:val="single" w:color="auto" w:sz="6" w:space="0"/>
            </w:tcBorders>
            <w:noWrap w:val="0"/>
            <w:vAlign w:val="center"/>
          </w:tcPr>
          <w:p w14:paraId="11C7886B">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p>
        </w:tc>
        <w:tc>
          <w:tcPr>
            <w:tcW w:w="853" w:type="dxa"/>
            <w:tcBorders>
              <w:top w:val="single" w:color="auto" w:sz="4" w:space="0"/>
              <w:left w:val="single" w:color="auto" w:sz="4" w:space="0"/>
              <w:bottom w:val="single" w:color="auto" w:sz="4" w:space="0"/>
              <w:right w:val="single" w:color="auto" w:sz="6" w:space="0"/>
            </w:tcBorders>
            <w:noWrap w:val="0"/>
            <w:vAlign w:val="center"/>
          </w:tcPr>
          <w:p w14:paraId="4F05CA6F">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p>
        </w:tc>
        <w:tc>
          <w:tcPr>
            <w:tcW w:w="1089" w:type="dxa"/>
            <w:tcBorders>
              <w:top w:val="single" w:color="auto" w:sz="4" w:space="0"/>
              <w:left w:val="single" w:color="auto" w:sz="6" w:space="0"/>
              <w:bottom w:val="single" w:color="auto" w:sz="4" w:space="0"/>
              <w:right w:val="single" w:color="auto" w:sz="4" w:space="0"/>
            </w:tcBorders>
            <w:noWrap w:val="0"/>
            <w:vAlign w:val="center"/>
          </w:tcPr>
          <w:p w14:paraId="3D7EAFA8">
            <w:pPr>
              <w:pStyle w:val="95"/>
              <w:keepNext w:val="0"/>
              <w:keepLines w:val="0"/>
              <w:pageBreakBefore w:val="0"/>
              <w:widowControl w:val="0"/>
              <w:kinsoku/>
              <w:wordWrap/>
              <w:overflowPunct/>
              <w:topLinePunct w:val="0"/>
              <w:autoSpaceDE/>
              <w:autoSpaceDN/>
              <w:bidi w:val="0"/>
              <w:ind w:firstLine="0" w:firstLineChars="0"/>
              <w:textAlignment w:val="auto"/>
              <w:rPr>
                <w:rFonts w:hint="eastAsia"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088" w:type="dxa"/>
            <w:tcBorders>
              <w:top w:val="single" w:color="auto" w:sz="4" w:space="0"/>
              <w:left w:val="single" w:color="auto" w:sz="6" w:space="0"/>
              <w:bottom w:val="single" w:color="auto" w:sz="4" w:space="0"/>
              <w:right w:val="single" w:color="auto" w:sz="4" w:space="0"/>
            </w:tcBorders>
            <w:noWrap w:val="0"/>
            <w:vAlign w:val="center"/>
          </w:tcPr>
          <w:p w14:paraId="16060426">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szCs w:val="21"/>
                <w:lang w:val="en-US" w:eastAsia="zh-CN"/>
              </w:rPr>
            </w:pPr>
            <w:r>
              <w:rPr>
                <w:rFonts w:hint="eastAsia"/>
                <w:szCs w:val="21"/>
                <w:lang w:val="en-US" w:eastAsia="zh-CN"/>
              </w:rPr>
              <w:t>99.5t/a</w:t>
            </w:r>
          </w:p>
        </w:tc>
        <w:tc>
          <w:tcPr>
            <w:tcW w:w="871" w:type="dxa"/>
            <w:tcBorders>
              <w:top w:val="single" w:color="auto" w:sz="4" w:space="0"/>
              <w:left w:val="single" w:color="auto" w:sz="6" w:space="0"/>
              <w:bottom w:val="single" w:color="auto" w:sz="4" w:space="0"/>
              <w:right w:val="single" w:color="auto" w:sz="4" w:space="0"/>
            </w:tcBorders>
            <w:noWrap w:val="0"/>
            <w:vAlign w:val="center"/>
          </w:tcPr>
          <w:p w14:paraId="6CA2F7C7">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w:t>
            </w:r>
          </w:p>
        </w:tc>
        <w:tc>
          <w:tcPr>
            <w:tcW w:w="486" w:type="dxa"/>
            <w:tcBorders>
              <w:top w:val="single" w:color="auto" w:sz="4" w:space="0"/>
              <w:left w:val="single" w:color="auto" w:sz="4" w:space="0"/>
              <w:bottom w:val="single" w:color="auto" w:sz="4" w:space="0"/>
              <w:right w:val="single" w:color="auto" w:sz="12" w:space="0"/>
            </w:tcBorders>
            <w:noWrap w:val="0"/>
            <w:vAlign w:val="center"/>
          </w:tcPr>
          <w:p w14:paraId="6B6C01FC">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14:paraId="0B5E15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337" w:type="dxa"/>
            <w:tcBorders>
              <w:top w:val="single" w:color="auto" w:sz="4" w:space="0"/>
              <w:left w:val="single" w:color="auto" w:sz="12" w:space="0"/>
              <w:bottom w:val="single" w:color="auto" w:sz="4" w:space="0"/>
              <w:right w:val="single" w:color="auto" w:sz="4" w:space="0"/>
            </w:tcBorders>
            <w:noWrap w:val="0"/>
            <w:vAlign w:val="center"/>
          </w:tcPr>
          <w:p w14:paraId="5D7CF8CB">
            <w:pPr>
              <w:jc w:val="center"/>
              <w:rPr>
                <w:rFonts w:hint="default" w:cs="Times New Roman"/>
                <w:color w:val="auto"/>
                <w:sz w:val="21"/>
                <w:szCs w:val="21"/>
                <w:lang w:val="en-US" w:eastAsia="zh-CN"/>
              </w:rPr>
            </w:pPr>
            <w:r>
              <w:rPr>
                <w:rFonts w:hint="eastAsia" w:cs="Times New Roman"/>
                <w:color w:val="auto"/>
                <w:sz w:val="21"/>
                <w:szCs w:val="21"/>
                <w:lang w:val="en-US" w:eastAsia="zh-CN"/>
              </w:rPr>
              <w:t>2</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49B630AA">
            <w:pPr>
              <w:jc w:val="center"/>
              <w:rPr>
                <w:rFonts w:hint="eastAsia"/>
                <w:color w:val="auto"/>
                <w:szCs w:val="21"/>
                <w:lang w:val="en-US" w:eastAsia="zh-CN"/>
              </w:rPr>
            </w:pPr>
            <w:r>
              <w:rPr>
                <w:rFonts w:hint="eastAsia"/>
                <w:color w:val="auto"/>
                <w:szCs w:val="21"/>
                <w:lang w:eastAsia="zh-CN"/>
              </w:rPr>
              <w:t>原料包装</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5848243B">
            <w:pPr>
              <w:jc w:val="center"/>
              <w:rPr>
                <w:rFonts w:hint="eastAsia" w:cs="Times New Roman"/>
                <w:color w:val="auto"/>
                <w:sz w:val="21"/>
                <w:szCs w:val="21"/>
                <w:lang w:val="en-US" w:eastAsia="zh-CN"/>
              </w:rPr>
            </w:pPr>
            <w:r>
              <w:rPr>
                <w:rFonts w:hint="eastAsia"/>
                <w:color w:val="auto"/>
                <w:szCs w:val="21"/>
                <w:lang w:val="en-US" w:eastAsia="zh-CN"/>
              </w:rPr>
              <w:t>普通</w:t>
            </w:r>
            <w:r>
              <w:rPr>
                <w:rFonts w:hint="eastAsia"/>
                <w:color w:val="auto"/>
                <w:szCs w:val="21"/>
                <w:lang w:eastAsia="zh-CN"/>
              </w:rPr>
              <w:t>废包装材料</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35444415">
            <w:pPr>
              <w:jc w:val="center"/>
              <w:rPr>
                <w:rFonts w:hint="eastAsia"/>
                <w:color w:val="auto"/>
                <w:szCs w:val="21"/>
                <w:lang w:val="en-US" w:eastAsia="zh-CN"/>
              </w:rPr>
            </w:pPr>
            <w:r>
              <w:rPr>
                <w:rFonts w:hint="eastAsia"/>
                <w:color w:val="auto"/>
                <w:szCs w:val="21"/>
              </w:rPr>
              <w:t>一般固废</w:t>
            </w:r>
          </w:p>
        </w:tc>
        <w:tc>
          <w:tcPr>
            <w:tcW w:w="993" w:type="dxa"/>
            <w:tcBorders>
              <w:top w:val="single" w:color="auto" w:sz="4" w:space="0"/>
              <w:left w:val="single" w:color="auto" w:sz="4" w:space="0"/>
              <w:bottom w:val="single" w:color="auto" w:sz="4" w:space="0"/>
              <w:right w:val="single" w:color="auto" w:sz="6" w:space="0"/>
            </w:tcBorders>
            <w:noWrap w:val="0"/>
            <w:vAlign w:val="center"/>
          </w:tcPr>
          <w:p w14:paraId="5C653DB5">
            <w:pPr>
              <w:jc w:val="center"/>
              <w:rPr>
                <w:rFonts w:hint="eastAsia" w:cs="Times New Roman"/>
                <w:color w:val="auto"/>
                <w:sz w:val="21"/>
                <w:szCs w:val="21"/>
                <w:lang w:val="en-US" w:eastAsia="zh-CN"/>
              </w:rPr>
            </w:pPr>
            <w:r>
              <w:rPr>
                <w:rFonts w:hint="eastAsia"/>
                <w:color w:val="auto"/>
                <w:szCs w:val="21"/>
              </w:rPr>
              <w:t>一般固废</w:t>
            </w:r>
          </w:p>
        </w:tc>
        <w:tc>
          <w:tcPr>
            <w:tcW w:w="1305" w:type="dxa"/>
            <w:tcBorders>
              <w:top w:val="single" w:color="auto" w:sz="4" w:space="0"/>
              <w:left w:val="single" w:color="auto" w:sz="6" w:space="0"/>
              <w:bottom w:val="single" w:color="auto" w:sz="4" w:space="0"/>
              <w:right w:val="single" w:color="auto" w:sz="4" w:space="0"/>
            </w:tcBorders>
            <w:noWrap w:val="0"/>
            <w:vAlign w:val="center"/>
          </w:tcPr>
          <w:p w14:paraId="4B4F0BBE">
            <w:pPr>
              <w:jc w:val="center"/>
              <w:rPr>
                <w:rFonts w:hint="eastAsia"/>
                <w:color w:val="auto"/>
                <w:szCs w:val="21"/>
                <w:lang w:val="en-US" w:eastAsia="zh-CN"/>
              </w:rPr>
            </w:pPr>
            <w:r>
              <w:rPr>
                <w:rFonts w:hint="eastAsia"/>
                <w:color w:val="auto"/>
                <w:szCs w:val="21"/>
                <w:lang w:val="en-US" w:eastAsia="zh-CN"/>
              </w:rPr>
              <w:t>普通</w:t>
            </w:r>
            <w:r>
              <w:rPr>
                <w:rFonts w:hint="eastAsia"/>
                <w:color w:val="auto"/>
                <w:szCs w:val="21"/>
                <w:lang w:eastAsia="zh-CN"/>
              </w:rPr>
              <w:t>废包装材料</w:t>
            </w:r>
          </w:p>
        </w:tc>
        <w:tc>
          <w:tcPr>
            <w:tcW w:w="1109" w:type="dxa"/>
            <w:tcBorders>
              <w:top w:val="single" w:color="auto" w:sz="4" w:space="0"/>
              <w:left w:val="single" w:color="auto" w:sz="6" w:space="0"/>
              <w:bottom w:val="single" w:color="auto" w:sz="4" w:space="0"/>
              <w:right w:val="single" w:color="auto" w:sz="4" w:space="0"/>
            </w:tcBorders>
            <w:noWrap w:val="0"/>
            <w:vAlign w:val="center"/>
          </w:tcPr>
          <w:p w14:paraId="37AB0A2E">
            <w:pPr>
              <w:jc w:val="center"/>
              <w:rPr>
                <w:rFonts w:hint="eastAsia" w:cs="Times New Roman"/>
                <w:color w:val="auto"/>
                <w:sz w:val="21"/>
                <w:szCs w:val="21"/>
                <w:lang w:val="en-US" w:eastAsia="zh-CN"/>
              </w:rPr>
            </w:pPr>
            <w:r>
              <w:rPr>
                <w:rFonts w:hint="eastAsia"/>
                <w:color w:val="auto"/>
                <w:szCs w:val="21"/>
                <w:lang w:val="en-US" w:eastAsia="zh-CN"/>
              </w:rPr>
              <w:t>5t/a</w:t>
            </w:r>
          </w:p>
        </w:tc>
        <w:tc>
          <w:tcPr>
            <w:tcW w:w="1022" w:type="dxa"/>
            <w:tcBorders>
              <w:top w:val="single" w:color="auto" w:sz="4" w:space="0"/>
              <w:left w:val="single" w:color="auto" w:sz="6" w:space="0"/>
              <w:bottom w:val="single" w:color="auto" w:sz="4" w:space="0"/>
              <w:right w:val="single" w:color="auto" w:sz="4" w:space="0"/>
            </w:tcBorders>
            <w:noWrap w:val="0"/>
            <w:vAlign w:val="center"/>
          </w:tcPr>
          <w:p w14:paraId="12CC6B9F">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olor w:val="auto"/>
                <w:szCs w:val="21"/>
                <w:lang w:val="en-US" w:eastAsia="zh-CN"/>
              </w:rPr>
            </w:pPr>
            <w:r>
              <w:rPr>
                <w:rFonts w:hint="default" w:ascii="Times New Roman" w:hAnsi="Times New Roman" w:eastAsia="宋体" w:cs="Times New Roman"/>
                <w:color w:val="auto"/>
                <w:sz w:val="21"/>
                <w:szCs w:val="21"/>
                <w:lang w:val="en-US" w:eastAsia="zh-CN"/>
              </w:rPr>
              <w:t>委托</w:t>
            </w:r>
            <w:r>
              <w:rPr>
                <w:rFonts w:hint="eastAsia" w:cs="Times New Roman"/>
                <w:color w:val="auto"/>
                <w:sz w:val="21"/>
                <w:szCs w:val="21"/>
                <w:lang w:val="en-US" w:eastAsia="zh-CN"/>
              </w:rPr>
              <w:t>利用</w:t>
            </w:r>
          </w:p>
        </w:tc>
        <w:tc>
          <w:tcPr>
            <w:tcW w:w="1002" w:type="dxa"/>
            <w:tcBorders>
              <w:top w:val="single" w:color="auto" w:sz="4" w:space="0"/>
              <w:left w:val="single" w:color="auto" w:sz="4" w:space="0"/>
              <w:bottom w:val="single" w:color="auto" w:sz="4" w:space="0"/>
              <w:right w:val="single" w:color="auto" w:sz="4" w:space="0"/>
            </w:tcBorders>
            <w:noWrap w:val="0"/>
            <w:vAlign w:val="center"/>
          </w:tcPr>
          <w:p w14:paraId="04E9855C">
            <w:pPr>
              <w:jc w:val="center"/>
              <w:rPr>
                <w:rFonts w:hint="eastAsia" w:cs="Times New Roman"/>
                <w:color w:val="auto"/>
                <w:sz w:val="21"/>
                <w:szCs w:val="21"/>
                <w:lang w:val="en-US" w:eastAsia="zh-CN"/>
              </w:rPr>
            </w:pPr>
            <w:r>
              <w:rPr>
                <w:rFonts w:hint="eastAsia"/>
                <w:color w:val="auto"/>
                <w:szCs w:val="21"/>
                <w:lang w:val="en-US" w:eastAsia="zh-CN"/>
              </w:rPr>
              <w:t>5t/a</w:t>
            </w:r>
          </w:p>
        </w:tc>
        <w:tc>
          <w:tcPr>
            <w:tcW w:w="1109" w:type="dxa"/>
            <w:tcBorders>
              <w:top w:val="single" w:color="auto" w:sz="4" w:space="0"/>
              <w:left w:val="single" w:color="auto" w:sz="4" w:space="0"/>
              <w:bottom w:val="single" w:color="auto" w:sz="4" w:space="0"/>
              <w:right w:val="single" w:color="auto" w:sz="6" w:space="0"/>
            </w:tcBorders>
            <w:noWrap w:val="0"/>
            <w:vAlign w:val="center"/>
          </w:tcPr>
          <w:p w14:paraId="3EA26063">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olor w:val="auto"/>
                <w:szCs w:val="21"/>
                <w:lang w:val="en-US" w:eastAsia="zh-CN"/>
              </w:rPr>
            </w:pPr>
            <w:r>
              <w:rPr>
                <w:rFonts w:hint="default" w:ascii="Times New Roman" w:hAnsi="Times New Roman" w:eastAsia="宋体" w:cs="Times New Roman"/>
                <w:color w:val="auto"/>
                <w:sz w:val="21"/>
                <w:szCs w:val="21"/>
                <w:lang w:val="en-US" w:eastAsia="zh-CN"/>
              </w:rPr>
              <w:t>0</w:t>
            </w:r>
          </w:p>
        </w:tc>
        <w:tc>
          <w:tcPr>
            <w:tcW w:w="853" w:type="dxa"/>
            <w:tcBorders>
              <w:top w:val="single" w:color="auto" w:sz="4" w:space="0"/>
              <w:left w:val="single" w:color="auto" w:sz="4" w:space="0"/>
              <w:bottom w:val="single" w:color="auto" w:sz="4" w:space="0"/>
              <w:right w:val="single" w:color="auto" w:sz="6" w:space="0"/>
            </w:tcBorders>
            <w:noWrap w:val="0"/>
            <w:vAlign w:val="center"/>
          </w:tcPr>
          <w:p w14:paraId="1407A87A">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p>
        </w:tc>
        <w:tc>
          <w:tcPr>
            <w:tcW w:w="1089" w:type="dxa"/>
            <w:tcBorders>
              <w:top w:val="single" w:color="auto" w:sz="4" w:space="0"/>
              <w:left w:val="single" w:color="auto" w:sz="6" w:space="0"/>
              <w:bottom w:val="single" w:color="auto" w:sz="4" w:space="0"/>
              <w:right w:val="single" w:color="auto" w:sz="4" w:space="0"/>
            </w:tcBorders>
            <w:noWrap w:val="0"/>
            <w:vAlign w:val="center"/>
          </w:tcPr>
          <w:p w14:paraId="2927BE4A">
            <w:pPr>
              <w:pStyle w:val="95"/>
              <w:keepNext w:val="0"/>
              <w:keepLines w:val="0"/>
              <w:pageBreakBefore w:val="0"/>
              <w:widowControl w:val="0"/>
              <w:kinsoku/>
              <w:wordWrap/>
              <w:overflowPunct/>
              <w:topLinePunct w:val="0"/>
              <w:autoSpaceDE/>
              <w:autoSpaceDN/>
              <w:bidi w:val="0"/>
              <w:ind w:firstLine="0" w:firstLineChars="0"/>
              <w:textAlignment w:val="auto"/>
              <w:rPr>
                <w:rFonts w:hint="eastAsia"/>
                <w:color w:val="auto"/>
                <w:szCs w:val="21"/>
                <w:lang w:val="en-US" w:eastAsia="zh-CN"/>
              </w:rPr>
            </w:pPr>
            <w:r>
              <w:rPr>
                <w:rFonts w:hint="eastAsia" w:ascii="Times New Roman" w:hAnsi="Times New Roman" w:cs="Times New Roman"/>
                <w:color w:val="auto"/>
                <w:sz w:val="21"/>
                <w:szCs w:val="21"/>
                <w:lang w:val="en-US" w:eastAsia="zh-CN"/>
              </w:rPr>
              <w:t>5t/a</w:t>
            </w:r>
          </w:p>
        </w:tc>
        <w:tc>
          <w:tcPr>
            <w:tcW w:w="1088" w:type="dxa"/>
            <w:tcBorders>
              <w:top w:val="single" w:color="auto" w:sz="4" w:space="0"/>
              <w:left w:val="single" w:color="auto" w:sz="6" w:space="0"/>
              <w:bottom w:val="single" w:color="auto" w:sz="4" w:space="0"/>
              <w:right w:val="single" w:color="auto" w:sz="4" w:space="0"/>
            </w:tcBorders>
            <w:noWrap w:val="0"/>
            <w:vAlign w:val="center"/>
          </w:tcPr>
          <w:p w14:paraId="30B2ACBE">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0</w:t>
            </w:r>
          </w:p>
        </w:tc>
        <w:tc>
          <w:tcPr>
            <w:tcW w:w="871" w:type="dxa"/>
            <w:tcBorders>
              <w:top w:val="single" w:color="auto" w:sz="4" w:space="0"/>
              <w:left w:val="single" w:color="auto" w:sz="6" w:space="0"/>
              <w:bottom w:val="single" w:color="auto" w:sz="4" w:space="0"/>
              <w:right w:val="single" w:color="auto" w:sz="4" w:space="0"/>
            </w:tcBorders>
            <w:noWrap w:val="0"/>
            <w:vAlign w:val="center"/>
          </w:tcPr>
          <w:p w14:paraId="30E3FCB8">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olor w:val="auto"/>
                <w:szCs w:val="21"/>
                <w:lang w:val="en-US" w:eastAsia="zh-CN"/>
              </w:rPr>
            </w:pPr>
            <w:r>
              <w:rPr>
                <w:rFonts w:hint="eastAsia" w:ascii="Times New Roman" w:hAnsi="Times New Roman" w:cs="Times New Roman"/>
                <w:color w:val="auto"/>
                <w:sz w:val="21"/>
                <w:szCs w:val="21"/>
                <w:lang w:val="en-US" w:eastAsia="zh-CN"/>
              </w:rPr>
              <w:t>0</w:t>
            </w:r>
          </w:p>
        </w:tc>
        <w:tc>
          <w:tcPr>
            <w:tcW w:w="486" w:type="dxa"/>
            <w:tcBorders>
              <w:top w:val="single" w:color="auto" w:sz="4" w:space="0"/>
              <w:left w:val="single" w:color="auto" w:sz="4" w:space="0"/>
              <w:bottom w:val="single" w:color="auto" w:sz="4" w:space="0"/>
              <w:right w:val="single" w:color="auto" w:sz="12" w:space="0"/>
            </w:tcBorders>
            <w:noWrap w:val="0"/>
            <w:vAlign w:val="center"/>
          </w:tcPr>
          <w:p w14:paraId="064FE7D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14:paraId="6D68B8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337" w:type="dxa"/>
            <w:tcBorders>
              <w:top w:val="single" w:color="auto" w:sz="4" w:space="0"/>
              <w:left w:val="single" w:color="auto" w:sz="12" w:space="0"/>
              <w:bottom w:val="single" w:color="auto" w:sz="4" w:space="0"/>
              <w:right w:val="single" w:color="auto" w:sz="4" w:space="0"/>
            </w:tcBorders>
            <w:noWrap w:val="0"/>
            <w:vAlign w:val="center"/>
          </w:tcPr>
          <w:p w14:paraId="07005A1E">
            <w:pPr>
              <w:jc w:val="center"/>
              <w:rPr>
                <w:rFonts w:hint="default" w:cs="Times New Roman"/>
                <w:color w:val="auto"/>
                <w:sz w:val="21"/>
                <w:szCs w:val="21"/>
                <w:lang w:val="en-US" w:eastAsia="zh-CN"/>
              </w:rPr>
            </w:pPr>
            <w:r>
              <w:rPr>
                <w:rFonts w:hint="eastAsia" w:cs="Times New Roman"/>
                <w:color w:val="auto"/>
                <w:sz w:val="21"/>
                <w:szCs w:val="21"/>
                <w:lang w:val="en-US" w:eastAsia="zh-CN"/>
              </w:rPr>
              <w:t>3</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3B6CFCD5">
            <w:pPr>
              <w:jc w:val="center"/>
              <w:rPr>
                <w:rFonts w:hint="eastAsia"/>
                <w:color w:val="auto"/>
                <w:szCs w:val="21"/>
                <w:lang w:val="en-US" w:eastAsia="zh-CN"/>
              </w:rPr>
            </w:pPr>
            <w:r>
              <w:rPr>
                <w:rFonts w:hint="eastAsia"/>
                <w:color w:val="auto"/>
                <w:szCs w:val="21"/>
                <w:lang w:val="en-US" w:eastAsia="zh-CN"/>
              </w:rPr>
              <w:t>医院运营</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4058D824">
            <w:pPr>
              <w:jc w:val="center"/>
              <w:rPr>
                <w:rFonts w:hint="eastAsia" w:cs="Times New Roman"/>
                <w:color w:val="auto"/>
                <w:sz w:val="21"/>
                <w:szCs w:val="21"/>
                <w:lang w:val="en-US" w:eastAsia="zh-CN"/>
              </w:rPr>
            </w:pPr>
            <w:r>
              <w:rPr>
                <w:rFonts w:hint="eastAsia"/>
                <w:color w:val="auto"/>
                <w:szCs w:val="21"/>
                <w:lang w:val="en-US" w:eastAsia="zh-CN"/>
              </w:rPr>
              <w:t>医疗废物</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09905936">
            <w:pPr>
              <w:jc w:val="center"/>
              <w:rPr>
                <w:rFonts w:hint="eastAsia"/>
                <w:color w:val="auto"/>
                <w:szCs w:val="21"/>
                <w:lang w:val="en-US" w:eastAsia="zh-CN"/>
              </w:rPr>
            </w:pPr>
            <w:r>
              <w:rPr>
                <w:rFonts w:hint="eastAsia"/>
                <w:color w:val="auto"/>
                <w:szCs w:val="21"/>
                <w:lang w:eastAsia="zh-CN"/>
              </w:rPr>
              <w:t>危险废物</w:t>
            </w:r>
          </w:p>
        </w:tc>
        <w:tc>
          <w:tcPr>
            <w:tcW w:w="993" w:type="dxa"/>
            <w:tcBorders>
              <w:top w:val="single" w:color="auto" w:sz="4" w:space="0"/>
              <w:left w:val="single" w:color="auto" w:sz="4" w:space="0"/>
              <w:bottom w:val="single" w:color="auto" w:sz="4" w:space="0"/>
              <w:right w:val="single" w:color="auto" w:sz="6" w:space="0"/>
            </w:tcBorders>
            <w:noWrap w:val="0"/>
            <w:vAlign w:val="center"/>
          </w:tcPr>
          <w:p w14:paraId="1FE0306A">
            <w:pPr>
              <w:jc w:val="center"/>
              <w:rPr>
                <w:rFonts w:hint="eastAsia" w:cs="Times New Roman"/>
                <w:color w:val="auto"/>
                <w:sz w:val="21"/>
                <w:szCs w:val="21"/>
                <w:lang w:val="en-US" w:eastAsia="zh-CN"/>
              </w:rPr>
            </w:pPr>
            <w:r>
              <w:rPr>
                <w:rFonts w:hint="eastAsia"/>
                <w:color w:val="auto"/>
                <w:szCs w:val="21"/>
                <w:lang w:eastAsia="zh-CN"/>
              </w:rPr>
              <w:t>危险废物</w:t>
            </w:r>
          </w:p>
        </w:tc>
        <w:tc>
          <w:tcPr>
            <w:tcW w:w="1305" w:type="dxa"/>
            <w:tcBorders>
              <w:top w:val="single" w:color="auto" w:sz="4" w:space="0"/>
              <w:left w:val="single" w:color="auto" w:sz="6" w:space="0"/>
              <w:bottom w:val="single" w:color="auto" w:sz="4" w:space="0"/>
              <w:right w:val="single" w:color="auto" w:sz="4" w:space="0"/>
            </w:tcBorders>
            <w:noWrap w:val="0"/>
            <w:vAlign w:val="center"/>
          </w:tcPr>
          <w:p w14:paraId="72761A5C">
            <w:pPr>
              <w:jc w:val="center"/>
              <w:rPr>
                <w:rFonts w:hint="eastAsia"/>
                <w:color w:val="auto"/>
                <w:szCs w:val="21"/>
                <w:lang w:val="en-US" w:eastAsia="zh-CN"/>
              </w:rPr>
            </w:pPr>
            <w:r>
              <w:rPr>
                <w:rFonts w:hint="eastAsia"/>
                <w:color w:val="auto"/>
                <w:szCs w:val="21"/>
                <w:lang w:val="en-US" w:eastAsia="zh-CN"/>
              </w:rPr>
              <w:t>医疗废物</w:t>
            </w:r>
          </w:p>
        </w:tc>
        <w:tc>
          <w:tcPr>
            <w:tcW w:w="1109" w:type="dxa"/>
            <w:tcBorders>
              <w:top w:val="single" w:color="auto" w:sz="4" w:space="0"/>
              <w:left w:val="single" w:color="auto" w:sz="6" w:space="0"/>
              <w:bottom w:val="single" w:color="auto" w:sz="4" w:space="0"/>
              <w:right w:val="single" w:color="auto" w:sz="4" w:space="0"/>
            </w:tcBorders>
            <w:noWrap w:val="0"/>
            <w:vAlign w:val="center"/>
          </w:tcPr>
          <w:p w14:paraId="2B50AEE3">
            <w:pPr>
              <w:jc w:val="center"/>
              <w:rPr>
                <w:rFonts w:hint="eastAsia" w:cs="Times New Roman"/>
                <w:color w:val="auto"/>
                <w:sz w:val="21"/>
                <w:szCs w:val="21"/>
                <w:lang w:val="en-US" w:eastAsia="zh-CN"/>
              </w:rPr>
            </w:pPr>
            <w:r>
              <w:rPr>
                <w:rFonts w:hint="eastAsia"/>
                <w:color w:val="auto"/>
                <w:szCs w:val="21"/>
                <w:highlight w:val="none"/>
                <w:lang w:val="en-US" w:eastAsia="zh-CN"/>
              </w:rPr>
              <w:t>94.9t/a</w:t>
            </w:r>
          </w:p>
        </w:tc>
        <w:tc>
          <w:tcPr>
            <w:tcW w:w="1022" w:type="dxa"/>
            <w:tcBorders>
              <w:top w:val="single" w:color="auto" w:sz="4" w:space="0"/>
              <w:left w:val="single" w:color="auto" w:sz="6" w:space="0"/>
              <w:bottom w:val="single" w:color="auto" w:sz="4" w:space="0"/>
              <w:right w:val="single" w:color="auto" w:sz="4" w:space="0"/>
            </w:tcBorders>
            <w:noWrap w:val="0"/>
            <w:vAlign w:val="center"/>
          </w:tcPr>
          <w:p w14:paraId="6679F0DD">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olor w:val="auto"/>
                <w:szCs w:val="21"/>
                <w:lang w:val="en-US" w:eastAsia="zh-CN"/>
              </w:rPr>
            </w:pPr>
            <w:r>
              <w:rPr>
                <w:rFonts w:hint="eastAsia" w:ascii="Times New Roman" w:hAnsi="Times New Roman" w:eastAsia="宋体" w:cs="Times New Roman"/>
                <w:color w:val="auto"/>
                <w:sz w:val="21"/>
                <w:szCs w:val="21"/>
                <w:lang w:val="en-US" w:eastAsia="zh-CN"/>
              </w:rPr>
              <w:t>委托处置</w:t>
            </w:r>
          </w:p>
        </w:tc>
        <w:tc>
          <w:tcPr>
            <w:tcW w:w="1002" w:type="dxa"/>
            <w:tcBorders>
              <w:top w:val="single" w:color="auto" w:sz="4" w:space="0"/>
              <w:left w:val="single" w:color="auto" w:sz="4" w:space="0"/>
              <w:bottom w:val="single" w:color="auto" w:sz="4" w:space="0"/>
              <w:right w:val="single" w:color="auto" w:sz="4" w:space="0"/>
            </w:tcBorders>
            <w:noWrap w:val="0"/>
            <w:vAlign w:val="center"/>
          </w:tcPr>
          <w:p w14:paraId="30E14EA3">
            <w:pPr>
              <w:jc w:val="center"/>
              <w:rPr>
                <w:rFonts w:hint="eastAsia" w:cs="Times New Roman"/>
                <w:color w:val="auto"/>
                <w:sz w:val="21"/>
                <w:szCs w:val="21"/>
                <w:lang w:val="en-US" w:eastAsia="zh-CN"/>
              </w:rPr>
            </w:pPr>
            <w:r>
              <w:rPr>
                <w:rFonts w:hint="eastAsia"/>
                <w:color w:val="auto"/>
                <w:szCs w:val="21"/>
                <w:highlight w:val="none"/>
                <w:lang w:val="en-US" w:eastAsia="zh-CN"/>
              </w:rPr>
              <w:t>94.9t/a</w:t>
            </w:r>
          </w:p>
        </w:tc>
        <w:tc>
          <w:tcPr>
            <w:tcW w:w="1109" w:type="dxa"/>
            <w:tcBorders>
              <w:top w:val="single" w:color="auto" w:sz="4" w:space="0"/>
              <w:left w:val="single" w:color="auto" w:sz="4" w:space="0"/>
              <w:bottom w:val="single" w:color="auto" w:sz="4" w:space="0"/>
              <w:right w:val="single" w:color="auto" w:sz="6" w:space="0"/>
            </w:tcBorders>
            <w:noWrap w:val="0"/>
            <w:vAlign w:val="center"/>
          </w:tcPr>
          <w:p w14:paraId="2411267F">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olor w:val="auto"/>
                <w:szCs w:val="21"/>
                <w:lang w:val="en-US" w:eastAsia="zh-CN"/>
              </w:rPr>
            </w:pPr>
            <w:r>
              <w:rPr>
                <w:rFonts w:hint="default" w:ascii="Times New Roman" w:hAnsi="Times New Roman" w:eastAsia="宋体" w:cs="Times New Roman"/>
                <w:color w:val="auto"/>
                <w:sz w:val="21"/>
                <w:szCs w:val="21"/>
                <w:lang w:val="en-US" w:eastAsia="zh-CN"/>
              </w:rPr>
              <w:t>0</w:t>
            </w:r>
          </w:p>
        </w:tc>
        <w:tc>
          <w:tcPr>
            <w:tcW w:w="853" w:type="dxa"/>
            <w:tcBorders>
              <w:top w:val="single" w:color="auto" w:sz="4" w:space="0"/>
              <w:left w:val="single" w:color="auto" w:sz="4" w:space="0"/>
              <w:bottom w:val="single" w:color="auto" w:sz="4" w:space="0"/>
              <w:right w:val="single" w:color="auto" w:sz="6" w:space="0"/>
            </w:tcBorders>
            <w:noWrap w:val="0"/>
            <w:vAlign w:val="center"/>
          </w:tcPr>
          <w:p w14:paraId="6068432B">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p>
        </w:tc>
        <w:tc>
          <w:tcPr>
            <w:tcW w:w="1089" w:type="dxa"/>
            <w:tcBorders>
              <w:top w:val="single" w:color="auto" w:sz="4" w:space="0"/>
              <w:left w:val="single" w:color="auto" w:sz="6" w:space="0"/>
              <w:bottom w:val="single" w:color="auto" w:sz="4" w:space="0"/>
              <w:right w:val="single" w:color="auto" w:sz="4" w:space="0"/>
            </w:tcBorders>
            <w:noWrap w:val="0"/>
            <w:vAlign w:val="center"/>
          </w:tcPr>
          <w:p w14:paraId="47965C8C">
            <w:pPr>
              <w:pStyle w:val="95"/>
              <w:keepNext w:val="0"/>
              <w:keepLines w:val="0"/>
              <w:pageBreakBefore w:val="0"/>
              <w:widowControl w:val="0"/>
              <w:kinsoku/>
              <w:wordWrap/>
              <w:overflowPunct/>
              <w:topLinePunct w:val="0"/>
              <w:autoSpaceDE/>
              <w:autoSpaceDN/>
              <w:bidi w:val="0"/>
              <w:ind w:firstLine="0" w:firstLineChars="0"/>
              <w:textAlignment w:val="auto"/>
              <w:rPr>
                <w:rFonts w:hint="default"/>
                <w:color w:val="auto"/>
                <w:szCs w:val="21"/>
                <w:lang w:val="en-US" w:eastAsia="zh-CN"/>
              </w:rPr>
            </w:pPr>
            <w:r>
              <w:rPr>
                <w:rFonts w:hint="eastAsia"/>
                <w:color w:val="auto"/>
                <w:szCs w:val="21"/>
                <w:lang w:val="en-US" w:eastAsia="zh-CN"/>
              </w:rPr>
              <w:t>0</w:t>
            </w:r>
          </w:p>
        </w:tc>
        <w:tc>
          <w:tcPr>
            <w:tcW w:w="1088" w:type="dxa"/>
            <w:tcBorders>
              <w:top w:val="single" w:color="auto" w:sz="4" w:space="0"/>
              <w:left w:val="single" w:color="auto" w:sz="6" w:space="0"/>
              <w:bottom w:val="single" w:color="auto" w:sz="4" w:space="0"/>
              <w:right w:val="single" w:color="auto" w:sz="4" w:space="0"/>
            </w:tcBorders>
            <w:noWrap w:val="0"/>
            <w:vAlign w:val="center"/>
          </w:tcPr>
          <w:p w14:paraId="37F75134">
            <w:pPr>
              <w:jc w:val="center"/>
              <w:rPr>
                <w:rFonts w:hint="eastAsia" w:cs="Times New Roman"/>
                <w:color w:val="auto"/>
                <w:sz w:val="21"/>
                <w:szCs w:val="21"/>
                <w:lang w:val="en-US" w:eastAsia="zh-CN"/>
              </w:rPr>
            </w:pPr>
            <w:r>
              <w:rPr>
                <w:rFonts w:hint="eastAsia"/>
                <w:color w:val="auto"/>
                <w:szCs w:val="21"/>
                <w:highlight w:val="none"/>
                <w:lang w:val="en-US" w:eastAsia="zh-CN"/>
              </w:rPr>
              <w:t>94.9t/a</w:t>
            </w:r>
          </w:p>
        </w:tc>
        <w:tc>
          <w:tcPr>
            <w:tcW w:w="871" w:type="dxa"/>
            <w:tcBorders>
              <w:top w:val="single" w:color="auto" w:sz="4" w:space="0"/>
              <w:left w:val="single" w:color="auto" w:sz="6" w:space="0"/>
              <w:bottom w:val="single" w:color="auto" w:sz="4" w:space="0"/>
              <w:right w:val="single" w:color="auto" w:sz="4" w:space="0"/>
            </w:tcBorders>
            <w:noWrap w:val="0"/>
            <w:vAlign w:val="center"/>
          </w:tcPr>
          <w:p w14:paraId="54DA802D">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olor w:val="auto"/>
                <w:szCs w:val="21"/>
                <w:lang w:val="en-US" w:eastAsia="zh-CN"/>
              </w:rPr>
            </w:pPr>
            <w:r>
              <w:rPr>
                <w:rFonts w:hint="eastAsia" w:ascii="Times New Roman" w:hAnsi="Times New Roman" w:cs="Times New Roman"/>
                <w:color w:val="auto"/>
                <w:sz w:val="21"/>
                <w:szCs w:val="21"/>
                <w:lang w:val="en-US" w:eastAsia="zh-CN"/>
              </w:rPr>
              <w:t>0</w:t>
            </w:r>
          </w:p>
        </w:tc>
        <w:tc>
          <w:tcPr>
            <w:tcW w:w="486" w:type="dxa"/>
            <w:tcBorders>
              <w:top w:val="single" w:color="auto" w:sz="4" w:space="0"/>
              <w:left w:val="single" w:color="auto" w:sz="4" w:space="0"/>
              <w:bottom w:val="single" w:color="auto" w:sz="4" w:space="0"/>
              <w:right w:val="single" w:color="auto" w:sz="12" w:space="0"/>
            </w:tcBorders>
            <w:noWrap w:val="0"/>
            <w:vAlign w:val="center"/>
          </w:tcPr>
          <w:p w14:paraId="4B120CF8">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14:paraId="4ED051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337" w:type="dxa"/>
            <w:tcBorders>
              <w:top w:val="single" w:color="auto" w:sz="4" w:space="0"/>
              <w:left w:val="single" w:color="auto" w:sz="12" w:space="0"/>
              <w:bottom w:val="single" w:color="auto" w:sz="4" w:space="0"/>
              <w:right w:val="single" w:color="auto" w:sz="4" w:space="0"/>
            </w:tcBorders>
            <w:noWrap w:val="0"/>
            <w:vAlign w:val="center"/>
          </w:tcPr>
          <w:p w14:paraId="349B07DA">
            <w:pPr>
              <w:jc w:val="center"/>
              <w:rPr>
                <w:rFonts w:hint="default" w:cs="Times New Roman"/>
                <w:color w:val="auto"/>
                <w:sz w:val="21"/>
                <w:szCs w:val="21"/>
                <w:lang w:val="en-US" w:eastAsia="zh-CN"/>
              </w:rPr>
            </w:pPr>
            <w:r>
              <w:rPr>
                <w:rFonts w:hint="eastAsia" w:cs="Times New Roman"/>
                <w:color w:val="auto"/>
                <w:sz w:val="21"/>
                <w:szCs w:val="21"/>
                <w:lang w:val="en-US" w:eastAsia="zh-CN"/>
              </w:rPr>
              <w:t>4</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0C92CF07">
            <w:pPr>
              <w:jc w:val="center"/>
              <w:rPr>
                <w:rFonts w:hint="eastAsia"/>
                <w:color w:val="auto"/>
                <w:szCs w:val="21"/>
                <w:lang w:val="en-US" w:eastAsia="zh-CN"/>
              </w:rPr>
            </w:pPr>
            <w:r>
              <w:rPr>
                <w:rFonts w:hint="eastAsia"/>
                <w:color w:val="auto"/>
                <w:szCs w:val="21"/>
                <w:lang w:val="en-US" w:eastAsia="zh-CN"/>
              </w:rPr>
              <w:t>原料包装</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7095187F">
            <w:pPr>
              <w:jc w:val="center"/>
              <w:rPr>
                <w:rFonts w:hint="eastAsia" w:cs="Times New Roman"/>
                <w:color w:val="auto"/>
                <w:sz w:val="21"/>
                <w:szCs w:val="21"/>
                <w:lang w:val="en-US" w:eastAsia="zh-CN"/>
              </w:rPr>
            </w:pPr>
            <w:r>
              <w:rPr>
                <w:rFonts w:hint="eastAsia"/>
                <w:color w:val="auto"/>
                <w:szCs w:val="21"/>
                <w:lang w:val="en-US" w:eastAsia="zh-CN"/>
              </w:rPr>
              <w:t>危险废包装物</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693257A2">
            <w:pPr>
              <w:jc w:val="center"/>
              <w:rPr>
                <w:rFonts w:hint="eastAsia"/>
                <w:color w:val="auto"/>
                <w:szCs w:val="21"/>
                <w:lang w:val="en-US" w:eastAsia="zh-CN"/>
              </w:rPr>
            </w:pPr>
            <w:r>
              <w:rPr>
                <w:rFonts w:hint="eastAsia"/>
                <w:color w:val="auto"/>
                <w:szCs w:val="21"/>
                <w:lang w:eastAsia="zh-CN"/>
              </w:rPr>
              <w:t>危险废物</w:t>
            </w:r>
          </w:p>
        </w:tc>
        <w:tc>
          <w:tcPr>
            <w:tcW w:w="993" w:type="dxa"/>
            <w:tcBorders>
              <w:top w:val="single" w:color="auto" w:sz="4" w:space="0"/>
              <w:left w:val="single" w:color="auto" w:sz="4" w:space="0"/>
              <w:bottom w:val="single" w:color="auto" w:sz="4" w:space="0"/>
              <w:right w:val="single" w:color="auto" w:sz="6" w:space="0"/>
            </w:tcBorders>
            <w:noWrap w:val="0"/>
            <w:vAlign w:val="center"/>
          </w:tcPr>
          <w:p w14:paraId="5BB1A5AB">
            <w:pPr>
              <w:jc w:val="center"/>
              <w:rPr>
                <w:rFonts w:hint="eastAsia" w:cs="Times New Roman"/>
                <w:color w:val="auto"/>
                <w:sz w:val="21"/>
                <w:szCs w:val="21"/>
                <w:lang w:val="en-US" w:eastAsia="zh-CN"/>
              </w:rPr>
            </w:pPr>
            <w:r>
              <w:rPr>
                <w:rFonts w:hint="eastAsia"/>
                <w:color w:val="auto"/>
                <w:szCs w:val="21"/>
                <w:lang w:eastAsia="zh-CN"/>
              </w:rPr>
              <w:t>危险废物</w:t>
            </w:r>
          </w:p>
        </w:tc>
        <w:tc>
          <w:tcPr>
            <w:tcW w:w="1305" w:type="dxa"/>
            <w:tcBorders>
              <w:top w:val="single" w:color="auto" w:sz="4" w:space="0"/>
              <w:left w:val="single" w:color="auto" w:sz="6" w:space="0"/>
              <w:bottom w:val="single" w:color="auto" w:sz="4" w:space="0"/>
              <w:right w:val="single" w:color="auto" w:sz="4" w:space="0"/>
            </w:tcBorders>
            <w:noWrap w:val="0"/>
            <w:vAlign w:val="center"/>
          </w:tcPr>
          <w:p w14:paraId="3D19E398">
            <w:pPr>
              <w:jc w:val="center"/>
              <w:rPr>
                <w:rFonts w:hint="eastAsia"/>
                <w:color w:val="auto"/>
                <w:szCs w:val="21"/>
                <w:lang w:val="en-US" w:eastAsia="zh-CN"/>
              </w:rPr>
            </w:pPr>
            <w:r>
              <w:rPr>
                <w:rFonts w:hint="eastAsia"/>
                <w:color w:val="auto"/>
                <w:szCs w:val="21"/>
                <w:lang w:val="en-US" w:eastAsia="zh-CN"/>
              </w:rPr>
              <w:t>危险废包装物</w:t>
            </w:r>
          </w:p>
        </w:tc>
        <w:tc>
          <w:tcPr>
            <w:tcW w:w="1109" w:type="dxa"/>
            <w:tcBorders>
              <w:top w:val="single" w:color="auto" w:sz="4" w:space="0"/>
              <w:left w:val="single" w:color="auto" w:sz="6" w:space="0"/>
              <w:bottom w:val="single" w:color="auto" w:sz="4" w:space="0"/>
              <w:right w:val="single" w:color="auto" w:sz="4" w:space="0"/>
            </w:tcBorders>
            <w:noWrap w:val="0"/>
            <w:vAlign w:val="center"/>
          </w:tcPr>
          <w:p w14:paraId="5E95A5A1">
            <w:pPr>
              <w:jc w:val="center"/>
              <w:rPr>
                <w:rFonts w:hint="eastAsia" w:cs="Times New Roman"/>
                <w:color w:val="auto"/>
                <w:sz w:val="21"/>
                <w:szCs w:val="21"/>
                <w:lang w:val="en-US" w:eastAsia="zh-CN"/>
              </w:rPr>
            </w:pPr>
            <w:r>
              <w:rPr>
                <w:rFonts w:hint="eastAsia"/>
                <w:color w:val="auto"/>
                <w:szCs w:val="21"/>
                <w:lang w:val="en-US" w:eastAsia="zh-CN"/>
              </w:rPr>
              <w:t>0.45t/a</w:t>
            </w:r>
          </w:p>
        </w:tc>
        <w:tc>
          <w:tcPr>
            <w:tcW w:w="1022" w:type="dxa"/>
            <w:tcBorders>
              <w:top w:val="single" w:color="auto" w:sz="4" w:space="0"/>
              <w:left w:val="single" w:color="auto" w:sz="6" w:space="0"/>
              <w:bottom w:val="single" w:color="auto" w:sz="4" w:space="0"/>
              <w:right w:val="single" w:color="auto" w:sz="4" w:space="0"/>
            </w:tcBorders>
            <w:noWrap w:val="0"/>
            <w:vAlign w:val="center"/>
          </w:tcPr>
          <w:p w14:paraId="3D9A7624">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olor w:val="auto"/>
                <w:szCs w:val="21"/>
                <w:lang w:val="en-US" w:eastAsia="zh-CN"/>
              </w:rPr>
            </w:pPr>
            <w:r>
              <w:rPr>
                <w:rFonts w:hint="eastAsia" w:ascii="Times New Roman" w:hAnsi="Times New Roman" w:eastAsia="宋体" w:cs="Times New Roman"/>
                <w:color w:val="auto"/>
                <w:sz w:val="21"/>
                <w:szCs w:val="21"/>
                <w:lang w:val="en-US" w:eastAsia="zh-CN"/>
              </w:rPr>
              <w:t>委托处置</w:t>
            </w:r>
          </w:p>
        </w:tc>
        <w:tc>
          <w:tcPr>
            <w:tcW w:w="1002" w:type="dxa"/>
            <w:tcBorders>
              <w:top w:val="single" w:color="auto" w:sz="4" w:space="0"/>
              <w:left w:val="single" w:color="auto" w:sz="4" w:space="0"/>
              <w:bottom w:val="single" w:color="auto" w:sz="4" w:space="0"/>
              <w:right w:val="single" w:color="auto" w:sz="4" w:space="0"/>
            </w:tcBorders>
            <w:noWrap w:val="0"/>
            <w:vAlign w:val="center"/>
          </w:tcPr>
          <w:p w14:paraId="0EDAC9B5">
            <w:pPr>
              <w:jc w:val="center"/>
              <w:rPr>
                <w:rFonts w:hint="eastAsia" w:cs="Times New Roman"/>
                <w:color w:val="auto"/>
                <w:sz w:val="21"/>
                <w:szCs w:val="21"/>
                <w:lang w:val="en-US" w:eastAsia="zh-CN"/>
              </w:rPr>
            </w:pPr>
            <w:r>
              <w:rPr>
                <w:rFonts w:hint="eastAsia"/>
                <w:color w:val="auto"/>
                <w:szCs w:val="21"/>
                <w:lang w:val="en-US" w:eastAsia="zh-CN"/>
              </w:rPr>
              <w:t>0.45t/a</w:t>
            </w:r>
          </w:p>
        </w:tc>
        <w:tc>
          <w:tcPr>
            <w:tcW w:w="1109" w:type="dxa"/>
            <w:tcBorders>
              <w:top w:val="single" w:color="auto" w:sz="4" w:space="0"/>
              <w:left w:val="single" w:color="auto" w:sz="4" w:space="0"/>
              <w:bottom w:val="single" w:color="auto" w:sz="4" w:space="0"/>
              <w:right w:val="single" w:color="auto" w:sz="6" w:space="0"/>
            </w:tcBorders>
            <w:noWrap w:val="0"/>
            <w:vAlign w:val="center"/>
          </w:tcPr>
          <w:p w14:paraId="3742C438">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olor w:val="auto"/>
                <w:szCs w:val="21"/>
                <w:lang w:val="en-US" w:eastAsia="zh-CN"/>
              </w:rPr>
            </w:pPr>
            <w:r>
              <w:rPr>
                <w:rFonts w:hint="default" w:ascii="Times New Roman" w:hAnsi="Times New Roman" w:eastAsia="宋体" w:cs="Times New Roman"/>
                <w:color w:val="auto"/>
                <w:sz w:val="21"/>
                <w:szCs w:val="21"/>
                <w:lang w:val="en-US" w:eastAsia="zh-CN"/>
              </w:rPr>
              <w:t>0</w:t>
            </w:r>
          </w:p>
        </w:tc>
        <w:tc>
          <w:tcPr>
            <w:tcW w:w="853" w:type="dxa"/>
            <w:tcBorders>
              <w:top w:val="single" w:color="auto" w:sz="4" w:space="0"/>
              <w:left w:val="single" w:color="auto" w:sz="4" w:space="0"/>
              <w:bottom w:val="single" w:color="auto" w:sz="4" w:space="0"/>
              <w:right w:val="single" w:color="auto" w:sz="6" w:space="0"/>
            </w:tcBorders>
            <w:noWrap w:val="0"/>
            <w:vAlign w:val="center"/>
          </w:tcPr>
          <w:p w14:paraId="2E5603DB">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p>
        </w:tc>
        <w:tc>
          <w:tcPr>
            <w:tcW w:w="1089" w:type="dxa"/>
            <w:tcBorders>
              <w:top w:val="single" w:color="auto" w:sz="4" w:space="0"/>
              <w:left w:val="single" w:color="auto" w:sz="6" w:space="0"/>
              <w:bottom w:val="single" w:color="auto" w:sz="4" w:space="0"/>
              <w:right w:val="single" w:color="auto" w:sz="4" w:space="0"/>
            </w:tcBorders>
            <w:noWrap w:val="0"/>
            <w:vAlign w:val="center"/>
          </w:tcPr>
          <w:p w14:paraId="1C857C53">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olor w:val="auto"/>
                <w:szCs w:val="21"/>
                <w:lang w:val="en-US" w:eastAsia="zh-CN"/>
              </w:rPr>
            </w:pPr>
            <w:r>
              <w:rPr>
                <w:rFonts w:hint="default" w:ascii="Times New Roman" w:hAnsi="Times New Roman" w:eastAsia="宋体" w:cs="Times New Roman"/>
                <w:color w:val="auto"/>
                <w:sz w:val="21"/>
                <w:szCs w:val="21"/>
                <w:lang w:val="en-US" w:eastAsia="zh-CN"/>
              </w:rPr>
              <w:t>0</w:t>
            </w:r>
          </w:p>
        </w:tc>
        <w:tc>
          <w:tcPr>
            <w:tcW w:w="1088" w:type="dxa"/>
            <w:tcBorders>
              <w:top w:val="single" w:color="auto" w:sz="4" w:space="0"/>
              <w:left w:val="single" w:color="auto" w:sz="6" w:space="0"/>
              <w:bottom w:val="single" w:color="auto" w:sz="4" w:space="0"/>
              <w:right w:val="single" w:color="auto" w:sz="4" w:space="0"/>
            </w:tcBorders>
            <w:noWrap w:val="0"/>
            <w:vAlign w:val="center"/>
          </w:tcPr>
          <w:p w14:paraId="3920D59A">
            <w:pPr>
              <w:jc w:val="center"/>
              <w:rPr>
                <w:rFonts w:hint="eastAsia" w:cs="Times New Roman"/>
                <w:color w:val="auto"/>
                <w:sz w:val="21"/>
                <w:szCs w:val="21"/>
                <w:lang w:val="en-US" w:eastAsia="zh-CN"/>
              </w:rPr>
            </w:pPr>
            <w:r>
              <w:rPr>
                <w:rFonts w:hint="eastAsia"/>
                <w:color w:val="auto"/>
                <w:szCs w:val="21"/>
                <w:lang w:val="en-US" w:eastAsia="zh-CN"/>
              </w:rPr>
              <w:t>0.45t/a</w:t>
            </w:r>
          </w:p>
        </w:tc>
        <w:tc>
          <w:tcPr>
            <w:tcW w:w="871" w:type="dxa"/>
            <w:tcBorders>
              <w:top w:val="single" w:color="auto" w:sz="4" w:space="0"/>
              <w:left w:val="single" w:color="auto" w:sz="6" w:space="0"/>
              <w:bottom w:val="single" w:color="auto" w:sz="4" w:space="0"/>
              <w:right w:val="single" w:color="auto" w:sz="4" w:space="0"/>
            </w:tcBorders>
            <w:noWrap w:val="0"/>
            <w:vAlign w:val="center"/>
          </w:tcPr>
          <w:p w14:paraId="278125F5">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olor w:val="auto"/>
                <w:szCs w:val="21"/>
                <w:lang w:val="en-US" w:eastAsia="zh-CN"/>
              </w:rPr>
            </w:pPr>
            <w:r>
              <w:rPr>
                <w:rFonts w:hint="default" w:ascii="Times New Roman" w:hAnsi="Times New Roman" w:eastAsia="宋体" w:cs="Times New Roman"/>
                <w:color w:val="auto"/>
                <w:sz w:val="21"/>
                <w:szCs w:val="21"/>
                <w:lang w:val="en-US" w:eastAsia="zh-CN"/>
              </w:rPr>
              <w:t>0</w:t>
            </w:r>
          </w:p>
        </w:tc>
        <w:tc>
          <w:tcPr>
            <w:tcW w:w="486" w:type="dxa"/>
            <w:tcBorders>
              <w:top w:val="single" w:color="auto" w:sz="4" w:space="0"/>
              <w:left w:val="single" w:color="auto" w:sz="4" w:space="0"/>
              <w:bottom w:val="single" w:color="auto" w:sz="4" w:space="0"/>
              <w:right w:val="single" w:color="auto" w:sz="12" w:space="0"/>
            </w:tcBorders>
            <w:noWrap w:val="0"/>
            <w:vAlign w:val="center"/>
          </w:tcPr>
          <w:p w14:paraId="22DA2F0F">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14:paraId="1514BC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337" w:type="dxa"/>
            <w:tcBorders>
              <w:top w:val="single" w:color="auto" w:sz="4" w:space="0"/>
              <w:left w:val="single" w:color="auto" w:sz="12" w:space="0"/>
              <w:bottom w:val="single" w:color="auto" w:sz="4" w:space="0"/>
              <w:right w:val="single" w:color="auto" w:sz="4" w:space="0"/>
            </w:tcBorders>
            <w:noWrap w:val="0"/>
            <w:vAlign w:val="center"/>
          </w:tcPr>
          <w:p w14:paraId="5C241C79">
            <w:pPr>
              <w:jc w:val="center"/>
              <w:rPr>
                <w:rFonts w:hint="default" w:cs="Times New Roman"/>
                <w:color w:val="auto"/>
                <w:sz w:val="21"/>
                <w:szCs w:val="21"/>
                <w:lang w:val="en-US" w:eastAsia="zh-CN"/>
              </w:rPr>
            </w:pPr>
            <w:r>
              <w:rPr>
                <w:rFonts w:hint="eastAsia" w:cs="Times New Roman"/>
                <w:color w:val="auto"/>
                <w:sz w:val="21"/>
                <w:szCs w:val="21"/>
                <w:lang w:val="en-US" w:eastAsia="zh-CN"/>
              </w:rPr>
              <w:t>5</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74284FAA">
            <w:pPr>
              <w:jc w:val="center"/>
              <w:rPr>
                <w:rFonts w:hint="eastAsia"/>
                <w:color w:val="auto"/>
                <w:szCs w:val="21"/>
                <w:lang w:val="en-US" w:eastAsia="zh-CN"/>
              </w:rPr>
            </w:pPr>
            <w:r>
              <w:rPr>
                <w:rFonts w:hint="eastAsia"/>
                <w:color w:val="auto"/>
                <w:szCs w:val="21"/>
                <w:lang w:val="en-US" w:eastAsia="zh-CN"/>
              </w:rPr>
              <w:t>废气处理</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704A2368">
            <w:pPr>
              <w:jc w:val="center"/>
              <w:rPr>
                <w:rFonts w:hint="eastAsia" w:cs="Times New Roman"/>
                <w:color w:val="auto"/>
                <w:sz w:val="21"/>
                <w:szCs w:val="21"/>
                <w:lang w:val="en-US" w:eastAsia="zh-CN"/>
              </w:rPr>
            </w:pPr>
            <w:r>
              <w:rPr>
                <w:rFonts w:hint="eastAsia"/>
                <w:color w:val="auto"/>
                <w:szCs w:val="21"/>
                <w:lang w:val="en-US" w:eastAsia="zh-CN"/>
              </w:rPr>
              <w:t>废UV灯管</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5EF81C8B">
            <w:pPr>
              <w:jc w:val="center"/>
              <w:rPr>
                <w:rFonts w:hint="eastAsia"/>
                <w:color w:val="auto"/>
                <w:szCs w:val="21"/>
                <w:lang w:val="en-US" w:eastAsia="zh-CN"/>
              </w:rPr>
            </w:pPr>
            <w:r>
              <w:rPr>
                <w:rFonts w:hint="eastAsia"/>
                <w:color w:val="auto"/>
                <w:szCs w:val="21"/>
                <w:lang w:eastAsia="zh-CN"/>
              </w:rPr>
              <w:t>危险废物</w:t>
            </w:r>
          </w:p>
        </w:tc>
        <w:tc>
          <w:tcPr>
            <w:tcW w:w="993" w:type="dxa"/>
            <w:tcBorders>
              <w:top w:val="single" w:color="auto" w:sz="4" w:space="0"/>
              <w:left w:val="single" w:color="auto" w:sz="4" w:space="0"/>
              <w:bottom w:val="single" w:color="auto" w:sz="4" w:space="0"/>
              <w:right w:val="single" w:color="auto" w:sz="6" w:space="0"/>
            </w:tcBorders>
            <w:noWrap w:val="0"/>
            <w:vAlign w:val="center"/>
          </w:tcPr>
          <w:p w14:paraId="2995D292">
            <w:pPr>
              <w:jc w:val="center"/>
              <w:rPr>
                <w:rFonts w:hint="eastAsia" w:cs="Times New Roman"/>
                <w:color w:val="auto"/>
                <w:sz w:val="21"/>
                <w:szCs w:val="21"/>
                <w:lang w:val="en-US" w:eastAsia="zh-CN"/>
              </w:rPr>
            </w:pPr>
            <w:r>
              <w:rPr>
                <w:rFonts w:hint="eastAsia"/>
                <w:color w:val="auto"/>
                <w:szCs w:val="21"/>
                <w:lang w:eastAsia="zh-CN"/>
              </w:rPr>
              <w:t>危险废物</w:t>
            </w:r>
          </w:p>
        </w:tc>
        <w:tc>
          <w:tcPr>
            <w:tcW w:w="1305" w:type="dxa"/>
            <w:tcBorders>
              <w:top w:val="single" w:color="auto" w:sz="4" w:space="0"/>
              <w:left w:val="single" w:color="auto" w:sz="6" w:space="0"/>
              <w:bottom w:val="single" w:color="auto" w:sz="4" w:space="0"/>
              <w:right w:val="single" w:color="auto" w:sz="4" w:space="0"/>
            </w:tcBorders>
            <w:noWrap w:val="0"/>
            <w:vAlign w:val="center"/>
          </w:tcPr>
          <w:p w14:paraId="711BF2C3">
            <w:pPr>
              <w:jc w:val="center"/>
              <w:rPr>
                <w:rFonts w:hint="eastAsia"/>
                <w:color w:val="auto"/>
                <w:szCs w:val="21"/>
                <w:lang w:val="en-US" w:eastAsia="zh-CN"/>
              </w:rPr>
            </w:pPr>
            <w:r>
              <w:rPr>
                <w:rFonts w:hint="eastAsia"/>
                <w:color w:val="auto"/>
                <w:szCs w:val="21"/>
                <w:lang w:val="en-US" w:eastAsia="zh-CN"/>
              </w:rPr>
              <w:t>废UV灯管</w:t>
            </w:r>
          </w:p>
        </w:tc>
        <w:tc>
          <w:tcPr>
            <w:tcW w:w="1109" w:type="dxa"/>
            <w:tcBorders>
              <w:top w:val="single" w:color="auto" w:sz="4" w:space="0"/>
              <w:left w:val="single" w:color="auto" w:sz="6" w:space="0"/>
              <w:bottom w:val="single" w:color="auto" w:sz="4" w:space="0"/>
              <w:right w:val="single" w:color="auto" w:sz="4" w:space="0"/>
            </w:tcBorders>
            <w:noWrap w:val="0"/>
            <w:vAlign w:val="center"/>
          </w:tcPr>
          <w:p w14:paraId="3A7E352F">
            <w:pPr>
              <w:jc w:val="center"/>
              <w:rPr>
                <w:rFonts w:hint="eastAsia" w:cs="Times New Roman"/>
                <w:color w:val="auto"/>
                <w:sz w:val="21"/>
                <w:szCs w:val="21"/>
                <w:lang w:val="en-US" w:eastAsia="zh-CN"/>
              </w:rPr>
            </w:pPr>
            <w:r>
              <w:rPr>
                <w:rFonts w:hint="eastAsia"/>
                <w:color w:val="auto"/>
                <w:szCs w:val="21"/>
                <w:lang w:val="en-US" w:eastAsia="zh-CN"/>
              </w:rPr>
              <w:t>0.05t/a</w:t>
            </w:r>
          </w:p>
        </w:tc>
        <w:tc>
          <w:tcPr>
            <w:tcW w:w="1022" w:type="dxa"/>
            <w:tcBorders>
              <w:top w:val="single" w:color="auto" w:sz="4" w:space="0"/>
              <w:left w:val="single" w:color="auto" w:sz="6" w:space="0"/>
              <w:bottom w:val="single" w:color="auto" w:sz="4" w:space="0"/>
              <w:right w:val="single" w:color="auto" w:sz="4" w:space="0"/>
            </w:tcBorders>
            <w:noWrap w:val="0"/>
            <w:vAlign w:val="center"/>
          </w:tcPr>
          <w:p w14:paraId="74FEF7E9">
            <w:pPr>
              <w:jc w:val="center"/>
              <w:rPr>
                <w:rFonts w:hint="eastAsia"/>
                <w:color w:val="auto"/>
                <w:szCs w:val="21"/>
                <w:lang w:val="en-US" w:eastAsia="zh-CN"/>
              </w:rPr>
            </w:pPr>
            <w:r>
              <w:rPr>
                <w:rFonts w:hint="eastAsia" w:ascii="Times New Roman" w:hAnsi="Times New Roman" w:eastAsia="宋体" w:cs="Times New Roman"/>
                <w:color w:val="auto"/>
                <w:sz w:val="21"/>
                <w:szCs w:val="21"/>
                <w:lang w:val="en-US" w:eastAsia="zh-CN"/>
              </w:rPr>
              <w:t>委托处置</w:t>
            </w:r>
          </w:p>
        </w:tc>
        <w:tc>
          <w:tcPr>
            <w:tcW w:w="1002" w:type="dxa"/>
            <w:tcBorders>
              <w:top w:val="single" w:color="auto" w:sz="4" w:space="0"/>
              <w:left w:val="single" w:color="auto" w:sz="4" w:space="0"/>
              <w:bottom w:val="single" w:color="auto" w:sz="4" w:space="0"/>
              <w:right w:val="single" w:color="auto" w:sz="4" w:space="0"/>
            </w:tcBorders>
            <w:noWrap w:val="0"/>
            <w:vAlign w:val="center"/>
          </w:tcPr>
          <w:p w14:paraId="43275098">
            <w:pPr>
              <w:jc w:val="center"/>
              <w:rPr>
                <w:rFonts w:hint="eastAsia" w:cs="Times New Roman"/>
                <w:color w:val="auto"/>
                <w:sz w:val="21"/>
                <w:szCs w:val="21"/>
                <w:lang w:val="en-US" w:eastAsia="zh-CN"/>
              </w:rPr>
            </w:pPr>
            <w:r>
              <w:rPr>
                <w:rFonts w:hint="eastAsia"/>
                <w:color w:val="auto"/>
                <w:szCs w:val="21"/>
                <w:lang w:val="en-US" w:eastAsia="zh-CN"/>
              </w:rPr>
              <w:t>0.05t/a</w:t>
            </w:r>
          </w:p>
        </w:tc>
        <w:tc>
          <w:tcPr>
            <w:tcW w:w="1109" w:type="dxa"/>
            <w:tcBorders>
              <w:top w:val="single" w:color="auto" w:sz="4" w:space="0"/>
              <w:left w:val="single" w:color="auto" w:sz="4" w:space="0"/>
              <w:bottom w:val="single" w:color="auto" w:sz="4" w:space="0"/>
              <w:right w:val="single" w:color="auto" w:sz="6" w:space="0"/>
            </w:tcBorders>
            <w:noWrap w:val="0"/>
            <w:vAlign w:val="center"/>
          </w:tcPr>
          <w:p w14:paraId="3B8D7410">
            <w:pPr>
              <w:jc w:val="center"/>
              <w:rPr>
                <w:rFonts w:hint="default"/>
                <w:color w:val="auto"/>
                <w:szCs w:val="21"/>
                <w:lang w:val="en-US" w:eastAsia="zh-CN"/>
              </w:rPr>
            </w:pPr>
            <w:r>
              <w:rPr>
                <w:rFonts w:hint="eastAsia"/>
                <w:color w:val="auto"/>
                <w:szCs w:val="21"/>
                <w:lang w:val="en-US" w:eastAsia="zh-CN"/>
              </w:rPr>
              <w:t>0</w:t>
            </w:r>
          </w:p>
        </w:tc>
        <w:tc>
          <w:tcPr>
            <w:tcW w:w="853" w:type="dxa"/>
            <w:tcBorders>
              <w:top w:val="single" w:color="auto" w:sz="4" w:space="0"/>
              <w:left w:val="single" w:color="auto" w:sz="4" w:space="0"/>
              <w:bottom w:val="single" w:color="auto" w:sz="4" w:space="0"/>
              <w:right w:val="single" w:color="auto" w:sz="6" w:space="0"/>
            </w:tcBorders>
            <w:noWrap w:val="0"/>
            <w:vAlign w:val="center"/>
          </w:tcPr>
          <w:p w14:paraId="711B9102">
            <w:pPr>
              <w:jc w:val="center"/>
              <w:rPr>
                <w:rFonts w:hint="default" w:cs="Times New Roman"/>
                <w:color w:val="auto"/>
                <w:sz w:val="21"/>
                <w:szCs w:val="21"/>
                <w:lang w:val="en-US" w:eastAsia="zh-CN"/>
              </w:rPr>
            </w:pPr>
            <w:r>
              <w:rPr>
                <w:rFonts w:hint="eastAsia" w:cs="Times New Roman"/>
                <w:color w:val="auto"/>
                <w:sz w:val="21"/>
                <w:szCs w:val="21"/>
                <w:lang w:val="en-US" w:eastAsia="zh-CN"/>
              </w:rPr>
              <w:t>0</w:t>
            </w:r>
          </w:p>
        </w:tc>
        <w:tc>
          <w:tcPr>
            <w:tcW w:w="1089" w:type="dxa"/>
            <w:tcBorders>
              <w:top w:val="single" w:color="auto" w:sz="4" w:space="0"/>
              <w:left w:val="single" w:color="auto" w:sz="6" w:space="0"/>
              <w:bottom w:val="single" w:color="auto" w:sz="4" w:space="0"/>
              <w:right w:val="single" w:color="auto" w:sz="4" w:space="0"/>
            </w:tcBorders>
            <w:noWrap w:val="0"/>
            <w:vAlign w:val="center"/>
          </w:tcPr>
          <w:p w14:paraId="0492D645">
            <w:pPr>
              <w:jc w:val="center"/>
              <w:rPr>
                <w:rFonts w:hint="default"/>
                <w:color w:val="auto"/>
                <w:szCs w:val="21"/>
                <w:lang w:val="en-US" w:eastAsia="zh-CN"/>
              </w:rPr>
            </w:pPr>
            <w:r>
              <w:rPr>
                <w:rFonts w:hint="eastAsia"/>
                <w:color w:val="auto"/>
                <w:szCs w:val="21"/>
                <w:lang w:val="en-US" w:eastAsia="zh-CN"/>
              </w:rPr>
              <w:t>0</w:t>
            </w:r>
          </w:p>
        </w:tc>
        <w:tc>
          <w:tcPr>
            <w:tcW w:w="1088" w:type="dxa"/>
            <w:tcBorders>
              <w:top w:val="single" w:color="auto" w:sz="4" w:space="0"/>
              <w:left w:val="single" w:color="auto" w:sz="6" w:space="0"/>
              <w:bottom w:val="single" w:color="auto" w:sz="4" w:space="0"/>
              <w:right w:val="single" w:color="auto" w:sz="4" w:space="0"/>
            </w:tcBorders>
            <w:noWrap w:val="0"/>
            <w:vAlign w:val="center"/>
          </w:tcPr>
          <w:p w14:paraId="399E68F5">
            <w:pPr>
              <w:jc w:val="center"/>
              <w:rPr>
                <w:rFonts w:hint="eastAsia" w:cs="Times New Roman"/>
                <w:color w:val="auto"/>
                <w:sz w:val="21"/>
                <w:szCs w:val="21"/>
                <w:lang w:val="en-US" w:eastAsia="zh-CN"/>
              </w:rPr>
            </w:pPr>
            <w:r>
              <w:rPr>
                <w:rFonts w:hint="eastAsia"/>
                <w:color w:val="auto"/>
                <w:szCs w:val="21"/>
                <w:lang w:val="en-US" w:eastAsia="zh-CN"/>
              </w:rPr>
              <w:t>0.05t/a</w:t>
            </w:r>
          </w:p>
        </w:tc>
        <w:tc>
          <w:tcPr>
            <w:tcW w:w="871" w:type="dxa"/>
            <w:tcBorders>
              <w:top w:val="single" w:color="auto" w:sz="4" w:space="0"/>
              <w:left w:val="single" w:color="auto" w:sz="6" w:space="0"/>
              <w:bottom w:val="single" w:color="auto" w:sz="4" w:space="0"/>
              <w:right w:val="single" w:color="auto" w:sz="4" w:space="0"/>
            </w:tcBorders>
            <w:noWrap w:val="0"/>
            <w:vAlign w:val="center"/>
          </w:tcPr>
          <w:p w14:paraId="6D8E6665">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olor w:val="auto"/>
                <w:szCs w:val="21"/>
                <w:lang w:val="en-US" w:eastAsia="zh-CN"/>
              </w:rPr>
            </w:pPr>
            <w:r>
              <w:rPr>
                <w:rFonts w:hint="default" w:ascii="Times New Roman" w:hAnsi="Times New Roman" w:eastAsia="宋体" w:cs="Times New Roman"/>
                <w:color w:val="auto"/>
                <w:sz w:val="21"/>
                <w:szCs w:val="21"/>
                <w:lang w:val="en-US" w:eastAsia="zh-CN"/>
              </w:rPr>
              <w:t>0</w:t>
            </w:r>
          </w:p>
        </w:tc>
        <w:tc>
          <w:tcPr>
            <w:tcW w:w="486" w:type="dxa"/>
            <w:tcBorders>
              <w:top w:val="single" w:color="auto" w:sz="4" w:space="0"/>
              <w:left w:val="single" w:color="auto" w:sz="4" w:space="0"/>
              <w:bottom w:val="single" w:color="auto" w:sz="4" w:space="0"/>
              <w:right w:val="single" w:color="auto" w:sz="12" w:space="0"/>
            </w:tcBorders>
            <w:noWrap w:val="0"/>
            <w:vAlign w:val="center"/>
          </w:tcPr>
          <w:p w14:paraId="55FF5249">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14:paraId="1F0405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337" w:type="dxa"/>
            <w:tcBorders>
              <w:top w:val="single" w:color="auto" w:sz="4" w:space="0"/>
              <w:left w:val="single" w:color="auto" w:sz="12" w:space="0"/>
              <w:bottom w:val="single" w:color="auto" w:sz="4" w:space="0"/>
              <w:right w:val="single" w:color="auto" w:sz="4" w:space="0"/>
            </w:tcBorders>
            <w:noWrap w:val="0"/>
            <w:vAlign w:val="center"/>
          </w:tcPr>
          <w:p w14:paraId="51706B34">
            <w:pPr>
              <w:jc w:val="center"/>
              <w:rPr>
                <w:rFonts w:hint="default" w:cs="Times New Roman"/>
                <w:color w:val="auto"/>
                <w:sz w:val="21"/>
                <w:szCs w:val="21"/>
                <w:lang w:val="en-US" w:eastAsia="zh-CN"/>
              </w:rPr>
            </w:pPr>
            <w:r>
              <w:rPr>
                <w:rFonts w:hint="eastAsia" w:cs="Times New Roman"/>
                <w:color w:val="auto"/>
                <w:sz w:val="21"/>
                <w:szCs w:val="21"/>
                <w:lang w:val="en-US" w:eastAsia="zh-CN"/>
              </w:rPr>
              <w:t>6</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69A3F5BF">
            <w:pPr>
              <w:jc w:val="center"/>
              <w:rPr>
                <w:rFonts w:hint="eastAsia"/>
                <w:color w:val="auto"/>
                <w:szCs w:val="21"/>
                <w:lang w:val="en-US" w:eastAsia="zh-CN"/>
              </w:rPr>
            </w:pPr>
            <w:r>
              <w:rPr>
                <w:rFonts w:hint="eastAsia"/>
                <w:color w:val="auto"/>
                <w:szCs w:val="21"/>
                <w:lang w:val="en-US" w:eastAsia="zh-CN"/>
              </w:rPr>
              <w:t>消毒</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2EB0A623">
            <w:pPr>
              <w:jc w:val="center"/>
              <w:rPr>
                <w:rFonts w:hint="eastAsia" w:cs="Times New Roman"/>
                <w:color w:val="auto"/>
                <w:sz w:val="21"/>
                <w:szCs w:val="21"/>
                <w:lang w:val="en-US" w:eastAsia="zh-CN"/>
              </w:rPr>
            </w:pPr>
            <w:r>
              <w:rPr>
                <w:rFonts w:hint="eastAsia"/>
                <w:color w:val="auto"/>
                <w:szCs w:val="21"/>
                <w:lang w:val="en-US" w:eastAsia="zh-CN"/>
              </w:rPr>
              <w:t>废紫外灯</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30BEF170">
            <w:pPr>
              <w:jc w:val="center"/>
              <w:rPr>
                <w:rFonts w:hint="eastAsia"/>
                <w:color w:val="auto"/>
                <w:szCs w:val="21"/>
                <w:lang w:val="en-US" w:eastAsia="zh-CN"/>
              </w:rPr>
            </w:pPr>
            <w:r>
              <w:rPr>
                <w:rFonts w:hint="eastAsia"/>
                <w:color w:val="auto"/>
                <w:szCs w:val="21"/>
                <w:lang w:eastAsia="zh-CN"/>
              </w:rPr>
              <w:t>危险废物</w:t>
            </w:r>
          </w:p>
        </w:tc>
        <w:tc>
          <w:tcPr>
            <w:tcW w:w="993" w:type="dxa"/>
            <w:tcBorders>
              <w:top w:val="single" w:color="auto" w:sz="4" w:space="0"/>
              <w:left w:val="single" w:color="auto" w:sz="4" w:space="0"/>
              <w:bottom w:val="single" w:color="auto" w:sz="4" w:space="0"/>
              <w:right w:val="single" w:color="auto" w:sz="6" w:space="0"/>
            </w:tcBorders>
            <w:noWrap w:val="0"/>
            <w:vAlign w:val="center"/>
          </w:tcPr>
          <w:p w14:paraId="1D6F930C">
            <w:pPr>
              <w:jc w:val="center"/>
              <w:rPr>
                <w:rFonts w:hint="eastAsia" w:cs="Times New Roman"/>
                <w:color w:val="auto"/>
                <w:sz w:val="21"/>
                <w:szCs w:val="21"/>
                <w:lang w:val="en-US" w:eastAsia="zh-CN"/>
              </w:rPr>
            </w:pPr>
            <w:r>
              <w:rPr>
                <w:rFonts w:hint="eastAsia"/>
                <w:color w:val="auto"/>
                <w:szCs w:val="21"/>
                <w:lang w:eastAsia="zh-CN"/>
              </w:rPr>
              <w:t>危险废物</w:t>
            </w:r>
          </w:p>
        </w:tc>
        <w:tc>
          <w:tcPr>
            <w:tcW w:w="1305" w:type="dxa"/>
            <w:tcBorders>
              <w:top w:val="single" w:color="auto" w:sz="4" w:space="0"/>
              <w:left w:val="single" w:color="auto" w:sz="6" w:space="0"/>
              <w:bottom w:val="single" w:color="auto" w:sz="4" w:space="0"/>
              <w:right w:val="single" w:color="auto" w:sz="4" w:space="0"/>
            </w:tcBorders>
            <w:noWrap w:val="0"/>
            <w:vAlign w:val="center"/>
          </w:tcPr>
          <w:p w14:paraId="77B032D4">
            <w:pPr>
              <w:jc w:val="center"/>
              <w:rPr>
                <w:rFonts w:hint="eastAsia"/>
                <w:color w:val="auto"/>
                <w:szCs w:val="21"/>
                <w:lang w:val="en-US" w:eastAsia="zh-CN"/>
              </w:rPr>
            </w:pPr>
            <w:r>
              <w:rPr>
                <w:rFonts w:hint="eastAsia"/>
                <w:color w:val="auto"/>
                <w:szCs w:val="21"/>
                <w:lang w:val="en-US" w:eastAsia="zh-CN"/>
              </w:rPr>
              <w:t>废紫外灯</w:t>
            </w:r>
          </w:p>
        </w:tc>
        <w:tc>
          <w:tcPr>
            <w:tcW w:w="1109" w:type="dxa"/>
            <w:tcBorders>
              <w:top w:val="single" w:color="auto" w:sz="4" w:space="0"/>
              <w:left w:val="single" w:color="auto" w:sz="6" w:space="0"/>
              <w:bottom w:val="single" w:color="auto" w:sz="4" w:space="0"/>
              <w:right w:val="single" w:color="auto" w:sz="4" w:space="0"/>
            </w:tcBorders>
            <w:noWrap w:val="0"/>
            <w:vAlign w:val="center"/>
          </w:tcPr>
          <w:p w14:paraId="36B72876">
            <w:pPr>
              <w:jc w:val="center"/>
              <w:rPr>
                <w:rFonts w:hint="eastAsia" w:cs="Times New Roman"/>
                <w:color w:val="auto"/>
                <w:sz w:val="21"/>
                <w:szCs w:val="21"/>
                <w:lang w:val="en-US" w:eastAsia="zh-CN"/>
              </w:rPr>
            </w:pPr>
            <w:r>
              <w:rPr>
                <w:rFonts w:hint="eastAsia"/>
                <w:color w:val="auto"/>
                <w:szCs w:val="21"/>
                <w:lang w:val="en-US" w:eastAsia="zh-CN"/>
              </w:rPr>
              <w:t>0.4t/a</w:t>
            </w:r>
          </w:p>
        </w:tc>
        <w:tc>
          <w:tcPr>
            <w:tcW w:w="1022" w:type="dxa"/>
            <w:tcBorders>
              <w:top w:val="single" w:color="auto" w:sz="4" w:space="0"/>
              <w:left w:val="single" w:color="auto" w:sz="6" w:space="0"/>
              <w:bottom w:val="single" w:color="auto" w:sz="4" w:space="0"/>
              <w:right w:val="single" w:color="auto" w:sz="4" w:space="0"/>
            </w:tcBorders>
            <w:noWrap w:val="0"/>
            <w:vAlign w:val="center"/>
          </w:tcPr>
          <w:p w14:paraId="67A897F6">
            <w:pPr>
              <w:jc w:val="center"/>
              <w:rPr>
                <w:rFonts w:hint="eastAsia"/>
                <w:color w:val="auto"/>
                <w:szCs w:val="21"/>
                <w:lang w:val="en-US" w:eastAsia="zh-CN"/>
              </w:rPr>
            </w:pPr>
            <w:r>
              <w:rPr>
                <w:rFonts w:hint="eastAsia" w:ascii="Times New Roman" w:hAnsi="Times New Roman" w:eastAsia="宋体" w:cs="Times New Roman"/>
                <w:color w:val="auto"/>
                <w:sz w:val="21"/>
                <w:szCs w:val="21"/>
                <w:lang w:val="en-US" w:eastAsia="zh-CN"/>
              </w:rPr>
              <w:t>委托处置</w:t>
            </w:r>
          </w:p>
        </w:tc>
        <w:tc>
          <w:tcPr>
            <w:tcW w:w="1002" w:type="dxa"/>
            <w:tcBorders>
              <w:top w:val="single" w:color="auto" w:sz="4" w:space="0"/>
              <w:left w:val="single" w:color="auto" w:sz="4" w:space="0"/>
              <w:bottom w:val="single" w:color="auto" w:sz="4" w:space="0"/>
              <w:right w:val="single" w:color="auto" w:sz="4" w:space="0"/>
            </w:tcBorders>
            <w:noWrap w:val="0"/>
            <w:vAlign w:val="center"/>
          </w:tcPr>
          <w:p w14:paraId="6B155359">
            <w:pPr>
              <w:jc w:val="center"/>
              <w:rPr>
                <w:rFonts w:hint="eastAsia" w:cs="Times New Roman"/>
                <w:color w:val="auto"/>
                <w:sz w:val="21"/>
                <w:szCs w:val="21"/>
                <w:lang w:val="en-US" w:eastAsia="zh-CN"/>
              </w:rPr>
            </w:pPr>
            <w:r>
              <w:rPr>
                <w:rFonts w:hint="eastAsia"/>
                <w:color w:val="auto"/>
                <w:szCs w:val="21"/>
                <w:lang w:val="en-US" w:eastAsia="zh-CN"/>
              </w:rPr>
              <w:t>0.4t/a</w:t>
            </w:r>
          </w:p>
        </w:tc>
        <w:tc>
          <w:tcPr>
            <w:tcW w:w="1109" w:type="dxa"/>
            <w:tcBorders>
              <w:top w:val="single" w:color="auto" w:sz="4" w:space="0"/>
              <w:left w:val="single" w:color="auto" w:sz="4" w:space="0"/>
              <w:bottom w:val="single" w:color="auto" w:sz="4" w:space="0"/>
              <w:right w:val="single" w:color="auto" w:sz="6" w:space="0"/>
            </w:tcBorders>
            <w:noWrap w:val="0"/>
            <w:vAlign w:val="center"/>
          </w:tcPr>
          <w:p w14:paraId="276CF590">
            <w:pPr>
              <w:jc w:val="center"/>
              <w:rPr>
                <w:rFonts w:hint="default"/>
                <w:color w:val="auto"/>
                <w:szCs w:val="21"/>
                <w:lang w:val="en-US" w:eastAsia="zh-CN"/>
              </w:rPr>
            </w:pPr>
            <w:r>
              <w:rPr>
                <w:rFonts w:hint="eastAsia"/>
                <w:color w:val="auto"/>
                <w:szCs w:val="21"/>
                <w:lang w:val="en-US" w:eastAsia="zh-CN"/>
              </w:rPr>
              <w:t>0</w:t>
            </w:r>
          </w:p>
        </w:tc>
        <w:tc>
          <w:tcPr>
            <w:tcW w:w="853" w:type="dxa"/>
            <w:tcBorders>
              <w:top w:val="single" w:color="auto" w:sz="4" w:space="0"/>
              <w:left w:val="single" w:color="auto" w:sz="4" w:space="0"/>
              <w:bottom w:val="single" w:color="auto" w:sz="4" w:space="0"/>
              <w:right w:val="single" w:color="auto" w:sz="6" w:space="0"/>
            </w:tcBorders>
            <w:noWrap w:val="0"/>
            <w:vAlign w:val="center"/>
          </w:tcPr>
          <w:p w14:paraId="373C9BE0">
            <w:pPr>
              <w:jc w:val="center"/>
              <w:rPr>
                <w:rFonts w:hint="default" w:cs="Times New Roman"/>
                <w:color w:val="auto"/>
                <w:sz w:val="21"/>
                <w:szCs w:val="21"/>
                <w:lang w:val="en-US" w:eastAsia="zh-CN"/>
              </w:rPr>
            </w:pPr>
            <w:r>
              <w:rPr>
                <w:rFonts w:hint="eastAsia" w:cs="Times New Roman"/>
                <w:color w:val="auto"/>
                <w:sz w:val="21"/>
                <w:szCs w:val="21"/>
                <w:lang w:val="en-US" w:eastAsia="zh-CN"/>
              </w:rPr>
              <w:t>0</w:t>
            </w:r>
          </w:p>
        </w:tc>
        <w:tc>
          <w:tcPr>
            <w:tcW w:w="1089" w:type="dxa"/>
            <w:tcBorders>
              <w:top w:val="single" w:color="auto" w:sz="4" w:space="0"/>
              <w:left w:val="single" w:color="auto" w:sz="6" w:space="0"/>
              <w:bottom w:val="single" w:color="auto" w:sz="4" w:space="0"/>
              <w:right w:val="single" w:color="auto" w:sz="4" w:space="0"/>
            </w:tcBorders>
            <w:noWrap w:val="0"/>
            <w:vAlign w:val="center"/>
          </w:tcPr>
          <w:p w14:paraId="2F8A3D33">
            <w:pPr>
              <w:jc w:val="center"/>
              <w:rPr>
                <w:rFonts w:hint="default"/>
                <w:color w:val="auto"/>
                <w:szCs w:val="21"/>
                <w:lang w:val="en-US" w:eastAsia="zh-CN"/>
              </w:rPr>
            </w:pPr>
            <w:r>
              <w:rPr>
                <w:rFonts w:hint="eastAsia"/>
                <w:color w:val="auto"/>
                <w:szCs w:val="21"/>
                <w:lang w:val="en-US" w:eastAsia="zh-CN"/>
              </w:rPr>
              <w:t>0</w:t>
            </w:r>
          </w:p>
        </w:tc>
        <w:tc>
          <w:tcPr>
            <w:tcW w:w="1088" w:type="dxa"/>
            <w:tcBorders>
              <w:top w:val="single" w:color="auto" w:sz="4" w:space="0"/>
              <w:left w:val="single" w:color="auto" w:sz="6" w:space="0"/>
              <w:bottom w:val="single" w:color="auto" w:sz="4" w:space="0"/>
              <w:right w:val="single" w:color="auto" w:sz="4" w:space="0"/>
            </w:tcBorders>
            <w:noWrap w:val="0"/>
            <w:vAlign w:val="center"/>
          </w:tcPr>
          <w:p w14:paraId="046783D1">
            <w:pPr>
              <w:jc w:val="center"/>
              <w:rPr>
                <w:rFonts w:hint="eastAsia" w:cs="Times New Roman"/>
                <w:color w:val="auto"/>
                <w:sz w:val="21"/>
                <w:szCs w:val="21"/>
                <w:lang w:val="en-US" w:eastAsia="zh-CN"/>
              </w:rPr>
            </w:pPr>
            <w:r>
              <w:rPr>
                <w:rFonts w:hint="eastAsia"/>
                <w:color w:val="auto"/>
                <w:szCs w:val="21"/>
                <w:lang w:val="en-US" w:eastAsia="zh-CN"/>
              </w:rPr>
              <w:t>0.4t/a</w:t>
            </w:r>
          </w:p>
        </w:tc>
        <w:tc>
          <w:tcPr>
            <w:tcW w:w="871" w:type="dxa"/>
            <w:tcBorders>
              <w:top w:val="single" w:color="auto" w:sz="4" w:space="0"/>
              <w:left w:val="single" w:color="auto" w:sz="6" w:space="0"/>
              <w:bottom w:val="single" w:color="auto" w:sz="4" w:space="0"/>
              <w:right w:val="single" w:color="auto" w:sz="4" w:space="0"/>
            </w:tcBorders>
            <w:noWrap w:val="0"/>
            <w:vAlign w:val="center"/>
          </w:tcPr>
          <w:p w14:paraId="023362DC">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olor w:val="auto"/>
                <w:szCs w:val="21"/>
                <w:lang w:val="en-US" w:eastAsia="zh-CN"/>
              </w:rPr>
            </w:pPr>
            <w:r>
              <w:rPr>
                <w:rFonts w:hint="default" w:ascii="Times New Roman" w:hAnsi="Times New Roman" w:eastAsia="宋体" w:cs="Times New Roman"/>
                <w:color w:val="auto"/>
                <w:sz w:val="21"/>
                <w:szCs w:val="21"/>
                <w:lang w:val="en-US" w:eastAsia="zh-CN"/>
              </w:rPr>
              <w:t>0</w:t>
            </w:r>
          </w:p>
        </w:tc>
        <w:tc>
          <w:tcPr>
            <w:tcW w:w="486" w:type="dxa"/>
            <w:tcBorders>
              <w:top w:val="single" w:color="auto" w:sz="4" w:space="0"/>
              <w:left w:val="single" w:color="auto" w:sz="4" w:space="0"/>
              <w:bottom w:val="single" w:color="auto" w:sz="4" w:space="0"/>
              <w:right w:val="single" w:color="auto" w:sz="12" w:space="0"/>
            </w:tcBorders>
            <w:noWrap w:val="0"/>
            <w:vAlign w:val="center"/>
          </w:tcPr>
          <w:p w14:paraId="15FD3E71">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14:paraId="120AD2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337" w:type="dxa"/>
            <w:tcBorders>
              <w:top w:val="single" w:color="auto" w:sz="4" w:space="0"/>
              <w:left w:val="single" w:color="auto" w:sz="12" w:space="0"/>
              <w:bottom w:val="single" w:color="auto" w:sz="4" w:space="0"/>
              <w:right w:val="single" w:color="auto" w:sz="4" w:space="0"/>
            </w:tcBorders>
            <w:noWrap w:val="0"/>
            <w:vAlign w:val="center"/>
          </w:tcPr>
          <w:p w14:paraId="3FC4316D">
            <w:pPr>
              <w:jc w:val="center"/>
              <w:rPr>
                <w:rFonts w:hint="default" w:cs="Times New Roman"/>
                <w:color w:val="auto"/>
                <w:sz w:val="21"/>
                <w:szCs w:val="21"/>
                <w:lang w:val="en-US" w:eastAsia="zh-CN"/>
              </w:rPr>
            </w:pPr>
            <w:r>
              <w:rPr>
                <w:rFonts w:hint="eastAsia" w:cs="Times New Roman"/>
                <w:color w:val="auto"/>
                <w:sz w:val="21"/>
                <w:szCs w:val="21"/>
                <w:lang w:val="en-US" w:eastAsia="zh-CN"/>
              </w:rPr>
              <w:t>7</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66EA74E3">
            <w:pPr>
              <w:jc w:val="center"/>
              <w:rPr>
                <w:rFonts w:hint="eastAsia"/>
                <w:color w:val="auto"/>
                <w:szCs w:val="21"/>
                <w:lang w:val="en-US" w:eastAsia="zh-CN"/>
              </w:rPr>
            </w:pPr>
            <w:r>
              <w:rPr>
                <w:rFonts w:hint="eastAsia"/>
                <w:color w:val="auto"/>
                <w:szCs w:val="21"/>
                <w:lang w:val="en-US" w:eastAsia="zh-CN"/>
              </w:rPr>
              <w:t>废水处理</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74756612">
            <w:pPr>
              <w:jc w:val="center"/>
              <w:rPr>
                <w:rFonts w:hint="eastAsia" w:cs="Times New Roman"/>
                <w:color w:val="auto"/>
                <w:sz w:val="21"/>
                <w:szCs w:val="21"/>
                <w:lang w:val="en-US" w:eastAsia="zh-CN"/>
              </w:rPr>
            </w:pPr>
            <w:r>
              <w:rPr>
                <w:rFonts w:hint="eastAsia"/>
                <w:color w:val="auto"/>
                <w:szCs w:val="21"/>
                <w:lang w:val="en-US" w:eastAsia="zh-CN"/>
              </w:rPr>
              <w:t>污水处理站污泥</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09AE292A">
            <w:pPr>
              <w:jc w:val="center"/>
              <w:rPr>
                <w:rFonts w:hint="eastAsia"/>
                <w:color w:val="auto"/>
                <w:szCs w:val="21"/>
                <w:lang w:val="en-US" w:eastAsia="zh-CN"/>
              </w:rPr>
            </w:pPr>
            <w:r>
              <w:rPr>
                <w:rFonts w:hint="eastAsia"/>
                <w:color w:val="auto"/>
                <w:szCs w:val="21"/>
                <w:lang w:eastAsia="zh-CN"/>
              </w:rPr>
              <w:t>危险废物</w:t>
            </w:r>
          </w:p>
        </w:tc>
        <w:tc>
          <w:tcPr>
            <w:tcW w:w="993" w:type="dxa"/>
            <w:tcBorders>
              <w:top w:val="single" w:color="auto" w:sz="4" w:space="0"/>
              <w:left w:val="single" w:color="auto" w:sz="4" w:space="0"/>
              <w:bottom w:val="single" w:color="auto" w:sz="4" w:space="0"/>
              <w:right w:val="single" w:color="auto" w:sz="6" w:space="0"/>
            </w:tcBorders>
            <w:noWrap w:val="0"/>
            <w:vAlign w:val="center"/>
          </w:tcPr>
          <w:p w14:paraId="36F1F1DF">
            <w:pPr>
              <w:jc w:val="center"/>
              <w:rPr>
                <w:rFonts w:hint="eastAsia" w:cs="Times New Roman"/>
                <w:color w:val="auto"/>
                <w:sz w:val="21"/>
                <w:szCs w:val="21"/>
                <w:lang w:val="en-US" w:eastAsia="zh-CN"/>
              </w:rPr>
            </w:pPr>
            <w:r>
              <w:rPr>
                <w:rFonts w:hint="eastAsia"/>
                <w:color w:val="auto"/>
                <w:szCs w:val="21"/>
                <w:lang w:eastAsia="zh-CN"/>
              </w:rPr>
              <w:t>危险废物</w:t>
            </w:r>
          </w:p>
        </w:tc>
        <w:tc>
          <w:tcPr>
            <w:tcW w:w="1305" w:type="dxa"/>
            <w:tcBorders>
              <w:top w:val="single" w:color="auto" w:sz="4" w:space="0"/>
              <w:left w:val="single" w:color="auto" w:sz="6" w:space="0"/>
              <w:bottom w:val="single" w:color="auto" w:sz="4" w:space="0"/>
              <w:right w:val="single" w:color="auto" w:sz="4" w:space="0"/>
            </w:tcBorders>
            <w:noWrap w:val="0"/>
            <w:vAlign w:val="center"/>
          </w:tcPr>
          <w:p w14:paraId="00A20EA0">
            <w:pPr>
              <w:jc w:val="center"/>
              <w:rPr>
                <w:rFonts w:hint="eastAsia"/>
                <w:color w:val="auto"/>
                <w:szCs w:val="21"/>
                <w:lang w:val="en-US" w:eastAsia="zh-CN"/>
              </w:rPr>
            </w:pPr>
            <w:r>
              <w:rPr>
                <w:rFonts w:hint="eastAsia"/>
                <w:color w:val="auto"/>
                <w:szCs w:val="21"/>
                <w:lang w:val="en-US" w:eastAsia="zh-CN"/>
              </w:rPr>
              <w:t>污水处理站污泥</w:t>
            </w:r>
          </w:p>
        </w:tc>
        <w:tc>
          <w:tcPr>
            <w:tcW w:w="1109" w:type="dxa"/>
            <w:tcBorders>
              <w:top w:val="single" w:color="auto" w:sz="4" w:space="0"/>
              <w:left w:val="single" w:color="auto" w:sz="6" w:space="0"/>
              <w:bottom w:val="single" w:color="auto" w:sz="4" w:space="0"/>
              <w:right w:val="single" w:color="auto" w:sz="4" w:space="0"/>
            </w:tcBorders>
            <w:noWrap w:val="0"/>
            <w:vAlign w:val="center"/>
          </w:tcPr>
          <w:p w14:paraId="2A524212">
            <w:pPr>
              <w:jc w:val="center"/>
              <w:rPr>
                <w:rFonts w:hint="eastAsia" w:cs="Times New Roman"/>
                <w:color w:val="auto"/>
                <w:sz w:val="21"/>
                <w:szCs w:val="21"/>
                <w:lang w:val="en-US" w:eastAsia="zh-CN"/>
              </w:rPr>
            </w:pPr>
            <w:r>
              <w:rPr>
                <w:rFonts w:hint="eastAsia"/>
                <w:color w:val="auto"/>
                <w:szCs w:val="21"/>
                <w:lang w:val="en-US" w:eastAsia="zh-CN"/>
              </w:rPr>
              <w:t>10.9t/a</w:t>
            </w:r>
          </w:p>
        </w:tc>
        <w:tc>
          <w:tcPr>
            <w:tcW w:w="1022" w:type="dxa"/>
            <w:tcBorders>
              <w:top w:val="single" w:color="auto" w:sz="4" w:space="0"/>
              <w:left w:val="single" w:color="auto" w:sz="6" w:space="0"/>
              <w:bottom w:val="single" w:color="auto" w:sz="4" w:space="0"/>
              <w:right w:val="single" w:color="auto" w:sz="4" w:space="0"/>
            </w:tcBorders>
            <w:noWrap w:val="0"/>
            <w:vAlign w:val="center"/>
          </w:tcPr>
          <w:p w14:paraId="2AED95A7">
            <w:pPr>
              <w:jc w:val="center"/>
              <w:rPr>
                <w:rFonts w:hint="eastAsia"/>
                <w:color w:val="auto"/>
                <w:szCs w:val="21"/>
                <w:lang w:val="en-US" w:eastAsia="zh-CN"/>
              </w:rPr>
            </w:pPr>
            <w:r>
              <w:rPr>
                <w:rFonts w:hint="eastAsia" w:ascii="Times New Roman" w:hAnsi="Times New Roman" w:eastAsia="宋体" w:cs="Times New Roman"/>
                <w:color w:val="auto"/>
                <w:sz w:val="21"/>
                <w:szCs w:val="21"/>
                <w:lang w:val="en-US" w:eastAsia="zh-CN"/>
              </w:rPr>
              <w:t>委托处置</w:t>
            </w:r>
          </w:p>
        </w:tc>
        <w:tc>
          <w:tcPr>
            <w:tcW w:w="1002" w:type="dxa"/>
            <w:tcBorders>
              <w:top w:val="single" w:color="auto" w:sz="4" w:space="0"/>
              <w:left w:val="single" w:color="auto" w:sz="4" w:space="0"/>
              <w:bottom w:val="single" w:color="auto" w:sz="4" w:space="0"/>
              <w:right w:val="single" w:color="auto" w:sz="4" w:space="0"/>
            </w:tcBorders>
            <w:noWrap w:val="0"/>
            <w:vAlign w:val="center"/>
          </w:tcPr>
          <w:p w14:paraId="557C3850">
            <w:pPr>
              <w:jc w:val="center"/>
              <w:rPr>
                <w:rFonts w:hint="eastAsia" w:cs="Times New Roman"/>
                <w:color w:val="auto"/>
                <w:sz w:val="21"/>
                <w:szCs w:val="21"/>
                <w:lang w:val="en-US" w:eastAsia="zh-CN"/>
              </w:rPr>
            </w:pPr>
            <w:r>
              <w:rPr>
                <w:rFonts w:hint="eastAsia"/>
                <w:color w:val="auto"/>
                <w:szCs w:val="21"/>
                <w:lang w:val="en-US" w:eastAsia="zh-CN"/>
              </w:rPr>
              <w:t>10.9t/a</w:t>
            </w:r>
          </w:p>
        </w:tc>
        <w:tc>
          <w:tcPr>
            <w:tcW w:w="1109" w:type="dxa"/>
            <w:tcBorders>
              <w:top w:val="single" w:color="auto" w:sz="4" w:space="0"/>
              <w:left w:val="single" w:color="auto" w:sz="4" w:space="0"/>
              <w:bottom w:val="single" w:color="auto" w:sz="4" w:space="0"/>
              <w:right w:val="single" w:color="auto" w:sz="6" w:space="0"/>
            </w:tcBorders>
            <w:noWrap w:val="0"/>
            <w:vAlign w:val="center"/>
          </w:tcPr>
          <w:p w14:paraId="4740991A">
            <w:pPr>
              <w:jc w:val="center"/>
              <w:rPr>
                <w:rFonts w:hint="default"/>
                <w:color w:val="auto"/>
                <w:szCs w:val="21"/>
                <w:lang w:val="en-US" w:eastAsia="zh-CN"/>
              </w:rPr>
            </w:pPr>
            <w:r>
              <w:rPr>
                <w:rFonts w:hint="eastAsia"/>
                <w:color w:val="auto"/>
                <w:szCs w:val="21"/>
                <w:lang w:val="en-US" w:eastAsia="zh-CN"/>
              </w:rPr>
              <w:t>0</w:t>
            </w:r>
          </w:p>
        </w:tc>
        <w:tc>
          <w:tcPr>
            <w:tcW w:w="853" w:type="dxa"/>
            <w:tcBorders>
              <w:top w:val="single" w:color="auto" w:sz="4" w:space="0"/>
              <w:left w:val="single" w:color="auto" w:sz="4" w:space="0"/>
              <w:bottom w:val="single" w:color="auto" w:sz="4" w:space="0"/>
              <w:right w:val="single" w:color="auto" w:sz="6" w:space="0"/>
            </w:tcBorders>
            <w:noWrap w:val="0"/>
            <w:vAlign w:val="center"/>
          </w:tcPr>
          <w:p w14:paraId="38B358D2">
            <w:pPr>
              <w:jc w:val="center"/>
              <w:rPr>
                <w:rFonts w:hint="default" w:cs="Times New Roman"/>
                <w:color w:val="auto"/>
                <w:sz w:val="21"/>
                <w:szCs w:val="21"/>
                <w:lang w:val="en-US" w:eastAsia="zh-CN"/>
              </w:rPr>
            </w:pPr>
            <w:r>
              <w:rPr>
                <w:rFonts w:hint="eastAsia" w:cs="Times New Roman"/>
                <w:color w:val="auto"/>
                <w:sz w:val="21"/>
                <w:szCs w:val="21"/>
                <w:lang w:val="en-US" w:eastAsia="zh-CN"/>
              </w:rPr>
              <w:t>0</w:t>
            </w:r>
          </w:p>
        </w:tc>
        <w:tc>
          <w:tcPr>
            <w:tcW w:w="1089" w:type="dxa"/>
            <w:tcBorders>
              <w:top w:val="single" w:color="auto" w:sz="4" w:space="0"/>
              <w:left w:val="single" w:color="auto" w:sz="6" w:space="0"/>
              <w:bottom w:val="single" w:color="auto" w:sz="4" w:space="0"/>
              <w:right w:val="single" w:color="auto" w:sz="4" w:space="0"/>
            </w:tcBorders>
            <w:noWrap w:val="0"/>
            <w:vAlign w:val="center"/>
          </w:tcPr>
          <w:p w14:paraId="33B84B3D">
            <w:pPr>
              <w:jc w:val="center"/>
              <w:rPr>
                <w:rFonts w:hint="default"/>
                <w:color w:val="auto"/>
                <w:szCs w:val="21"/>
                <w:lang w:val="en-US" w:eastAsia="zh-CN"/>
              </w:rPr>
            </w:pPr>
            <w:r>
              <w:rPr>
                <w:rFonts w:hint="eastAsia"/>
                <w:color w:val="auto"/>
                <w:szCs w:val="21"/>
                <w:lang w:val="en-US" w:eastAsia="zh-CN"/>
              </w:rPr>
              <w:t>0</w:t>
            </w:r>
          </w:p>
        </w:tc>
        <w:tc>
          <w:tcPr>
            <w:tcW w:w="1088" w:type="dxa"/>
            <w:tcBorders>
              <w:top w:val="single" w:color="auto" w:sz="4" w:space="0"/>
              <w:left w:val="single" w:color="auto" w:sz="6" w:space="0"/>
              <w:bottom w:val="single" w:color="auto" w:sz="4" w:space="0"/>
              <w:right w:val="single" w:color="auto" w:sz="4" w:space="0"/>
            </w:tcBorders>
            <w:noWrap w:val="0"/>
            <w:vAlign w:val="center"/>
          </w:tcPr>
          <w:p w14:paraId="1C8401A3">
            <w:pPr>
              <w:jc w:val="center"/>
              <w:rPr>
                <w:rFonts w:hint="eastAsia" w:cs="Times New Roman"/>
                <w:color w:val="auto"/>
                <w:sz w:val="21"/>
                <w:szCs w:val="21"/>
                <w:lang w:val="en-US" w:eastAsia="zh-CN"/>
              </w:rPr>
            </w:pPr>
            <w:r>
              <w:rPr>
                <w:rFonts w:hint="eastAsia"/>
                <w:color w:val="auto"/>
                <w:szCs w:val="21"/>
                <w:lang w:val="en-US" w:eastAsia="zh-CN"/>
              </w:rPr>
              <w:t>10.9t/a</w:t>
            </w:r>
          </w:p>
        </w:tc>
        <w:tc>
          <w:tcPr>
            <w:tcW w:w="871" w:type="dxa"/>
            <w:tcBorders>
              <w:top w:val="single" w:color="auto" w:sz="4" w:space="0"/>
              <w:left w:val="single" w:color="auto" w:sz="6" w:space="0"/>
              <w:bottom w:val="single" w:color="auto" w:sz="4" w:space="0"/>
              <w:right w:val="single" w:color="auto" w:sz="4" w:space="0"/>
            </w:tcBorders>
            <w:noWrap w:val="0"/>
            <w:vAlign w:val="center"/>
          </w:tcPr>
          <w:p w14:paraId="22A5D2B7">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olor w:val="auto"/>
                <w:szCs w:val="21"/>
                <w:lang w:val="en-US" w:eastAsia="zh-CN"/>
              </w:rPr>
            </w:pPr>
            <w:r>
              <w:rPr>
                <w:rFonts w:hint="default" w:ascii="Times New Roman" w:hAnsi="Times New Roman" w:eastAsia="宋体" w:cs="Times New Roman"/>
                <w:color w:val="auto"/>
                <w:sz w:val="21"/>
                <w:szCs w:val="21"/>
                <w:lang w:val="en-US" w:eastAsia="zh-CN"/>
              </w:rPr>
              <w:t>0</w:t>
            </w:r>
          </w:p>
        </w:tc>
        <w:tc>
          <w:tcPr>
            <w:tcW w:w="486" w:type="dxa"/>
            <w:tcBorders>
              <w:top w:val="single" w:color="auto" w:sz="4" w:space="0"/>
              <w:left w:val="single" w:color="auto" w:sz="4" w:space="0"/>
              <w:bottom w:val="single" w:color="auto" w:sz="4" w:space="0"/>
              <w:right w:val="single" w:color="auto" w:sz="12" w:space="0"/>
            </w:tcBorders>
            <w:noWrap w:val="0"/>
            <w:vAlign w:val="center"/>
          </w:tcPr>
          <w:p w14:paraId="549E17B5">
            <w:pPr>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eastAsia"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bl>
    <w:p w14:paraId="5E6C5378">
      <w:pPr>
        <w:pStyle w:val="23"/>
        <w:widowControl/>
        <w:shd w:val="clear" w:color="auto" w:fill="FFFFFF"/>
        <w:spacing w:before="0" w:beforeAutospacing="0" w:after="0" w:afterAutospacing="0"/>
        <w:jc w:val="center"/>
        <w:rPr>
          <w:rFonts w:ascii="宋体" w:hAnsi="宋体" w:eastAsia="仿宋_GB2312" w:cs="宋体"/>
          <w:b/>
          <w:color w:val="FF0000"/>
          <w:kern w:val="2"/>
          <w:sz w:val="30"/>
          <w:szCs w:val="21"/>
        </w:rPr>
      </w:pPr>
      <w:r>
        <w:rPr>
          <w:rFonts w:hint="eastAsia" w:ascii="Times New Roman" w:hAnsi="Times New Roman" w:eastAsia="宋体" w:cs="Times New Roman"/>
          <w:b/>
          <w:color w:val="auto"/>
          <w:kern w:val="2"/>
          <w:sz w:val="30"/>
          <w:szCs w:val="30"/>
          <w:lang w:val="en-US" w:eastAsia="zh-CN" w:bidi="ar-SA"/>
        </w:rPr>
        <w:t>表14  建设项目自行监测及记录信息表</w:t>
      </w:r>
    </w:p>
    <w:tbl>
      <w:tblPr>
        <w:tblStyle w:val="27"/>
        <w:tblW w:w="1435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37"/>
        <w:gridCol w:w="863"/>
        <w:gridCol w:w="874"/>
        <w:gridCol w:w="949"/>
        <w:gridCol w:w="1207"/>
        <w:gridCol w:w="870"/>
        <w:gridCol w:w="675"/>
        <w:gridCol w:w="844"/>
        <w:gridCol w:w="831"/>
        <w:gridCol w:w="859"/>
        <w:gridCol w:w="1388"/>
        <w:gridCol w:w="1159"/>
        <w:gridCol w:w="975"/>
        <w:gridCol w:w="1691"/>
        <w:gridCol w:w="634"/>
      </w:tblGrid>
      <w:tr w14:paraId="2E3C70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537" w:type="dxa"/>
            <w:tcBorders>
              <w:tl2br w:val="nil"/>
              <w:tr2bl w:val="nil"/>
            </w:tcBorders>
            <w:noWrap w:val="0"/>
            <w:vAlign w:val="center"/>
          </w:tcPr>
          <w:p w14:paraId="44A19526">
            <w:pPr>
              <w:pStyle w:val="127"/>
              <w:adjustRightInd w:val="0"/>
              <w:snapToGrid w:val="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序号</w:t>
            </w:r>
          </w:p>
        </w:tc>
        <w:tc>
          <w:tcPr>
            <w:tcW w:w="863" w:type="dxa"/>
            <w:tcBorders>
              <w:tl2br w:val="nil"/>
              <w:tr2bl w:val="nil"/>
            </w:tcBorders>
            <w:noWrap w:val="0"/>
            <w:vAlign w:val="center"/>
          </w:tcPr>
          <w:p w14:paraId="5613D030">
            <w:pPr>
              <w:pStyle w:val="127"/>
              <w:adjustRightInd w:val="0"/>
              <w:snapToGrid w:val="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污染源类别/监测类别</w:t>
            </w:r>
          </w:p>
        </w:tc>
        <w:tc>
          <w:tcPr>
            <w:tcW w:w="874" w:type="dxa"/>
            <w:tcBorders>
              <w:tl2br w:val="nil"/>
              <w:tr2bl w:val="nil"/>
            </w:tcBorders>
            <w:noWrap w:val="0"/>
            <w:vAlign w:val="center"/>
          </w:tcPr>
          <w:p w14:paraId="6156EEDA">
            <w:pPr>
              <w:pStyle w:val="127"/>
              <w:adjustRightInd w:val="0"/>
              <w:snapToGrid w:val="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排放口编号/监测点位</w:t>
            </w:r>
          </w:p>
        </w:tc>
        <w:tc>
          <w:tcPr>
            <w:tcW w:w="949" w:type="dxa"/>
            <w:tcBorders>
              <w:tl2br w:val="nil"/>
              <w:tr2bl w:val="nil"/>
            </w:tcBorders>
            <w:noWrap w:val="0"/>
            <w:vAlign w:val="center"/>
          </w:tcPr>
          <w:p w14:paraId="666E965E">
            <w:pPr>
              <w:pStyle w:val="127"/>
              <w:adjustRightInd w:val="0"/>
              <w:snapToGrid w:val="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排放口名称/监测点位名称</w:t>
            </w:r>
          </w:p>
        </w:tc>
        <w:tc>
          <w:tcPr>
            <w:tcW w:w="1207" w:type="dxa"/>
            <w:tcBorders>
              <w:tl2br w:val="nil"/>
              <w:tr2bl w:val="nil"/>
            </w:tcBorders>
            <w:noWrap w:val="0"/>
            <w:vAlign w:val="center"/>
          </w:tcPr>
          <w:p w14:paraId="538FF33D">
            <w:pPr>
              <w:pStyle w:val="127"/>
              <w:adjustRightInd w:val="0"/>
              <w:snapToGrid w:val="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监测内容</w:t>
            </w:r>
          </w:p>
        </w:tc>
        <w:tc>
          <w:tcPr>
            <w:tcW w:w="870" w:type="dxa"/>
            <w:tcBorders>
              <w:tl2br w:val="nil"/>
              <w:tr2bl w:val="nil"/>
            </w:tcBorders>
            <w:noWrap w:val="0"/>
            <w:vAlign w:val="center"/>
          </w:tcPr>
          <w:p w14:paraId="641B4175">
            <w:pPr>
              <w:pStyle w:val="127"/>
              <w:adjustRightInd w:val="0"/>
              <w:snapToGrid w:val="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污染物名称</w:t>
            </w:r>
          </w:p>
        </w:tc>
        <w:tc>
          <w:tcPr>
            <w:tcW w:w="675" w:type="dxa"/>
            <w:tcBorders>
              <w:tl2br w:val="nil"/>
              <w:tr2bl w:val="nil"/>
            </w:tcBorders>
            <w:noWrap w:val="0"/>
            <w:vAlign w:val="center"/>
          </w:tcPr>
          <w:p w14:paraId="14CE0B54">
            <w:pPr>
              <w:pStyle w:val="127"/>
              <w:adjustRightInd w:val="0"/>
              <w:snapToGrid w:val="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监测设施</w:t>
            </w:r>
          </w:p>
        </w:tc>
        <w:tc>
          <w:tcPr>
            <w:tcW w:w="844" w:type="dxa"/>
            <w:tcBorders>
              <w:tl2br w:val="nil"/>
              <w:tr2bl w:val="nil"/>
            </w:tcBorders>
            <w:noWrap w:val="0"/>
            <w:vAlign w:val="center"/>
          </w:tcPr>
          <w:p w14:paraId="5CB272CF">
            <w:pPr>
              <w:pStyle w:val="127"/>
              <w:adjustRightInd w:val="0"/>
              <w:snapToGrid w:val="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自动监测是否联网</w:t>
            </w:r>
          </w:p>
        </w:tc>
        <w:tc>
          <w:tcPr>
            <w:tcW w:w="831" w:type="dxa"/>
            <w:tcBorders>
              <w:tl2br w:val="nil"/>
              <w:tr2bl w:val="nil"/>
            </w:tcBorders>
            <w:noWrap w:val="0"/>
            <w:vAlign w:val="center"/>
          </w:tcPr>
          <w:p w14:paraId="21868BF9">
            <w:pPr>
              <w:pStyle w:val="127"/>
              <w:adjustRightInd w:val="0"/>
              <w:snapToGrid w:val="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自动监测仪器名称</w:t>
            </w:r>
          </w:p>
        </w:tc>
        <w:tc>
          <w:tcPr>
            <w:tcW w:w="859" w:type="dxa"/>
            <w:tcBorders>
              <w:tl2br w:val="nil"/>
              <w:tr2bl w:val="nil"/>
            </w:tcBorders>
            <w:noWrap w:val="0"/>
            <w:vAlign w:val="center"/>
          </w:tcPr>
          <w:p w14:paraId="3556E182">
            <w:pPr>
              <w:pStyle w:val="127"/>
              <w:adjustRightInd w:val="0"/>
              <w:snapToGrid w:val="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自动监测设施安装位置</w:t>
            </w:r>
          </w:p>
        </w:tc>
        <w:tc>
          <w:tcPr>
            <w:tcW w:w="1388" w:type="dxa"/>
            <w:tcBorders>
              <w:tl2br w:val="nil"/>
              <w:tr2bl w:val="nil"/>
            </w:tcBorders>
            <w:noWrap w:val="0"/>
            <w:vAlign w:val="center"/>
          </w:tcPr>
          <w:p w14:paraId="703330B6">
            <w:pPr>
              <w:pStyle w:val="127"/>
              <w:adjustRightInd w:val="0"/>
              <w:snapToGrid w:val="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自动监测设施是否符合安装、运行、维护等管理要求</w:t>
            </w:r>
          </w:p>
        </w:tc>
        <w:tc>
          <w:tcPr>
            <w:tcW w:w="1159" w:type="dxa"/>
            <w:tcBorders>
              <w:tl2br w:val="nil"/>
              <w:tr2bl w:val="nil"/>
            </w:tcBorders>
            <w:noWrap w:val="0"/>
            <w:vAlign w:val="center"/>
          </w:tcPr>
          <w:p w14:paraId="1701D03E">
            <w:pPr>
              <w:pStyle w:val="127"/>
              <w:adjustRightInd w:val="0"/>
              <w:snapToGrid w:val="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手工监测采样方法及个数</w:t>
            </w:r>
          </w:p>
        </w:tc>
        <w:tc>
          <w:tcPr>
            <w:tcW w:w="975" w:type="dxa"/>
            <w:tcBorders>
              <w:tl2br w:val="nil"/>
              <w:tr2bl w:val="nil"/>
            </w:tcBorders>
            <w:noWrap w:val="0"/>
            <w:vAlign w:val="center"/>
          </w:tcPr>
          <w:p w14:paraId="0709B8D8">
            <w:pPr>
              <w:pStyle w:val="127"/>
              <w:adjustRightInd w:val="0"/>
              <w:snapToGrid w:val="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手工监测频次</w:t>
            </w:r>
          </w:p>
        </w:tc>
        <w:tc>
          <w:tcPr>
            <w:tcW w:w="1691" w:type="dxa"/>
            <w:tcBorders>
              <w:tl2br w:val="nil"/>
              <w:tr2bl w:val="nil"/>
            </w:tcBorders>
            <w:noWrap w:val="0"/>
            <w:vAlign w:val="center"/>
          </w:tcPr>
          <w:p w14:paraId="375A471B">
            <w:pPr>
              <w:pStyle w:val="127"/>
              <w:adjustRightInd w:val="0"/>
              <w:snapToGrid w:val="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手工测定方法</w:t>
            </w:r>
          </w:p>
        </w:tc>
        <w:tc>
          <w:tcPr>
            <w:tcW w:w="634" w:type="dxa"/>
            <w:tcBorders>
              <w:tl2br w:val="nil"/>
              <w:tr2bl w:val="nil"/>
            </w:tcBorders>
            <w:noWrap w:val="0"/>
            <w:vAlign w:val="center"/>
          </w:tcPr>
          <w:p w14:paraId="21AB753F">
            <w:pPr>
              <w:pStyle w:val="127"/>
              <w:adjustRightInd w:val="0"/>
              <w:snapToGrid w:val="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其他信息</w:t>
            </w:r>
          </w:p>
        </w:tc>
      </w:tr>
      <w:tr w14:paraId="26F0A7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537" w:type="dxa"/>
            <w:vMerge w:val="restart"/>
            <w:tcBorders>
              <w:tl2br w:val="nil"/>
              <w:tr2bl w:val="nil"/>
            </w:tcBorders>
            <w:noWrap w:val="0"/>
            <w:vAlign w:val="center"/>
          </w:tcPr>
          <w:p w14:paraId="488B6CDB">
            <w:pPr>
              <w:jc w:val="center"/>
              <w:rPr>
                <w:rFonts w:hint="default" w:cs="Times New Roman"/>
                <w:color w:val="auto"/>
                <w:sz w:val="21"/>
                <w:szCs w:val="21"/>
                <w:lang w:val="en-US" w:eastAsia="zh-CN"/>
              </w:rPr>
            </w:pPr>
            <w:r>
              <w:rPr>
                <w:rFonts w:hint="eastAsia" w:cs="Times New Roman"/>
                <w:color w:val="auto"/>
                <w:sz w:val="21"/>
                <w:szCs w:val="21"/>
                <w:lang w:val="en-US" w:eastAsia="zh-CN"/>
              </w:rPr>
              <w:t>1</w:t>
            </w:r>
          </w:p>
        </w:tc>
        <w:tc>
          <w:tcPr>
            <w:tcW w:w="863" w:type="dxa"/>
            <w:vMerge w:val="restart"/>
            <w:tcBorders>
              <w:tl2br w:val="nil"/>
              <w:tr2bl w:val="nil"/>
            </w:tcBorders>
            <w:noWrap w:val="0"/>
            <w:vAlign w:val="center"/>
          </w:tcPr>
          <w:p w14:paraId="152486E2">
            <w:pPr>
              <w:jc w:val="center"/>
              <w:rPr>
                <w:rFonts w:hint="eastAsia" w:cs="Times New Roman"/>
                <w:color w:val="auto"/>
                <w:sz w:val="21"/>
                <w:szCs w:val="21"/>
                <w:lang w:val="en-US" w:eastAsia="zh-CN"/>
              </w:rPr>
            </w:pPr>
            <w:r>
              <w:rPr>
                <w:rFonts w:hint="eastAsia" w:cs="Times New Roman"/>
                <w:color w:val="auto"/>
                <w:sz w:val="21"/>
                <w:szCs w:val="21"/>
                <w:lang w:val="en-US" w:eastAsia="zh-CN"/>
              </w:rPr>
              <w:t>废气</w:t>
            </w:r>
          </w:p>
        </w:tc>
        <w:tc>
          <w:tcPr>
            <w:tcW w:w="874" w:type="dxa"/>
            <w:vMerge w:val="restart"/>
            <w:tcBorders>
              <w:tl2br w:val="nil"/>
              <w:tr2bl w:val="nil"/>
            </w:tcBorders>
            <w:noWrap w:val="0"/>
            <w:vAlign w:val="center"/>
          </w:tcPr>
          <w:p w14:paraId="7DE1F6D5">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DA001</w:t>
            </w:r>
          </w:p>
        </w:tc>
        <w:tc>
          <w:tcPr>
            <w:tcW w:w="949" w:type="dxa"/>
            <w:vMerge w:val="restart"/>
            <w:tcBorders>
              <w:tl2br w:val="nil"/>
              <w:tr2bl w:val="nil"/>
            </w:tcBorders>
            <w:noWrap w:val="0"/>
            <w:vAlign w:val="center"/>
          </w:tcPr>
          <w:p w14:paraId="20C907E5">
            <w:pPr>
              <w:jc w:val="center"/>
              <w:rPr>
                <w:rFonts w:hint="eastAsia" w:cs="Times New Roman"/>
                <w:color w:val="auto"/>
                <w:sz w:val="21"/>
                <w:szCs w:val="21"/>
                <w:lang w:val="en-US" w:eastAsia="zh-CN"/>
              </w:rPr>
            </w:pPr>
            <w:r>
              <w:rPr>
                <w:rFonts w:hint="eastAsia" w:cs="Times New Roman"/>
                <w:color w:val="auto"/>
                <w:sz w:val="21"/>
                <w:szCs w:val="21"/>
                <w:lang w:val="en-US" w:eastAsia="zh-CN"/>
              </w:rPr>
              <w:t>污水处理站恶臭废气排口</w:t>
            </w:r>
          </w:p>
        </w:tc>
        <w:tc>
          <w:tcPr>
            <w:tcW w:w="1207" w:type="dxa"/>
            <w:vMerge w:val="restart"/>
            <w:tcBorders>
              <w:tl2br w:val="nil"/>
              <w:tr2bl w:val="nil"/>
            </w:tcBorders>
            <w:noWrap w:val="0"/>
            <w:vAlign w:val="center"/>
          </w:tcPr>
          <w:p w14:paraId="4C610F6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烟气流速</w:t>
            </w:r>
            <w:r>
              <w:rPr>
                <w:rFonts w:hint="eastAsia"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烟气温度</w:t>
            </w:r>
            <w:r>
              <w:rPr>
                <w:rFonts w:hint="eastAsia"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烟气压力</w:t>
            </w:r>
            <w:r>
              <w:rPr>
                <w:rFonts w:hint="eastAsia"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烟气含湿量</w:t>
            </w:r>
            <w:r>
              <w:rPr>
                <w:rFonts w:hint="eastAsia"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烟道截面积</w:t>
            </w:r>
          </w:p>
        </w:tc>
        <w:tc>
          <w:tcPr>
            <w:tcW w:w="870" w:type="dxa"/>
            <w:tcBorders>
              <w:tl2br w:val="nil"/>
              <w:tr2bl w:val="nil"/>
            </w:tcBorders>
            <w:noWrap w:val="0"/>
            <w:vAlign w:val="center"/>
          </w:tcPr>
          <w:p w14:paraId="792ACBC4">
            <w:pPr>
              <w:jc w:val="center"/>
              <w:rPr>
                <w:rFonts w:hint="eastAsia" w:cs="Times New Roman"/>
                <w:color w:val="auto"/>
                <w:sz w:val="21"/>
                <w:szCs w:val="21"/>
                <w:lang w:val="en-US" w:eastAsia="zh-CN"/>
              </w:rPr>
            </w:pPr>
            <w:r>
              <w:rPr>
                <w:rFonts w:hint="eastAsia" w:cs="Times New Roman"/>
                <w:color w:val="auto"/>
                <w:sz w:val="21"/>
                <w:szCs w:val="21"/>
                <w:lang w:val="en-US" w:eastAsia="zh-CN"/>
              </w:rPr>
              <w:t>氨</w:t>
            </w:r>
          </w:p>
        </w:tc>
        <w:tc>
          <w:tcPr>
            <w:tcW w:w="675" w:type="dxa"/>
            <w:tcBorders>
              <w:tl2br w:val="nil"/>
              <w:tr2bl w:val="nil"/>
            </w:tcBorders>
            <w:noWrap w:val="0"/>
            <w:vAlign w:val="center"/>
          </w:tcPr>
          <w:p w14:paraId="02ACB20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手工</w:t>
            </w:r>
          </w:p>
        </w:tc>
        <w:tc>
          <w:tcPr>
            <w:tcW w:w="844" w:type="dxa"/>
            <w:tcBorders>
              <w:tl2br w:val="nil"/>
              <w:tr2bl w:val="nil"/>
            </w:tcBorders>
            <w:noWrap w:val="0"/>
            <w:vAlign w:val="center"/>
          </w:tcPr>
          <w:p w14:paraId="75076569">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831" w:type="dxa"/>
            <w:tcBorders>
              <w:tl2br w:val="nil"/>
              <w:tr2bl w:val="nil"/>
            </w:tcBorders>
            <w:noWrap w:val="0"/>
            <w:vAlign w:val="center"/>
          </w:tcPr>
          <w:p w14:paraId="4758EBFE">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859" w:type="dxa"/>
            <w:tcBorders>
              <w:tl2br w:val="nil"/>
              <w:tr2bl w:val="nil"/>
            </w:tcBorders>
            <w:noWrap w:val="0"/>
            <w:vAlign w:val="center"/>
          </w:tcPr>
          <w:p w14:paraId="3AA6E044">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388" w:type="dxa"/>
            <w:tcBorders>
              <w:tl2br w:val="nil"/>
              <w:tr2bl w:val="nil"/>
            </w:tcBorders>
            <w:noWrap w:val="0"/>
            <w:vAlign w:val="center"/>
          </w:tcPr>
          <w:p w14:paraId="7432CAB5">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159" w:type="dxa"/>
            <w:tcBorders>
              <w:tl2br w:val="nil"/>
              <w:tr2bl w:val="nil"/>
            </w:tcBorders>
            <w:noWrap w:val="0"/>
            <w:vAlign w:val="center"/>
          </w:tcPr>
          <w:p w14:paraId="67DDF4B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非连续采样至少3个</w:t>
            </w:r>
          </w:p>
        </w:tc>
        <w:tc>
          <w:tcPr>
            <w:tcW w:w="975" w:type="dxa"/>
            <w:tcBorders>
              <w:tl2br w:val="nil"/>
              <w:tr2bl w:val="nil"/>
            </w:tcBorders>
            <w:noWrap w:val="0"/>
            <w:vAlign w:val="center"/>
          </w:tcPr>
          <w:p w14:paraId="1E7B98EC">
            <w:pPr>
              <w:pStyle w:val="95"/>
              <w:keepNext w:val="0"/>
              <w:keepLines w:val="0"/>
              <w:pageBreakBefore w:val="0"/>
              <w:widowControl w:val="0"/>
              <w:wordWrap/>
              <w:topLinePunct w:val="0"/>
              <w:bidi w:val="0"/>
              <w:snapToGrid w:val="0"/>
              <w:ind w:left="0" w:leftChars="0" w:right="0" w:rightChars="0" w:firstLine="0" w:firstLineChars="0"/>
              <w:jc w:val="center"/>
              <w:rPr>
                <w:rFonts w:hint="eastAsia" w:ascii="Times New Roman" w:hAnsi="Times New Roman" w:eastAsia="宋体" w:cs="Times New Roman"/>
                <w:color w:val="auto"/>
                <w:sz w:val="21"/>
                <w:szCs w:val="21"/>
                <w:lang w:val="en-US" w:eastAsia="zh-CN"/>
              </w:rPr>
            </w:pPr>
            <w:r>
              <w:rPr>
                <w:rFonts w:hint="eastAsia"/>
                <w:b w:val="0"/>
                <w:bCs w:val="0"/>
                <w:color w:val="auto"/>
                <w:highlight w:val="none"/>
                <w:lang w:val="en-US" w:eastAsia="zh-CN"/>
              </w:rPr>
              <w:t>1次/季度</w:t>
            </w:r>
          </w:p>
        </w:tc>
        <w:tc>
          <w:tcPr>
            <w:tcW w:w="1691" w:type="dxa"/>
            <w:tcBorders>
              <w:tl2br w:val="nil"/>
              <w:tr2bl w:val="nil"/>
            </w:tcBorders>
            <w:noWrap w:val="0"/>
            <w:vAlign w:val="center"/>
          </w:tcPr>
          <w:p w14:paraId="0D101B6C">
            <w:pPr>
              <w:keepNext w:val="0"/>
              <w:keepLines w:val="0"/>
              <w:widowControl/>
              <w:suppressLineNumbers w:val="0"/>
              <w:jc w:val="center"/>
              <w:rPr>
                <w:rStyle w:val="29"/>
                <w:rFonts w:hint="default" w:ascii="Times New Roman" w:hAnsi="Times New Roman" w:eastAsia="宋体" w:cs="Times New Roman"/>
                <w:b w:val="0"/>
                <w:bCs w:val="0"/>
                <w:kern w:val="2"/>
                <w:sz w:val="21"/>
                <w:szCs w:val="22"/>
                <w:lang w:val="en-US" w:eastAsia="zh-CN" w:bidi="ar-SA"/>
              </w:rPr>
            </w:pPr>
            <w:r>
              <w:rPr>
                <w:rStyle w:val="29"/>
                <w:rFonts w:hint="default" w:ascii="Times New Roman" w:hAnsi="Times New Roman" w:eastAsia="宋体" w:cs="Times New Roman"/>
                <w:b w:val="0"/>
                <w:bCs w:val="0"/>
                <w:kern w:val="2"/>
                <w:sz w:val="21"/>
                <w:szCs w:val="22"/>
                <w:lang w:val="en-US" w:eastAsia="zh-CN" w:bidi="ar-SA"/>
              </w:rPr>
              <w:t>空气和废气氨的测定 纳氏试剂分光光度法</w:t>
            </w:r>
          </w:p>
          <w:p w14:paraId="59BE8C27">
            <w:pPr>
              <w:keepNext w:val="0"/>
              <w:keepLines w:val="0"/>
              <w:widowControl/>
              <w:suppressLineNumbers w:val="0"/>
              <w:jc w:val="center"/>
              <w:rPr>
                <w:rStyle w:val="29"/>
                <w:rFonts w:hint="default" w:ascii="Times New Roman" w:hAnsi="Times New Roman" w:eastAsia="宋体" w:cs="Times New Roman"/>
                <w:b w:val="0"/>
                <w:bCs w:val="0"/>
                <w:kern w:val="2"/>
                <w:sz w:val="21"/>
                <w:szCs w:val="22"/>
                <w:lang w:val="en-US" w:eastAsia="zh-CN" w:bidi="ar-SA"/>
              </w:rPr>
            </w:pPr>
            <w:r>
              <w:rPr>
                <w:rStyle w:val="29"/>
                <w:rFonts w:hint="default" w:ascii="Times New Roman" w:hAnsi="Times New Roman" w:eastAsia="宋体" w:cs="Times New Roman"/>
                <w:b w:val="0"/>
                <w:bCs w:val="0"/>
                <w:kern w:val="2"/>
                <w:sz w:val="21"/>
                <w:szCs w:val="22"/>
                <w:lang w:val="en-US" w:eastAsia="zh-CN" w:bidi="ar-SA"/>
              </w:rPr>
              <w:t>HJ533-2009</w:t>
            </w:r>
          </w:p>
        </w:tc>
        <w:tc>
          <w:tcPr>
            <w:tcW w:w="634" w:type="dxa"/>
            <w:tcBorders>
              <w:tl2br w:val="nil"/>
              <w:tr2bl w:val="nil"/>
            </w:tcBorders>
            <w:noWrap w:val="0"/>
            <w:vAlign w:val="center"/>
          </w:tcPr>
          <w:p w14:paraId="35A184A7">
            <w:pPr>
              <w:jc w:val="center"/>
              <w:rPr>
                <w:rFonts w:hint="eastAsia" w:cs="Times New Roman"/>
                <w:color w:val="auto"/>
                <w:szCs w:val="20"/>
                <w:lang w:val="en-US" w:eastAsia="zh-CN"/>
              </w:rPr>
            </w:pPr>
            <w:r>
              <w:rPr>
                <w:rFonts w:hint="eastAsia" w:cs="Times New Roman"/>
                <w:color w:val="auto"/>
                <w:sz w:val="21"/>
                <w:szCs w:val="21"/>
                <w:lang w:val="en-US" w:eastAsia="zh-CN"/>
              </w:rPr>
              <w:t>/</w:t>
            </w:r>
          </w:p>
        </w:tc>
      </w:tr>
      <w:tr w14:paraId="20FC58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537" w:type="dxa"/>
            <w:vMerge w:val="continue"/>
            <w:tcBorders>
              <w:tl2br w:val="nil"/>
              <w:tr2bl w:val="nil"/>
            </w:tcBorders>
            <w:noWrap w:val="0"/>
            <w:vAlign w:val="center"/>
          </w:tcPr>
          <w:p w14:paraId="31FC0DA4">
            <w:pPr>
              <w:jc w:val="center"/>
              <w:rPr>
                <w:rFonts w:hint="eastAsia" w:cs="Times New Roman"/>
                <w:color w:val="auto"/>
                <w:sz w:val="21"/>
                <w:szCs w:val="21"/>
                <w:lang w:val="en-US" w:eastAsia="zh-CN"/>
              </w:rPr>
            </w:pPr>
          </w:p>
        </w:tc>
        <w:tc>
          <w:tcPr>
            <w:tcW w:w="863" w:type="dxa"/>
            <w:vMerge w:val="continue"/>
            <w:tcBorders>
              <w:tl2br w:val="nil"/>
              <w:tr2bl w:val="nil"/>
            </w:tcBorders>
            <w:noWrap w:val="0"/>
            <w:vAlign w:val="center"/>
          </w:tcPr>
          <w:p w14:paraId="354C8351">
            <w:pPr>
              <w:jc w:val="center"/>
              <w:rPr>
                <w:rFonts w:hint="eastAsia" w:cs="Times New Roman"/>
                <w:color w:val="auto"/>
                <w:sz w:val="21"/>
                <w:szCs w:val="21"/>
                <w:lang w:val="en-US" w:eastAsia="zh-CN"/>
              </w:rPr>
            </w:pPr>
          </w:p>
        </w:tc>
        <w:tc>
          <w:tcPr>
            <w:tcW w:w="874" w:type="dxa"/>
            <w:vMerge w:val="continue"/>
            <w:tcBorders>
              <w:tl2br w:val="nil"/>
              <w:tr2bl w:val="nil"/>
            </w:tcBorders>
            <w:noWrap w:val="0"/>
            <w:vAlign w:val="center"/>
          </w:tcPr>
          <w:p w14:paraId="563B483F">
            <w:pPr>
              <w:jc w:val="center"/>
              <w:rPr>
                <w:rFonts w:hint="default" w:ascii="Times New Roman" w:hAnsi="Times New Roman" w:eastAsia="宋体" w:cs="Times New Roman"/>
                <w:color w:val="auto"/>
                <w:sz w:val="21"/>
                <w:szCs w:val="21"/>
                <w:lang w:val="en-US" w:eastAsia="zh-CN"/>
              </w:rPr>
            </w:pPr>
          </w:p>
        </w:tc>
        <w:tc>
          <w:tcPr>
            <w:tcW w:w="949" w:type="dxa"/>
            <w:vMerge w:val="continue"/>
            <w:tcBorders>
              <w:tl2br w:val="nil"/>
              <w:tr2bl w:val="nil"/>
            </w:tcBorders>
            <w:noWrap w:val="0"/>
            <w:vAlign w:val="center"/>
          </w:tcPr>
          <w:p w14:paraId="7142F396">
            <w:pPr>
              <w:jc w:val="center"/>
              <w:rPr>
                <w:rFonts w:hint="eastAsia" w:cs="Times New Roman"/>
                <w:color w:val="auto"/>
                <w:sz w:val="21"/>
                <w:szCs w:val="21"/>
                <w:lang w:val="en-US" w:eastAsia="zh-CN"/>
              </w:rPr>
            </w:pPr>
          </w:p>
        </w:tc>
        <w:tc>
          <w:tcPr>
            <w:tcW w:w="1207" w:type="dxa"/>
            <w:vMerge w:val="continue"/>
            <w:tcBorders>
              <w:tl2br w:val="nil"/>
              <w:tr2bl w:val="nil"/>
            </w:tcBorders>
            <w:noWrap w:val="0"/>
            <w:vAlign w:val="center"/>
          </w:tcPr>
          <w:p w14:paraId="287F5B7D">
            <w:pPr>
              <w:jc w:val="center"/>
              <w:rPr>
                <w:rFonts w:hint="default" w:ascii="Times New Roman" w:hAnsi="Times New Roman" w:eastAsia="宋体" w:cs="Times New Roman"/>
                <w:color w:val="auto"/>
                <w:sz w:val="21"/>
                <w:szCs w:val="21"/>
                <w:lang w:val="en-US" w:eastAsia="zh-CN"/>
              </w:rPr>
            </w:pPr>
          </w:p>
        </w:tc>
        <w:tc>
          <w:tcPr>
            <w:tcW w:w="870" w:type="dxa"/>
            <w:tcBorders>
              <w:tl2br w:val="nil"/>
              <w:tr2bl w:val="nil"/>
            </w:tcBorders>
            <w:noWrap w:val="0"/>
            <w:vAlign w:val="center"/>
          </w:tcPr>
          <w:p w14:paraId="676F774A">
            <w:pPr>
              <w:jc w:val="center"/>
              <w:rPr>
                <w:rFonts w:hint="eastAsia" w:cs="Times New Roman"/>
                <w:color w:val="auto"/>
                <w:sz w:val="21"/>
                <w:szCs w:val="21"/>
                <w:lang w:val="en-US" w:eastAsia="zh-CN"/>
              </w:rPr>
            </w:pPr>
            <w:r>
              <w:rPr>
                <w:rFonts w:hint="eastAsia" w:cs="Times New Roman"/>
                <w:color w:val="auto"/>
                <w:sz w:val="21"/>
                <w:szCs w:val="21"/>
                <w:lang w:val="en-US" w:eastAsia="zh-CN"/>
              </w:rPr>
              <w:t>臭气浓度</w:t>
            </w:r>
          </w:p>
        </w:tc>
        <w:tc>
          <w:tcPr>
            <w:tcW w:w="675" w:type="dxa"/>
            <w:tcBorders>
              <w:tl2br w:val="nil"/>
              <w:tr2bl w:val="nil"/>
            </w:tcBorders>
            <w:noWrap w:val="0"/>
            <w:vAlign w:val="center"/>
          </w:tcPr>
          <w:p w14:paraId="547492D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手工</w:t>
            </w:r>
          </w:p>
        </w:tc>
        <w:tc>
          <w:tcPr>
            <w:tcW w:w="844" w:type="dxa"/>
            <w:tcBorders>
              <w:tl2br w:val="nil"/>
              <w:tr2bl w:val="nil"/>
            </w:tcBorders>
            <w:noWrap w:val="0"/>
            <w:vAlign w:val="center"/>
          </w:tcPr>
          <w:p w14:paraId="1CF8B3DA">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831" w:type="dxa"/>
            <w:tcBorders>
              <w:tl2br w:val="nil"/>
              <w:tr2bl w:val="nil"/>
            </w:tcBorders>
            <w:noWrap w:val="0"/>
            <w:vAlign w:val="center"/>
          </w:tcPr>
          <w:p w14:paraId="34450F0E">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859" w:type="dxa"/>
            <w:tcBorders>
              <w:tl2br w:val="nil"/>
              <w:tr2bl w:val="nil"/>
            </w:tcBorders>
            <w:noWrap w:val="0"/>
            <w:vAlign w:val="center"/>
          </w:tcPr>
          <w:p w14:paraId="2BD67BC9">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388" w:type="dxa"/>
            <w:tcBorders>
              <w:tl2br w:val="nil"/>
              <w:tr2bl w:val="nil"/>
            </w:tcBorders>
            <w:noWrap w:val="0"/>
            <w:vAlign w:val="center"/>
          </w:tcPr>
          <w:p w14:paraId="2280DB68">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159" w:type="dxa"/>
            <w:tcBorders>
              <w:tl2br w:val="nil"/>
              <w:tr2bl w:val="nil"/>
            </w:tcBorders>
            <w:noWrap w:val="0"/>
            <w:vAlign w:val="center"/>
          </w:tcPr>
          <w:p w14:paraId="6D491D6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非连续采样至少3个</w:t>
            </w:r>
          </w:p>
        </w:tc>
        <w:tc>
          <w:tcPr>
            <w:tcW w:w="975" w:type="dxa"/>
            <w:tcBorders>
              <w:tl2br w:val="nil"/>
              <w:tr2bl w:val="nil"/>
            </w:tcBorders>
            <w:noWrap w:val="0"/>
            <w:vAlign w:val="center"/>
          </w:tcPr>
          <w:p w14:paraId="37215443">
            <w:pPr>
              <w:pStyle w:val="95"/>
              <w:keepNext w:val="0"/>
              <w:keepLines w:val="0"/>
              <w:pageBreakBefore w:val="0"/>
              <w:widowControl w:val="0"/>
              <w:wordWrap/>
              <w:topLinePunct w:val="0"/>
              <w:bidi w:val="0"/>
              <w:snapToGrid w:val="0"/>
              <w:ind w:left="0" w:leftChars="0" w:right="0" w:rightChars="0" w:firstLine="0" w:firstLineChars="0"/>
              <w:jc w:val="center"/>
              <w:rPr>
                <w:rFonts w:hint="eastAsia" w:ascii="Times New Roman" w:hAnsi="Times New Roman" w:eastAsia="宋体" w:cs="Times New Roman"/>
                <w:color w:val="auto"/>
                <w:sz w:val="21"/>
                <w:szCs w:val="21"/>
                <w:lang w:val="en-US" w:eastAsia="zh-CN"/>
              </w:rPr>
            </w:pPr>
            <w:r>
              <w:rPr>
                <w:rFonts w:hint="eastAsia"/>
                <w:b w:val="0"/>
                <w:bCs w:val="0"/>
                <w:color w:val="auto"/>
                <w:highlight w:val="none"/>
                <w:lang w:val="en-US" w:eastAsia="zh-CN"/>
              </w:rPr>
              <w:t>1次/季度</w:t>
            </w:r>
          </w:p>
        </w:tc>
        <w:tc>
          <w:tcPr>
            <w:tcW w:w="1691" w:type="dxa"/>
            <w:tcBorders>
              <w:tl2br w:val="nil"/>
              <w:tr2bl w:val="nil"/>
            </w:tcBorders>
            <w:noWrap w:val="0"/>
            <w:vAlign w:val="center"/>
          </w:tcPr>
          <w:p w14:paraId="578C8D3D">
            <w:pPr>
              <w:keepNext w:val="0"/>
              <w:keepLines w:val="0"/>
              <w:widowControl/>
              <w:suppressLineNumbers w:val="0"/>
              <w:jc w:val="center"/>
              <w:rPr>
                <w:rStyle w:val="29"/>
                <w:rFonts w:hint="default" w:ascii="Times New Roman" w:hAnsi="Times New Roman" w:eastAsia="宋体" w:cs="Times New Roman"/>
                <w:b w:val="0"/>
                <w:bCs w:val="0"/>
                <w:kern w:val="2"/>
                <w:sz w:val="21"/>
                <w:szCs w:val="22"/>
                <w:lang w:val="en-US" w:eastAsia="zh-CN" w:bidi="ar-SA"/>
              </w:rPr>
            </w:pPr>
            <w:r>
              <w:rPr>
                <w:rStyle w:val="29"/>
                <w:rFonts w:hint="default" w:ascii="Times New Roman" w:hAnsi="Times New Roman" w:eastAsia="宋体" w:cs="Times New Roman"/>
                <w:b w:val="0"/>
                <w:bCs w:val="0"/>
                <w:kern w:val="2"/>
                <w:sz w:val="21"/>
                <w:szCs w:val="22"/>
                <w:lang w:val="en-US" w:eastAsia="zh-CN" w:bidi="ar-SA"/>
              </w:rPr>
              <w:t>空气质量 恶臭的测定 三点比较式臭袋法</w:t>
            </w:r>
          </w:p>
          <w:p w14:paraId="188FE303">
            <w:pPr>
              <w:keepNext w:val="0"/>
              <w:keepLines w:val="0"/>
              <w:widowControl/>
              <w:suppressLineNumbers w:val="0"/>
              <w:jc w:val="center"/>
              <w:rPr>
                <w:rStyle w:val="29"/>
                <w:rFonts w:hint="default" w:ascii="Times New Roman" w:hAnsi="Times New Roman" w:eastAsia="宋体" w:cs="Times New Roman"/>
                <w:b w:val="0"/>
                <w:bCs w:val="0"/>
                <w:kern w:val="2"/>
                <w:sz w:val="21"/>
                <w:szCs w:val="22"/>
                <w:lang w:val="en-US" w:eastAsia="zh-CN" w:bidi="ar-SA"/>
              </w:rPr>
            </w:pPr>
            <w:r>
              <w:rPr>
                <w:rStyle w:val="29"/>
                <w:rFonts w:hint="default" w:ascii="Times New Roman" w:hAnsi="Times New Roman" w:eastAsia="宋体" w:cs="Times New Roman"/>
                <w:b w:val="0"/>
                <w:bCs w:val="0"/>
                <w:kern w:val="2"/>
                <w:sz w:val="21"/>
                <w:szCs w:val="22"/>
                <w:lang w:val="en-US" w:eastAsia="zh-CN" w:bidi="ar-SA"/>
              </w:rPr>
              <w:t>GB T 14675-1993</w:t>
            </w:r>
          </w:p>
        </w:tc>
        <w:tc>
          <w:tcPr>
            <w:tcW w:w="634" w:type="dxa"/>
            <w:tcBorders>
              <w:tl2br w:val="nil"/>
              <w:tr2bl w:val="nil"/>
            </w:tcBorders>
            <w:noWrap w:val="0"/>
            <w:vAlign w:val="center"/>
          </w:tcPr>
          <w:p w14:paraId="07B0623C">
            <w:pPr>
              <w:jc w:val="center"/>
              <w:rPr>
                <w:rFonts w:hint="eastAsia" w:cs="Times New Roman"/>
                <w:color w:val="auto"/>
                <w:szCs w:val="20"/>
                <w:lang w:val="en-US" w:eastAsia="zh-CN"/>
              </w:rPr>
            </w:pPr>
            <w:r>
              <w:rPr>
                <w:rFonts w:hint="eastAsia" w:cs="Times New Roman"/>
                <w:color w:val="auto"/>
                <w:sz w:val="21"/>
                <w:szCs w:val="21"/>
                <w:lang w:val="en-US" w:eastAsia="zh-CN"/>
              </w:rPr>
              <w:t>/</w:t>
            </w:r>
          </w:p>
        </w:tc>
      </w:tr>
      <w:tr w14:paraId="5C42EF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537" w:type="dxa"/>
            <w:vMerge w:val="continue"/>
            <w:tcBorders>
              <w:tl2br w:val="nil"/>
              <w:tr2bl w:val="nil"/>
            </w:tcBorders>
            <w:noWrap w:val="0"/>
            <w:vAlign w:val="center"/>
          </w:tcPr>
          <w:p w14:paraId="654EB3C3">
            <w:pPr>
              <w:jc w:val="center"/>
              <w:rPr>
                <w:rFonts w:hint="eastAsia" w:cs="Times New Roman"/>
                <w:color w:val="auto"/>
                <w:sz w:val="21"/>
                <w:szCs w:val="21"/>
                <w:lang w:val="en-US" w:eastAsia="zh-CN"/>
              </w:rPr>
            </w:pPr>
          </w:p>
        </w:tc>
        <w:tc>
          <w:tcPr>
            <w:tcW w:w="863" w:type="dxa"/>
            <w:vMerge w:val="continue"/>
            <w:tcBorders>
              <w:tl2br w:val="nil"/>
              <w:tr2bl w:val="nil"/>
            </w:tcBorders>
            <w:noWrap w:val="0"/>
            <w:vAlign w:val="center"/>
          </w:tcPr>
          <w:p w14:paraId="1BD1AB41">
            <w:pPr>
              <w:jc w:val="center"/>
              <w:rPr>
                <w:rFonts w:hint="eastAsia" w:cs="Times New Roman"/>
                <w:color w:val="auto"/>
                <w:sz w:val="21"/>
                <w:szCs w:val="21"/>
                <w:lang w:val="en-US" w:eastAsia="zh-CN"/>
              </w:rPr>
            </w:pPr>
          </w:p>
        </w:tc>
        <w:tc>
          <w:tcPr>
            <w:tcW w:w="874" w:type="dxa"/>
            <w:vMerge w:val="continue"/>
            <w:tcBorders>
              <w:tl2br w:val="nil"/>
              <w:tr2bl w:val="nil"/>
            </w:tcBorders>
            <w:noWrap w:val="0"/>
            <w:vAlign w:val="center"/>
          </w:tcPr>
          <w:p w14:paraId="0129812E">
            <w:pPr>
              <w:jc w:val="center"/>
              <w:rPr>
                <w:rFonts w:hint="default" w:ascii="Times New Roman" w:hAnsi="Times New Roman" w:eastAsia="宋体" w:cs="Times New Roman"/>
                <w:color w:val="auto"/>
                <w:sz w:val="21"/>
                <w:szCs w:val="21"/>
                <w:lang w:val="en-US" w:eastAsia="zh-CN"/>
              </w:rPr>
            </w:pPr>
          </w:p>
        </w:tc>
        <w:tc>
          <w:tcPr>
            <w:tcW w:w="949" w:type="dxa"/>
            <w:vMerge w:val="continue"/>
            <w:tcBorders>
              <w:tl2br w:val="nil"/>
              <w:tr2bl w:val="nil"/>
            </w:tcBorders>
            <w:noWrap w:val="0"/>
            <w:vAlign w:val="center"/>
          </w:tcPr>
          <w:p w14:paraId="06B7C667">
            <w:pPr>
              <w:jc w:val="center"/>
              <w:rPr>
                <w:rFonts w:hint="eastAsia" w:cs="Times New Roman"/>
                <w:color w:val="auto"/>
                <w:sz w:val="21"/>
                <w:szCs w:val="21"/>
                <w:lang w:val="en-US" w:eastAsia="zh-CN"/>
              </w:rPr>
            </w:pPr>
          </w:p>
        </w:tc>
        <w:tc>
          <w:tcPr>
            <w:tcW w:w="1207" w:type="dxa"/>
            <w:vMerge w:val="continue"/>
            <w:tcBorders>
              <w:tl2br w:val="nil"/>
              <w:tr2bl w:val="nil"/>
            </w:tcBorders>
            <w:noWrap w:val="0"/>
            <w:vAlign w:val="center"/>
          </w:tcPr>
          <w:p w14:paraId="502A6485">
            <w:pPr>
              <w:jc w:val="center"/>
              <w:rPr>
                <w:rFonts w:hint="default" w:ascii="Times New Roman" w:hAnsi="Times New Roman" w:eastAsia="宋体" w:cs="Times New Roman"/>
                <w:color w:val="auto"/>
                <w:sz w:val="21"/>
                <w:szCs w:val="21"/>
                <w:lang w:val="en-US" w:eastAsia="zh-CN"/>
              </w:rPr>
            </w:pPr>
          </w:p>
        </w:tc>
        <w:tc>
          <w:tcPr>
            <w:tcW w:w="870" w:type="dxa"/>
            <w:tcBorders>
              <w:tl2br w:val="nil"/>
              <w:tr2bl w:val="nil"/>
            </w:tcBorders>
            <w:noWrap w:val="0"/>
            <w:vAlign w:val="center"/>
          </w:tcPr>
          <w:p w14:paraId="1E5FD638">
            <w:pPr>
              <w:jc w:val="center"/>
              <w:rPr>
                <w:rFonts w:hint="eastAsia" w:cs="Times New Roman"/>
                <w:color w:val="auto"/>
                <w:sz w:val="21"/>
                <w:szCs w:val="21"/>
                <w:lang w:val="en-US" w:eastAsia="zh-CN"/>
              </w:rPr>
            </w:pPr>
            <w:r>
              <w:rPr>
                <w:rFonts w:hint="eastAsia" w:cs="Times New Roman"/>
                <w:color w:val="auto"/>
                <w:sz w:val="21"/>
                <w:szCs w:val="21"/>
                <w:lang w:val="en-US" w:eastAsia="zh-CN"/>
              </w:rPr>
              <w:t>硫化氢</w:t>
            </w:r>
          </w:p>
        </w:tc>
        <w:tc>
          <w:tcPr>
            <w:tcW w:w="675" w:type="dxa"/>
            <w:tcBorders>
              <w:tl2br w:val="nil"/>
              <w:tr2bl w:val="nil"/>
            </w:tcBorders>
            <w:noWrap w:val="0"/>
            <w:vAlign w:val="center"/>
          </w:tcPr>
          <w:p w14:paraId="2AE8411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手工</w:t>
            </w:r>
          </w:p>
        </w:tc>
        <w:tc>
          <w:tcPr>
            <w:tcW w:w="844" w:type="dxa"/>
            <w:tcBorders>
              <w:tl2br w:val="nil"/>
              <w:tr2bl w:val="nil"/>
            </w:tcBorders>
            <w:noWrap w:val="0"/>
            <w:vAlign w:val="center"/>
          </w:tcPr>
          <w:p w14:paraId="59579C29">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831" w:type="dxa"/>
            <w:tcBorders>
              <w:tl2br w:val="nil"/>
              <w:tr2bl w:val="nil"/>
            </w:tcBorders>
            <w:noWrap w:val="0"/>
            <w:vAlign w:val="center"/>
          </w:tcPr>
          <w:p w14:paraId="03C854A5">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859" w:type="dxa"/>
            <w:tcBorders>
              <w:tl2br w:val="nil"/>
              <w:tr2bl w:val="nil"/>
            </w:tcBorders>
            <w:noWrap w:val="0"/>
            <w:vAlign w:val="center"/>
          </w:tcPr>
          <w:p w14:paraId="179B2395">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388" w:type="dxa"/>
            <w:tcBorders>
              <w:tl2br w:val="nil"/>
              <w:tr2bl w:val="nil"/>
            </w:tcBorders>
            <w:noWrap w:val="0"/>
            <w:vAlign w:val="center"/>
          </w:tcPr>
          <w:p w14:paraId="23D9D46E">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159" w:type="dxa"/>
            <w:tcBorders>
              <w:tl2br w:val="nil"/>
              <w:tr2bl w:val="nil"/>
            </w:tcBorders>
            <w:noWrap w:val="0"/>
            <w:vAlign w:val="center"/>
          </w:tcPr>
          <w:p w14:paraId="0AD684B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非连续采样至少3个</w:t>
            </w:r>
          </w:p>
        </w:tc>
        <w:tc>
          <w:tcPr>
            <w:tcW w:w="975" w:type="dxa"/>
            <w:tcBorders>
              <w:tl2br w:val="nil"/>
              <w:tr2bl w:val="nil"/>
            </w:tcBorders>
            <w:noWrap w:val="0"/>
            <w:vAlign w:val="center"/>
          </w:tcPr>
          <w:p w14:paraId="73B4D4AD">
            <w:pPr>
              <w:pStyle w:val="95"/>
              <w:keepNext w:val="0"/>
              <w:keepLines w:val="0"/>
              <w:pageBreakBefore w:val="0"/>
              <w:widowControl w:val="0"/>
              <w:wordWrap/>
              <w:topLinePunct w:val="0"/>
              <w:bidi w:val="0"/>
              <w:snapToGrid w:val="0"/>
              <w:ind w:left="0" w:leftChars="0" w:right="0" w:rightChars="0" w:firstLine="0" w:firstLineChars="0"/>
              <w:jc w:val="center"/>
              <w:rPr>
                <w:rFonts w:hint="eastAsia" w:ascii="Times New Roman" w:hAnsi="Times New Roman" w:eastAsia="宋体" w:cs="Times New Roman"/>
                <w:color w:val="auto"/>
                <w:sz w:val="21"/>
                <w:szCs w:val="21"/>
                <w:lang w:val="en-US" w:eastAsia="zh-CN"/>
              </w:rPr>
            </w:pPr>
            <w:r>
              <w:rPr>
                <w:rFonts w:hint="eastAsia"/>
                <w:b w:val="0"/>
                <w:bCs w:val="0"/>
                <w:color w:val="auto"/>
                <w:highlight w:val="none"/>
                <w:lang w:val="en-US" w:eastAsia="zh-CN"/>
              </w:rPr>
              <w:t>1次/季度</w:t>
            </w:r>
          </w:p>
        </w:tc>
        <w:tc>
          <w:tcPr>
            <w:tcW w:w="1691" w:type="dxa"/>
            <w:tcBorders>
              <w:tl2br w:val="nil"/>
              <w:tr2bl w:val="nil"/>
            </w:tcBorders>
            <w:noWrap w:val="0"/>
            <w:vAlign w:val="center"/>
          </w:tcPr>
          <w:p w14:paraId="1627C33E">
            <w:pPr>
              <w:keepNext w:val="0"/>
              <w:keepLines w:val="0"/>
              <w:widowControl/>
              <w:suppressLineNumbers w:val="0"/>
              <w:jc w:val="center"/>
              <w:rPr>
                <w:rStyle w:val="29"/>
                <w:rFonts w:hint="default" w:ascii="Times New Roman" w:hAnsi="Times New Roman" w:eastAsia="宋体" w:cs="Times New Roman"/>
                <w:b w:val="0"/>
                <w:bCs w:val="0"/>
                <w:kern w:val="2"/>
                <w:sz w:val="21"/>
                <w:szCs w:val="22"/>
                <w:lang w:val="en-US" w:eastAsia="zh-CN" w:bidi="ar-SA"/>
              </w:rPr>
            </w:pPr>
            <w:r>
              <w:rPr>
                <w:rStyle w:val="29"/>
                <w:rFonts w:hint="default" w:ascii="Times New Roman" w:hAnsi="Times New Roman" w:eastAsia="宋体" w:cs="Times New Roman"/>
                <w:b w:val="0"/>
                <w:bCs w:val="0"/>
                <w:kern w:val="2"/>
                <w:sz w:val="21"/>
                <w:szCs w:val="22"/>
                <w:lang w:val="en-US" w:eastAsia="zh-CN" w:bidi="ar-SA"/>
              </w:rPr>
              <w:t>空气质量 硫化氢 甲硫醇 甲硫醚 二甲二硫的测定气相色谱法GB/T14678-1993</w:t>
            </w:r>
          </w:p>
        </w:tc>
        <w:tc>
          <w:tcPr>
            <w:tcW w:w="634" w:type="dxa"/>
            <w:tcBorders>
              <w:tl2br w:val="nil"/>
              <w:tr2bl w:val="nil"/>
            </w:tcBorders>
            <w:noWrap w:val="0"/>
            <w:vAlign w:val="center"/>
          </w:tcPr>
          <w:p w14:paraId="4B91A3B7">
            <w:pPr>
              <w:jc w:val="center"/>
              <w:rPr>
                <w:rFonts w:hint="eastAsia" w:cs="Times New Roman"/>
                <w:color w:val="auto"/>
                <w:szCs w:val="20"/>
                <w:lang w:val="en-US" w:eastAsia="zh-CN"/>
              </w:rPr>
            </w:pPr>
            <w:r>
              <w:rPr>
                <w:rFonts w:hint="eastAsia" w:cs="Times New Roman"/>
                <w:color w:val="auto"/>
                <w:sz w:val="21"/>
                <w:szCs w:val="21"/>
                <w:lang w:val="en-US" w:eastAsia="zh-CN"/>
              </w:rPr>
              <w:t>/</w:t>
            </w:r>
          </w:p>
        </w:tc>
      </w:tr>
      <w:tr w14:paraId="06B662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537" w:type="dxa"/>
            <w:vMerge w:val="restart"/>
            <w:tcBorders>
              <w:tl2br w:val="nil"/>
              <w:tr2bl w:val="nil"/>
            </w:tcBorders>
            <w:noWrap w:val="0"/>
            <w:vAlign w:val="center"/>
          </w:tcPr>
          <w:p w14:paraId="073D3FBE">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w:t>
            </w:r>
          </w:p>
        </w:tc>
        <w:tc>
          <w:tcPr>
            <w:tcW w:w="863" w:type="dxa"/>
            <w:vMerge w:val="restart"/>
            <w:tcBorders>
              <w:tl2br w:val="nil"/>
              <w:tr2bl w:val="nil"/>
            </w:tcBorders>
            <w:noWrap w:val="0"/>
            <w:vAlign w:val="center"/>
          </w:tcPr>
          <w:p w14:paraId="007AF5D5">
            <w:pPr>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废气</w:t>
            </w:r>
          </w:p>
        </w:tc>
        <w:tc>
          <w:tcPr>
            <w:tcW w:w="874" w:type="dxa"/>
            <w:vMerge w:val="restart"/>
            <w:tcBorders>
              <w:tl2br w:val="nil"/>
              <w:tr2bl w:val="nil"/>
            </w:tcBorders>
            <w:noWrap w:val="0"/>
            <w:vAlign w:val="center"/>
          </w:tcPr>
          <w:p w14:paraId="69B09CF6">
            <w:pPr>
              <w:ind w:left="0" w:leftChars="0" w:right="0" w:rightChars="0"/>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000000"/>
                <w:kern w:val="0"/>
                <w:sz w:val="21"/>
                <w:szCs w:val="21"/>
                <w:lang w:val="en-US" w:eastAsia="zh-CN" w:bidi="ar"/>
              </w:rPr>
              <w:t>厂界</w:t>
            </w:r>
          </w:p>
        </w:tc>
        <w:tc>
          <w:tcPr>
            <w:tcW w:w="949" w:type="dxa"/>
            <w:vMerge w:val="restart"/>
            <w:tcBorders>
              <w:tl2br w:val="nil"/>
              <w:tr2bl w:val="nil"/>
            </w:tcBorders>
            <w:noWrap w:val="0"/>
            <w:vAlign w:val="center"/>
          </w:tcPr>
          <w:p w14:paraId="19BAB179">
            <w:pPr>
              <w:adjustRightInd w:val="0"/>
              <w:snapToGrid w:val="0"/>
              <w:ind w:left="0" w:leftChars="0" w:right="0" w:right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1207" w:type="dxa"/>
            <w:vMerge w:val="restart"/>
            <w:tcBorders>
              <w:tl2br w:val="nil"/>
              <w:tr2bl w:val="nil"/>
            </w:tcBorders>
            <w:noWrap w:val="0"/>
            <w:vAlign w:val="center"/>
          </w:tcPr>
          <w:p w14:paraId="047DC1DE">
            <w:pPr>
              <w:adjustRightInd w:val="0"/>
              <w:snapToGrid w:val="0"/>
              <w:ind w:left="0" w:leftChars="0" w:right="0" w:rightChars="0"/>
              <w:jc w:val="center"/>
              <w:rPr>
                <w:rFonts w:hint="eastAsia" w:ascii="Times New Roman" w:hAnsi="Times New Roman" w:eastAsia="宋体" w:cs="Times New Roman"/>
                <w:color w:val="auto"/>
                <w:sz w:val="21"/>
                <w:szCs w:val="21"/>
                <w:lang w:val="en-US" w:eastAsia="zh-CN"/>
              </w:rPr>
            </w:pPr>
            <w:r>
              <w:rPr>
                <w:rStyle w:val="29"/>
                <w:rFonts w:hint="default" w:ascii="Times New Roman" w:hAnsi="Times New Roman" w:eastAsia="宋体" w:cs="Times New Roman"/>
                <w:kern w:val="2"/>
                <w:sz w:val="21"/>
                <w:szCs w:val="21"/>
                <w:lang w:val="en-US" w:eastAsia="zh-CN" w:bidi="ar-SA"/>
              </w:rPr>
              <w:t>温度</w:t>
            </w:r>
            <w:r>
              <w:rPr>
                <w:rStyle w:val="29"/>
                <w:rFonts w:hint="eastAsia" w:ascii="Times New Roman" w:hAnsi="Times New Roman" w:eastAsia="宋体" w:cs="Times New Roman"/>
                <w:kern w:val="2"/>
                <w:sz w:val="21"/>
                <w:szCs w:val="21"/>
                <w:lang w:val="en-US" w:eastAsia="zh-CN" w:bidi="ar-SA"/>
              </w:rPr>
              <w:t>、</w:t>
            </w:r>
            <w:r>
              <w:rPr>
                <w:rStyle w:val="29"/>
                <w:rFonts w:hint="default" w:ascii="Times New Roman" w:hAnsi="Times New Roman" w:eastAsia="宋体" w:cs="Times New Roman"/>
                <w:kern w:val="2"/>
                <w:sz w:val="21"/>
                <w:szCs w:val="21"/>
                <w:lang w:val="en-US" w:eastAsia="zh-CN" w:bidi="ar-SA"/>
              </w:rPr>
              <w:t>湿度</w:t>
            </w:r>
            <w:r>
              <w:rPr>
                <w:rStyle w:val="29"/>
                <w:rFonts w:hint="eastAsia" w:ascii="Times New Roman" w:hAnsi="Times New Roman" w:eastAsia="宋体" w:cs="Times New Roman"/>
                <w:kern w:val="2"/>
                <w:sz w:val="21"/>
                <w:szCs w:val="21"/>
                <w:lang w:val="en-US" w:eastAsia="zh-CN" w:bidi="ar-SA"/>
              </w:rPr>
              <w:t>、</w:t>
            </w:r>
            <w:r>
              <w:rPr>
                <w:rStyle w:val="29"/>
                <w:rFonts w:hint="default" w:ascii="Times New Roman" w:hAnsi="Times New Roman" w:eastAsia="宋体" w:cs="Times New Roman"/>
                <w:kern w:val="2"/>
                <w:sz w:val="21"/>
                <w:szCs w:val="21"/>
                <w:lang w:val="en-US" w:eastAsia="zh-CN" w:bidi="ar-SA"/>
              </w:rPr>
              <w:t>气压,风速</w:t>
            </w:r>
            <w:r>
              <w:rPr>
                <w:rStyle w:val="29"/>
                <w:rFonts w:hint="eastAsia" w:ascii="Times New Roman" w:hAnsi="Times New Roman" w:eastAsia="宋体" w:cs="Times New Roman"/>
                <w:kern w:val="2"/>
                <w:sz w:val="21"/>
                <w:szCs w:val="21"/>
                <w:lang w:val="en-US" w:eastAsia="zh-CN" w:bidi="ar-SA"/>
              </w:rPr>
              <w:t>、</w:t>
            </w:r>
            <w:r>
              <w:rPr>
                <w:rStyle w:val="29"/>
                <w:rFonts w:hint="default" w:ascii="Times New Roman" w:hAnsi="Times New Roman" w:eastAsia="宋体" w:cs="Times New Roman"/>
                <w:kern w:val="2"/>
                <w:sz w:val="21"/>
                <w:szCs w:val="21"/>
                <w:lang w:val="en-US" w:eastAsia="zh-CN" w:bidi="ar-SA"/>
              </w:rPr>
              <w:t>风向</w:t>
            </w:r>
          </w:p>
        </w:tc>
        <w:tc>
          <w:tcPr>
            <w:tcW w:w="870" w:type="dxa"/>
            <w:tcBorders>
              <w:tl2br w:val="nil"/>
              <w:tr2bl w:val="nil"/>
            </w:tcBorders>
            <w:noWrap w:val="0"/>
            <w:vAlign w:val="center"/>
          </w:tcPr>
          <w:p w14:paraId="5DF701D0">
            <w:pPr>
              <w:keepNext w:val="0"/>
              <w:keepLines w:val="0"/>
              <w:suppressLineNumbers w:val="0"/>
              <w:spacing w:before="0" w:beforeAutospacing="0" w:after="0" w:afterAutospacing="0"/>
              <w:ind w:left="0" w:leftChars="0" w:right="0" w:rightChars="0"/>
              <w:jc w:val="center"/>
              <w:rPr>
                <w:rFonts w:hint="eastAsia" w:cs="Times New Roman"/>
                <w:color w:val="auto"/>
                <w:szCs w:val="20"/>
                <w:lang w:eastAsia="zh-CN"/>
              </w:rPr>
            </w:pPr>
            <w:r>
              <w:rPr>
                <w:rFonts w:hint="eastAsia" w:cs="Times New Roman"/>
                <w:color w:val="auto"/>
                <w:szCs w:val="20"/>
                <w:lang w:eastAsia="zh-CN"/>
              </w:rPr>
              <w:t>氨</w:t>
            </w:r>
          </w:p>
        </w:tc>
        <w:tc>
          <w:tcPr>
            <w:tcW w:w="675" w:type="dxa"/>
            <w:tcBorders>
              <w:tl2br w:val="nil"/>
              <w:tr2bl w:val="nil"/>
            </w:tcBorders>
            <w:noWrap w:val="0"/>
            <w:vAlign w:val="center"/>
          </w:tcPr>
          <w:p w14:paraId="7F3A6AD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手工</w:t>
            </w:r>
          </w:p>
        </w:tc>
        <w:tc>
          <w:tcPr>
            <w:tcW w:w="844" w:type="dxa"/>
            <w:tcBorders>
              <w:tl2br w:val="nil"/>
              <w:tr2bl w:val="nil"/>
            </w:tcBorders>
            <w:noWrap w:val="0"/>
            <w:vAlign w:val="center"/>
          </w:tcPr>
          <w:p w14:paraId="61696E3A">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831" w:type="dxa"/>
            <w:tcBorders>
              <w:tl2br w:val="nil"/>
              <w:tr2bl w:val="nil"/>
            </w:tcBorders>
            <w:noWrap w:val="0"/>
            <w:vAlign w:val="center"/>
          </w:tcPr>
          <w:p w14:paraId="4BD52798">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859" w:type="dxa"/>
            <w:tcBorders>
              <w:tl2br w:val="nil"/>
              <w:tr2bl w:val="nil"/>
            </w:tcBorders>
            <w:noWrap w:val="0"/>
            <w:vAlign w:val="center"/>
          </w:tcPr>
          <w:p w14:paraId="4E649B4C">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388" w:type="dxa"/>
            <w:tcBorders>
              <w:tl2br w:val="nil"/>
              <w:tr2bl w:val="nil"/>
            </w:tcBorders>
            <w:noWrap w:val="0"/>
            <w:vAlign w:val="center"/>
          </w:tcPr>
          <w:p w14:paraId="6FE5CE2F">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159" w:type="dxa"/>
            <w:tcBorders>
              <w:tl2br w:val="nil"/>
              <w:tr2bl w:val="nil"/>
            </w:tcBorders>
            <w:noWrap w:val="0"/>
            <w:vAlign w:val="center"/>
          </w:tcPr>
          <w:p w14:paraId="4CF85A1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非连续采样至少3个</w:t>
            </w:r>
          </w:p>
        </w:tc>
        <w:tc>
          <w:tcPr>
            <w:tcW w:w="975" w:type="dxa"/>
            <w:tcBorders>
              <w:tl2br w:val="nil"/>
              <w:tr2bl w:val="nil"/>
            </w:tcBorders>
            <w:noWrap w:val="0"/>
            <w:vAlign w:val="center"/>
          </w:tcPr>
          <w:p w14:paraId="414E12D2">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000000"/>
                <w:kern w:val="0"/>
                <w:sz w:val="21"/>
                <w:szCs w:val="21"/>
                <w:lang w:val="en-US" w:eastAsia="zh-CN"/>
              </w:rPr>
              <w:t>1次/季度</w:t>
            </w:r>
          </w:p>
        </w:tc>
        <w:tc>
          <w:tcPr>
            <w:tcW w:w="1691" w:type="dxa"/>
            <w:tcBorders>
              <w:tl2br w:val="nil"/>
              <w:tr2bl w:val="nil"/>
            </w:tcBorders>
            <w:noWrap w:val="0"/>
            <w:vAlign w:val="center"/>
          </w:tcPr>
          <w:p w14:paraId="59D885FF">
            <w:pPr>
              <w:keepNext w:val="0"/>
              <w:keepLines w:val="0"/>
              <w:widowControl/>
              <w:suppressLineNumbers w:val="0"/>
              <w:jc w:val="center"/>
              <w:rPr>
                <w:rStyle w:val="29"/>
                <w:rFonts w:hint="default" w:ascii="Times New Roman" w:hAnsi="Times New Roman" w:eastAsia="宋体" w:cs="Times New Roman"/>
                <w:b w:val="0"/>
                <w:bCs w:val="0"/>
                <w:kern w:val="2"/>
                <w:sz w:val="21"/>
                <w:szCs w:val="22"/>
                <w:lang w:val="en-US" w:eastAsia="zh-CN" w:bidi="ar-SA"/>
              </w:rPr>
            </w:pPr>
            <w:r>
              <w:rPr>
                <w:rStyle w:val="29"/>
                <w:rFonts w:hint="default" w:ascii="Times New Roman" w:hAnsi="Times New Roman" w:eastAsia="宋体" w:cs="Times New Roman"/>
                <w:b w:val="0"/>
                <w:bCs w:val="0"/>
                <w:kern w:val="2"/>
                <w:sz w:val="21"/>
                <w:szCs w:val="22"/>
                <w:lang w:val="en-US" w:eastAsia="zh-CN" w:bidi="ar-SA"/>
              </w:rPr>
              <w:t>空气和废气氨的测定 纳氏试剂分光光度法</w:t>
            </w:r>
          </w:p>
          <w:p w14:paraId="7282AF96">
            <w:pPr>
              <w:keepNext w:val="0"/>
              <w:keepLines w:val="0"/>
              <w:widowControl/>
              <w:suppressLineNumbers w:val="0"/>
              <w:jc w:val="center"/>
              <w:rPr>
                <w:rStyle w:val="29"/>
                <w:rFonts w:hint="default" w:ascii="Times New Roman" w:hAnsi="Times New Roman" w:eastAsia="宋体" w:cs="Times New Roman"/>
                <w:b w:val="0"/>
                <w:bCs w:val="0"/>
                <w:kern w:val="2"/>
                <w:sz w:val="21"/>
                <w:szCs w:val="22"/>
                <w:lang w:val="en-US" w:eastAsia="zh-CN" w:bidi="ar-SA"/>
              </w:rPr>
            </w:pPr>
            <w:r>
              <w:rPr>
                <w:rStyle w:val="29"/>
                <w:rFonts w:hint="default" w:ascii="Times New Roman" w:hAnsi="Times New Roman" w:eastAsia="宋体" w:cs="Times New Roman"/>
                <w:b w:val="0"/>
                <w:bCs w:val="0"/>
                <w:kern w:val="2"/>
                <w:sz w:val="21"/>
                <w:szCs w:val="22"/>
                <w:lang w:val="en-US" w:eastAsia="zh-CN" w:bidi="ar-SA"/>
              </w:rPr>
              <w:t>HJ533-2009</w:t>
            </w:r>
          </w:p>
        </w:tc>
        <w:tc>
          <w:tcPr>
            <w:tcW w:w="634" w:type="dxa"/>
            <w:tcBorders>
              <w:tl2br w:val="nil"/>
              <w:tr2bl w:val="nil"/>
            </w:tcBorders>
            <w:noWrap w:val="0"/>
            <w:vAlign w:val="center"/>
          </w:tcPr>
          <w:p w14:paraId="5E0B880F">
            <w:pPr>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r>
      <w:tr w14:paraId="72B553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537" w:type="dxa"/>
            <w:vMerge w:val="continue"/>
            <w:tcBorders>
              <w:tl2br w:val="nil"/>
              <w:tr2bl w:val="nil"/>
            </w:tcBorders>
            <w:noWrap w:val="0"/>
            <w:vAlign w:val="center"/>
          </w:tcPr>
          <w:p w14:paraId="67FBB687">
            <w:pPr>
              <w:jc w:val="center"/>
              <w:rPr>
                <w:rFonts w:hint="eastAsia" w:ascii="Times New Roman" w:hAnsi="Times New Roman" w:eastAsia="宋体" w:cs="Times New Roman"/>
                <w:color w:val="auto"/>
                <w:sz w:val="21"/>
                <w:szCs w:val="21"/>
                <w:lang w:val="en-US" w:eastAsia="zh-CN"/>
              </w:rPr>
            </w:pPr>
          </w:p>
        </w:tc>
        <w:tc>
          <w:tcPr>
            <w:tcW w:w="863" w:type="dxa"/>
            <w:vMerge w:val="continue"/>
            <w:tcBorders>
              <w:tl2br w:val="nil"/>
              <w:tr2bl w:val="nil"/>
            </w:tcBorders>
            <w:noWrap w:val="0"/>
            <w:vAlign w:val="center"/>
          </w:tcPr>
          <w:p w14:paraId="4FAF69C5">
            <w:pPr>
              <w:jc w:val="center"/>
              <w:rPr>
                <w:rFonts w:hint="eastAsia" w:ascii="Times New Roman" w:hAnsi="Times New Roman" w:eastAsia="宋体" w:cs="Times New Roman"/>
                <w:color w:val="auto"/>
                <w:sz w:val="21"/>
                <w:szCs w:val="21"/>
                <w:lang w:val="en-US" w:eastAsia="zh-CN"/>
              </w:rPr>
            </w:pPr>
          </w:p>
        </w:tc>
        <w:tc>
          <w:tcPr>
            <w:tcW w:w="874" w:type="dxa"/>
            <w:vMerge w:val="continue"/>
            <w:tcBorders>
              <w:tl2br w:val="nil"/>
              <w:tr2bl w:val="nil"/>
            </w:tcBorders>
            <w:noWrap w:val="0"/>
            <w:vAlign w:val="center"/>
          </w:tcPr>
          <w:p w14:paraId="0601286E">
            <w:pPr>
              <w:jc w:val="center"/>
              <w:rPr>
                <w:rFonts w:hint="eastAsia" w:ascii="Times New Roman" w:hAnsi="Times New Roman" w:eastAsia="宋体" w:cs="Times New Roman"/>
                <w:color w:val="auto"/>
                <w:sz w:val="21"/>
                <w:szCs w:val="21"/>
                <w:lang w:val="en-US" w:eastAsia="zh-CN"/>
              </w:rPr>
            </w:pPr>
          </w:p>
        </w:tc>
        <w:tc>
          <w:tcPr>
            <w:tcW w:w="949" w:type="dxa"/>
            <w:vMerge w:val="continue"/>
            <w:tcBorders>
              <w:tl2br w:val="nil"/>
              <w:tr2bl w:val="nil"/>
            </w:tcBorders>
            <w:noWrap w:val="0"/>
            <w:vAlign w:val="center"/>
          </w:tcPr>
          <w:p w14:paraId="074E0B25">
            <w:pPr>
              <w:jc w:val="center"/>
              <w:rPr>
                <w:rFonts w:hint="eastAsia" w:ascii="Times New Roman" w:hAnsi="Times New Roman" w:eastAsia="宋体" w:cs="Times New Roman"/>
                <w:color w:val="auto"/>
                <w:sz w:val="21"/>
                <w:szCs w:val="21"/>
                <w:lang w:val="en-US" w:eastAsia="zh-CN"/>
              </w:rPr>
            </w:pPr>
          </w:p>
        </w:tc>
        <w:tc>
          <w:tcPr>
            <w:tcW w:w="1207" w:type="dxa"/>
            <w:vMerge w:val="continue"/>
            <w:tcBorders>
              <w:tl2br w:val="nil"/>
              <w:tr2bl w:val="nil"/>
            </w:tcBorders>
            <w:noWrap w:val="0"/>
            <w:vAlign w:val="center"/>
          </w:tcPr>
          <w:p w14:paraId="69CEC1CA">
            <w:pPr>
              <w:jc w:val="center"/>
              <w:rPr>
                <w:rFonts w:hint="eastAsia" w:ascii="Times New Roman" w:hAnsi="Times New Roman" w:eastAsia="宋体" w:cs="Times New Roman"/>
                <w:color w:val="auto"/>
                <w:sz w:val="21"/>
                <w:szCs w:val="21"/>
                <w:lang w:val="en-US" w:eastAsia="zh-CN"/>
              </w:rPr>
            </w:pPr>
          </w:p>
        </w:tc>
        <w:tc>
          <w:tcPr>
            <w:tcW w:w="870" w:type="dxa"/>
            <w:tcBorders>
              <w:tl2br w:val="nil"/>
              <w:tr2bl w:val="nil"/>
            </w:tcBorders>
            <w:noWrap w:val="0"/>
            <w:vAlign w:val="center"/>
          </w:tcPr>
          <w:p w14:paraId="67CC3C89">
            <w:pPr>
              <w:keepNext w:val="0"/>
              <w:keepLines w:val="0"/>
              <w:suppressLineNumbers w:val="0"/>
              <w:spacing w:before="0" w:beforeAutospacing="0" w:after="0" w:afterAutospacing="0"/>
              <w:ind w:left="0" w:leftChars="0" w:right="0" w:rightChars="0"/>
              <w:jc w:val="center"/>
              <w:rPr>
                <w:rFonts w:hint="eastAsia" w:cs="Times New Roman"/>
                <w:color w:val="auto"/>
                <w:szCs w:val="20"/>
                <w:lang w:eastAsia="zh-CN"/>
              </w:rPr>
            </w:pPr>
            <w:r>
              <w:rPr>
                <w:rFonts w:hint="eastAsia" w:cs="Times New Roman"/>
                <w:color w:val="auto"/>
                <w:szCs w:val="20"/>
                <w:lang w:eastAsia="zh-CN"/>
              </w:rPr>
              <w:t>硫化氢</w:t>
            </w:r>
          </w:p>
        </w:tc>
        <w:tc>
          <w:tcPr>
            <w:tcW w:w="675" w:type="dxa"/>
            <w:tcBorders>
              <w:tl2br w:val="nil"/>
              <w:tr2bl w:val="nil"/>
            </w:tcBorders>
            <w:noWrap w:val="0"/>
            <w:vAlign w:val="center"/>
          </w:tcPr>
          <w:p w14:paraId="6161840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手工</w:t>
            </w:r>
          </w:p>
        </w:tc>
        <w:tc>
          <w:tcPr>
            <w:tcW w:w="844" w:type="dxa"/>
            <w:tcBorders>
              <w:tl2br w:val="nil"/>
              <w:tr2bl w:val="nil"/>
            </w:tcBorders>
            <w:noWrap w:val="0"/>
            <w:vAlign w:val="center"/>
          </w:tcPr>
          <w:p w14:paraId="7D8B3FB0">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831" w:type="dxa"/>
            <w:tcBorders>
              <w:tl2br w:val="nil"/>
              <w:tr2bl w:val="nil"/>
            </w:tcBorders>
            <w:noWrap w:val="0"/>
            <w:vAlign w:val="center"/>
          </w:tcPr>
          <w:p w14:paraId="19CBD6B6">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859" w:type="dxa"/>
            <w:tcBorders>
              <w:tl2br w:val="nil"/>
              <w:tr2bl w:val="nil"/>
            </w:tcBorders>
            <w:noWrap w:val="0"/>
            <w:vAlign w:val="center"/>
          </w:tcPr>
          <w:p w14:paraId="7CD47DFF">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388" w:type="dxa"/>
            <w:tcBorders>
              <w:tl2br w:val="nil"/>
              <w:tr2bl w:val="nil"/>
            </w:tcBorders>
            <w:noWrap w:val="0"/>
            <w:vAlign w:val="center"/>
          </w:tcPr>
          <w:p w14:paraId="573027A8">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159" w:type="dxa"/>
            <w:tcBorders>
              <w:tl2br w:val="nil"/>
              <w:tr2bl w:val="nil"/>
            </w:tcBorders>
            <w:noWrap w:val="0"/>
            <w:vAlign w:val="center"/>
          </w:tcPr>
          <w:p w14:paraId="03C4D740">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非连续采样至少3个</w:t>
            </w:r>
          </w:p>
        </w:tc>
        <w:tc>
          <w:tcPr>
            <w:tcW w:w="975" w:type="dxa"/>
            <w:tcBorders>
              <w:tl2br w:val="nil"/>
              <w:tr2bl w:val="nil"/>
            </w:tcBorders>
            <w:noWrap w:val="0"/>
            <w:vAlign w:val="center"/>
          </w:tcPr>
          <w:p w14:paraId="10D496A4">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000000"/>
                <w:kern w:val="0"/>
                <w:sz w:val="21"/>
                <w:szCs w:val="21"/>
                <w:lang w:val="en-US" w:eastAsia="zh-CN"/>
              </w:rPr>
              <w:t>1次/季度</w:t>
            </w:r>
          </w:p>
        </w:tc>
        <w:tc>
          <w:tcPr>
            <w:tcW w:w="1691" w:type="dxa"/>
            <w:tcBorders>
              <w:tl2br w:val="nil"/>
              <w:tr2bl w:val="nil"/>
            </w:tcBorders>
            <w:noWrap w:val="0"/>
            <w:vAlign w:val="center"/>
          </w:tcPr>
          <w:p w14:paraId="36BAB615">
            <w:pPr>
              <w:keepNext w:val="0"/>
              <w:keepLines w:val="0"/>
              <w:widowControl/>
              <w:suppressLineNumbers w:val="0"/>
              <w:jc w:val="center"/>
              <w:rPr>
                <w:rStyle w:val="29"/>
                <w:rFonts w:hint="default" w:ascii="Times New Roman" w:hAnsi="Times New Roman" w:eastAsia="宋体" w:cs="Times New Roman"/>
                <w:b w:val="0"/>
                <w:bCs w:val="0"/>
                <w:kern w:val="2"/>
                <w:sz w:val="21"/>
                <w:szCs w:val="22"/>
                <w:lang w:val="en-US" w:eastAsia="zh-CN" w:bidi="ar-SA"/>
              </w:rPr>
            </w:pPr>
            <w:r>
              <w:rPr>
                <w:rStyle w:val="29"/>
                <w:rFonts w:hint="default" w:ascii="Times New Roman" w:hAnsi="Times New Roman" w:eastAsia="宋体" w:cs="Times New Roman"/>
                <w:b w:val="0"/>
                <w:bCs w:val="0"/>
                <w:kern w:val="2"/>
                <w:sz w:val="21"/>
                <w:szCs w:val="22"/>
                <w:lang w:val="en-US" w:eastAsia="zh-CN" w:bidi="ar-SA"/>
              </w:rPr>
              <w:t>空气质量 硫化氢 甲硫醇 甲硫醚 二甲二硫的测定气相色谱法GB/T14678-1993</w:t>
            </w:r>
          </w:p>
        </w:tc>
        <w:tc>
          <w:tcPr>
            <w:tcW w:w="634" w:type="dxa"/>
            <w:tcBorders>
              <w:tl2br w:val="nil"/>
              <w:tr2bl w:val="nil"/>
            </w:tcBorders>
            <w:noWrap w:val="0"/>
            <w:vAlign w:val="center"/>
          </w:tcPr>
          <w:p w14:paraId="12EC8138">
            <w:pPr>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r>
      <w:tr w14:paraId="5D59C7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537" w:type="dxa"/>
            <w:vMerge w:val="continue"/>
            <w:tcBorders>
              <w:tl2br w:val="nil"/>
              <w:tr2bl w:val="nil"/>
            </w:tcBorders>
            <w:noWrap w:val="0"/>
            <w:vAlign w:val="center"/>
          </w:tcPr>
          <w:p w14:paraId="154F3AFD">
            <w:pPr>
              <w:jc w:val="center"/>
              <w:rPr>
                <w:rFonts w:hint="eastAsia" w:ascii="Times New Roman" w:hAnsi="Times New Roman" w:eastAsia="宋体" w:cs="Times New Roman"/>
                <w:color w:val="auto"/>
                <w:sz w:val="21"/>
                <w:szCs w:val="21"/>
                <w:lang w:val="en-US" w:eastAsia="zh-CN"/>
              </w:rPr>
            </w:pPr>
          </w:p>
        </w:tc>
        <w:tc>
          <w:tcPr>
            <w:tcW w:w="863" w:type="dxa"/>
            <w:vMerge w:val="continue"/>
            <w:tcBorders>
              <w:tl2br w:val="nil"/>
              <w:tr2bl w:val="nil"/>
            </w:tcBorders>
            <w:noWrap w:val="0"/>
            <w:vAlign w:val="center"/>
          </w:tcPr>
          <w:p w14:paraId="78AD0C0D">
            <w:pPr>
              <w:jc w:val="center"/>
              <w:rPr>
                <w:rFonts w:hint="eastAsia" w:ascii="Times New Roman" w:hAnsi="Times New Roman" w:eastAsia="宋体" w:cs="Times New Roman"/>
                <w:color w:val="auto"/>
                <w:sz w:val="21"/>
                <w:szCs w:val="21"/>
                <w:lang w:val="en-US" w:eastAsia="zh-CN"/>
              </w:rPr>
            </w:pPr>
          </w:p>
        </w:tc>
        <w:tc>
          <w:tcPr>
            <w:tcW w:w="874" w:type="dxa"/>
            <w:vMerge w:val="continue"/>
            <w:tcBorders>
              <w:tl2br w:val="nil"/>
              <w:tr2bl w:val="nil"/>
            </w:tcBorders>
            <w:noWrap w:val="0"/>
            <w:vAlign w:val="center"/>
          </w:tcPr>
          <w:p w14:paraId="7C120DA4">
            <w:pPr>
              <w:jc w:val="center"/>
              <w:rPr>
                <w:rFonts w:hint="eastAsia" w:ascii="Times New Roman" w:hAnsi="Times New Roman" w:eastAsia="宋体" w:cs="Times New Roman"/>
                <w:color w:val="auto"/>
                <w:sz w:val="21"/>
                <w:szCs w:val="21"/>
                <w:lang w:val="en-US" w:eastAsia="zh-CN"/>
              </w:rPr>
            </w:pPr>
          </w:p>
        </w:tc>
        <w:tc>
          <w:tcPr>
            <w:tcW w:w="949" w:type="dxa"/>
            <w:vMerge w:val="continue"/>
            <w:tcBorders>
              <w:tl2br w:val="nil"/>
              <w:tr2bl w:val="nil"/>
            </w:tcBorders>
            <w:noWrap w:val="0"/>
            <w:vAlign w:val="center"/>
          </w:tcPr>
          <w:p w14:paraId="136B25C8">
            <w:pPr>
              <w:jc w:val="center"/>
              <w:rPr>
                <w:rFonts w:hint="eastAsia" w:ascii="Times New Roman" w:hAnsi="Times New Roman" w:eastAsia="宋体" w:cs="Times New Roman"/>
                <w:color w:val="auto"/>
                <w:sz w:val="21"/>
                <w:szCs w:val="21"/>
                <w:lang w:val="en-US" w:eastAsia="zh-CN"/>
              </w:rPr>
            </w:pPr>
          </w:p>
        </w:tc>
        <w:tc>
          <w:tcPr>
            <w:tcW w:w="1207" w:type="dxa"/>
            <w:vMerge w:val="continue"/>
            <w:tcBorders>
              <w:tl2br w:val="nil"/>
              <w:tr2bl w:val="nil"/>
            </w:tcBorders>
            <w:noWrap w:val="0"/>
            <w:vAlign w:val="center"/>
          </w:tcPr>
          <w:p w14:paraId="4B2C2B0D">
            <w:pPr>
              <w:jc w:val="center"/>
              <w:rPr>
                <w:rFonts w:hint="eastAsia" w:ascii="Times New Roman" w:hAnsi="Times New Roman" w:eastAsia="宋体" w:cs="Times New Roman"/>
                <w:color w:val="auto"/>
                <w:sz w:val="21"/>
                <w:szCs w:val="21"/>
                <w:lang w:val="en-US" w:eastAsia="zh-CN"/>
              </w:rPr>
            </w:pPr>
          </w:p>
        </w:tc>
        <w:tc>
          <w:tcPr>
            <w:tcW w:w="870" w:type="dxa"/>
            <w:tcBorders>
              <w:tl2br w:val="nil"/>
              <w:tr2bl w:val="nil"/>
            </w:tcBorders>
            <w:noWrap w:val="0"/>
            <w:vAlign w:val="center"/>
          </w:tcPr>
          <w:p w14:paraId="0AF941AA">
            <w:pPr>
              <w:keepNext w:val="0"/>
              <w:keepLines w:val="0"/>
              <w:suppressLineNumbers w:val="0"/>
              <w:spacing w:before="0" w:beforeAutospacing="0" w:after="0" w:afterAutospacing="0"/>
              <w:ind w:left="0" w:leftChars="0" w:right="0" w:rightChars="0"/>
              <w:jc w:val="center"/>
              <w:rPr>
                <w:rFonts w:hint="eastAsia" w:cs="Times New Roman"/>
                <w:color w:val="auto"/>
                <w:szCs w:val="20"/>
                <w:lang w:eastAsia="zh-CN"/>
              </w:rPr>
            </w:pPr>
            <w:r>
              <w:rPr>
                <w:rFonts w:hint="eastAsia" w:cs="Times New Roman"/>
                <w:color w:val="auto"/>
                <w:szCs w:val="20"/>
                <w:lang w:eastAsia="zh-CN"/>
              </w:rPr>
              <w:t>臭气浓度</w:t>
            </w:r>
          </w:p>
        </w:tc>
        <w:tc>
          <w:tcPr>
            <w:tcW w:w="675" w:type="dxa"/>
            <w:tcBorders>
              <w:tl2br w:val="nil"/>
              <w:tr2bl w:val="nil"/>
            </w:tcBorders>
            <w:noWrap w:val="0"/>
            <w:vAlign w:val="center"/>
          </w:tcPr>
          <w:p w14:paraId="2C849DC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手工</w:t>
            </w:r>
          </w:p>
        </w:tc>
        <w:tc>
          <w:tcPr>
            <w:tcW w:w="844" w:type="dxa"/>
            <w:tcBorders>
              <w:tl2br w:val="nil"/>
              <w:tr2bl w:val="nil"/>
            </w:tcBorders>
            <w:noWrap w:val="0"/>
            <w:vAlign w:val="center"/>
          </w:tcPr>
          <w:p w14:paraId="572771EA">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831" w:type="dxa"/>
            <w:tcBorders>
              <w:tl2br w:val="nil"/>
              <w:tr2bl w:val="nil"/>
            </w:tcBorders>
            <w:noWrap w:val="0"/>
            <w:vAlign w:val="center"/>
          </w:tcPr>
          <w:p w14:paraId="77D06539">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859" w:type="dxa"/>
            <w:tcBorders>
              <w:tl2br w:val="nil"/>
              <w:tr2bl w:val="nil"/>
            </w:tcBorders>
            <w:noWrap w:val="0"/>
            <w:vAlign w:val="center"/>
          </w:tcPr>
          <w:p w14:paraId="52420B51">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388" w:type="dxa"/>
            <w:tcBorders>
              <w:tl2br w:val="nil"/>
              <w:tr2bl w:val="nil"/>
            </w:tcBorders>
            <w:noWrap w:val="0"/>
            <w:vAlign w:val="center"/>
          </w:tcPr>
          <w:p w14:paraId="0B75F276">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159" w:type="dxa"/>
            <w:tcBorders>
              <w:tl2br w:val="nil"/>
              <w:tr2bl w:val="nil"/>
            </w:tcBorders>
            <w:noWrap w:val="0"/>
            <w:vAlign w:val="center"/>
          </w:tcPr>
          <w:p w14:paraId="523F91A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非连续采样至少3个</w:t>
            </w:r>
          </w:p>
        </w:tc>
        <w:tc>
          <w:tcPr>
            <w:tcW w:w="975" w:type="dxa"/>
            <w:tcBorders>
              <w:tl2br w:val="nil"/>
              <w:tr2bl w:val="nil"/>
            </w:tcBorders>
            <w:noWrap w:val="0"/>
            <w:vAlign w:val="center"/>
          </w:tcPr>
          <w:p w14:paraId="31FF0F6D">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000000"/>
                <w:kern w:val="0"/>
                <w:sz w:val="21"/>
                <w:szCs w:val="21"/>
                <w:lang w:val="en-US" w:eastAsia="zh-CN"/>
              </w:rPr>
              <w:t>1次/季度</w:t>
            </w:r>
          </w:p>
        </w:tc>
        <w:tc>
          <w:tcPr>
            <w:tcW w:w="1691" w:type="dxa"/>
            <w:tcBorders>
              <w:tl2br w:val="nil"/>
              <w:tr2bl w:val="nil"/>
            </w:tcBorders>
            <w:noWrap w:val="0"/>
            <w:vAlign w:val="center"/>
          </w:tcPr>
          <w:p w14:paraId="4546C99D">
            <w:pPr>
              <w:keepNext w:val="0"/>
              <w:keepLines w:val="0"/>
              <w:widowControl/>
              <w:suppressLineNumbers w:val="0"/>
              <w:jc w:val="center"/>
              <w:rPr>
                <w:rStyle w:val="29"/>
                <w:rFonts w:hint="default" w:ascii="Times New Roman" w:hAnsi="Times New Roman" w:eastAsia="宋体" w:cs="Times New Roman"/>
                <w:b w:val="0"/>
                <w:bCs w:val="0"/>
                <w:kern w:val="2"/>
                <w:sz w:val="21"/>
                <w:szCs w:val="22"/>
                <w:lang w:val="en-US" w:eastAsia="zh-CN" w:bidi="ar-SA"/>
              </w:rPr>
            </w:pPr>
            <w:r>
              <w:rPr>
                <w:rStyle w:val="29"/>
                <w:rFonts w:hint="default" w:ascii="Times New Roman" w:hAnsi="Times New Roman" w:eastAsia="宋体" w:cs="Times New Roman"/>
                <w:b w:val="0"/>
                <w:bCs w:val="0"/>
                <w:kern w:val="2"/>
                <w:sz w:val="21"/>
                <w:szCs w:val="22"/>
                <w:lang w:val="en-US" w:eastAsia="zh-CN" w:bidi="ar-SA"/>
              </w:rPr>
              <w:t>空气质量 恶臭的测定 三点比较式臭袋法</w:t>
            </w:r>
          </w:p>
          <w:p w14:paraId="3D8B625A">
            <w:pPr>
              <w:keepNext w:val="0"/>
              <w:keepLines w:val="0"/>
              <w:widowControl/>
              <w:suppressLineNumbers w:val="0"/>
              <w:jc w:val="center"/>
              <w:rPr>
                <w:rStyle w:val="29"/>
                <w:rFonts w:hint="default" w:ascii="Times New Roman" w:hAnsi="Times New Roman" w:eastAsia="宋体" w:cs="Times New Roman"/>
                <w:b w:val="0"/>
                <w:bCs w:val="0"/>
                <w:kern w:val="2"/>
                <w:sz w:val="21"/>
                <w:szCs w:val="22"/>
                <w:lang w:val="en-US" w:eastAsia="zh-CN" w:bidi="ar-SA"/>
              </w:rPr>
            </w:pPr>
            <w:r>
              <w:rPr>
                <w:rStyle w:val="29"/>
                <w:rFonts w:hint="default" w:ascii="Times New Roman" w:hAnsi="Times New Roman" w:eastAsia="宋体" w:cs="Times New Roman"/>
                <w:b w:val="0"/>
                <w:bCs w:val="0"/>
                <w:kern w:val="2"/>
                <w:sz w:val="21"/>
                <w:szCs w:val="22"/>
                <w:lang w:val="en-US" w:eastAsia="zh-CN" w:bidi="ar-SA"/>
              </w:rPr>
              <w:t>GB T 14675-1993</w:t>
            </w:r>
          </w:p>
        </w:tc>
        <w:tc>
          <w:tcPr>
            <w:tcW w:w="634" w:type="dxa"/>
            <w:tcBorders>
              <w:tl2br w:val="nil"/>
              <w:tr2bl w:val="nil"/>
            </w:tcBorders>
            <w:noWrap w:val="0"/>
            <w:vAlign w:val="center"/>
          </w:tcPr>
          <w:p w14:paraId="7A3BA14F">
            <w:pPr>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r>
    </w:tbl>
    <w:p w14:paraId="015901B7">
      <w:pPr>
        <w:pStyle w:val="51"/>
        <w:spacing w:before="192" w:beforeLines="80" w:after="24"/>
        <w:ind w:left="0" w:leftChars="0" w:firstLine="0" w:firstLineChars="0"/>
        <w:jc w:val="left"/>
        <w:rPr>
          <w:rFonts w:hint="eastAsia" w:ascii="Times New Roman" w:hAnsi="Times New Roman" w:eastAsia="宋体" w:cs="Times New Roman"/>
          <w:snapToGrid w:val="0"/>
          <w:color w:val="auto"/>
          <w:spacing w:val="-6"/>
          <w:kern w:val="21"/>
          <w:szCs w:val="21"/>
          <w:lang w:eastAsia="zh-CN"/>
        </w:rPr>
      </w:pPr>
    </w:p>
    <w:sectPr>
      <w:footerReference r:id="rId5" w:type="default"/>
      <w:pgSz w:w="16838" w:h="11905" w:orient="landscape"/>
      <w:pgMar w:top="1417" w:right="1417" w:bottom="1417" w:left="1417" w:header="851" w:footer="850"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26042E3-ADC5-4A8E-BE38-E7EF733C309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8A78B00-21F2-4F40-A21E-5CF57A3E7072}"/>
  </w:font>
  <w:font w:name="仿宋_GB2312">
    <w:altName w:val="仿宋"/>
    <w:panose1 w:val="02010609030101010101"/>
    <w:charset w:val="86"/>
    <w:family w:val="modern"/>
    <w:pitch w:val="default"/>
    <w:sig w:usb0="00000000" w:usb1="00000000" w:usb2="00000000" w:usb3="00000000" w:csb0="00040000" w:csb1="00000000"/>
    <w:embedRegular r:id="rId3" w:fontKey="{F2E1EC58-48C5-463D-A852-6A24E74F1D22}"/>
  </w:font>
  <w:font w:name="仿宋">
    <w:panose1 w:val="02010609060101010101"/>
    <w:charset w:val="86"/>
    <w:family w:val="auto"/>
    <w:pitch w:val="default"/>
    <w:sig w:usb0="800002BF" w:usb1="38CF7CFA" w:usb2="00000016" w:usb3="00000000" w:csb0="00040001" w:csb1="00000000"/>
    <w:embedRegular r:id="rId4" w:fontKey="{47606003-27F8-4E6C-90FF-5D48EBE1E2DD}"/>
  </w:font>
  <w:font w:name="Consolas">
    <w:panose1 w:val="020B0609020204030204"/>
    <w:charset w:val="00"/>
    <w:family w:val="auto"/>
    <w:pitch w:val="default"/>
    <w:sig w:usb0="E00006FF" w:usb1="0000FCFF" w:usb2="00000001" w:usb3="00000000" w:csb0="6000019F" w:csb1="DFD70000"/>
  </w:font>
  <w:font w:name="方正楷体_GBK">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ont-weight : 400">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Arial Black">
    <w:panose1 w:val="020B0A04020102020204"/>
    <w:charset w:val="00"/>
    <w:family w:val="swiss"/>
    <w:pitch w:val="default"/>
    <w:sig w:usb0="A00002AF" w:usb1="400078FB" w:usb2="00000000" w:usb3="00000000" w:csb0="6000009F" w:csb1="DFD70000"/>
  </w:font>
  <w:font w:name="FontAwesome">
    <w:altName w:val="Segoe Print"/>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embedRegular r:id="rId5" w:fontKey="{03A17B57-F1CD-4A55-9ED8-E009A6803371}"/>
  </w:font>
  <w:font w:name="微软雅黑">
    <w:panose1 w:val="020B0503020204020204"/>
    <w:charset w:val="86"/>
    <w:family w:val="auto"/>
    <w:pitch w:val="default"/>
    <w:sig w:usb0="80000287" w:usb1="2ACF3C50" w:usb2="00000016" w:usb3="00000000" w:csb0="0004001F" w:csb1="00000000"/>
    <w:embedRegular r:id="rId6" w:fontKey="{3C5BBA0B-1E02-40B4-95FE-AD9C805C72F1}"/>
  </w:font>
  <w:font w:name="新宋体">
    <w:panose1 w:val="02010609030101010101"/>
    <w:charset w:val="86"/>
    <w:family w:val="modern"/>
    <w:pitch w:val="default"/>
    <w:sig w:usb0="00000203" w:usb1="288F0000" w:usb2="00000006" w:usb3="00000000" w:csb0="00040001" w:csb1="00000000"/>
    <w:embedRegular r:id="rId7" w:fontKey="{1538DC73-432A-4A36-B460-226B24781761}"/>
  </w:font>
  <w:font w:name="方正小标宋_GBK">
    <w:panose1 w:val="03000509000000000000"/>
    <w:charset w:val="86"/>
    <w:family w:val="script"/>
    <w:pitch w:val="default"/>
    <w:sig w:usb0="00000001" w:usb1="080E0000" w:usb2="00000000" w:usb3="00000000" w:csb0="00040000" w:csb1="00000000"/>
    <w:embedRegular r:id="rId8" w:fontKey="{277ADED6-7041-44C5-B734-16E0176DBD5C}"/>
  </w:font>
  <w:font w:name="WPSEMBED8">
    <w:panose1 w:val="03000509000000000000"/>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中文正文">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144EF">
    <w:pPr>
      <w:pStyle w:val="17"/>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E77F16">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4E77F16">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95EEB">
    <w:pPr>
      <w:pStyle w:val="17"/>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AA98B1">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0AA98B1">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22</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33A7">
    <w:pPr>
      <w:pStyle w:val="1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61D5D"/>
    <w:multiLevelType w:val="singleLevel"/>
    <w:tmpl w:val="81861D5D"/>
    <w:lvl w:ilvl="0" w:tentative="0">
      <w:start w:val="2"/>
      <w:numFmt w:val="chineseCounting"/>
      <w:suff w:val="nothing"/>
      <w:lvlText w:val="%1、"/>
      <w:lvlJc w:val="left"/>
      <w:rPr>
        <w:rFonts w:hint="eastAsia"/>
      </w:rPr>
    </w:lvl>
  </w:abstractNum>
  <w:abstractNum w:abstractNumId="1">
    <w:nsid w:val="9222D4F1"/>
    <w:multiLevelType w:val="singleLevel"/>
    <w:tmpl w:val="9222D4F1"/>
    <w:lvl w:ilvl="0" w:tentative="0">
      <w:start w:val="1"/>
      <w:numFmt w:val="decimal"/>
      <w:pStyle w:val="123"/>
      <w:lvlText w:val="表3-%1."/>
      <w:lvlJc w:val="center"/>
      <w:pPr>
        <w:tabs>
          <w:tab w:val="left" w:pos="0"/>
        </w:tabs>
        <w:ind w:left="0" w:leftChars="0" w:firstLine="0" w:firstLineChars="0"/>
      </w:pPr>
      <w:rPr>
        <w:rFonts w:hint="default"/>
        <w:b/>
        <w:bCs/>
        <w:sz w:val="21"/>
        <w:szCs w:val="21"/>
      </w:rPr>
    </w:lvl>
  </w:abstractNum>
  <w:abstractNum w:abstractNumId="2">
    <w:nsid w:val="1E891448"/>
    <w:multiLevelType w:val="multilevel"/>
    <w:tmpl w:val="1E891448"/>
    <w:lvl w:ilvl="0" w:tentative="0">
      <w:start w:val="1"/>
      <w:numFmt w:val="decimal"/>
      <w:lvlText w:val="%1"/>
      <w:lvlJc w:val="left"/>
      <w:pPr>
        <w:ind w:left="432" w:hanging="432"/>
      </w:pPr>
    </w:lvl>
    <w:lvl w:ilvl="1" w:tentative="0">
      <w:start w:val="1"/>
      <w:numFmt w:val="decimal"/>
      <w:lvlText w:val="%1.%2"/>
      <w:lvlJc w:val="left"/>
      <w:pPr>
        <w:ind w:left="860" w:hanging="576"/>
      </w:pPr>
    </w:lvl>
    <w:lvl w:ilvl="2" w:tentative="0">
      <w:start w:val="1"/>
      <w:numFmt w:val="decimal"/>
      <w:pStyle w:val="4"/>
      <w:lvlText w:val="%1.%2.%3"/>
      <w:lvlJc w:val="left"/>
      <w:pPr>
        <w:ind w:left="228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3">
    <w:nsid w:val="1FF245CD"/>
    <w:multiLevelType w:val="singleLevel"/>
    <w:tmpl w:val="1FF245CD"/>
    <w:lvl w:ilvl="0" w:tentative="0">
      <w:start w:val="1"/>
      <w:numFmt w:val="decimal"/>
      <w:pStyle w:val="125"/>
      <w:lvlText w:val="表4-%1."/>
      <w:lvlJc w:val="center"/>
      <w:pPr>
        <w:tabs>
          <w:tab w:val="left" w:pos="0"/>
        </w:tabs>
        <w:ind w:left="0" w:leftChars="0" w:firstLine="0" w:firstLineChars="0"/>
      </w:pPr>
      <w:rPr>
        <w:rFonts w:hint="default" w:ascii="Times New Roman" w:hAnsi="Times New Roman" w:eastAsia="宋体" w:cs="Times New Roman"/>
        <w:b/>
        <w:bCs/>
        <w:sz w:val="21"/>
        <w:szCs w:val="21"/>
      </w:rPr>
    </w:lvl>
  </w:abstractNum>
  <w:abstractNum w:abstractNumId="4">
    <w:nsid w:val="36F7F602"/>
    <w:multiLevelType w:val="singleLevel"/>
    <w:tmpl w:val="36F7F602"/>
    <w:lvl w:ilvl="0" w:tentative="0">
      <w:start w:val="2"/>
      <w:numFmt w:val="chineseCounting"/>
      <w:suff w:val="nothing"/>
      <w:lvlText w:val="（%1）"/>
      <w:lvlJc w:val="left"/>
      <w:rPr>
        <w:rFonts w:hint="eastAsia"/>
      </w:rPr>
    </w:lvl>
  </w:abstractNum>
  <w:abstractNum w:abstractNumId="5">
    <w:nsid w:val="6B6B239E"/>
    <w:multiLevelType w:val="multilevel"/>
    <w:tmpl w:val="6B6B239E"/>
    <w:lvl w:ilvl="0" w:tentative="0">
      <w:start w:val="1"/>
      <w:numFmt w:val="decimal"/>
      <w:lvlText w:val="%1"/>
      <w:lvlJc w:val="left"/>
      <w:pPr>
        <w:tabs>
          <w:tab w:val="left" w:pos="558"/>
        </w:tabs>
        <w:ind w:left="558" w:hanging="432"/>
      </w:pPr>
      <w:rPr>
        <w:rFonts w:hint="eastAsia" w:ascii="仿宋_GB2312" w:eastAsia="仿宋_GB2312"/>
        <w:b w:val="0"/>
        <w:i w:val="0"/>
        <w:sz w:val="32"/>
        <w:szCs w:val="32"/>
      </w:rPr>
    </w:lvl>
    <w:lvl w:ilvl="1" w:tentative="0">
      <w:start w:val="1"/>
      <w:numFmt w:val="decimal"/>
      <w:lvlText w:val="%1.%2"/>
      <w:lvlJc w:val="left"/>
      <w:pPr>
        <w:tabs>
          <w:tab w:val="left" w:pos="807"/>
        </w:tabs>
        <w:ind w:left="807" w:hanging="576"/>
      </w:pPr>
      <w:rPr>
        <w:rFonts w:hint="eastAsia" w:ascii="仿宋_GB2312" w:eastAsia="仿宋_GB2312"/>
        <w:b/>
        <w:i w:val="0"/>
        <w:sz w:val="30"/>
      </w:rPr>
    </w:lvl>
    <w:lvl w:ilvl="2" w:tentative="0">
      <w:start w:val="1"/>
      <w:numFmt w:val="decimal"/>
      <w:lvlText w:val="%1.%2.%3"/>
      <w:lvlJc w:val="left"/>
      <w:pPr>
        <w:tabs>
          <w:tab w:val="left" w:pos="804"/>
        </w:tabs>
        <w:ind w:left="804" w:hanging="720"/>
      </w:pPr>
      <w:rPr>
        <w:rFonts w:hint="eastAsia" w:ascii="仿宋_GB2312" w:eastAsia="仿宋_GB2312"/>
      </w:rPr>
    </w:lvl>
    <w:lvl w:ilvl="3" w:tentative="0">
      <w:start w:val="1"/>
      <w:numFmt w:val="decimal"/>
      <w:lvlText w:val="%1.%2.%3.%4"/>
      <w:lvlJc w:val="left"/>
      <w:pPr>
        <w:tabs>
          <w:tab w:val="left" w:pos="2072"/>
        </w:tabs>
        <w:ind w:left="1856" w:hanging="864"/>
      </w:pPr>
      <w:rPr>
        <w:rFonts w:hint="eastAsia" w:ascii="仿宋_GB2312" w:eastAsia="仿宋_GB2312"/>
        <w:b w:val="0"/>
        <w:i w:val="0"/>
        <w:sz w:val="28"/>
      </w:rPr>
    </w:lvl>
    <w:lvl w:ilvl="4" w:tentative="0">
      <w:start w:val="1"/>
      <w:numFmt w:val="decimal"/>
      <w:lvlText w:val="%1.%2.%3.%4.%5"/>
      <w:lvlJc w:val="left"/>
      <w:pPr>
        <w:tabs>
          <w:tab w:val="left" w:pos="1008"/>
        </w:tabs>
        <w:ind w:left="1008" w:hanging="1008"/>
      </w:pPr>
      <w:rPr>
        <w:rFonts w:hint="eastAsia" w:ascii="仿宋_GB2312" w:eastAsia="仿宋_GB2312"/>
      </w:rPr>
    </w:lvl>
    <w:lvl w:ilvl="5" w:tentative="0">
      <w:start w:val="1"/>
      <w:numFmt w:val="decimal"/>
      <w:pStyle w:val="6"/>
      <w:lvlText w:val="%1.%2.%3.%4.%5.%6"/>
      <w:lvlJc w:val="left"/>
      <w:pPr>
        <w:tabs>
          <w:tab w:val="left" w:pos="3278"/>
        </w:tabs>
        <w:ind w:left="3278"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2"/>
  </w:num>
  <w:num w:numId="2">
    <w:abstractNumId w:val="5"/>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yOWVhOGQ4MDMxY2Y3YWYxOTY3OGY4OWEwMTRjMmIifQ=="/>
  </w:docVars>
  <w:rsids>
    <w:rsidRoot w:val="00A14947"/>
    <w:rsid w:val="000060B3"/>
    <w:rsid w:val="00021BC4"/>
    <w:rsid w:val="00025568"/>
    <w:rsid w:val="00033B7B"/>
    <w:rsid w:val="000426C5"/>
    <w:rsid w:val="0004364B"/>
    <w:rsid w:val="00061B1F"/>
    <w:rsid w:val="00066ACD"/>
    <w:rsid w:val="000733C4"/>
    <w:rsid w:val="00074783"/>
    <w:rsid w:val="000761BB"/>
    <w:rsid w:val="0008070B"/>
    <w:rsid w:val="000810AC"/>
    <w:rsid w:val="00081A00"/>
    <w:rsid w:val="00081A02"/>
    <w:rsid w:val="00082231"/>
    <w:rsid w:val="00082F6A"/>
    <w:rsid w:val="000853CE"/>
    <w:rsid w:val="00092D38"/>
    <w:rsid w:val="0009377B"/>
    <w:rsid w:val="000A20C9"/>
    <w:rsid w:val="000B058F"/>
    <w:rsid w:val="000B4467"/>
    <w:rsid w:val="000B4DB9"/>
    <w:rsid w:val="000C09AC"/>
    <w:rsid w:val="000C767F"/>
    <w:rsid w:val="000D25D1"/>
    <w:rsid w:val="000D5A44"/>
    <w:rsid w:val="000D6191"/>
    <w:rsid w:val="000E3ED2"/>
    <w:rsid w:val="000F0545"/>
    <w:rsid w:val="00115E07"/>
    <w:rsid w:val="001170B4"/>
    <w:rsid w:val="00131F42"/>
    <w:rsid w:val="001357F1"/>
    <w:rsid w:val="00140B7C"/>
    <w:rsid w:val="00140FA8"/>
    <w:rsid w:val="0014262E"/>
    <w:rsid w:val="00142FEB"/>
    <w:rsid w:val="00143A2D"/>
    <w:rsid w:val="00145A41"/>
    <w:rsid w:val="00147AC4"/>
    <w:rsid w:val="00151675"/>
    <w:rsid w:val="00157435"/>
    <w:rsid w:val="001663A7"/>
    <w:rsid w:val="00171207"/>
    <w:rsid w:val="0017504D"/>
    <w:rsid w:val="0017671A"/>
    <w:rsid w:val="00177422"/>
    <w:rsid w:val="00180F33"/>
    <w:rsid w:val="00184590"/>
    <w:rsid w:val="00184A64"/>
    <w:rsid w:val="001870D1"/>
    <w:rsid w:val="0018781E"/>
    <w:rsid w:val="00190A64"/>
    <w:rsid w:val="0019262D"/>
    <w:rsid w:val="001A1B35"/>
    <w:rsid w:val="001A48A2"/>
    <w:rsid w:val="001A6F61"/>
    <w:rsid w:val="001B2907"/>
    <w:rsid w:val="001B72B8"/>
    <w:rsid w:val="001C69B3"/>
    <w:rsid w:val="001D5595"/>
    <w:rsid w:val="001D7874"/>
    <w:rsid w:val="001D7F22"/>
    <w:rsid w:val="001E5304"/>
    <w:rsid w:val="001E6469"/>
    <w:rsid w:val="001F0F17"/>
    <w:rsid w:val="001F3347"/>
    <w:rsid w:val="001F4C57"/>
    <w:rsid w:val="001F69E4"/>
    <w:rsid w:val="002125B4"/>
    <w:rsid w:val="002155B8"/>
    <w:rsid w:val="00217D36"/>
    <w:rsid w:val="00220622"/>
    <w:rsid w:val="00220A03"/>
    <w:rsid w:val="00224839"/>
    <w:rsid w:val="002249B2"/>
    <w:rsid w:val="00226574"/>
    <w:rsid w:val="002278EC"/>
    <w:rsid w:val="0023280E"/>
    <w:rsid w:val="00236AF3"/>
    <w:rsid w:val="002377D1"/>
    <w:rsid w:val="00243010"/>
    <w:rsid w:val="002506BC"/>
    <w:rsid w:val="00254345"/>
    <w:rsid w:val="00255B12"/>
    <w:rsid w:val="00262C70"/>
    <w:rsid w:val="00264557"/>
    <w:rsid w:val="00277FD5"/>
    <w:rsid w:val="002805AB"/>
    <w:rsid w:val="00284204"/>
    <w:rsid w:val="00291773"/>
    <w:rsid w:val="002A168C"/>
    <w:rsid w:val="002A3DC7"/>
    <w:rsid w:val="002B49E2"/>
    <w:rsid w:val="002B7B00"/>
    <w:rsid w:val="002B7C44"/>
    <w:rsid w:val="002C2B17"/>
    <w:rsid w:val="002C6B9A"/>
    <w:rsid w:val="002D3DD0"/>
    <w:rsid w:val="002E1F3A"/>
    <w:rsid w:val="002E298A"/>
    <w:rsid w:val="00301978"/>
    <w:rsid w:val="0030332C"/>
    <w:rsid w:val="003051C2"/>
    <w:rsid w:val="00312296"/>
    <w:rsid w:val="00314F0E"/>
    <w:rsid w:val="00317C8B"/>
    <w:rsid w:val="00320B43"/>
    <w:rsid w:val="00321D8E"/>
    <w:rsid w:val="00325928"/>
    <w:rsid w:val="00332863"/>
    <w:rsid w:val="0033684D"/>
    <w:rsid w:val="00337B42"/>
    <w:rsid w:val="00341B42"/>
    <w:rsid w:val="0034348F"/>
    <w:rsid w:val="00356653"/>
    <w:rsid w:val="0035743F"/>
    <w:rsid w:val="00357BE2"/>
    <w:rsid w:val="0036170C"/>
    <w:rsid w:val="00366E0F"/>
    <w:rsid w:val="00373621"/>
    <w:rsid w:val="00381A72"/>
    <w:rsid w:val="003835B2"/>
    <w:rsid w:val="00384676"/>
    <w:rsid w:val="00386A49"/>
    <w:rsid w:val="00390857"/>
    <w:rsid w:val="003A4BF3"/>
    <w:rsid w:val="003B0E3D"/>
    <w:rsid w:val="003B420D"/>
    <w:rsid w:val="003C6C16"/>
    <w:rsid w:val="003D252A"/>
    <w:rsid w:val="003D499E"/>
    <w:rsid w:val="003D794D"/>
    <w:rsid w:val="003E3058"/>
    <w:rsid w:val="003E6B59"/>
    <w:rsid w:val="003E76A9"/>
    <w:rsid w:val="003F0809"/>
    <w:rsid w:val="003F6A8C"/>
    <w:rsid w:val="003F755C"/>
    <w:rsid w:val="00401330"/>
    <w:rsid w:val="004049B8"/>
    <w:rsid w:val="00406F01"/>
    <w:rsid w:val="00411F65"/>
    <w:rsid w:val="00416D50"/>
    <w:rsid w:val="00416FD5"/>
    <w:rsid w:val="00417772"/>
    <w:rsid w:val="00420E6A"/>
    <w:rsid w:val="00425A9E"/>
    <w:rsid w:val="00426D6B"/>
    <w:rsid w:val="00431E6C"/>
    <w:rsid w:val="00432B58"/>
    <w:rsid w:val="00433CE7"/>
    <w:rsid w:val="0044163B"/>
    <w:rsid w:val="00447183"/>
    <w:rsid w:val="00451483"/>
    <w:rsid w:val="00452738"/>
    <w:rsid w:val="004539D9"/>
    <w:rsid w:val="00456091"/>
    <w:rsid w:val="00464AE8"/>
    <w:rsid w:val="00466321"/>
    <w:rsid w:val="00467889"/>
    <w:rsid w:val="00484B9B"/>
    <w:rsid w:val="004855F6"/>
    <w:rsid w:val="0048661E"/>
    <w:rsid w:val="00494670"/>
    <w:rsid w:val="004A23D1"/>
    <w:rsid w:val="004A3823"/>
    <w:rsid w:val="004D6899"/>
    <w:rsid w:val="004E6946"/>
    <w:rsid w:val="004F1AD8"/>
    <w:rsid w:val="004F3840"/>
    <w:rsid w:val="005039CB"/>
    <w:rsid w:val="0050558F"/>
    <w:rsid w:val="00506286"/>
    <w:rsid w:val="00510813"/>
    <w:rsid w:val="00511990"/>
    <w:rsid w:val="00511DE0"/>
    <w:rsid w:val="005146D2"/>
    <w:rsid w:val="00514870"/>
    <w:rsid w:val="00514B9B"/>
    <w:rsid w:val="00517F02"/>
    <w:rsid w:val="00524303"/>
    <w:rsid w:val="005258A2"/>
    <w:rsid w:val="00535351"/>
    <w:rsid w:val="005401AE"/>
    <w:rsid w:val="00542E07"/>
    <w:rsid w:val="00545424"/>
    <w:rsid w:val="00554A7B"/>
    <w:rsid w:val="00555385"/>
    <w:rsid w:val="0055572C"/>
    <w:rsid w:val="0056106A"/>
    <w:rsid w:val="005720AE"/>
    <w:rsid w:val="005776C0"/>
    <w:rsid w:val="00594D77"/>
    <w:rsid w:val="005969E4"/>
    <w:rsid w:val="005A06B7"/>
    <w:rsid w:val="005A1759"/>
    <w:rsid w:val="005A68A7"/>
    <w:rsid w:val="005B2DA9"/>
    <w:rsid w:val="005D36AB"/>
    <w:rsid w:val="005E0FEE"/>
    <w:rsid w:val="005E2C67"/>
    <w:rsid w:val="005E5F81"/>
    <w:rsid w:val="00617CC3"/>
    <w:rsid w:val="006377A6"/>
    <w:rsid w:val="00637A3D"/>
    <w:rsid w:val="006411EF"/>
    <w:rsid w:val="00657145"/>
    <w:rsid w:val="006748B8"/>
    <w:rsid w:val="006775C3"/>
    <w:rsid w:val="00680AA1"/>
    <w:rsid w:val="00683750"/>
    <w:rsid w:val="00684B1A"/>
    <w:rsid w:val="00691B14"/>
    <w:rsid w:val="0069290A"/>
    <w:rsid w:val="0069775A"/>
    <w:rsid w:val="00697813"/>
    <w:rsid w:val="006A3EE8"/>
    <w:rsid w:val="006A72BF"/>
    <w:rsid w:val="006A7548"/>
    <w:rsid w:val="006B03F2"/>
    <w:rsid w:val="006B37DC"/>
    <w:rsid w:val="006B4F68"/>
    <w:rsid w:val="006C0592"/>
    <w:rsid w:val="006C272E"/>
    <w:rsid w:val="006C5479"/>
    <w:rsid w:val="006D13B5"/>
    <w:rsid w:val="006D43F5"/>
    <w:rsid w:val="006D77C9"/>
    <w:rsid w:val="006E12FF"/>
    <w:rsid w:val="006E607E"/>
    <w:rsid w:val="006F42D2"/>
    <w:rsid w:val="00706C5D"/>
    <w:rsid w:val="00727987"/>
    <w:rsid w:val="00731E62"/>
    <w:rsid w:val="00732922"/>
    <w:rsid w:val="007469E9"/>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4D74"/>
    <w:rsid w:val="007B72B8"/>
    <w:rsid w:val="007B7A58"/>
    <w:rsid w:val="007C21B5"/>
    <w:rsid w:val="007C232E"/>
    <w:rsid w:val="007E14FA"/>
    <w:rsid w:val="007E4BD2"/>
    <w:rsid w:val="007E591D"/>
    <w:rsid w:val="007E6779"/>
    <w:rsid w:val="00801393"/>
    <w:rsid w:val="00802F88"/>
    <w:rsid w:val="00804A02"/>
    <w:rsid w:val="00805D1B"/>
    <w:rsid w:val="0081293E"/>
    <w:rsid w:val="00812AA3"/>
    <w:rsid w:val="00815465"/>
    <w:rsid w:val="00817E9A"/>
    <w:rsid w:val="008306BD"/>
    <w:rsid w:val="00831A80"/>
    <w:rsid w:val="00833743"/>
    <w:rsid w:val="008340A4"/>
    <w:rsid w:val="00850B13"/>
    <w:rsid w:val="0087135F"/>
    <w:rsid w:val="00872D94"/>
    <w:rsid w:val="00880364"/>
    <w:rsid w:val="00891592"/>
    <w:rsid w:val="00891E9E"/>
    <w:rsid w:val="00895777"/>
    <w:rsid w:val="008A2F68"/>
    <w:rsid w:val="008B4FA6"/>
    <w:rsid w:val="008B5282"/>
    <w:rsid w:val="008B7C17"/>
    <w:rsid w:val="008C143C"/>
    <w:rsid w:val="008C2D01"/>
    <w:rsid w:val="008C40E6"/>
    <w:rsid w:val="008D0F7A"/>
    <w:rsid w:val="008D68E4"/>
    <w:rsid w:val="008D6A39"/>
    <w:rsid w:val="008E0506"/>
    <w:rsid w:val="008E0CFF"/>
    <w:rsid w:val="008E12E0"/>
    <w:rsid w:val="008E5D6B"/>
    <w:rsid w:val="008E76F0"/>
    <w:rsid w:val="008F15FE"/>
    <w:rsid w:val="008F2D29"/>
    <w:rsid w:val="008F3F08"/>
    <w:rsid w:val="008F5187"/>
    <w:rsid w:val="008F5DEA"/>
    <w:rsid w:val="008F60D8"/>
    <w:rsid w:val="00902086"/>
    <w:rsid w:val="00902727"/>
    <w:rsid w:val="0090312B"/>
    <w:rsid w:val="009040FA"/>
    <w:rsid w:val="0091736D"/>
    <w:rsid w:val="0093037A"/>
    <w:rsid w:val="009353A3"/>
    <w:rsid w:val="0094154D"/>
    <w:rsid w:val="0095155F"/>
    <w:rsid w:val="00954429"/>
    <w:rsid w:val="009563CE"/>
    <w:rsid w:val="009649BA"/>
    <w:rsid w:val="00976328"/>
    <w:rsid w:val="00976735"/>
    <w:rsid w:val="0097680D"/>
    <w:rsid w:val="00982438"/>
    <w:rsid w:val="0098404C"/>
    <w:rsid w:val="00985283"/>
    <w:rsid w:val="00995992"/>
    <w:rsid w:val="009A03E5"/>
    <w:rsid w:val="009A0F3B"/>
    <w:rsid w:val="009A1BB4"/>
    <w:rsid w:val="009A2628"/>
    <w:rsid w:val="009A3200"/>
    <w:rsid w:val="009B0897"/>
    <w:rsid w:val="009B4466"/>
    <w:rsid w:val="009B4BFC"/>
    <w:rsid w:val="009B7BD9"/>
    <w:rsid w:val="009C7DD5"/>
    <w:rsid w:val="009E227D"/>
    <w:rsid w:val="009E5019"/>
    <w:rsid w:val="00A04F1B"/>
    <w:rsid w:val="00A0501B"/>
    <w:rsid w:val="00A14947"/>
    <w:rsid w:val="00A2557A"/>
    <w:rsid w:val="00A25E0F"/>
    <w:rsid w:val="00A32A83"/>
    <w:rsid w:val="00A368DB"/>
    <w:rsid w:val="00A423AA"/>
    <w:rsid w:val="00A4372D"/>
    <w:rsid w:val="00A46FE9"/>
    <w:rsid w:val="00A53EC6"/>
    <w:rsid w:val="00A55C0F"/>
    <w:rsid w:val="00A8713F"/>
    <w:rsid w:val="00A90BA1"/>
    <w:rsid w:val="00A97A9A"/>
    <w:rsid w:val="00AA0671"/>
    <w:rsid w:val="00AA2531"/>
    <w:rsid w:val="00AA73D0"/>
    <w:rsid w:val="00AB1E09"/>
    <w:rsid w:val="00AB5330"/>
    <w:rsid w:val="00AB7747"/>
    <w:rsid w:val="00AC14CE"/>
    <w:rsid w:val="00AC2A56"/>
    <w:rsid w:val="00AD055E"/>
    <w:rsid w:val="00AD47A7"/>
    <w:rsid w:val="00AE5A69"/>
    <w:rsid w:val="00AF0CBF"/>
    <w:rsid w:val="00AF1894"/>
    <w:rsid w:val="00AF257F"/>
    <w:rsid w:val="00AF33CF"/>
    <w:rsid w:val="00AF4D50"/>
    <w:rsid w:val="00AF6179"/>
    <w:rsid w:val="00B1295A"/>
    <w:rsid w:val="00B20A45"/>
    <w:rsid w:val="00B22C5C"/>
    <w:rsid w:val="00B24F30"/>
    <w:rsid w:val="00B31ABF"/>
    <w:rsid w:val="00B31D18"/>
    <w:rsid w:val="00B33BE3"/>
    <w:rsid w:val="00B45112"/>
    <w:rsid w:val="00B53B5D"/>
    <w:rsid w:val="00B5654C"/>
    <w:rsid w:val="00B6055E"/>
    <w:rsid w:val="00B6317D"/>
    <w:rsid w:val="00B63C2E"/>
    <w:rsid w:val="00B73E3F"/>
    <w:rsid w:val="00B7723F"/>
    <w:rsid w:val="00B80534"/>
    <w:rsid w:val="00B8433C"/>
    <w:rsid w:val="00B87491"/>
    <w:rsid w:val="00BA29E9"/>
    <w:rsid w:val="00BA7142"/>
    <w:rsid w:val="00BB237C"/>
    <w:rsid w:val="00BB41A3"/>
    <w:rsid w:val="00BB43A7"/>
    <w:rsid w:val="00BC32DC"/>
    <w:rsid w:val="00BC35B6"/>
    <w:rsid w:val="00BD0B84"/>
    <w:rsid w:val="00BD1B51"/>
    <w:rsid w:val="00BD4596"/>
    <w:rsid w:val="00BE1405"/>
    <w:rsid w:val="00BE312D"/>
    <w:rsid w:val="00BE3ED8"/>
    <w:rsid w:val="00BF1C20"/>
    <w:rsid w:val="00C032FB"/>
    <w:rsid w:val="00C10578"/>
    <w:rsid w:val="00C135BC"/>
    <w:rsid w:val="00C13CE0"/>
    <w:rsid w:val="00C15C95"/>
    <w:rsid w:val="00C23431"/>
    <w:rsid w:val="00C2596A"/>
    <w:rsid w:val="00C27537"/>
    <w:rsid w:val="00C328FE"/>
    <w:rsid w:val="00C33507"/>
    <w:rsid w:val="00C35C9D"/>
    <w:rsid w:val="00C36433"/>
    <w:rsid w:val="00C4409D"/>
    <w:rsid w:val="00C44E72"/>
    <w:rsid w:val="00C45A06"/>
    <w:rsid w:val="00C47E5B"/>
    <w:rsid w:val="00C614BF"/>
    <w:rsid w:val="00C61E4B"/>
    <w:rsid w:val="00C642DD"/>
    <w:rsid w:val="00C64BFF"/>
    <w:rsid w:val="00C704E9"/>
    <w:rsid w:val="00C763C9"/>
    <w:rsid w:val="00C80057"/>
    <w:rsid w:val="00C82232"/>
    <w:rsid w:val="00C82913"/>
    <w:rsid w:val="00C972B1"/>
    <w:rsid w:val="00CA2CCE"/>
    <w:rsid w:val="00CA43FD"/>
    <w:rsid w:val="00CA7EF8"/>
    <w:rsid w:val="00CB2FFF"/>
    <w:rsid w:val="00CC489B"/>
    <w:rsid w:val="00CD2BCD"/>
    <w:rsid w:val="00CD3A4C"/>
    <w:rsid w:val="00CE10E9"/>
    <w:rsid w:val="00CE2910"/>
    <w:rsid w:val="00CE5393"/>
    <w:rsid w:val="00CF36BE"/>
    <w:rsid w:val="00CF6000"/>
    <w:rsid w:val="00D003F3"/>
    <w:rsid w:val="00D0364F"/>
    <w:rsid w:val="00D06834"/>
    <w:rsid w:val="00D22DFC"/>
    <w:rsid w:val="00D22FF7"/>
    <w:rsid w:val="00D308ED"/>
    <w:rsid w:val="00D36D86"/>
    <w:rsid w:val="00D40BE3"/>
    <w:rsid w:val="00D42770"/>
    <w:rsid w:val="00D428AA"/>
    <w:rsid w:val="00D50A34"/>
    <w:rsid w:val="00D53EFA"/>
    <w:rsid w:val="00D60CCA"/>
    <w:rsid w:val="00D667AE"/>
    <w:rsid w:val="00D67C51"/>
    <w:rsid w:val="00D91E79"/>
    <w:rsid w:val="00D94A7C"/>
    <w:rsid w:val="00D95896"/>
    <w:rsid w:val="00DB2983"/>
    <w:rsid w:val="00DC1257"/>
    <w:rsid w:val="00DC3DC0"/>
    <w:rsid w:val="00DC5B2B"/>
    <w:rsid w:val="00DC6932"/>
    <w:rsid w:val="00DD318D"/>
    <w:rsid w:val="00DD7C11"/>
    <w:rsid w:val="00DF2E12"/>
    <w:rsid w:val="00DF514A"/>
    <w:rsid w:val="00DF6690"/>
    <w:rsid w:val="00DF6804"/>
    <w:rsid w:val="00E01F00"/>
    <w:rsid w:val="00E0358D"/>
    <w:rsid w:val="00E04323"/>
    <w:rsid w:val="00E070A2"/>
    <w:rsid w:val="00E16BF0"/>
    <w:rsid w:val="00E2656A"/>
    <w:rsid w:val="00E2781F"/>
    <w:rsid w:val="00E412D0"/>
    <w:rsid w:val="00E56322"/>
    <w:rsid w:val="00E60982"/>
    <w:rsid w:val="00E62C62"/>
    <w:rsid w:val="00E654C1"/>
    <w:rsid w:val="00E65D97"/>
    <w:rsid w:val="00E72A5A"/>
    <w:rsid w:val="00E73354"/>
    <w:rsid w:val="00E9242D"/>
    <w:rsid w:val="00E9475E"/>
    <w:rsid w:val="00EB5255"/>
    <w:rsid w:val="00EB5C47"/>
    <w:rsid w:val="00EB6086"/>
    <w:rsid w:val="00EC4CDF"/>
    <w:rsid w:val="00ED0639"/>
    <w:rsid w:val="00EF4755"/>
    <w:rsid w:val="00EF7135"/>
    <w:rsid w:val="00F027DB"/>
    <w:rsid w:val="00F0434D"/>
    <w:rsid w:val="00F14940"/>
    <w:rsid w:val="00F14A7A"/>
    <w:rsid w:val="00F22985"/>
    <w:rsid w:val="00F24E42"/>
    <w:rsid w:val="00F3383E"/>
    <w:rsid w:val="00F465A7"/>
    <w:rsid w:val="00F50B7C"/>
    <w:rsid w:val="00F550E6"/>
    <w:rsid w:val="00F67DA0"/>
    <w:rsid w:val="00F74345"/>
    <w:rsid w:val="00F80A0A"/>
    <w:rsid w:val="00F82B19"/>
    <w:rsid w:val="00F9212D"/>
    <w:rsid w:val="00F965DA"/>
    <w:rsid w:val="00FA406A"/>
    <w:rsid w:val="00FB503A"/>
    <w:rsid w:val="00FB516C"/>
    <w:rsid w:val="00FC4CAC"/>
    <w:rsid w:val="00FD0236"/>
    <w:rsid w:val="00FD18F4"/>
    <w:rsid w:val="00FD243C"/>
    <w:rsid w:val="00FD54DB"/>
    <w:rsid w:val="00FD619F"/>
    <w:rsid w:val="010E5144"/>
    <w:rsid w:val="01285886"/>
    <w:rsid w:val="01290F7E"/>
    <w:rsid w:val="013A513E"/>
    <w:rsid w:val="014D03F7"/>
    <w:rsid w:val="014E63BD"/>
    <w:rsid w:val="015D1E09"/>
    <w:rsid w:val="01F6097C"/>
    <w:rsid w:val="02201E66"/>
    <w:rsid w:val="02511F45"/>
    <w:rsid w:val="02697903"/>
    <w:rsid w:val="02D16CFF"/>
    <w:rsid w:val="02EB3CFF"/>
    <w:rsid w:val="02EC7818"/>
    <w:rsid w:val="02F96569"/>
    <w:rsid w:val="0308279B"/>
    <w:rsid w:val="0309465C"/>
    <w:rsid w:val="0341004F"/>
    <w:rsid w:val="03992B25"/>
    <w:rsid w:val="03EA7B21"/>
    <w:rsid w:val="03F84410"/>
    <w:rsid w:val="041F1BBE"/>
    <w:rsid w:val="04482BDA"/>
    <w:rsid w:val="047C7106"/>
    <w:rsid w:val="04F7530F"/>
    <w:rsid w:val="0502308F"/>
    <w:rsid w:val="05A36294"/>
    <w:rsid w:val="05B75FC5"/>
    <w:rsid w:val="05F83EAE"/>
    <w:rsid w:val="063E7D85"/>
    <w:rsid w:val="06580B9A"/>
    <w:rsid w:val="0677108D"/>
    <w:rsid w:val="067B40AC"/>
    <w:rsid w:val="067B775A"/>
    <w:rsid w:val="06BB04B7"/>
    <w:rsid w:val="06DA18D9"/>
    <w:rsid w:val="06FB69AE"/>
    <w:rsid w:val="07293586"/>
    <w:rsid w:val="07295285"/>
    <w:rsid w:val="07636392"/>
    <w:rsid w:val="07770C56"/>
    <w:rsid w:val="07946F9A"/>
    <w:rsid w:val="07FE02D7"/>
    <w:rsid w:val="081977F6"/>
    <w:rsid w:val="082A10BD"/>
    <w:rsid w:val="08473CA0"/>
    <w:rsid w:val="086F097C"/>
    <w:rsid w:val="08736675"/>
    <w:rsid w:val="08810F75"/>
    <w:rsid w:val="0895635F"/>
    <w:rsid w:val="08975339"/>
    <w:rsid w:val="08BF4AEB"/>
    <w:rsid w:val="08D14DD6"/>
    <w:rsid w:val="08FD1E89"/>
    <w:rsid w:val="09076F61"/>
    <w:rsid w:val="091854FF"/>
    <w:rsid w:val="092217DD"/>
    <w:rsid w:val="093A7294"/>
    <w:rsid w:val="093B09BD"/>
    <w:rsid w:val="097931D6"/>
    <w:rsid w:val="09B2776D"/>
    <w:rsid w:val="09C87C6F"/>
    <w:rsid w:val="0A1070E0"/>
    <w:rsid w:val="0A1A631E"/>
    <w:rsid w:val="0A1E5897"/>
    <w:rsid w:val="0A263993"/>
    <w:rsid w:val="0A2D3AC2"/>
    <w:rsid w:val="0A543B83"/>
    <w:rsid w:val="0A7022B5"/>
    <w:rsid w:val="0A843E9F"/>
    <w:rsid w:val="0AA755DF"/>
    <w:rsid w:val="0AF62081"/>
    <w:rsid w:val="0AFB421D"/>
    <w:rsid w:val="0B120D44"/>
    <w:rsid w:val="0BCD4D32"/>
    <w:rsid w:val="0BD27BF6"/>
    <w:rsid w:val="0BEB4EA8"/>
    <w:rsid w:val="0C3B3C7D"/>
    <w:rsid w:val="0C4F6BEA"/>
    <w:rsid w:val="0C776125"/>
    <w:rsid w:val="0C874EE1"/>
    <w:rsid w:val="0CAB2EAE"/>
    <w:rsid w:val="0CD910AD"/>
    <w:rsid w:val="0D621C7D"/>
    <w:rsid w:val="0D944F55"/>
    <w:rsid w:val="0DE06A46"/>
    <w:rsid w:val="0DEB14A0"/>
    <w:rsid w:val="0E664FCA"/>
    <w:rsid w:val="0E73034D"/>
    <w:rsid w:val="0E7A0BBE"/>
    <w:rsid w:val="0E9C6D03"/>
    <w:rsid w:val="0F0740B7"/>
    <w:rsid w:val="0F0B5DBC"/>
    <w:rsid w:val="0F13775A"/>
    <w:rsid w:val="0F5D261E"/>
    <w:rsid w:val="0F5F45FE"/>
    <w:rsid w:val="0F713C26"/>
    <w:rsid w:val="0F9A112B"/>
    <w:rsid w:val="0FB6600B"/>
    <w:rsid w:val="0FBC34C0"/>
    <w:rsid w:val="105B32C1"/>
    <w:rsid w:val="105B4014"/>
    <w:rsid w:val="106D2F64"/>
    <w:rsid w:val="10B63710"/>
    <w:rsid w:val="10F10820"/>
    <w:rsid w:val="111C2F7A"/>
    <w:rsid w:val="11333889"/>
    <w:rsid w:val="114C21EF"/>
    <w:rsid w:val="115E01DA"/>
    <w:rsid w:val="11627CCB"/>
    <w:rsid w:val="11665CA1"/>
    <w:rsid w:val="117C28FB"/>
    <w:rsid w:val="11B877C0"/>
    <w:rsid w:val="11C64F24"/>
    <w:rsid w:val="12126CD4"/>
    <w:rsid w:val="12737420"/>
    <w:rsid w:val="12793083"/>
    <w:rsid w:val="128C2766"/>
    <w:rsid w:val="12AF7D70"/>
    <w:rsid w:val="12D544CC"/>
    <w:rsid w:val="12EB17FA"/>
    <w:rsid w:val="132818F7"/>
    <w:rsid w:val="13427DB4"/>
    <w:rsid w:val="137908C0"/>
    <w:rsid w:val="13951726"/>
    <w:rsid w:val="1428262E"/>
    <w:rsid w:val="14396509"/>
    <w:rsid w:val="14603DC1"/>
    <w:rsid w:val="14730FEE"/>
    <w:rsid w:val="14DD2C3C"/>
    <w:rsid w:val="154020D1"/>
    <w:rsid w:val="155905F4"/>
    <w:rsid w:val="15A36999"/>
    <w:rsid w:val="15BC40A0"/>
    <w:rsid w:val="15D33C64"/>
    <w:rsid w:val="16087E1D"/>
    <w:rsid w:val="1634578D"/>
    <w:rsid w:val="16727E5A"/>
    <w:rsid w:val="16BB75AB"/>
    <w:rsid w:val="16D26835"/>
    <w:rsid w:val="17701D14"/>
    <w:rsid w:val="17735226"/>
    <w:rsid w:val="179D5B83"/>
    <w:rsid w:val="17A24D17"/>
    <w:rsid w:val="17BD3F2F"/>
    <w:rsid w:val="17C63E12"/>
    <w:rsid w:val="180A2D13"/>
    <w:rsid w:val="185D3DBD"/>
    <w:rsid w:val="189F624C"/>
    <w:rsid w:val="18A230A3"/>
    <w:rsid w:val="18E5643E"/>
    <w:rsid w:val="18F02060"/>
    <w:rsid w:val="190F4987"/>
    <w:rsid w:val="191F4337"/>
    <w:rsid w:val="191F48AF"/>
    <w:rsid w:val="19371A3D"/>
    <w:rsid w:val="195B397D"/>
    <w:rsid w:val="19726F19"/>
    <w:rsid w:val="19BF225A"/>
    <w:rsid w:val="19D16C6A"/>
    <w:rsid w:val="19EB7BAB"/>
    <w:rsid w:val="19EF0E7F"/>
    <w:rsid w:val="1A1C66C0"/>
    <w:rsid w:val="1A3459D6"/>
    <w:rsid w:val="1A42393B"/>
    <w:rsid w:val="1A791E57"/>
    <w:rsid w:val="1A7E63BA"/>
    <w:rsid w:val="1A82585B"/>
    <w:rsid w:val="1AAD45DE"/>
    <w:rsid w:val="1AB363AB"/>
    <w:rsid w:val="1B046F80"/>
    <w:rsid w:val="1B3267B5"/>
    <w:rsid w:val="1B40161D"/>
    <w:rsid w:val="1B441859"/>
    <w:rsid w:val="1B466AA1"/>
    <w:rsid w:val="1B6606B1"/>
    <w:rsid w:val="1B8A5FC7"/>
    <w:rsid w:val="1B8C6FC7"/>
    <w:rsid w:val="1B9A66AF"/>
    <w:rsid w:val="1BA0461B"/>
    <w:rsid w:val="1BAC76D6"/>
    <w:rsid w:val="1BB57577"/>
    <w:rsid w:val="1BE22134"/>
    <w:rsid w:val="1C1A2AFE"/>
    <w:rsid w:val="1C5E7925"/>
    <w:rsid w:val="1C784F9D"/>
    <w:rsid w:val="1CB6711D"/>
    <w:rsid w:val="1CC81090"/>
    <w:rsid w:val="1CFD070F"/>
    <w:rsid w:val="1D36550B"/>
    <w:rsid w:val="1D5F6196"/>
    <w:rsid w:val="1D6132A5"/>
    <w:rsid w:val="1D8E56D5"/>
    <w:rsid w:val="1D910C13"/>
    <w:rsid w:val="1D9531D6"/>
    <w:rsid w:val="1DF66FDA"/>
    <w:rsid w:val="1E476229"/>
    <w:rsid w:val="1E603F2B"/>
    <w:rsid w:val="1E7554E1"/>
    <w:rsid w:val="1E7A43DA"/>
    <w:rsid w:val="1F0C1276"/>
    <w:rsid w:val="1F3533A8"/>
    <w:rsid w:val="1F4348CE"/>
    <w:rsid w:val="1F685B4E"/>
    <w:rsid w:val="1F8926F6"/>
    <w:rsid w:val="1FC3227C"/>
    <w:rsid w:val="1FD16C81"/>
    <w:rsid w:val="1FD535D0"/>
    <w:rsid w:val="1FE7539E"/>
    <w:rsid w:val="200B0549"/>
    <w:rsid w:val="201407A9"/>
    <w:rsid w:val="20171DFC"/>
    <w:rsid w:val="204505AD"/>
    <w:rsid w:val="206267A9"/>
    <w:rsid w:val="20671BE0"/>
    <w:rsid w:val="206D7D33"/>
    <w:rsid w:val="20837830"/>
    <w:rsid w:val="208C266E"/>
    <w:rsid w:val="20963CB8"/>
    <w:rsid w:val="20A81A1B"/>
    <w:rsid w:val="20B07FB6"/>
    <w:rsid w:val="20B646FB"/>
    <w:rsid w:val="20BC7A52"/>
    <w:rsid w:val="211A03C3"/>
    <w:rsid w:val="212646BB"/>
    <w:rsid w:val="213B74B1"/>
    <w:rsid w:val="21453D8E"/>
    <w:rsid w:val="215A2310"/>
    <w:rsid w:val="215E085D"/>
    <w:rsid w:val="2175073F"/>
    <w:rsid w:val="21787096"/>
    <w:rsid w:val="21B07DB5"/>
    <w:rsid w:val="21C97582"/>
    <w:rsid w:val="21D5259C"/>
    <w:rsid w:val="21DD358C"/>
    <w:rsid w:val="21DE318A"/>
    <w:rsid w:val="21EF5B80"/>
    <w:rsid w:val="21FA7AAB"/>
    <w:rsid w:val="21FB47FE"/>
    <w:rsid w:val="224247B9"/>
    <w:rsid w:val="22576990"/>
    <w:rsid w:val="22E449E3"/>
    <w:rsid w:val="22E77FED"/>
    <w:rsid w:val="22F47480"/>
    <w:rsid w:val="230B6414"/>
    <w:rsid w:val="23127AD5"/>
    <w:rsid w:val="233724C2"/>
    <w:rsid w:val="2375759C"/>
    <w:rsid w:val="2383726E"/>
    <w:rsid w:val="23DE1C48"/>
    <w:rsid w:val="240210CD"/>
    <w:rsid w:val="24185580"/>
    <w:rsid w:val="24341B33"/>
    <w:rsid w:val="248F3BA6"/>
    <w:rsid w:val="24BF09F7"/>
    <w:rsid w:val="24EA4F81"/>
    <w:rsid w:val="24FA1388"/>
    <w:rsid w:val="252D53FE"/>
    <w:rsid w:val="25325351"/>
    <w:rsid w:val="25341526"/>
    <w:rsid w:val="256A7010"/>
    <w:rsid w:val="25EA2B30"/>
    <w:rsid w:val="25EC2D81"/>
    <w:rsid w:val="2600637B"/>
    <w:rsid w:val="263C04C5"/>
    <w:rsid w:val="268A3207"/>
    <w:rsid w:val="26C71D1C"/>
    <w:rsid w:val="277057A2"/>
    <w:rsid w:val="27A504B9"/>
    <w:rsid w:val="27CC3514"/>
    <w:rsid w:val="27E665F0"/>
    <w:rsid w:val="28261574"/>
    <w:rsid w:val="28352E30"/>
    <w:rsid w:val="283645AA"/>
    <w:rsid w:val="28375F1C"/>
    <w:rsid w:val="285730D1"/>
    <w:rsid w:val="28715D93"/>
    <w:rsid w:val="2880011D"/>
    <w:rsid w:val="2883364F"/>
    <w:rsid w:val="28D9041B"/>
    <w:rsid w:val="28E82CE5"/>
    <w:rsid w:val="29206EB8"/>
    <w:rsid w:val="29221C3F"/>
    <w:rsid w:val="292628EE"/>
    <w:rsid w:val="29595666"/>
    <w:rsid w:val="29874881"/>
    <w:rsid w:val="29A05AF5"/>
    <w:rsid w:val="29A64E42"/>
    <w:rsid w:val="29E325E0"/>
    <w:rsid w:val="2A2A6532"/>
    <w:rsid w:val="2A452503"/>
    <w:rsid w:val="2A4A38AB"/>
    <w:rsid w:val="2A5B7D43"/>
    <w:rsid w:val="2B3E4EAD"/>
    <w:rsid w:val="2B492CDC"/>
    <w:rsid w:val="2B612949"/>
    <w:rsid w:val="2BA936A8"/>
    <w:rsid w:val="2BF177EC"/>
    <w:rsid w:val="2C1F44CA"/>
    <w:rsid w:val="2C315A5A"/>
    <w:rsid w:val="2C4B1C25"/>
    <w:rsid w:val="2C5B27E0"/>
    <w:rsid w:val="2C8F7B54"/>
    <w:rsid w:val="2CCA7369"/>
    <w:rsid w:val="2D7A5B72"/>
    <w:rsid w:val="2D810230"/>
    <w:rsid w:val="2D9E56F5"/>
    <w:rsid w:val="2DA8023F"/>
    <w:rsid w:val="2DA837D7"/>
    <w:rsid w:val="2DCF01F6"/>
    <w:rsid w:val="2E667F96"/>
    <w:rsid w:val="2E8226AB"/>
    <w:rsid w:val="2EA64085"/>
    <w:rsid w:val="2EBD64FE"/>
    <w:rsid w:val="2F432A92"/>
    <w:rsid w:val="2F4A02C4"/>
    <w:rsid w:val="2F8D193D"/>
    <w:rsid w:val="2F8F513B"/>
    <w:rsid w:val="2FB1631E"/>
    <w:rsid w:val="2FB37748"/>
    <w:rsid w:val="2FBC5CA8"/>
    <w:rsid w:val="2FD065E6"/>
    <w:rsid w:val="2FD96870"/>
    <w:rsid w:val="2FF52759"/>
    <w:rsid w:val="2FF81FFF"/>
    <w:rsid w:val="30580BC9"/>
    <w:rsid w:val="305C7D06"/>
    <w:rsid w:val="307725FD"/>
    <w:rsid w:val="307D6477"/>
    <w:rsid w:val="30895606"/>
    <w:rsid w:val="308D1B27"/>
    <w:rsid w:val="30A752A2"/>
    <w:rsid w:val="30BD0CE0"/>
    <w:rsid w:val="311E2ED7"/>
    <w:rsid w:val="315619EE"/>
    <w:rsid w:val="315C449C"/>
    <w:rsid w:val="316816EC"/>
    <w:rsid w:val="319475D5"/>
    <w:rsid w:val="319B4A32"/>
    <w:rsid w:val="31B82709"/>
    <w:rsid w:val="31BE2585"/>
    <w:rsid w:val="31D05482"/>
    <w:rsid w:val="31F24664"/>
    <w:rsid w:val="320816A4"/>
    <w:rsid w:val="32400B34"/>
    <w:rsid w:val="32943434"/>
    <w:rsid w:val="32965963"/>
    <w:rsid w:val="329E6876"/>
    <w:rsid w:val="333015F2"/>
    <w:rsid w:val="333A23FE"/>
    <w:rsid w:val="334B6320"/>
    <w:rsid w:val="3354263B"/>
    <w:rsid w:val="335B7731"/>
    <w:rsid w:val="33D934D4"/>
    <w:rsid w:val="33E67BDE"/>
    <w:rsid w:val="33E759B9"/>
    <w:rsid w:val="33FE2F6A"/>
    <w:rsid w:val="34003796"/>
    <w:rsid w:val="340E07E5"/>
    <w:rsid w:val="34235BF7"/>
    <w:rsid w:val="34293372"/>
    <w:rsid w:val="342C5FB2"/>
    <w:rsid w:val="345012F8"/>
    <w:rsid w:val="34656A3C"/>
    <w:rsid w:val="347B714B"/>
    <w:rsid w:val="347F27BE"/>
    <w:rsid w:val="34865F19"/>
    <w:rsid w:val="348E0A05"/>
    <w:rsid w:val="351153E0"/>
    <w:rsid w:val="353A13FA"/>
    <w:rsid w:val="358C5FA8"/>
    <w:rsid w:val="35C15DF1"/>
    <w:rsid w:val="35F27B7F"/>
    <w:rsid w:val="36074A7F"/>
    <w:rsid w:val="36923549"/>
    <w:rsid w:val="36B75FBF"/>
    <w:rsid w:val="36BD0C45"/>
    <w:rsid w:val="370366A6"/>
    <w:rsid w:val="37053322"/>
    <w:rsid w:val="371871C6"/>
    <w:rsid w:val="373D0702"/>
    <w:rsid w:val="376355AF"/>
    <w:rsid w:val="37E00298"/>
    <w:rsid w:val="37E64902"/>
    <w:rsid w:val="37EA29EA"/>
    <w:rsid w:val="38593FA9"/>
    <w:rsid w:val="38667053"/>
    <w:rsid w:val="38836348"/>
    <w:rsid w:val="38B302F9"/>
    <w:rsid w:val="38CA66C2"/>
    <w:rsid w:val="38E828A2"/>
    <w:rsid w:val="38E94F46"/>
    <w:rsid w:val="38EB24F1"/>
    <w:rsid w:val="38F12CD3"/>
    <w:rsid w:val="38F94775"/>
    <w:rsid w:val="3900649F"/>
    <w:rsid w:val="39164B5C"/>
    <w:rsid w:val="39245B7D"/>
    <w:rsid w:val="392717FF"/>
    <w:rsid w:val="392971ED"/>
    <w:rsid w:val="39325651"/>
    <w:rsid w:val="399B1E64"/>
    <w:rsid w:val="39A47EFA"/>
    <w:rsid w:val="39B838A3"/>
    <w:rsid w:val="39F63DDF"/>
    <w:rsid w:val="39FF36D8"/>
    <w:rsid w:val="3A091EA4"/>
    <w:rsid w:val="3A777053"/>
    <w:rsid w:val="3A872856"/>
    <w:rsid w:val="3A930597"/>
    <w:rsid w:val="3AA80C35"/>
    <w:rsid w:val="3AC06B5C"/>
    <w:rsid w:val="3B1F31DC"/>
    <w:rsid w:val="3B3763D1"/>
    <w:rsid w:val="3B380D0C"/>
    <w:rsid w:val="3B441907"/>
    <w:rsid w:val="3B52214B"/>
    <w:rsid w:val="3B8641B2"/>
    <w:rsid w:val="3C2F6E1E"/>
    <w:rsid w:val="3C4F64BA"/>
    <w:rsid w:val="3C517860"/>
    <w:rsid w:val="3C615237"/>
    <w:rsid w:val="3CDA245A"/>
    <w:rsid w:val="3CFF5BA4"/>
    <w:rsid w:val="3D1A2138"/>
    <w:rsid w:val="3D1E06B7"/>
    <w:rsid w:val="3D2F4C7A"/>
    <w:rsid w:val="3D486391"/>
    <w:rsid w:val="3DA32E4A"/>
    <w:rsid w:val="3E302F93"/>
    <w:rsid w:val="3EDA0523"/>
    <w:rsid w:val="3EEB3B63"/>
    <w:rsid w:val="3EF13F74"/>
    <w:rsid w:val="3F0B3977"/>
    <w:rsid w:val="3F2D522B"/>
    <w:rsid w:val="3F5E7474"/>
    <w:rsid w:val="3FFB697C"/>
    <w:rsid w:val="40003C7E"/>
    <w:rsid w:val="40126E17"/>
    <w:rsid w:val="4020246E"/>
    <w:rsid w:val="402A608A"/>
    <w:rsid w:val="40733629"/>
    <w:rsid w:val="407A6407"/>
    <w:rsid w:val="409A272E"/>
    <w:rsid w:val="40D914A8"/>
    <w:rsid w:val="40E335D7"/>
    <w:rsid w:val="410122B7"/>
    <w:rsid w:val="41022C41"/>
    <w:rsid w:val="41264B4B"/>
    <w:rsid w:val="41584F59"/>
    <w:rsid w:val="41A96C3D"/>
    <w:rsid w:val="41B86D2E"/>
    <w:rsid w:val="41DA7286"/>
    <w:rsid w:val="4200449D"/>
    <w:rsid w:val="420C1409"/>
    <w:rsid w:val="423A3BCC"/>
    <w:rsid w:val="424E57D2"/>
    <w:rsid w:val="426769B5"/>
    <w:rsid w:val="42B26C49"/>
    <w:rsid w:val="42F86582"/>
    <w:rsid w:val="43397FDC"/>
    <w:rsid w:val="433A6FE6"/>
    <w:rsid w:val="43480868"/>
    <w:rsid w:val="4350713C"/>
    <w:rsid w:val="4366315A"/>
    <w:rsid w:val="436653E0"/>
    <w:rsid w:val="43AC054B"/>
    <w:rsid w:val="43C4431A"/>
    <w:rsid w:val="43CD1D6A"/>
    <w:rsid w:val="43DC38E1"/>
    <w:rsid w:val="442F6C9A"/>
    <w:rsid w:val="445C22B9"/>
    <w:rsid w:val="44A7156B"/>
    <w:rsid w:val="44B951CC"/>
    <w:rsid w:val="44C76DC1"/>
    <w:rsid w:val="44CD14E0"/>
    <w:rsid w:val="44DA39E6"/>
    <w:rsid w:val="44F075A8"/>
    <w:rsid w:val="44F20B0B"/>
    <w:rsid w:val="44F24611"/>
    <w:rsid w:val="452E5F4C"/>
    <w:rsid w:val="454315E6"/>
    <w:rsid w:val="45612018"/>
    <w:rsid w:val="45627FC1"/>
    <w:rsid w:val="458946E9"/>
    <w:rsid w:val="45940F71"/>
    <w:rsid w:val="45A47C0E"/>
    <w:rsid w:val="46197A66"/>
    <w:rsid w:val="461C2511"/>
    <w:rsid w:val="46577FD6"/>
    <w:rsid w:val="46803493"/>
    <w:rsid w:val="46D21191"/>
    <w:rsid w:val="46D955A7"/>
    <w:rsid w:val="46DF4202"/>
    <w:rsid w:val="46E25468"/>
    <w:rsid w:val="47133957"/>
    <w:rsid w:val="471B6355"/>
    <w:rsid w:val="477E2E4D"/>
    <w:rsid w:val="47871B24"/>
    <w:rsid w:val="47A07E0C"/>
    <w:rsid w:val="47BF538D"/>
    <w:rsid w:val="47CD7966"/>
    <w:rsid w:val="480D2CAF"/>
    <w:rsid w:val="4865056C"/>
    <w:rsid w:val="4870272E"/>
    <w:rsid w:val="488C47D7"/>
    <w:rsid w:val="48CF1316"/>
    <w:rsid w:val="48EF3C19"/>
    <w:rsid w:val="491C6CD7"/>
    <w:rsid w:val="49513C82"/>
    <w:rsid w:val="496053A6"/>
    <w:rsid w:val="496F2D8A"/>
    <w:rsid w:val="498875C7"/>
    <w:rsid w:val="499A5CF7"/>
    <w:rsid w:val="49CF51F6"/>
    <w:rsid w:val="49DC068E"/>
    <w:rsid w:val="49DC7715"/>
    <w:rsid w:val="4A023139"/>
    <w:rsid w:val="4A564CA8"/>
    <w:rsid w:val="4A7B576F"/>
    <w:rsid w:val="4A8D57C1"/>
    <w:rsid w:val="4A9A28A0"/>
    <w:rsid w:val="4ACD5E13"/>
    <w:rsid w:val="4AD16476"/>
    <w:rsid w:val="4AD24DD2"/>
    <w:rsid w:val="4AF561A9"/>
    <w:rsid w:val="4B0D2B22"/>
    <w:rsid w:val="4B59586A"/>
    <w:rsid w:val="4B6104B5"/>
    <w:rsid w:val="4B6F2C01"/>
    <w:rsid w:val="4B7C7600"/>
    <w:rsid w:val="4B986B0F"/>
    <w:rsid w:val="4BFF5B3B"/>
    <w:rsid w:val="4C266B47"/>
    <w:rsid w:val="4C3251A8"/>
    <w:rsid w:val="4C4264FE"/>
    <w:rsid w:val="4C4A0649"/>
    <w:rsid w:val="4C5D5537"/>
    <w:rsid w:val="4C682B2A"/>
    <w:rsid w:val="4C7E5ECA"/>
    <w:rsid w:val="4C876AA5"/>
    <w:rsid w:val="4C97381F"/>
    <w:rsid w:val="4CB12417"/>
    <w:rsid w:val="4CB6115A"/>
    <w:rsid w:val="4CD03776"/>
    <w:rsid w:val="4CEC08D3"/>
    <w:rsid w:val="4D0E00FB"/>
    <w:rsid w:val="4D176606"/>
    <w:rsid w:val="4D714816"/>
    <w:rsid w:val="4DEC4FB0"/>
    <w:rsid w:val="4DF44658"/>
    <w:rsid w:val="4E075D8A"/>
    <w:rsid w:val="4E3173DD"/>
    <w:rsid w:val="4E407554"/>
    <w:rsid w:val="4E5A5809"/>
    <w:rsid w:val="4E680C1B"/>
    <w:rsid w:val="4E6D1482"/>
    <w:rsid w:val="4EC00FAD"/>
    <w:rsid w:val="4EFB0B66"/>
    <w:rsid w:val="4EFD14A0"/>
    <w:rsid w:val="4F4B20AB"/>
    <w:rsid w:val="4F9843DC"/>
    <w:rsid w:val="4FA0425F"/>
    <w:rsid w:val="4FBE5B86"/>
    <w:rsid w:val="4FC01A96"/>
    <w:rsid w:val="4FC62A8C"/>
    <w:rsid w:val="4FE20F0D"/>
    <w:rsid w:val="4FE51552"/>
    <w:rsid w:val="4FE73FFB"/>
    <w:rsid w:val="50041972"/>
    <w:rsid w:val="50504C4B"/>
    <w:rsid w:val="50515F55"/>
    <w:rsid w:val="506A6AE5"/>
    <w:rsid w:val="506B452E"/>
    <w:rsid w:val="509C6E7C"/>
    <w:rsid w:val="50B8456D"/>
    <w:rsid w:val="50CA2BBB"/>
    <w:rsid w:val="50D136BC"/>
    <w:rsid w:val="512421B5"/>
    <w:rsid w:val="512E5C41"/>
    <w:rsid w:val="513B13C3"/>
    <w:rsid w:val="5162104E"/>
    <w:rsid w:val="51710179"/>
    <w:rsid w:val="519E11A2"/>
    <w:rsid w:val="51A83F3F"/>
    <w:rsid w:val="51C5343F"/>
    <w:rsid w:val="51E0616F"/>
    <w:rsid w:val="51F06981"/>
    <w:rsid w:val="52084934"/>
    <w:rsid w:val="52090F4D"/>
    <w:rsid w:val="52C5188C"/>
    <w:rsid w:val="52CA6A4B"/>
    <w:rsid w:val="52DF2DD8"/>
    <w:rsid w:val="52E80FEC"/>
    <w:rsid w:val="52ED6952"/>
    <w:rsid w:val="53166927"/>
    <w:rsid w:val="532E5683"/>
    <w:rsid w:val="533E3727"/>
    <w:rsid w:val="535523C0"/>
    <w:rsid w:val="536063BE"/>
    <w:rsid w:val="53852DC9"/>
    <w:rsid w:val="53A039CC"/>
    <w:rsid w:val="53A1505A"/>
    <w:rsid w:val="53A3080F"/>
    <w:rsid w:val="53F11286"/>
    <w:rsid w:val="53F2787A"/>
    <w:rsid w:val="54063E08"/>
    <w:rsid w:val="543437E8"/>
    <w:rsid w:val="54617393"/>
    <w:rsid w:val="546B158A"/>
    <w:rsid w:val="54AD59FD"/>
    <w:rsid w:val="54AF52BE"/>
    <w:rsid w:val="54F73313"/>
    <w:rsid w:val="54F80955"/>
    <w:rsid w:val="554F08A1"/>
    <w:rsid w:val="55503492"/>
    <w:rsid w:val="555170A7"/>
    <w:rsid w:val="556F5ADF"/>
    <w:rsid w:val="5587536D"/>
    <w:rsid w:val="558A6E6B"/>
    <w:rsid w:val="559B174B"/>
    <w:rsid w:val="55CE0CF4"/>
    <w:rsid w:val="55D32512"/>
    <w:rsid w:val="563D5844"/>
    <w:rsid w:val="56582A17"/>
    <w:rsid w:val="567356EE"/>
    <w:rsid w:val="56B22A9C"/>
    <w:rsid w:val="56CB2A6A"/>
    <w:rsid w:val="56D55E16"/>
    <w:rsid w:val="56E72016"/>
    <w:rsid w:val="575C02E5"/>
    <w:rsid w:val="578D049F"/>
    <w:rsid w:val="57934D0C"/>
    <w:rsid w:val="57A446F3"/>
    <w:rsid w:val="57B72A76"/>
    <w:rsid w:val="57C3426C"/>
    <w:rsid w:val="57CE1F93"/>
    <w:rsid w:val="57D05633"/>
    <w:rsid w:val="57DE3F81"/>
    <w:rsid w:val="588743D1"/>
    <w:rsid w:val="5887701A"/>
    <w:rsid w:val="589E06DD"/>
    <w:rsid w:val="58AF6A44"/>
    <w:rsid w:val="58E95BA9"/>
    <w:rsid w:val="598312E2"/>
    <w:rsid w:val="59887700"/>
    <w:rsid w:val="598B093D"/>
    <w:rsid w:val="59AD3660"/>
    <w:rsid w:val="59C0439F"/>
    <w:rsid w:val="5A332E72"/>
    <w:rsid w:val="5A801798"/>
    <w:rsid w:val="5ABE2233"/>
    <w:rsid w:val="5ADE6DE4"/>
    <w:rsid w:val="5B355C93"/>
    <w:rsid w:val="5B9047A4"/>
    <w:rsid w:val="5BB16E51"/>
    <w:rsid w:val="5BC67CEC"/>
    <w:rsid w:val="5BDF5D95"/>
    <w:rsid w:val="5BFE7528"/>
    <w:rsid w:val="5C166E62"/>
    <w:rsid w:val="5C2A1733"/>
    <w:rsid w:val="5C2A4C7A"/>
    <w:rsid w:val="5C452A98"/>
    <w:rsid w:val="5C484BB0"/>
    <w:rsid w:val="5C771E77"/>
    <w:rsid w:val="5C845604"/>
    <w:rsid w:val="5CE86237"/>
    <w:rsid w:val="5D1B075E"/>
    <w:rsid w:val="5D2642B4"/>
    <w:rsid w:val="5D2B49E2"/>
    <w:rsid w:val="5D3A390F"/>
    <w:rsid w:val="5D7A14C5"/>
    <w:rsid w:val="5DBC1626"/>
    <w:rsid w:val="5DDA0933"/>
    <w:rsid w:val="5DF8645E"/>
    <w:rsid w:val="5E053DDB"/>
    <w:rsid w:val="5E2426F0"/>
    <w:rsid w:val="5E2467F1"/>
    <w:rsid w:val="5E6463F2"/>
    <w:rsid w:val="5EB020ED"/>
    <w:rsid w:val="5EF4643F"/>
    <w:rsid w:val="5F176B0F"/>
    <w:rsid w:val="5F1A2B43"/>
    <w:rsid w:val="5F6C0FEB"/>
    <w:rsid w:val="5F7E4825"/>
    <w:rsid w:val="5F827F83"/>
    <w:rsid w:val="5F9B5A7D"/>
    <w:rsid w:val="5FB837BB"/>
    <w:rsid w:val="60343BAD"/>
    <w:rsid w:val="6094615F"/>
    <w:rsid w:val="60CC405A"/>
    <w:rsid w:val="60E7192E"/>
    <w:rsid w:val="60F919E8"/>
    <w:rsid w:val="61574D17"/>
    <w:rsid w:val="61636744"/>
    <w:rsid w:val="61E0223F"/>
    <w:rsid w:val="61E215D8"/>
    <w:rsid w:val="621A370A"/>
    <w:rsid w:val="621B3775"/>
    <w:rsid w:val="62364782"/>
    <w:rsid w:val="624326EB"/>
    <w:rsid w:val="62865532"/>
    <w:rsid w:val="62A95B48"/>
    <w:rsid w:val="630755A9"/>
    <w:rsid w:val="631E5AFE"/>
    <w:rsid w:val="637860F1"/>
    <w:rsid w:val="63800E8D"/>
    <w:rsid w:val="6394356A"/>
    <w:rsid w:val="63AF3FD9"/>
    <w:rsid w:val="63C61B2C"/>
    <w:rsid w:val="63D40BE9"/>
    <w:rsid w:val="64102431"/>
    <w:rsid w:val="64724786"/>
    <w:rsid w:val="64A5243A"/>
    <w:rsid w:val="64E71F99"/>
    <w:rsid w:val="64F531DE"/>
    <w:rsid w:val="64FD4A4C"/>
    <w:rsid w:val="65260851"/>
    <w:rsid w:val="65373578"/>
    <w:rsid w:val="653B6EEE"/>
    <w:rsid w:val="65C669C4"/>
    <w:rsid w:val="65DF2F07"/>
    <w:rsid w:val="661A6105"/>
    <w:rsid w:val="6661526A"/>
    <w:rsid w:val="671F124A"/>
    <w:rsid w:val="67650123"/>
    <w:rsid w:val="6765181B"/>
    <w:rsid w:val="677A33C6"/>
    <w:rsid w:val="67930C3A"/>
    <w:rsid w:val="681F6961"/>
    <w:rsid w:val="68572CE3"/>
    <w:rsid w:val="68610A2F"/>
    <w:rsid w:val="686B2DC3"/>
    <w:rsid w:val="68805514"/>
    <w:rsid w:val="68D514B4"/>
    <w:rsid w:val="69316E2F"/>
    <w:rsid w:val="693F5A8E"/>
    <w:rsid w:val="694E2071"/>
    <w:rsid w:val="69766163"/>
    <w:rsid w:val="69796AD5"/>
    <w:rsid w:val="697A3B33"/>
    <w:rsid w:val="6993643B"/>
    <w:rsid w:val="69D44760"/>
    <w:rsid w:val="6A520EC7"/>
    <w:rsid w:val="6AF70B0C"/>
    <w:rsid w:val="6AF87E20"/>
    <w:rsid w:val="6B322639"/>
    <w:rsid w:val="6C0F0452"/>
    <w:rsid w:val="6C5D26DE"/>
    <w:rsid w:val="6C636C38"/>
    <w:rsid w:val="6C7564D4"/>
    <w:rsid w:val="6CDC57DF"/>
    <w:rsid w:val="6CE801F9"/>
    <w:rsid w:val="6CF272CA"/>
    <w:rsid w:val="6D545E34"/>
    <w:rsid w:val="6DB34098"/>
    <w:rsid w:val="6DB545B6"/>
    <w:rsid w:val="6DE02FB4"/>
    <w:rsid w:val="6E1E4D2E"/>
    <w:rsid w:val="6E375EBF"/>
    <w:rsid w:val="6E4802F4"/>
    <w:rsid w:val="6E514CED"/>
    <w:rsid w:val="6EA168B2"/>
    <w:rsid w:val="6EA63EC8"/>
    <w:rsid w:val="6EB54C11"/>
    <w:rsid w:val="6EB563D5"/>
    <w:rsid w:val="6ED92677"/>
    <w:rsid w:val="6EE36ECA"/>
    <w:rsid w:val="6EF56020"/>
    <w:rsid w:val="6F225983"/>
    <w:rsid w:val="6F3971AE"/>
    <w:rsid w:val="6F8A58F5"/>
    <w:rsid w:val="6FB41467"/>
    <w:rsid w:val="6FCA3B9E"/>
    <w:rsid w:val="6FF1003D"/>
    <w:rsid w:val="6FFC5590"/>
    <w:rsid w:val="703F0621"/>
    <w:rsid w:val="70575A6A"/>
    <w:rsid w:val="706D1DD0"/>
    <w:rsid w:val="7070486A"/>
    <w:rsid w:val="70856B87"/>
    <w:rsid w:val="70A66401"/>
    <w:rsid w:val="70AE5C04"/>
    <w:rsid w:val="70D527EE"/>
    <w:rsid w:val="70DF1CC8"/>
    <w:rsid w:val="70E57F00"/>
    <w:rsid w:val="714E18BE"/>
    <w:rsid w:val="715B5300"/>
    <w:rsid w:val="716608AE"/>
    <w:rsid w:val="71923A45"/>
    <w:rsid w:val="71D27F8A"/>
    <w:rsid w:val="72137FC8"/>
    <w:rsid w:val="72553024"/>
    <w:rsid w:val="72A57A78"/>
    <w:rsid w:val="72B8422D"/>
    <w:rsid w:val="72EC1B63"/>
    <w:rsid w:val="73104006"/>
    <w:rsid w:val="73122968"/>
    <w:rsid w:val="731F5D5E"/>
    <w:rsid w:val="73542064"/>
    <w:rsid w:val="73865495"/>
    <w:rsid w:val="73C51AD5"/>
    <w:rsid w:val="73C93721"/>
    <w:rsid w:val="741E793C"/>
    <w:rsid w:val="74454BD7"/>
    <w:rsid w:val="744A79EB"/>
    <w:rsid w:val="745E3944"/>
    <w:rsid w:val="74B530C3"/>
    <w:rsid w:val="74B7053E"/>
    <w:rsid w:val="74C8615E"/>
    <w:rsid w:val="74E107B4"/>
    <w:rsid w:val="75040D90"/>
    <w:rsid w:val="75640BD1"/>
    <w:rsid w:val="756F3322"/>
    <w:rsid w:val="75F50F12"/>
    <w:rsid w:val="7635099D"/>
    <w:rsid w:val="768A7D0B"/>
    <w:rsid w:val="76D37959"/>
    <w:rsid w:val="76FA1D0B"/>
    <w:rsid w:val="77253DF8"/>
    <w:rsid w:val="776115E9"/>
    <w:rsid w:val="77626DFA"/>
    <w:rsid w:val="77762421"/>
    <w:rsid w:val="77860A42"/>
    <w:rsid w:val="77A318EC"/>
    <w:rsid w:val="77AC2D86"/>
    <w:rsid w:val="77B56B1F"/>
    <w:rsid w:val="77E37F3B"/>
    <w:rsid w:val="780D15A8"/>
    <w:rsid w:val="780F09F4"/>
    <w:rsid w:val="78450BF6"/>
    <w:rsid w:val="78613D47"/>
    <w:rsid w:val="786839AD"/>
    <w:rsid w:val="788D2CF0"/>
    <w:rsid w:val="78A90480"/>
    <w:rsid w:val="78C31B1A"/>
    <w:rsid w:val="78EA7C80"/>
    <w:rsid w:val="78FB752E"/>
    <w:rsid w:val="795311EB"/>
    <w:rsid w:val="79892D47"/>
    <w:rsid w:val="798B1047"/>
    <w:rsid w:val="79D265A3"/>
    <w:rsid w:val="79DD228D"/>
    <w:rsid w:val="7A364017"/>
    <w:rsid w:val="7A581469"/>
    <w:rsid w:val="7A6730A5"/>
    <w:rsid w:val="7A8265E1"/>
    <w:rsid w:val="7AA44CF5"/>
    <w:rsid w:val="7B17638F"/>
    <w:rsid w:val="7B686D42"/>
    <w:rsid w:val="7B841746"/>
    <w:rsid w:val="7B984123"/>
    <w:rsid w:val="7BC002BD"/>
    <w:rsid w:val="7BD227A0"/>
    <w:rsid w:val="7C02383A"/>
    <w:rsid w:val="7C1728A9"/>
    <w:rsid w:val="7C5D0C42"/>
    <w:rsid w:val="7C6C5AC7"/>
    <w:rsid w:val="7CC6544B"/>
    <w:rsid w:val="7CC84C09"/>
    <w:rsid w:val="7CCB29CD"/>
    <w:rsid w:val="7CE55312"/>
    <w:rsid w:val="7CF91FAF"/>
    <w:rsid w:val="7D0239FF"/>
    <w:rsid w:val="7D1359BB"/>
    <w:rsid w:val="7D433B62"/>
    <w:rsid w:val="7D5E40CD"/>
    <w:rsid w:val="7D617A12"/>
    <w:rsid w:val="7D6C2034"/>
    <w:rsid w:val="7DBB7A27"/>
    <w:rsid w:val="7DCD56F2"/>
    <w:rsid w:val="7DF41B71"/>
    <w:rsid w:val="7E285309"/>
    <w:rsid w:val="7EBE11A6"/>
    <w:rsid w:val="7EE17457"/>
    <w:rsid w:val="7EF22652"/>
    <w:rsid w:val="7F001CE7"/>
    <w:rsid w:val="7F451C00"/>
    <w:rsid w:val="7F4818EA"/>
    <w:rsid w:val="7F953CF4"/>
    <w:rsid w:val="7FAC54E3"/>
    <w:rsid w:val="7FC607B1"/>
    <w:rsid w:val="7FE47E50"/>
    <w:rsid w:val="7FF97D8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1"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qFormat/>
    <w:uiPriority w:val="1"/>
    <w:pPr>
      <w:ind w:left="1152"/>
      <w:outlineLvl w:val="2"/>
    </w:pPr>
    <w:rPr>
      <w:rFonts w:ascii="宋体" w:hAnsi="宋体" w:eastAsia="宋体" w:cs="宋体"/>
      <w:b/>
      <w:bCs/>
      <w:sz w:val="24"/>
      <w:szCs w:val="24"/>
      <w:lang w:val="zh-CN" w:eastAsia="zh-CN" w:bidi="zh-CN"/>
    </w:rPr>
  </w:style>
  <w:style w:type="paragraph" w:styleId="4">
    <w:name w:val="heading 3"/>
    <w:basedOn w:val="1"/>
    <w:next w:val="1"/>
    <w:qFormat/>
    <w:uiPriority w:val="0"/>
    <w:pPr>
      <w:numPr>
        <w:ilvl w:val="2"/>
        <w:numId w:val="1"/>
      </w:numPr>
      <w:adjustRightInd w:val="0"/>
      <w:snapToGrid w:val="0"/>
      <w:spacing w:line="360" w:lineRule="auto"/>
      <w:ind w:left="607" w:leftChars="0" w:firstLine="361" w:firstLineChars="100"/>
      <w:jc w:val="left"/>
      <w:outlineLvl w:val="2"/>
    </w:pPr>
    <w:rPr>
      <w:rFonts w:ascii="Times New Roman" w:hAnsi="Times New Roman" w:eastAsia="宋体"/>
      <w:b/>
      <w:bCs/>
      <w:kern w:val="0"/>
      <w:sz w:val="30"/>
      <w:szCs w:val="32"/>
    </w:rPr>
  </w:style>
  <w:style w:type="paragraph" w:styleId="5">
    <w:name w:val="heading 4"/>
    <w:basedOn w:val="1"/>
    <w:next w:val="1"/>
    <w:qFormat/>
    <w:uiPriority w:val="0"/>
    <w:pPr>
      <w:keepNext/>
      <w:keepLines/>
      <w:spacing w:before="76" w:beforeLines="20" w:line="360" w:lineRule="auto"/>
      <w:jc w:val="left"/>
      <w:outlineLvl w:val="3"/>
    </w:pPr>
    <w:rPr>
      <w:rFonts w:eastAsia="黑体"/>
      <w:b/>
      <w:bCs/>
      <w:sz w:val="28"/>
      <w:szCs w:val="28"/>
      <w:lang w:val="zh-CN"/>
    </w:rPr>
  </w:style>
  <w:style w:type="paragraph" w:styleId="6">
    <w:name w:val="heading 6"/>
    <w:basedOn w:val="1"/>
    <w:next w:val="1"/>
    <w:qFormat/>
    <w:uiPriority w:val="0"/>
    <w:pPr>
      <w:keepNext/>
      <w:keepLines/>
      <w:numPr>
        <w:ilvl w:val="5"/>
        <w:numId w:val="2"/>
      </w:numPr>
      <w:tabs>
        <w:tab w:val="left" w:pos="1152"/>
      </w:tabs>
      <w:spacing w:before="240" w:after="64" w:line="320" w:lineRule="auto"/>
      <w:outlineLvl w:val="5"/>
    </w:pPr>
    <w:rPr>
      <w:rFonts w:ascii="Arial" w:hAnsi="Arial" w:eastAsia="黑体"/>
      <w:b/>
      <w:bCs/>
      <w:sz w:val="24"/>
    </w:rPr>
  </w:style>
  <w:style w:type="paragraph" w:styleId="7">
    <w:name w:val="heading 7"/>
    <w:basedOn w:val="1"/>
    <w:next w:val="1"/>
    <w:qFormat/>
    <w:uiPriority w:val="0"/>
    <w:pPr>
      <w:keepNext/>
      <w:keepLines/>
      <w:spacing w:before="240" w:after="64" w:line="320" w:lineRule="auto"/>
      <w:outlineLvl w:val="6"/>
    </w:pPr>
    <w:rPr>
      <w:b/>
      <w:bCs/>
      <w:sz w:val="24"/>
    </w:rPr>
  </w:style>
  <w:style w:type="character" w:default="1" w:styleId="29">
    <w:name w:val="Default Paragraph Font"/>
    <w:semiHidden/>
    <w:qFormat/>
    <w:uiPriority w:val="0"/>
  </w:style>
  <w:style w:type="table" w:default="1" w:styleId="27">
    <w:name w:val="Normal Table"/>
    <w:semiHidden/>
    <w:qFormat/>
    <w:uiPriority w:val="0"/>
    <w:tblPr>
      <w:tblCellMar>
        <w:top w:w="0" w:type="dxa"/>
        <w:left w:w="108" w:type="dxa"/>
        <w:bottom w:w="0" w:type="dxa"/>
        <w:right w:w="108" w:type="dxa"/>
      </w:tblCellMar>
    </w:tblPr>
  </w:style>
  <w:style w:type="paragraph" w:styleId="8">
    <w:name w:val="Normal Indent"/>
    <w:basedOn w:val="1"/>
    <w:qFormat/>
    <w:uiPriority w:val="0"/>
    <w:pPr>
      <w:ind w:firstLine="420" w:firstLineChars="200"/>
    </w:pPr>
  </w:style>
  <w:style w:type="paragraph" w:styleId="9">
    <w:name w:val="caption"/>
    <w:basedOn w:val="1"/>
    <w:next w:val="1"/>
    <w:qFormat/>
    <w:uiPriority w:val="0"/>
    <w:pPr>
      <w:jc w:val="center"/>
    </w:pPr>
    <w:rPr>
      <w:rFonts w:cs="Arial"/>
      <w:b/>
      <w:kern w:val="0"/>
      <w:sz w:val="24"/>
      <w:lang w:val="zh-CN"/>
    </w:rPr>
  </w:style>
  <w:style w:type="paragraph" w:styleId="10">
    <w:name w:val="annotation text"/>
    <w:basedOn w:val="1"/>
    <w:link w:val="61"/>
    <w:semiHidden/>
    <w:qFormat/>
    <w:uiPriority w:val="0"/>
    <w:pPr>
      <w:jc w:val="left"/>
    </w:pPr>
    <w:rPr>
      <w:kern w:val="0"/>
      <w:sz w:val="24"/>
      <w:szCs w:val="20"/>
    </w:rPr>
  </w:style>
  <w:style w:type="paragraph" w:styleId="11">
    <w:name w:val="Body Text"/>
    <w:basedOn w:val="1"/>
    <w:next w:val="1"/>
    <w:link w:val="60"/>
    <w:qFormat/>
    <w:uiPriority w:val="0"/>
    <w:pPr>
      <w:widowControl/>
      <w:snapToGrid w:val="0"/>
      <w:spacing w:before="60" w:after="160" w:line="259" w:lineRule="auto"/>
      <w:ind w:right="113"/>
    </w:pPr>
    <w:rPr>
      <w:kern w:val="0"/>
      <w:sz w:val="18"/>
      <w:szCs w:val="20"/>
    </w:rPr>
  </w:style>
  <w:style w:type="paragraph" w:styleId="12">
    <w:name w:val="Body Text Indent"/>
    <w:basedOn w:val="1"/>
    <w:next w:val="13"/>
    <w:link w:val="67"/>
    <w:qFormat/>
    <w:uiPriority w:val="0"/>
    <w:pPr>
      <w:spacing w:after="120"/>
      <w:ind w:left="420" w:leftChars="200"/>
    </w:pPr>
    <w:rPr>
      <w:kern w:val="0"/>
      <w:sz w:val="24"/>
      <w:szCs w:val="20"/>
    </w:rPr>
  </w:style>
  <w:style w:type="paragraph" w:styleId="13">
    <w:name w:val="Body Text Indent 2"/>
    <w:basedOn w:val="1"/>
    <w:next w:val="1"/>
    <w:unhideWhenUsed/>
    <w:qFormat/>
    <w:uiPriority w:val="99"/>
    <w:pPr>
      <w:spacing w:after="120" w:line="480" w:lineRule="auto"/>
      <w:ind w:left="420" w:leftChars="200"/>
    </w:pPr>
  </w:style>
  <w:style w:type="paragraph" w:styleId="14">
    <w:name w:val="Plain Text"/>
    <w:basedOn w:val="1"/>
    <w:qFormat/>
    <w:uiPriority w:val="99"/>
    <w:rPr>
      <w:rFonts w:ascii="宋体" w:hAnsi="Courier New"/>
    </w:rPr>
  </w:style>
  <w:style w:type="paragraph" w:styleId="15">
    <w:name w:val="Date"/>
    <w:basedOn w:val="1"/>
    <w:next w:val="1"/>
    <w:link w:val="56"/>
    <w:qFormat/>
    <w:uiPriority w:val="0"/>
    <w:pPr>
      <w:ind w:left="100" w:leftChars="2500"/>
    </w:pPr>
    <w:rPr>
      <w:kern w:val="0"/>
      <w:sz w:val="24"/>
      <w:szCs w:val="20"/>
    </w:rPr>
  </w:style>
  <w:style w:type="paragraph" w:styleId="16">
    <w:name w:val="Balloon Text"/>
    <w:basedOn w:val="1"/>
    <w:link w:val="63"/>
    <w:semiHidden/>
    <w:qFormat/>
    <w:uiPriority w:val="0"/>
    <w:rPr>
      <w:kern w:val="0"/>
      <w:sz w:val="18"/>
      <w:szCs w:val="20"/>
    </w:rPr>
  </w:style>
  <w:style w:type="paragraph" w:styleId="17">
    <w:name w:val="footer"/>
    <w:basedOn w:val="1"/>
    <w:link w:val="55"/>
    <w:qFormat/>
    <w:uiPriority w:val="99"/>
    <w:pPr>
      <w:tabs>
        <w:tab w:val="center" w:pos="4153"/>
        <w:tab w:val="right" w:pos="8306"/>
      </w:tabs>
      <w:snapToGrid w:val="0"/>
      <w:jc w:val="left"/>
    </w:pPr>
    <w:rPr>
      <w:kern w:val="0"/>
      <w:sz w:val="18"/>
      <w:szCs w:val="20"/>
    </w:rPr>
  </w:style>
  <w:style w:type="paragraph" w:styleId="18">
    <w:name w:val="header"/>
    <w:basedOn w:val="1"/>
    <w:link w:val="65"/>
    <w:qFormat/>
    <w:uiPriority w:val="0"/>
    <w:pPr>
      <w:pBdr>
        <w:bottom w:val="single" w:color="auto" w:sz="6" w:space="1"/>
      </w:pBdr>
      <w:tabs>
        <w:tab w:val="center" w:pos="4153"/>
        <w:tab w:val="right" w:pos="8306"/>
      </w:tabs>
      <w:snapToGrid w:val="0"/>
      <w:jc w:val="center"/>
    </w:pPr>
    <w:rPr>
      <w:kern w:val="0"/>
      <w:sz w:val="18"/>
      <w:szCs w:val="20"/>
    </w:rPr>
  </w:style>
  <w:style w:type="paragraph" w:styleId="19">
    <w:name w:val="table of figures"/>
    <w:basedOn w:val="1"/>
    <w:next w:val="1"/>
    <w:qFormat/>
    <w:uiPriority w:val="0"/>
    <w:pPr>
      <w:ind w:left="200" w:leftChars="200" w:hanging="200" w:hangingChars="200"/>
    </w:pPr>
  </w:style>
  <w:style w:type="paragraph" w:styleId="20">
    <w:name w:val="toc 9"/>
    <w:basedOn w:val="1"/>
    <w:next w:val="1"/>
    <w:qFormat/>
    <w:uiPriority w:val="0"/>
    <w:pPr>
      <w:widowControl/>
      <w:wordWrap w:val="0"/>
      <w:autoSpaceDE/>
      <w:autoSpaceDN/>
      <w:spacing w:before="0" w:after="0" w:line="240" w:lineRule="auto"/>
      <w:ind w:left="2975" w:firstLine="0"/>
      <w:jc w:val="both"/>
    </w:pPr>
    <w:rPr>
      <w:sz w:val="21"/>
      <w:szCs w:val="22"/>
    </w:rPr>
  </w:style>
  <w:style w:type="paragraph" w:styleId="21">
    <w:name w:val="Body Text 2"/>
    <w:basedOn w:val="1"/>
    <w:next w:val="1"/>
    <w:qFormat/>
    <w:uiPriority w:val="0"/>
    <w:pPr>
      <w:spacing w:after="120" w:line="480" w:lineRule="auto"/>
    </w:pPr>
  </w:style>
  <w:style w:type="paragraph" w:styleId="22">
    <w:name w:val="HTML Preformatted"/>
    <w:basedOn w:val="1"/>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3">
    <w:name w:val="Normal (Web)"/>
    <w:basedOn w:val="1"/>
    <w:link w:val="58"/>
    <w:qFormat/>
    <w:uiPriority w:val="0"/>
    <w:pPr>
      <w:widowControl/>
      <w:spacing w:before="100" w:beforeAutospacing="1" w:after="100" w:afterAutospacing="1"/>
      <w:jc w:val="left"/>
    </w:pPr>
    <w:rPr>
      <w:rFonts w:ascii="宋体" w:hAnsi="宋体"/>
      <w:kern w:val="0"/>
      <w:sz w:val="24"/>
      <w:szCs w:val="20"/>
    </w:rPr>
  </w:style>
  <w:style w:type="paragraph" w:styleId="24">
    <w:name w:val="annotation subject"/>
    <w:basedOn w:val="10"/>
    <w:next w:val="10"/>
    <w:link w:val="64"/>
    <w:semiHidden/>
    <w:qFormat/>
    <w:uiPriority w:val="0"/>
    <w:rPr>
      <w:b/>
      <w:sz w:val="24"/>
      <w:szCs w:val="20"/>
    </w:rPr>
  </w:style>
  <w:style w:type="paragraph" w:styleId="25">
    <w:name w:val="Body Text First Indent"/>
    <w:basedOn w:val="11"/>
    <w:qFormat/>
    <w:uiPriority w:val="0"/>
    <w:pPr>
      <w:ind w:firstLine="420" w:firstLineChars="100"/>
    </w:pPr>
  </w:style>
  <w:style w:type="paragraph" w:styleId="26">
    <w:name w:val="Body Text First Indent 2"/>
    <w:basedOn w:val="12"/>
    <w:next w:val="1"/>
    <w:unhideWhenUsed/>
    <w:qFormat/>
    <w:uiPriority w:val="99"/>
    <w:pPr>
      <w:ind w:firstLine="420" w:firstLineChars="200"/>
    </w:pPr>
  </w:style>
  <w:style w:type="table" w:styleId="28">
    <w:name w:val="Table Grid"/>
    <w:basedOn w:val="27"/>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0"/>
    <w:rPr>
      <w:b/>
      <w:bCs/>
    </w:rPr>
  </w:style>
  <w:style w:type="character" w:styleId="31">
    <w:name w:val="page number"/>
    <w:basedOn w:val="29"/>
    <w:qFormat/>
    <w:uiPriority w:val="0"/>
  </w:style>
  <w:style w:type="character" w:styleId="32">
    <w:name w:val="FollowedHyperlink"/>
    <w:basedOn w:val="29"/>
    <w:qFormat/>
    <w:uiPriority w:val="0"/>
    <w:rPr>
      <w:color w:val="337AB7"/>
      <w:u w:val="single"/>
    </w:rPr>
  </w:style>
  <w:style w:type="character" w:styleId="33">
    <w:name w:val="Emphasis"/>
    <w:qFormat/>
    <w:uiPriority w:val="20"/>
    <w:rPr>
      <w:color w:val="CC0000"/>
    </w:rPr>
  </w:style>
  <w:style w:type="character" w:styleId="34">
    <w:name w:val="HTML Definition"/>
    <w:basedOn w:val="29"/>
    <w:qFormat/>
    <w:uiPriority w:val="0"/>
    <w:rPr>
      <w:i/>
      <w:iCs/>
    </w:rPr>
  </w:style>
  <w:style w:type="character" w:styleId="35">
    <w:name w:val="Hyperlink"/>
    <w:basedOn w:val="29"/>
    <w:qFormat/>
    <w:uiPriority w:val="0"/>
    <w:rPr>
      <w:color w:val="0000FF"/>
      <w:u w:val="single"/>
    </w:rPr>
  </w:style>
  <w:style w:type="character" w:styleId="36">
    <w:name w:val="HTML Code"/>
    <w:basedOn w:val="29"/>
    <w:qFormat/>
    <w:uiPriority w:val="0"/>
    <w:rPr>
      <w:rFonts w:ascii="Consolas" w:hAnsi="Consolas" w:eastAsia="Consolas" w:cs="Consolas"/>
      <w:color w:val="C7254E"/>
      <w:sz w:val="21"/>
      <w:szCs w:val="21"/>
      <w:shd w:val="clear" w:fill="F9F2F4"/>
    </w:rPr>
  </w:style>
  <w:style w:type="character" w:styleId="37">
    <w:name w:val="annotation reference"/>
    <w:semiHidden/>
    <w:qFormat/>
    <w:uiPriority w:val="0"/>
    <w:rPr>
      <w:sz w:val="21"/>
    </w:rPr>
  </w:style>
  <w:style w:type="character" w:styleId="38">
    <w:name w:val="HTML Keyboard"/>
    <w:basedOn w:val="29"/>
    <w:qFormat/>
    <w:uiPriority w:val="0"/>
    <w:rPr>
      <w:rFonts w:hint="default" w:ascii="Consolas" w:hAnsi="Consolas" w:eastAsia="Consolas" w:cs="Consolas"/>
      <w:color w:val="FFFFFF"/>
      <w:sz w:val="21"/>
      <w:szCs w:val="21"/>
      <w:shd w:val="clear" w:fill="333333"/>
    </w:rPr>
  </w:style>
  <w:style w:type="character" w:styleId="39">
    <w:name w:val="HTML Sample"/>
    <w:basedOn w:val="29"/>
    <w:qFormat/>
    <w:uiPriority w:val="0"/>
    <w:rPr>
      <w:rFonts w:hint="default" w:ascii="Consolas" w:hAnsi="Consolas" w:eastAsia="Consolas" w:cs="Consolas"/>
      <w:sz w:val="21"/>
      <w:szCs w:val="21"/>
    </w:rPr>
  </w:style>
  <w:style w:type="paragraph" w:customStyle="1" w:styleId="40">
    <w:name w:val="Default1"/>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1">
    <w:name w:val="xl27"/>
    <w:basedOn w:val="1"/>
    <w:next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仿宋_GB2312" w:hAnsi="宋体" w:eastAsia="仿宋_GB2312" w:cs="宋体"/>
      <w:color w:val="FF0000"/>
      <w:kern w:val="0"/>
      <w:szCs w:val="21"/>
    </w:rPr>
  </w:style>
  <w:style w:type="paragraph" w:customStyle="1" w:styleId="42">
    <w:name w:val="Default"/>
    <w:basedOn w:val="43"/>
    <w:next w:val="13"/>
    <w:qFormat/>
    <w:uiPriority w:val="0"/>
    <w:pPr>
      <w:widowControl w:val="0"/>
      <w:autoSpaceDE w:val="0"/>
      <w:autoSpaceDN w:val="0"/>
      <w:adjustRightInd w:val="0"/>
    </w:pPr>
    <w:rPr>
      <w:rFonts w:ascii="宋体" w:hAnsi="Calibri" w:eastAsia="宋体" w:cs="Calibri"/>
      <w:kern w:val="2"/>
      <w:sz w:val="24"/>
      <w:szCs w:val="22"/>
      <w:lang w:val="en-US" w:eastAsia="zh-CN" w:bidi="ar-SA"/>
    </w:rPr>
  </w:style>
  <w:style w:type="paragraph" w:customStyle="1" w:styleId="43">
    <w:name w:val="标题2"/>
    <w:basedOn w:val="1"/>
    <w:next w:val="1"/>
    <w:qFormat/>
    <w:uiPriority w:val="0"/>
    <w:pPr>
      <w:autoSpaceDE w:val="0"/>
      <w:autoSpaceDN w:val="0"/>
      <w:snapToGrid w:val="0"/>
      <w:spacing w:line="590" w:lineRule="atLeast"/>
      <w:jc w:val="center"/>
    </w:pPr>
    <w:rPr>
      <w:rFonts w:eastAsia="方正楷体_GBK"/>
      <w:snapToGrid w:val="0"/>
      <w:kern w:val="0"/>
      <w:sz w:val="32"/>
    </w:rPr>
  </w:style>
  <w:style w:type="paragraph" w:customStyle="1" w:styleId="44">
    <w:name w:val="文本"/>
    <w:basedOn w:val="1"/>
    <w:next w:val="1"/>
    <w:qFormat/>
    <w:uiPriority w:val="0"/>
    <w:pPr>
      <w:adjustRightInd/>
      <w:spacing w:line="360" w:lineRule="auto"/>
      <w:jc w:val="both"/>
      <w:textAlignment w:val="auto"/>
    </w:pPr>
  </w:style>
  <w:style w:type="paragraph" w:customStyle="1" w:styleId="45">
    <w:name w:val="1正文段落"/>
    <w:basedOn w:val="1"/>
    <w:qFormat/>
    <w:uiPriority w:val="0"/>
    <w:pPr>
      <w:spacing w:line="360" w:lineRule="auto"/>
      <w:ind w:firstLine="480" w:firstLineChars="200"/>
      <w:jc w:val="left"/>
    </w:pPr>
    <w:rPr>
      <w:rFonts w:ascii="Times New Roman" w:hAnsi="Times New Roman" w:cs="Times New Roman"/>
      <w:snapToGrid w:val="0"/>
      <w:kern w:val="0"/>
      <w:sz w:val="24"/>
      <w:lang w:val="zh-CN" w:eastAsia="zh-CN"/>
    </w:rPr>
  </w:style>
  <w:style w:type="paragraph" w:customStyle="1" w:styleId="46">
    <w:name w:val="Body Text First Indent 21"/>
    <w:basedOn w:val="47"/>
    <w:qFormat/>
    <w:uiPriority w:val="0"/>
    <w:pPr>
      <w:spacing w:after="120" w:afterLines="0" w:line="240" w:lineRule="auto"/>
      <w:ind w:left="420" w:leftChars="200" w:firstLine="420"/>
    </w:pPr>
    <w:rPr>
      <w:rFonts w:ascii="宋体" w:hAnsi="宋体" w:cs="宋体"/>
    </w:rPr>
  </w:style>
  <w:style w:type="paragraph" w:customStyle="1" w:styleId="47">
    <w:name w:val="Body Text Indent1"/>
    <w:basedOn w:val="1"/>
    <w:qFormat/>
    <w:uiPriority w:val="0"/>
    <w:pPr>
      <w:spacing w:after="120"/>
      <w:ind w:left="420" w:leftChars="200"/>
    </w:pPr>
    <w:rPr>
      <w:kern w:val="2"/>
    </w:rPr>
  </w:style>
  <w:style w:type="paragraph" w:customStyle="1" w:styleId="48">
    <w:name w:val="样式3"/>
    <w:basedOn w:val="1"/>
    <w:next w:val="49"/>
    <w:qFormat/>
    <w:uiPriority w:val="0"/>
    <w:pPr>
      <w:autoSpaceDE w:val="0"/>
      <w:autoSpaceDN w:val="0"/>
      <w:snapToGrid w:val="0"/>
      <w:spacing w:before="120" w:line="460" w:lineRule="atLeast"/>
      <w:jc w:val="center"/>
    </w:pPr>
    <w:rPr>
      <w:rFonts w:eastAsia="黑体"/>
      <w:sz w:val="28"/>
      <w:szCs w:val="24"/>
    </w:rPr>
  </w:style>
  <w:style w:type="paragraph" w:customStyle="1" w:styleId="49">
    <w:name w:val="目录 53"/>
    <w:basedOn w:val="1"/>
    <w:next w:val="1"/>
    <w:qFormat/>
    <w:uiPriority w:val="0"/>
    <w:pPr>
      <w:ind w:left="840"/>
    </w:pPr>
    <w:rPr>
      <w:rFonts w:cs="宋体"/>
      <w:color w:val="000000"/>
    </w:rPr>
  </w:style>
  <w:style w:type="paragraph" w:customStyle="1" w:styleId="50">
    <w:name w:val="表头"/>
    <w:basedOn w:val="8"/>
    <w:next w:val="1"/>
    <w:qFormat/>
    <w:uiPriority w:val="0"/>
    <w:pPr>
      <w:spacing w:before="120" w:beforeLines="50" w:after="120" w:afterLines="50"/>
      <w:jc w:val="center"/>
    </w:pPr>
    <w:rPr>
      <w:rFonts w:eastAsia="黑体"/>
    </w:rPr>
  </w:style>
  <w:style w:type="paragraph" w:customStyle="1" w:styleId="51">
    <w:name w:val="表格"/>
    <w:basedOn w:val="19"/>
    <w:next w:val="1"/>
    <w:link w:val="52"/>
    <w:qFormat/>
    <w:uiPriority w:val="0"/>
    <w:pPr>
      <w:adjustRightInd w:val="0"/>
      <w:snapToGrid w:val="0"/>
      <w:spacing w:beforeLines="10" w:afterLines="10" w:line="259" w:lineRule="auto"/>
      <w:jc w:val="center"/>
    </w:pPr>
    <w:rPr>
      <w:rFonts w:ascii="宋体"/>
      <w:kern w:val="0"/>
      <w:szCs w:val="20"/>
    </w:rPr>
  </w:style>
  <w:style w:type="character" w:customStyle="1" w:styleId="52">
    <w:name w:val="表格 Char"/>
    <w:link w:val="51"/>
    <w:qFormat/>
    <w:uiPriority w:val="0"/>
    <w:rPr>
      <w:rFonts w:ascii="宋体"/>
      <w:sz w:val="21"/>
    </w:rPr>
  </w:style>
  <w:style w:type="paragraph" w:customStyle="1" w:styleId="53">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4">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55">
    <w:name w:val=" Char Char6"/>
    <w:link w:val="17"/>
    <w:qFormat/>
    <w:uiPriority w:val="99"/>
    <w:rPr>
      <w:sz w:val="18"/>
    </w:rPr>
  </w:style>
  <w:style w:type="character" w:customStyle="1" w:styleId="56">
    <w:name w:val=" Char Char2"/>
    <w:link w:val="15"/>
    <w:qFormat/>
    <w:uiPriority w:val="0"/>
    <w:rPr>
      <w:rFonts w:ascii="Times New Roman" w:hAnsi="Times New Roman" w:eastAsia="宋体"/>
      <w:sz w:val="24"/>
    </w:rPr>
  </w:style>
  <w:style w:type="character" w:customStyle="1" w:styleId="57">
    <w:name w:val="页脚 字符"/>
    <w:basedOn w:val="29"/>
    <w:qFormat/>
    <w:uiPriority w:val="99"/>
  </w:style>
  <w:style w:type="character" w:customStyle="1" w:styleId="58">
    <w:name w:val=" Char Char7"/>
    <w:link w:val="23"/>
    <w:qFormat/>
    <w:uiPriority w:val="0"/>
    <w:rPr>
      <w:rFonts w:ascii="宋体" w:hAnsi="宋体" w:eastAsia="宋体"/>
      <w:sz w:val="24"/>
    </w:rPr>
  </w:style>
  <w:style w:type="character" w:customStyle="1" w:styleId="59">
    <w:name w:val="正文文本 字符1"/>
    <w:semiHidden/>
    <w:qFormat/>
    <w:uiPriority w:val="0"/>
    <w:rPr>
      <w:rFonts w:ascii="Times New Roman" w:hAnsi="Times New Roman" w:eastAsia="宋体"/>
      <w:sz w:val="24"/>
    </w:rPr>
  </w:style>
  <w:style w:type="character" w:customStyle="1" w:styleId="60">
    <w:name w:val=" Char Char5"/>
    <w:link w:val="11"/>
    <w:qFormat/>
    <w:uiPriority w:val="0"/>
    <w:rPr>
      <w:sz w:val="18"/>
    </w:rPr>
  </w:style>
  <w:style w:type="character" w:customStyle="1" w:styleId="61">
    <w:name w:val=" Char Char1"/>
    <w:link w:val="10"/>
    <w:qFormat/>
    <w:uiPriority w:val="0"/>
    <w:rPr>
      <w:rFonts w:ascii="Times New Roman" w:hAnsi="Times New Roman" w:eastAsia="宋体"/>
      <w:sz w:val="24"/>
    </w:rPr>
  </w:style>
  <w:style w:type="character" w:customStyle="1" w:styleId="62">
    <w:name w:val="日期 字符"/>
    <w:semiHidden/>
    <w:qFormat/>
    <w:uiPriority w:val="0"/>
    <w:rPr>
      <w:rFonts w:ascii="Times New Roman" w:hAnsi="Times New Roman" w:eastAsia="宋体"/>
      <w:sz w:val="24"/>
    </w:rPr>
  </w:style>
  <w:style w:type="character" w:customStyle="1" w:styleId="63">
    <w:name w:val=" Char Char4"/>
    <w:link w:val="16"/>
    <w:semiHidden/>
    <w:qFormat/>
    <w:uiPriority w:val="0"/>
    <w:rPr>
      <w:rFonts w:ascii="Times New Roman" w:hAnsi="Times New Roman" w:eastAsia="宋体"/>
      <w:sz w:val="18"/>
    </w:rPr>
  </w:style>
  <w:style w:type="character" w:customStyle="1" w:styleId="64">
    <w:name w:val=" Char Char3"/>
    <w:link w:val="24"/>
    <w:semiHidden/>
    <w:qFormat/>
    <w:uiPriority w:val="0"/>
    <w:rPr>
      <w:rFonts w:ascii="Times New Roman" w:hAnsi="Times New Roman" w:eastAsia="宋体"/>
      <w:b/>
      <w:kern w:val="2"/>
      <w:sz w:val="24"/>
    </w:rPr>
  </w:style>
  <w:style w:type="character" w:customStyle="1" w:styleId="65">
    <w:name w:val=" Char Char8"/>
    <w:link w:val="18"/>
    <w:qFormat/>
    <w:uiPriority w:val="0"/>
    <w:rPr>
      <w:sz w:val="18"/>
    </w:rPr>
  </w:style>
  <w:style w:type="character" w:customStyle="1" w:styleId="66">
    <w:name w:val="批注文字 字符1"/>
    <w:semiHidden/>
    <w:qFormat/>
    <w:uiPriority w:val="0"/>
    <w:rPr>
      <w:rFonts w:ascii="Times New Roman" w:hAnsi="Times New Roman" w:eastAsia="宋体"/>
      <w:sz w:val="24"/>
    </w:rPr>
  </w:style>
  <w:style w:type="character" w:customStyle="1" w:styleId="67">
    <w:name w:val=" Char Char"/>
    <w:link w:val="12"/>
    <w:semiHidden/>
    <w:qFormat/>
    <w:uiPriority w:val="0"/>
    <w:rPr>
      <w:rFonts w:ascii="Times New Roman" w:hAnsi="Times New Roman" w:eastAsia="宋体"/>
      <w:sz w:val="24"/>
    </w:rPr>
  </w:style>
  <w:style w:type="paragraph" w:customStyle="1" w:styleId="68">
    <w:name w:val="表"/>
    <w:next w:val="1"/>
    <w:qFormat/>
    <w:uiPriority w:val="0"/>
    <w:pPr>
      <w:pBdr>
        <w:between w:val="dashSmallGap" w:color="666699" w:sz="4" w:space="1"/>
      </w:pBdr>
      <w:adjustRightInd w:val="0"/>
      <w:snapToGrid w:val="0"/>
      <w:spacing w:line="120" w:lineRule="atLeast"/>
      <w:jc w:val="center"/>
      <w:textAlignment w:val="center"/>
    </w:pPr>
    <w:rPr>
      <w:rFonts w:ascii="仿宋_GB2312" w:hAnsi="宋体" w:eastAsia="仿宋_GB2312" w:cs="Times New Roman"/>
      <w:sz w:val="24"/>
      <w:szCs w:val="24"/>
      <w:lang w:val="en-US" w:eastAsia="zh-CN" w:bidi="ar-SA"/>
    </w:rPr>
  </w:style>
  <w:style w:type="paragraph" w:customStyle="1" w:styleId="69">
    <w:name w:val="Table Paragraph"/>
    <w:basedOn w:val="1"/>
    <w:qFormat/>
    <w:uiPriority w:val="0"/>
  </w:style>
  <w:style w:type="paragraph" w:customStyle="1" w:styleId="70">
    <w:name w:val="正文2"/>
    <w:basedOn w:val="1"/>
    <w:qFormat/>
    <w:uiPriority w:val="0"/>
    <w:pPr>
      <w:spacing w:line="360" w:lineRule="auto"/>
      <w:ind w:firstLine="480" w:firstLineChars="200"/>
      <w:jc w:val="left"/>
    </w:pPr>
    <w:rPr>
      <w:kern w:val="0"/>
      <w:sz w:val="24"/>
      <w:szCs w:val="20"/>
    </w:rPr>
  </w:style>
  <w:style w:type="paragraph" w:customStyle="1" w:styleId="71">
    <w:name w:val="表格内容自定"/>
    <w:basedOn w:val="1"/>
    <w:qFormat/>
    <w:uiPriority w:val="0"/>
    <w:pPr>
      <w:spacing w:line="280" w:lineRule="exact"/>
      <w:jc w:val="center"/>
    </w:pPr>
    <w:rPr>
      <w:rFonts w:ascii="Times New Roman" w:hAnsi="Times New Roman" w:cs="Times New Roman"/>
      <w:kern w:val="0"/>
      <w:sz w:val="18"/>
      <w:szCs w:val="21"/>
    </w:rPr>
  </w:style>
  <w:style w:type="paragraph" w:customStyle="1" w:styleId="72">
    <w:name w:val="表格样式"/>
    <w:basedOn w:val="1"/>
    <w:qFormat/>
    <w:uiPriority w:val="0"/>
    <w:pPr>
      <w:widowControl/>
      <w:adjustRightInd w:val="0"/>
      <w:snapToGrid w:val="0"/>
      <w:spacing w:line="360" w:lineRule="auto"/>
      <w:jc w:val="center"/>
    </w:pPr>
    <w:rPr>
      <w:szCs w:val="20"/>
    </w:rPr>
  </w:style>
  <w:style w:type="paragraph" w:styleId="73">
    <w:name w:val="List Paragraph"/>
    <w:basedOn w:val="1"/>
    <w:qFormat/>
    <w:uiPriority w:val="1"/>
    <w:pPr>
      <w:ind w:left="240" w:firstLine="480"/>
    </w:pPr>
    <w:rPr>
      <w:rFonts w:ascii="宋体" w:hAnsi="宋体" w:eastAsia="宋体" w:cs="宋体"/>
      <w:lang w:val="zh-CN" w:eastAsia="zh-CN" w:bidi="zh-CN"/>
    </w:rPr>
  </w:style>
  <w:style w:type="paragraph" w:customStyle="1" w:styleId="74">
    <w:name w:val="报告书正文"/>
    <w:basedOn w:val="1"/>
    <w:qFormat/>
    <w:uiPriority w:val="0"/>
    <w:pPr>
      <w:adjustRightInd w:val="0"/>
      <w:spacing w:line="360" w:lineRule="auto"/>
      <w:ind w:firstLine="200" w:firstLineChars="200"/>
    </w:pPr>
    <w:rPr>
      <w:sz w:val="24"/>
    </w:rPr>
  </w:style>
  <w:style w:type="paragraph" w:customStyle="1" w:styleId="75">
    <w:name w:val="正本文字"/>
    <w:basedOn w:val="1"/>
    <w:qFormat/>
    <w:uiPriority w:val="0"/>
    <w:pPr>
      <w:adjustRightInd w:val="0"/>
      <w:snapToGrid w:val="0"/>
      <w:spacing w:line="360" w:lineRule="auto"/>
      <w:ind w:firstLine="480" w:firstLineChars="200"/>
      <w:jc w:val="left"/>
    </w:pPr>
    <w:rPr>
      <w:kern w:val="18"/>
      <w:sz w:val="24"/>
      <w:szCs w:val="20"/>
    </w:rPr>
  </w:style>
  <w:style w:type="paragraph" w:customStyle="1" w:styleId="76">
    <w:name w:val="正文(首行缩进)"/>
    <w:basedOn w:val="1"/>
    <w:qFormat/>
    <w:uiPriority w:val="0"/>
    <w:pPr>
      <w:spacing w:line="360" w:lineRule="auto"/>
      <w:ind w:firstLine="510"/>
    </w:pPr>
    <w:rPr>
      <w:rFonts w:ascii="宋体" w:hAnsi="宋体"/>
      <w:snapToGrid w:val="0"/>
      <w:kern w:val="0"/>
      <w:sz w:val="24"/>
    </w:rPr>
  </w:style>
  <w:style w:type="paragraph" w:customStyle="1" w:styleId="77">
    <w:name w:val="表中文字"/>
    <w:basedOn w:val="1"/>
    <w:qFormat/>
    <w:uiPriority w:val="0"/>
    <w:pPr>
      <w:autoSpaceDE w:val="0"/>
      <w:autoSpaceDN w:val="0"/>
      <w:adjustRightInd w:val="0"/>
      <w:snapToGrid w:val="0"/>
      <w:spacing w:line="400" w:lineRule="exact"/>
      <w:ind w:firstLine="601"/>
      <w:jc w:val="center"/>
      <w:textAlignment w:val="baseline"/>
    </w:pPr>
    <w:rPr>
      <w:rFonts w:ascii="宋体" w:hAnsi="Times New Roman" w:eastAsia="楷体_GB2312"/>
      <w:spacing w:val="8"/>
      <w:kern w:val="0"/>
      <w:sz w:val="24"/>
      <w:szCs w:val="20"/>
    </w:rPr>
  </w:style>
  <w:style w:type="character" w:customStyle="1" w:styleId="78">
    <w:name w:val="font01"/>
    <w:qFormat/>
    <w:uiPriority w:val="0"/>
    <w:rPr>
      <w:rFonts w:ascii="font-weight : 400" w:hAnsi="font-weight : 400" w:eastAsia="font-weight : 400" w:cs="font-weight : 400"/>
      <w:color w:val="000000"/>
      <w:sz w:val="22"/>
      <w:szCs w:val="22"/>
      <w:u w:val="none"/>
    </w:rPr>
  </w:style>
  <w:style w:type="paragraph" w:customStyle="1" w:styleId="79">
    <w:name w:val="Body text|1"/>
    <w:basedOn w:val="1"/>
    <w:qFormat/>
    <w:uiPriority w:val="0"/>
    <w:pPr>
      <w:widowControl w:val="0"/>
      <w:shd w:val="clear" w:color="auto" w:fill="auto"/>
      <w:spacing w:line="403" w:lineRule="auto"/>
      <w:ind w:firstLine="400"/>
    </w:pPr>
    <w:rPr>
      <w:rFonts w:ascii="宋体" w:hAnsi="宋体" w:eastAsia="宋体" w:cs="宋体"/>
      <w:u w:val="none"/>
      <w:shd w:val="clear" w:color="auto" w:fill="auto"/>
      <w:lang w:val="zh-TW" w:eastAsia="zh-TW" w:bidi="zh-TW"/>
    </w:rPr>
  </w:style>
  <w:style w:type="paragraph" w:customStyle="1" w:styleId="80">
    <w:name w:val="Other|1"/>
    <w:basedOn w:val="1"/>
    <w:qFormat/>
    <w:uiPriority w:val="0"/>
    <w:pPr>
      <w:widowControl w:val="0"/>
      <w:shd w:val="clear" w:color="auto" w:fill="auto"/>
      <w:jc w:val="center"/>
    </w:pPr>
    <w:rPr>
      <w:rFonts w:ascii="宋体" w:hAnsi="宋体" w:eastAsia="宋体" w:cs="宋体"/>
      <w:sz w:val="20"/>
      <w:szCs w:val="20"/>
      <w:u w:val="none"/>
      <w:shd w:val="clear" w:color="auto" w:fill="auto"/>
      <w:lang w:val="zh-TW" w:eastAsia="zh-TW" w:bidi="zh-TW"/>
    </w:rPr>
  </w:style>
  <w:style w:type="paragraph" w:customStyle="1" w:styleId="81">
    <w:name w:val="！正文"/>
    <w:basedOn w:val="1"/>
    <w:qFormat/>
    <w:uiPriority w:val="0"/>
    <w:pPr>
      <w:spacing w:line="360" w:lineRule="auto"/>
      <w:ind w:firstLine="200" w:firstLineChars="200"/>
    </w:pPr>
    <w:rPr>
      <w:rFonts w:ascii="Times New Roman" w:hAnsi="Times New Roman" w:cs="Times New Roman"/>
      <w:sz w:val="24"/>
      <w:szCs w:val="22"/>
    </w:rPr>
  </w:style>
  <w:style w:type="paragraph" w:customStyle="1" w:styleId="82">
    <w:name w:val="Body Text Indent"/>
    <w:basedOn w:val="1"/>
    <w:qFormat/>
    <w:uiPriority w:val="0"/>
    <w:pPr>
      <w:spacing w:after="120"/>
      <w:ind w:left="420" w:leftChars="200"/>
    </w:pPr>
    <w:rPr>
      <w:kern w:val="2"/>
    </w:rPr>
  </w:style>
  <w:style w:type="paragraph" w:customStyle="1" w:styleId="83">
    <w:name w:val="标号正文"/>
    <w:basedOn w:val="1"/>
    <w:next w:val="1"/>
    <w:qFormat/>
    <w:uiPriority w:val="99"/>
    <w:pPr>
      <w:tabs>
        <w:tab w:val="left" w:pos="1540"/>
      </w:tabs>
      <w:overflowPunct w:val="0"/>
      <w:snapToGrid w:val="0"/>
      <w:spacing w:line="360" w:lineRule="auto"/>
      <w:ind w:firstLine="1040"/>
      <w:jc w:val="left"/>
    </w:pPr>
    <w:rPr>
      <w:rFonts w:ascii="Arial" w:hAnsi="Arial"/>
      <w:sz w:val="24"/>
      <w:szCs w:val="20"/>
    </w:rPr>
  </w:style>
  <w:style w:type="paragraph" w:customStyle="1" w:styleId="84">
    <w:name w:val="表格文字"/>
    <w:basedOn w:val="11"/>
    <w:qFormat/>
    <w:uiPriority w:val="0"/>
    <w:pPr>
      <w:jc w:val="center"/>
    </w:pPr>
    <w:rPr>
      <w:rFonts w:ascii="仿宋_GB2312" w:hAnsi="Arial Black" w:eastAsia="仿宋_GB2312"/>
      <w:kern w:val="44"/>
      <w:lang w:val="zh-CN"/>
    </w:rPr>
  </w:style>
  <w:style w:type="paragraph" w:customStyle="1" w:styleId="85">
    <w:name w:val="样式 报告书正文 + 小三 加粗 首行缩进:  0 厘米 行距: 固定值 25 磅"/>
    <w:basedOn w:val="1"/>
    <w:qFormat/>
    <w:uiPriority w:val="0"/>
    <w:pPr>
      <w:adjustRightInd w:val="0"/>
      <w:snapToGrid w:val="0"/>
      <w:spacing w:line="500" w:lineRule="exact"/>
      <w:jc w:val="left"/>
      <w:textAlignment w:val="baseline"/>
    </w:pPr>
    <w:rPr>
      <w:rFonts w:cs="宋体"/>
      <w:b/>
      <w:bCs/>
      <w:kern w:val="0"/>
      <w:sz w:val="28"/>
      <w:szCs w:val="20"/>
    </w:rPr>
  </w:style>
  <w:style w:type="paragraph" w:customStyle="1" w:styleId="86">
    <w:name w:val="表格 32"/>
    <w:basedOn w:val="1"/>
    <w:qFormat/>
    <w:uiPriority w:val="0"/>
    <w:pPr>
      <w:widowControl/>
      <w:autoSpaceDE w:val="0"/>
      <w:autoSpaceDN w:val="0"/>
      <w:adjustRightInd w:val="0"/>
      <w:snapToGrid w:val="0"/>
      <w:spacing w:line="360" w:lineRule="auto"/>
      <w:jc w:val="center"/>
      <w:textAlignment w:val="baseline"/>
    </w:pPr>
    <w:rPr>
      <w:rFonts w:eastAsia="楷体_GB2312" w:cs="黑体"/>
      <w:kern w:val="0"/>
      <w:sz w:val="24"/>
    </w:rPr>
  </w:style>
  <w:style w:type="paragraph" w:customStyle="1" w:styleId="87">
    <w:name w:val="列出段落1"/>
    <w:basedOn w:val="1"/>
    <w:qFormat/>
    <w:uiPriority w:val="34"/>
    <w:pPr>
      <w:widowControl/>
      <w:adjustRightInd w:val="0"/>
      <w:snapToGrid w:val="0"/>
      <w:spacing w:line="360" w:lineRule="auto"/>
      <w:ind w:left="720"/>
      <w:contextualSpacing/>
      <w:jc w:val="left"/>
    </w:pPr>
    <w:rPr>
      <w:rFonts w:cs="宋体"/>
      <w:kern w:val="0"/>
      <w:sz w:val="24"/>
    </w:rPr>
  </w:style>
  <w:style w:type="paragraph" w:customStyle="1" w:styleId="88">
    <w:name w:val="表格内容"/>
    <w:basedOn w:val="1"/>
    <w:next w:val="1"/>
    <w:qFormat/>
    <w:uiPriority w:val="0"/>
    <w:pPr>
      <w:adjustRightInd w:val="0"/>
      <w:jc w:val="center"/>
      <w:textAlignment w:val="baseline"/>
    </w:pPr>
    <w:rPr>
      <w:szCs w:val="21"/>
    </w:rPr>
  </w:style>
  <w:style w:type="paragraph" w:customStyle="1" w:styleId="89">
    <w:name w:val="1正文"/>
    <w:basedOn w:val="1"/>
    <w:qFormat/>
    <w:uiPriority w:val="0"/>
    <w:pPr>
      <w:adjustRightInd/>
      <w:snapToGrid/>
      <w:ind w:firstLine="200"/>
    </w:pPr>
    <w:rPr>
      <w:szCs w:val="20"/>
    </w:rPr>
  </w:style>
  <w:style w:type="paragraph" w:customStyle="1" w:styleId="90">
    <w:name w:val="111表头"/>
    <w:basedOn w:val="1"/>
    <w:qFormat/>
    <w:uiPriority w:val="0"/>
    <w:pPr>
      <w:tabs>
        <w:tab w:val="left" w:pos="600"/>
      </w:tabs>
      <w:adjustRightInd/>
      <w:snapToGrid/>
      <w:spacing w:line="400" w:lineRule="exact"/>
      <w:ind w:firstLine="0" w:firstLineChars="0"/>
      <w:jc w:val="center"/>
    </w:pPr>
    <w:rPr>
      <w:b/>
    </w:rPr>
  </w:style>
  <w:style w:type="paragraph" w:customStyle="1" w:styleId="91">
    <w:name w:val="_Style 13"/>
    <w:qFormat/>
    <w:uiPriority w:val="0"/>
    <w:rPr>
      <w:rFonts w:ascii="宋体" w:hAnsi="宋体" w:eastAsia="宋体" w:cs="宋体"/>
      <w:sz w:val="24"/>
      <w:szCs w:val="24"/>
      <w:lang w:val="en-US" w:eastAsia="zh-CN" w:bidi="ar-SA"/>
    </w:rPr>
  </w:style>
  <w:style w:type="paragraph" w:customStyle="1" w:styleId="92">
    <w:name w:val="表格标题"/>
    <w:basedOn w:val="1"/>
    <w:next w:val="88"/>
    <w:qFormat/>
    <w:uiPriority w:val="0"/>
    <w:pPr>
      <w:keepLines/>
      <w:spacing w:line="360" w:lineRule="auto"/>
      <w:jc w:val="center"/>
    </w:pPr>
    <w:rPr>
      <w:b/>
      <w:szCs w:val="24"/>
    </w:rPr>
  </w:style>
  <w:style w:type="paragraph" w:customStyle="1" w:styleId="93">
    <w:name w:val="p0"/>
    <w:basedOn w:val="1"/>
    <w:qFormat/>
    <w:uiPriority w:val="0"/>
    <w:pPr>
      <w:widowControl/>
      <w:jc w:val="left"/>
    </w:pPr>
    <w:rPr>
      <w:rFonts w:ascii="宋体" w:hAnsi="宋体"/>
      <w:kern w:val="0"/>
      <w:sz w:val="24"/>
      <w:szCs w:val="20"/>
    </w:rPr>
  </w:style>
  <w:style w:type="paragraph" w:customStyle="1" w:styleId="94">
    <w:name w:val="A正文"/>
    <w:basedOn w:val="1"/>
    <w:qFormat/>
    <w:uiPriority w:val="0"/>
    <w:pPr>
      <w:spacing w:line="360" w:lineRule="auto"/>
      <w:ind w:firstLine="480" w:firstLineChars="200"/>
    </w:pPr>
    <w:rPr>
      <w:rFonts w:ascii="Times New Roman" w:hAnsi="Times New Roman"/>
      <w:kern w:val="0"/>
      <w:sz w:val="24"/>
      <w:szCs w:val="24"/>
    </w:rPr>
  </w:style>
  <w:style w:type="paragraph" w:customStyle="1" w:styleId="95">
    <w:name w:val="表格内文字"/>
    <w:basedOn w:val="8"/>
    <w:qFormat/>
    <w:uiPriority w:val="0"/>
    <w:pPr>
      <w:adjustRightInd w:val="0"/>
      <w:snapToGrid w:val="0"/>
      <w:spacing w:line="240" w:lineRule="auto"/>
      <w:ind w:firstLine="0" w:firstLineChars="0"/>
      <w:jc w:val="center"/>
    </w:pPr>
    <w:rPr>
      <w:rFonts w:hint="eastAsia"/>
      <w:color w:val="auto"/>
      <w:sz w:val="21"/>
    </w:rPr>
  </w:style>
  <w:style w:type="paragraph" w:customStyle="1" w:styleId="96">
    <w:name w:val="环表头"/>
    <w:basedOn w:val="1"/>
    <w:qFormat/>
    <w:uiPriority w:val="0"/>
    <w:pPr>
      <w:spacing w:line="480" w:lineRule="exact"/>
      <w:jc w:val="center"/>
    </w:pPr>
    <w:rPr>
      <w:rFonts w:hAnsi="宋体"/>
      <w:b/>
      <w:iCs/>
      <w:snapToGrid w:val="0"/>
      <w:color w:val="000000"/>
      <w:szCs w:val="21"/>
    </w:rPr>
  </w:style>
  <w:style w:type="paragraph" w:customStyle="1" w:styleId="97">
    <w:name w:val="+正文"/>
    <w:basedOn w:val="1"/>
    <w:qFormat/>
    <w:uiPriority w:val="0"/>
    <w:pPr>
      <w:spacing w:line="360" w:lineRule="auto"/>
      <w:ind w:firstLine="200" w:firstLineChars="200"/>
    </w:pPr>
    <w:rPr>
      <w:sz w:val="24"/>
      <w:szCs w:val="28"/>
    </w:rPr>
  </w:style>
  <w:style w:type="paragraph" w:customStyle="1" w:styleId="98">
    <w:name w:val="中文报告书样式"/>
    <w:basedOn w:val="1"/>
    <w:qFormat/>
    <w:uiPriority w:val="0"/>
    <w:pPr>
      <w:adjustRightInd w:val="0"/>
      <w:spacing w:line="480" w:lineRule="atLeast"/>
      <w:ind w:firstLine="482"/>
      <w:textAlignment w:val="baseline"/>
    </w:pPr>
    <w:rPr>
      <w:kern w:val="24"/>
      <w:sz w:val="24"/>
      <w:szCs w:val="20"/>
    </w:rPr>
  </w:style>
  <w:style w:type="character" w:customStyle="1" w:styleId="99">
    <w:name w:val="input-icon"/>
    <w:basedOn w:val="29"/>
    <w:qFormat/>
    <w:uiPriority w:val="0"/>
  </w:style>
  <w:style w:type="character" w:customStyle="1" w:styleId="100">
    <w:name w:val="checkbox"/>
    <w:basedOn w:val="29"/>
    <w:qFormat/>
    <w:uiPriority w:val="0"/>
  </w:style>
  <w:style w:type="character" w:customStyle="1" w:styleId="101">
    <w:name w:val="before"/>
    <w:basedOn w:val="29"/>
    <w:qFormat/>
    <w:uiPriority w:val="0"/>
    <w:rPr>
      <w:rFonts w:hint="default" w:ascii="FontAwesome" w:hAnsi="FontAwesome" w:eastAsia="FontAwesome" w:cs="FontAwesome"/>
      <w:color w:val="888888"/>
      <w:sz w:val="18"/>
      <w:szCs w:val="18"/>
    </w:rPr>
  </w:style>
  <w:style w:type="character" w:customStyle="1" w:styleId="102">
    <w:name w:val="before1"/>
    <w:basedOn w:val="29"/>
    <w:qFormat/>
    <w:uiPriority w:val="0"/>
    <w:rPr>
      <w:rFonts w:hint="default" w:ascii="FontAwesome" w:hAnsi="FontAwesome" w:eastAsia="FontAwesome" w:cs="FontAwesome"/>
      <w:color w:val="888888"/>
      <w:sz w:val="18"/>
      <w:szCs w:val="18"/>
    </w:rPr>
  </w:style>
  <w:style w:type="character" w:customStyle="1" w:styleId="103">
    <w:name w:val="ui-icon10"/>
    <w:basedOn w:val="29"/>
    <w:qFormat/>
    <w:uiPriority w:val="0"/>
  </w:style>
  <w:style w:type="character" w:customStyle="1" w:styleId="104">
    <w:name w:val="ui-jqgrid-resize"/>
    <w:basedOn w:val="29"/>
    <w:qFormat/>
    <w:uiPriority w:val="0"/>
  </w:style>
  <w:style w:type="character" w:customStyle="1" w:styleId="105">
    <w:name w:val="ui-jqgrid-resize1"/>
    <w:basedOn w:val="29"/>
    <w:qFormat/>
    <w:uiPriority w:val="0"/>
  </w:style>
  <w:style w:type="paragraph" w:customStyle="1" w:styleId="106">
    <w:name w:val="表内正文"/>
    <w:basedOn w:val="1"/>
    <w:qFormat/>
    <w:uiPriority w:val="0"/>
    <w:pPr>
      <w:wordWrap w:val="0"/>
      <w:spacing w:line="360" w:lineRule="auto"/>
      <w:ind w:firstLine="1044" w:firstLineChars="200"/>
      <w:jc w:val="left"/>
    </w:pPr>
    <w:rPr>
      <w:rFonts w:hint="eastAsia"/>
      <w:kern w:val="0"/>
      <w:sz w:val="20"/>
      <w:szCs w:val="20"/>
    </w:rPr>
  </w:style>
  <w:style w:type="paragraph" w:customStyle="1" w:styleId="107">
    <w:name w:val="正文最终"/>
    <w:qFormat/>
    <w:uiPriority w:val="0"/>
    <w:pPr>
      <w:widowControl w:val="0"/>
      <w:snapToGrid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08">
    <w:name w:val="君邦正文"/>
    <w:autoRedefine/>
    <w:qFormat/>
    <w:uiPriority w:val="0"/>
    <w:pPr>
      <w:spacing w:after="60" w:line="360" w:lineRule="auto"/>
      <w:ind w:firstLine="480" w:firstLineChars="200"/>
      <w:jc w:val="both"/>
    </w:pPr>
    <w:rPr>
      <w:rFonts w:ascii="等线" w:hAnsi="等线" w:eastAsia="等线" w:cs="Times New Roman"/>
      <w:bCs/>
      <w:snapToGrid w:val="0"/>
      <w:sz w:val="24"/>
      <w:lang w:val="en-US" w:eastAsia="zh-CN" w:bidi="ar-SA"/>
    </w:rPr>
  </w:style>
  <w:style w:type="paragraph" w:customStyle="1" w:styleId="109">
    <w:name w:val="表格头"/>
    <w:basedOn w:val="1"/>
    <w:qFormat/>
    <w:uiPriority w:val="0"/>
    <w:pPr>
      <w:spacing w:line="440" w:lineRule="exact"/>
      <w:ind w:firstLine="0" w:firstLineChars="0"/>
      <w:jc w:val="center"/>
    </w:pPr>
    <w:rPr>
      <w:rFonts w:hint="eastAsia" w:ascii="Times New Roman" w:hAnsi="Times New Roman" w:eastAsia="宋体" w:cs="Times New Roman"/>
      <w:b/>
      <w:bCs/>
      <w:iCs/>
      <w:color w:val="00B0F0"/>
    </w:rPr>
  </w:style>
  <w:style w:type="paragraph" w:customStyle="1" w:styleId="110">
    <w:name w:val="Table Text"/>
    <w:basedOn w:val="1"/>
    <w:semiHidden/>
    <w:qFormat/>
    <w:uiPriority w:val="0"/>
    <w:pPr>
      <w:widowControl/>
      <w:kinsoku w:val="0"/>
      <w:autoSpaceDE w:val="0"/>
      <w:autoSpaceDN w:val="0"/>
      <w:adjustRightInd w:val="0"/>
      <w:snapToGrid w:val="0"/>
      <w:jc w:val="left"/>
      <w:textAlignment w:val="baseline"/>
    </w:pPr>
    <w:rPr>
      <w:rFonts w:eastAsia="Times New Roman"/>
      <w:snapToGrid w:val="0"/>
      <w:color w:val="000000"/>
      <w:kern w:val="0"/>
      <w:sz w:val="19"/>
      <w:szCs w:val="19"/>
      <w:lang w:eastAsia="en-US"/>
    </w:rPr>
  </w:style>
  <w:style w:type="character" w:customStyle="1" w:styleId="111">
    <w:name w:val="报告书-正文 Char"/>
    <w:link w:val="112"/>
    <w:qFormat/>
    <w:uiPriority w:val="0"/>
    <w:rPr>
      <w:rFonts w:ascii="Times New Roman" w:hAnsi="Times New Roman" w:eastAsia="宋体" w:cs="Times New Roman"/>
      <w:color w:val="00B0F0"/>
      <w:sz w:val="24"/>
      <w:szCs w:val="24"/>
    </w:rPr>
  </w:style>
  <w:style w:type="paragraph" w:customStyle="1" w:styleId="112">
    <w:name w:val="报告书-正文"/>
    <w:basedOn w:val="1"/>
    <w:link w:val="111"/>
    <w:qFormat/>
    <w:uiPriority w:val="0"/>
    <w:pPr>
      <w:spacing w:line="440" w:lineRule="exact"/>
      <w:ind w:firstLine="643" w:firstLineChars="200"/>
    </w:pPr>
    <w:rPr>
      <w:rFonts w:ascii="Times New Roman" w:hAnsi="Times New Roman" w:eastAsia="宋体" w:cs="Times New Roman"/>
      <w:color w:val="00B0F0"/>
      <w:sz w:val="24"/>
      <w:szCs w:val="24"/>
    </w:rPr>
  </w:style>
  <w:style w:type="paragraph" w:customStyle="1" w:styleId="113">
    <w:name w:val="表格1"/>
    <w:basedOn w:val="1"/>
    <w:qFormat/>
    <w:uiPriority w:val="0"/>
    <w:pPr>
      <w:snapToGrid w:val="0"/>
      <w:spacing w:before="20" w:beforeLines="10" w:after="20" w:afterLines="10"/>
      <w:jc w:val="center"/>
    </w:pPr>
    <w:rPr>
      <w:rFonts w:cs="Calibri"/>
      <w:color w:val="000000"/>
      <w:sz w:val="18"/>
    </w:rPr>
  </w:style>
  <w:style w:type="paragraph" w:styleId="114">
    <w:name w:val="No Spacing"/>
    <w:qFormat/>
    <w:uiPriority w:val="0"/>
    <w:pPr>
      <w:widowControl w:val="0"/>
      <w:jc w:val="both"/>
    </w:pPr>
    <w:rPr>
      <w:rFonts w:asciiTheme="minorHAnsi" w:hAnsiTheme="minorHAnsi" w:eastAsiaTheme="minorEastAsia" w:cstheme="minorBidi"/>
      <w:kern w:val="2"/>
      <w:sz w:val="24"/>
      <w:szCs w:val="22"/>
      <w:lang w:val="en-US" w:eastAsia="zh-CN" w:bidi="ar-SA"/>
    </w:rPr>
  </w:style>
  <w:style w:type="table" w:customStyle="1" w:styleId="115">
    <w:name w:val="网格型1"/>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6">
    <w:name w:val="最终正文"/>
    <w:basedOn w:val="1"/>
    <w:qFormat/>
    <w:uiPriority w:val="0"/>
    <w:pPr>
      <w:spacing w:line="360" w:lineRule="auto"/>
      <w:ind w:firstLine="560" w:firstLineChars="200"/>
    </w:pPr>
    <w:rPr>
      <w:rFonts w:ascii="Calibri" w:hAnsi="Calibri"/>
      <w:color w:val="000000" w:themeColor="text1"/>
      <w:sz w:val="20"/>
      <w:szCs w:val="20"/>
      <w14:textFill>
        <w14:solidFill>
          <w14:schemeClr w14:val="tx1"/>
        </w14:solidFill>
      </w14:textFill>
    </w:rPr>
  </w:style>
  <w:style w:type="paragraph" w:customStyle="1" w:styleId="117">
    <w:name w:val="表、图标题"/>
    <w:basedOn w:val="1"/>
    <w:qFormat/>
    <w:uiPriority w:val="0"/>
    <w:pPr>
      <w:adjustRightInd w:val="0"/>
      <w:snapToGrid w:val="0"/>
      <w:jc w:val="center"/>
    </w:pPr>
    <w:rPr>
      <w:b/>
      <w:bCs/>
      <w:kern w:val="0"/>
      <w:szCs w:val="18"/>
    </w:rPr>
  </w:style>
  <w:style w:type="paragraph" w:customStyle="1" w:styleId="118">
    <w:name w:val="表文字"/>
    <w:basedOn w:val="1"/>
    <w:qFormat/>
    <w:uiPriority w:val="99"/>
    <w:pPr>
      <w:widowControl/>
      <w:jc w:val="center"/>
    </w:pPr>
    <w:rPr>
      <w:kern w:val="0"/>
      <w:szCs w:val="21"/>
    </w:rPr>
  </w:style>
  <w:style w:type="paragraph" w:customStyle="1" w:styleId="119">
    <w:name w:val="表格正文"/>
    <w:basedOn w:val="8"/>
    <w:next w:val="1"/>
    <w:qFormat/>
    <w:uiPriority w:val="0"/>
    <w:pPr>
      <w:spacing w:line="360" w:lineRule="exact"/>
      <w:jc w:val="center"/>
    </w:pPr>
  </w:style>
  <w:style w:type="paragraph" w:customStyle="1" w:styleId="120">
    <w:name w:val="H的表格内容"/>
    <w:basedOn w:val="1"/>
    <w:autoRedefine/>
    <w:qFormat/>
    <w:uiPriority w:val="0"/>
    <w:pPr>
      <w:spacing w:line="240" w:lineRule="auto"/>
      <w:ind w:firstLine="0" w:firstLineChars="0"/>
      <w:jc w:val="center"/>
    </w:pPr>
    <w:rPr>
      <w:rFonts w:ascii="Times New Roman" w:hAnsi="Times New Roman" w:eastAsia="宋体" w:cs="Times New Roman"/>
      <w:color w:val="auto"/>
      <w:sz w:val="21"/>
      <w:szCs w:val="21"/>
      <w:lang w:eastAsia="zh-CN"/>
    </w:rPr>
  </w:style>
  <w:style w:type="paragraph" w:customStyle="1" w:styleId="121">
    <w:name w:val="H报告表正文"/>
    <w:basedOn w:val="1"/>
    <w:autoRedefine/>
    <w:qFormat/>
    <w:uiPriority w:val="0"/>
    <w:pPr>
      <w:spacing w:line="360" w:lineRule="auto"/>
      <w:ind w:firstLine="720" w:firstLineChars="200"/>
      <w:jc w:val="both"/>
    </w:pPr>
    <w:rPr>
      <w:rFonts w:ascii="Times New Roman" w:hAnsi="Times New Roman" w:eastAsia="宋体" w:cstheme="minorBidi"/>
      <w:sz w:val="24"/>
      <w:szCs w:val="24"/>
      <w:lang w:eastAsia="en-US"/>
    </w:rPr>
  </w:style>
  <w:style w:type="paragraph" w:customStyle="1" w:styleId="122">
    <w:name w:val="图表"/>
    <w:basedOn w:val="1"/>
    <w:autoRedefine/>
    <w:qFormat/>
    <w:uiPriority w:val="0"/>
    <w:pPr>
      <w:spacing w:line="360" w:lineRule="auto"/>
      <w:ind w:firstLine="0" w:firstLineChars="0"/>
      <w:jc w:val="center"/>
    </w:pPr>
    <w:rPr>
      <w:rFonts w:ascii="宋体" w:hAnsi="宋体" w:eastAsia="宋体" w:cs="宋体"/>
      <w:b/>
      <w:color w:val="000000"/>
      <w:sz w:val="24"/>
      <w:szCs w:val="21"/>
      <w:lang w:val="zh-CN" w:bidi="zh-CN"/>
    </w:rPr>
  </w:style>
  <w:style w:type="paragraph" w:customStyle="1" w:styleId="123">
    <w:name w:val="第三章表标题编号"/>
    <w:basedOn w:val="124"/>
    <w:autoRedefine/>
    <w:qFormat/>
    <w:uiPriority w:val="0"/>
    <w:pPr>
      <w:numPr>
        <w:ilvl w:val="0"/>
        <w:numId w:val="3"/>
      </w:numPr>
    </w:pPr>
    <w:rPr>
      <w:lang w:eastAsia="zh-CN"/>
    </w:rPr>
  </w:style>
  <w:style w:type="paragraph" w:customStyle="1" w:styleId="124">
    <w:name w:val="H的表头"/>
    <w:basedOn w:val="1"/>
    <w:autoRedefine/>
    <w:qFormat/>
    <w:uiPriority w:val="0"/>
    <w:pPr>
      <w:widowControl/>
      <w:spacing w:line="360" w:lineRule="auto"/>
      <w:ind w:firstLine="0" w:firstLineChars="0"/>
      <w:jc w:val="center"/>
    </w:pPr>
    <w:rPr>
      <w:rFonts w:ascii="Times New Roman" w:hAnsi="Times New Roman" w:eastAsia="宋体" w:cs="Times New Roman"/>
      <w:b/>
      <w:bCs/>
      <w:color w:val="auto"/>
      <w:sz w:val="21"/>
      <w:szCs w:val="21"/>
      <w:lang w:bidi="ar"/>
    </w:rPr>
  </w:style>
  <w:style w:type="paragraph" w:customStyle="1" w:styleId="125">
    <w:name w:val="第四章表标题编号"/>
    <w:basedOn w:val="123"/>
    <w:autoRedefine/>
    <w:qFormat/>
    <w:uiPriority w:val="0"/>
    <w:pPr>
      <w:numPr>
        <w:numId w:val="4"/>
      </w:numPr>
    </w:pPr>
  </w:style>
  <w:style w:type="paragraph" w:customStyle="1" w:styleId="126">
    <w:name w:val="正文_1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7">
    <w:name w:val="正文_16"/>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8.wmf"/><Relationship Id="rId24" Type="http://schemas.openxmlformats.org/officeDocument/2006/relationships/oleObject" Target="embeddings/oleObject1.bin"/><Relationship Id="rId23" Type="http://schemas.openxmlformats.org/officeDocument/2006/relationships/image" Target="media/image17.png"/><Relationship Id="rId22" Type="http://schemas.openxmlformats.org/officeDocument/2006/relationships/image" Target="media/image16.wmf"/><Relationship Id="rId21" Type="http://schemas.openxmlformats.org/officeDocument/2006/relationships/image" Target="media/image15.wmf"/><Relationship Id="rId20" Type="http://schemas.openxmlformats.org/officeDocument/2006/relationships/image" Target="media/image14.wmf"/><Relationship Id="rId2" Type="http://schemas.openxmlformats.org/officeDocument/2006/relationships/settings" Target="settings.xml"/><Relationship Id="rId19" Type="http://schemas.openxmlformats.org/officeDocument/2006/relationships/image" Target="media/image13.wmf"/><Relationship Id="rId18" Type="http://schemas.openxmlformats.org/officeDocument/2006/relationships/image" Target="media/image12.wmf"/><Relationship Id="rId17" Type="http://schemas.openxmlformats.org/officeDocument/2006/relationships/image" Target="media/image11.wmf"/><Relationship Id="rId16" Type="http://schemas.openxmlformats.org/officeDocument/2006/relationships/image" Target="media/image10.png"/><Relationship Id="rId15" Type="http://schemas.openxmlformats.org/officeDocument/2006/relationships/image" Target="media/image9.wmf"/><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NTQwNTY1OTQ3MjM5IiwKCSJHcm91cElkIiA6ICIxNDM2NTExNTQyIiwKCSJJbWFnZSIgOiAiIiwKCSJUaGVtZSIgOiAiIiwKCSJUeXBlIiA6ICJmbG93IiwKCSJVc2VySWQiIDogIiIsCgkiVmVyc2lvbiIgOiAiIgp9Cg=="/>
    </extobj>
    <extobj name="ECB019B1-382A-4266-B25C-5B523AA43C14-2">
      <extobjdata type="ECB019B1-382A-4266-B25C-5B523AA43C14" data="ewoJIkZpbGVJZCIgOiAiNTQwNzY0MjQ2OTMzIiwKCSJHcm91cElkIiA6ICIxNDM2NTExNTQyIiwKCSJJbWFnZSIgOiAiIiwKCSJUaGVtZSIgOiAiIiwKCSJUeXBlIiA6ICJmbG93IiwKCSJVc2VySWQiIDogIiIsCgkiVmVyc2lvbiIgOiAiIgp9Cg=="/>
    </extobj>
  </extobjs>
</s:customData>
</file>

<file path=customXml/item2.xml><?xml version="1.0" encoding="utf-8"?>
<contractReview xmlns="http://schemas.wps.cn/vas-ai-hub/contract-review">
  <reviewItems>
    <reviewItem>
      <errorID>cc45ac0b-dd93-4d6f-aafa-a25392ecd5c1</errorID>
      <errorWord>拌和</errorWord>
      <group>L1_Word</group>
      <groupName>字词问题</groupName>
      <ability>L2_Typo</ability>
      <abilityName>字词错误</abilityName>
      <candidateList>
        <item>拌合</item>
      </candidateList>
      <explain>存在发音相同字词的误用。</explain>
      <paraID> 73FFE27</paraID>
      <start>15</start>
      <end>17</end>
      <status>ignored</status>
      <modifiedWord/>
      <trackRevisions>false</trackRevisions>
    </reviewItem>
    <reviewItem>
      <errorID>9be63bb7-8e0e-4ac1-bee6-cb530b58cde4</errorID>
      <errorWord>：/</errorWord>
      <group>L1_Punc</group>
      <groupName>标点问题</groupName>
      <ability>L2_Punc_CN</ability>
      <abilityName>标点符号问题</abilityName>
      <candidateList>
        <item>：</item>
      </candidateList>
      <explain/>
      <paraID>441A1586</paraID>
      <start>4</start>
      <end>6</end>
      <status>ignored</status>
      <modifiedWord/>
      <trackRevisions>false</trackRevisions>
    </reviewItem>
    <reviewItem>
      <errorID>40a00264-dc82-4882-b272-0a2e726fa9e2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2DAF28A2</paraID>
      <start>0</start>
      <end>2</end>
      <status>ignored</status>
      <modifiedWord/>
      <trackRevisions>false</trackRevisions>
    </reviewItem>
    <reviewItem>
      <errorID>6ba61cdd-e47b-4a46-b893-8628ce2ef78b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4E1E57E6</paraID>
      <start>0</start>
      <end>2</end>
      <status>ignored</status>
      <modifiedWord/>
      <trackRevisions>false</trackRevisions>
    </reviewItem>
    <reviewItem>
      <errorID>26c8bdfc-3710-412e-87e5-4aa16e30144f</errorID>
      <errorWord>《产业结构调整指导目录》（2024年本）</errorWord>
      <group>L1_Knowledge</group>
      <groupName>知识性问题</groupName>
      <ability>L2_Knowledge</ability>
      <abilityName>其他知识</abilityName>
      <candidateList>
        <item>《产业结构调整指导目录（2024年本）》</item>
      </candidateList>
      <explain>疑似政策文件、法律法规名称等书写不规范，请注意检查。</explain>
      <paraID>1D6709F1</paraID>
      <start>31</start>
      <end>51</end>
      <status>ignored</status>
      <modifiedWord/>
      <trackRevisions>false</trackRevisions>
    </reviewItem>
    <reviewItem>
      <errorID>90aeba2b-6246-45bb-87c2-229592032b18</errorID>
      <errorWord>(</errorWord>
      <group>L1_Format</group>
      <groupName>格式问题</groupName>
      <ability>L2_HalfPunc_CN</ability>
      <abilityName>全半角问题</abilityName>
      <candidateList>
        <item>（</item>
      </candidateList>
      <explain>文本全半角错误。</explain>
      <paraID>1F648161</paraID>
      <start>78</start>
      <end>79</end>
      <status>ignored</status>
      <modifiedWord/>
      <trackRevisions>false</trackRevisions>
    </reviewItem>
    <reviewItem>
      <errorID>70fc87f9-3fb5-4f25-b04b-297e2e4761d5</errorID>
      <errorWord>)</errorWord>
      <group>L1_Format</group>
      <groupName>格式问题</groupName>
      <ability>L2_HalfPunc_CN</ability>
      <abilityName>全半角问题</abilityName>
      <candidateList>
        <item>）</item>
      </candidateList>
      <explain>文本全半角错误。</explain>
      <paraID>1F648161</paraID>
      <start>91</start>
      <end>92</end>
      <status>ignored</status>
      <modifiedWord/>
      <trackRevisions>false</trackRevisions>
    </reviewItem>
    <reviewItem>
      <errorID>a3e84c22-ac2e-47fc-a6d4-2d06cdf7be76</errorID>
      <errorWord>靠、有效</errorWord>
      <group>L1_Grammar</group>
      <groupName>语法问题</groupName>
      <ability>L2_Collocation</ability>
      <abilityName>搭配不当</abilityName>
      <candidateList>
        <item>靠</item>
      </candidateList>
      <explain>句子中可能存在主谓、动宾、定语中心语、状语中心语、补语中心语、关联词搭配不当等问题。</explain>
      <paraID>555C8BAE</paraID>
      <start>22</start>
      <end>26</end>
      <status>ignored</status>
      <modifiedWord/>
      <trackRevisions>false</trackRevisions>
    </reviewItem>
    <reviewItem>
      <errorID>b224c426-1f47-4eed-ba27-cbc00671e97f</errorID>
      <errorWord>进行</errorWord>
      <group>L1_Word</group>
      <groupName>字词问题</groupName>
      <ability>L2_Typo</ability>
      <abilityName>字词错误</abilityName>
      <candidateList>
        <item>实行</item>
      </candidateList>
      <explain>〈动〉用行动来实现（纲领、政策、计划等）：～改革｜～承包责任制。</explain>
      <paraID> E1D87BB</paraID>
      <start>3</start>
      <end>5</end>
      <status>modified</status>
      <modifiedWord>实行</modifiedWord>
      <trackRevisions>false</trackRevisions>
    </reviewItem>
    <reviewItem>
      <errorID>c6112a02-90b0-4c90-9312-2630d6916d02</errorID>
      <errorWord>，</errorWord>
      <group>L1_Grammar</group>
      <groupName>语法问题</groupName>
      <ability>L2_Collocation</ability>
      <abilityName>搭配不当</abilityName>
      <candidateList>
        <item>建设，</item>
      </candidateList>
      <explain>句子中可能存在主谓、动宾、定语中心语、状语中心语、补语中心语、关联词搭配不当等问题。</explain>
      <paraID> E1D87BB</paraID>
      <start>14</start>
      <end>15</end>
      <status>ignored</status>
      <modifiedWord/>
      <trackRevisions>false</trackRevisions>
    </reviewItem>
    <reviewItem>
      <errorID>7bc04bc1-7647-4db5-9254-ff4d72534292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1BA9B936</paraID>
      <start>0</start>
      <end>2</end>
      <status>ignored</status>
      <modifiedWord/>
      <trackRevisions>false</trackRevisions>
    </reviewItem>
    <reviewItem>
      <errorID>b2dc14d5-6b71-4d3e-a6ea-fb9aeec0d3b5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14E1772</paraID>
      <start>0</start>
      <end>2</end>
      <status>ignored</status>
      <modifiedWord/>
      <trackRevisions>false</trackRevisions>
    </reviewItem>
    <reviewItem>
      <errorID>847fd185-c1af-4281-a400-5856460d9dae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9E41585</paraID>
      <start>0</start>
      <end>2</end>
      <status>ignored</status>
      <modifiedWord/>
      <trackRevisions>false</trackRevisions>
    </reviewItem>
    <reviewItem>
      <errorID>deb54902-7593-405e-b5cf-40ac2be5f011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4C626320</paraID>
      <start>0</start>
      <end>2</end>
      <status>ignored</status>
      <modifiedWord/>
      <trackRevisions>false</trackRevisions>
    </reviewItem>
    <reviewItem>
      <errorID>15bebf21-58c9-4823-89c1-e717576e8b98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3612FBB3</paraID>
      <start>0</start>
      <end>2</end>
      <status>ignored</status>
      <modifiedWord/>
      <trackRevisions>false</trackRevisions>
    </reviewItem>
    <reviewItem>
      <errorID>d8e4eac5-08c9-4020-8335-9ee6e89a368b</errorID>
      <errorWord>报告中</errorWord>
      <group>L1_Word</group>
      <groupName>字词问题</groupName>
      <ability>L2_Typo</ability>
      <abilityName>字词错误</abilityName>
      <candidateList>
        <item>报告</item>
      </candidateList>
      <explain>❶〈动〉把事情或意见正式告诉上级或群众：你应当把事情的经过向领导～｜大会主席～了开会宗旨。❷〈名〉用口头或书面的形式向上级或群众所做的正式陈述：总结～｜动员～。</explain>
      <paraID>3612FBB3</paraID>
      <start>10</start>
      <end>13</end>
      <status>ignored</status>
      <modifiedWord/>
      <trackRevisions>false</trackRevisions>
    </reviewItem>
    <reviewItem>
      <errorID>0cf43a8d-bbfd-46be-b01b-7b225a5273fd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4C8C14DC</paraID>
      <start>0</start>
      <end>2</end>
      <status>ignored</status>
      <modifiedWord/>
      <trackRevisions>false</trackRevisions>
    </reviewItem>
    <reviewItem>
      <errorID>065ccbda-de44-468b-9644-53f188d7e80b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19BD2C22</paraID>
      <start>0</start>
      <end>2</end>
      <status>ignored</status>
      <modifiedWord/>
      <trackRevisions>false</trackRevisions>
    </reviewItem>
    <reviewItem>
      <errorID>cbf61d50-c4be-43bd-8a0b-47a44661c618</errorID>
      <errorWord>《产业结构调整指导目录》（2024年本）</errorWord>
      <group>L1_Knowledge</group>
      <groupName>知识性问题</groupName>
      <ability>L2_Knowledge</ability>
      <abilityName>其他知识</abilityName>
      <candidateList>
        <item>《产业结构调整指导目录（2024年本）》</item>
      </candidateList>
      <explain>疑似政策文件、法律法规名称等书写不规范，请注意检查。</explain>
      <paraID>1D40EE77</paraID>
      <start>31</start>
      <end>51</end>
      <status>ignored</status>
      <modifiedWord/>
      <trackRevisions>false</trackRevisions>
    </reviewItem>
    <reviewItem>
      <errorID>196cbdae-4b78-4fb0-a099-25f2d8eda026</errorID>
      <errorWord>《产业结构调整指导目录》（2024年本）</errorWord>
      <group>L1_Knowledge</group>
      <groupName>知识性问题</groupName>
      <ability>L2_Knowledge</ability>
      <abilityName>其他知识</abilityName>
      <candidateList>
        <item>《产业结构调整指导目录（2024年本）》</item>
      </candidateList>
      <explain>疑似政策文件、法律法规名称等书写不规范，请注意检查。</explain>
      <paraID>3E55AB2D</paraID>
      <start>31</start>
      <end>51</end>
      <status>ignored</status>
      <modifiedWord/>
      <trackRevisions>false</trackRevisions>
    </reviewItem>
    <reviewItem>
      <errorID>f6e68843-c098-4e5d-b998-6ce957d19fa1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20506F03</paraID>
      <start>0</start>
      <end>2</end>
      <status>ignored</status>
      <modifiedWord/>
      <trackRevisions>false</trackRevisions>
    </reviewItem>
    <reviewItem>
      <errorID>b03a334e-f29a-4163-8f1e-9e5c958778c2</errorID>
      <errorWord>[2016]150号</errorWord>
      <group>L1_Knowledge</group>
      <groupName>知识性问题</groupName>
      <ability>L2_Knowledge</ability>
      <abilityName>其他知识</abilityName>
      <candidateList>
        <item>〔2016〕150号</item>
      </candidateList>
      <explain>发文字号格式错误。</explain>
      <paraID> ACF511A</paraID>
      <start>23</start>
      <end>33</end>
      <status>ignored</status>
      <modifiedWord/>
      <trackRevisions>false</trackRevisions>
    </reviewItem>
    <reviewItem>
      <errorID>1239c006-e131-44de-a49a-c1d55ac2f42e</errorID>
      <errorWord>，，</errorWord>
      <group>L1_Punc</group>
      <groupName>标点问题</groupName>
      <ability>L2_Punc_CN</ability>
      <abilityName>标点符号问题</abilityName>
      <candidateList>
        <item>，</item>
      </candidateList>
      <explain/>
      <paraID>194EAEBA</paraID>
      <start>18</start>
      <end>19</end>
      <status>modified</status>
      <modifiedWord>，</modifiedWord>
      <trackRevisions>false</trackRevisions>
    </reviewItem>
    <reviewItem>
      <errorID>e7c9438e-cab9-4910-9814-eaee7eb0669c</errorID>
      <errorWord>胶粘剂</errorWord>
      <group>L1_Word</group>
      <groupName>字词问题</groupName>
      <ability>L2_Typo</ability>
      <abilityName>字词错误</abilityName>
      <candidateList>
        <item>胶黏剂</item>
      </candidateList>
      <explain/>
      <paraID>2EA062F5</paraID>
      <start>24</start>
      <end>27</end>
      <status>ignored</status>
      <modifiedWord/>
      <trackRevisions>false</trackRevisions>
    </reviewItem>
    <reviewItem>
      <errorID>978c7026-6c42-45c4-b739-f2796f32cfa3</errorID>
      <errorWord>胶粘剂</errorWord>
      <group>L1_Word</group>
      <groupName>字词问题</groupName>
      <ability>L2_Typo</ability>
      <abilityName>字词错误</abilityName>
      <candidateList>
        <item>胶黏剂</item>
      </candidateList>
      <explain/>
      <paraID>650BB13B</paraID>
      <start>23</start>
      <end>26</end>
      <status>ignored</status>
      <modifiedWord/>
      <trackRevisions>false</trackRevisions>
    </reviewItem>
    <reviewItem>
      <errorID>cf27eb1a-9c62-4309-9921-9ea3581aa3f4</errorID>
      <errorWord>应</errorWord>
      <group>L1_Word</group>
      <groupName>字词问题</groupName>
      <ability>L2_Typo</ability>
      <abilityName>字词错误</abilityName>
      <candidateList>
        <item>应进</item>
      </candidateList>
      <explain/>
      <paraID>55FD2413</paraID>
      <start>16</start>
      <end>17</end>
      <status>ignored</status>
      <modifiedWord/>
      <trackRevisions>false</trackRevisions>
    </reviewItem>
    <reviewItem>
      <errorID>96978992-fac1-4d98-9f3b-2a40a41fcd13</errorID>
      <errorWord>理</errorWord>
      <group>L1_Word</group>
      <groupName>字词问题</groupName>
      <ability>L2_Typo</ability>
      <abilityName>字词错误</abilityName>
      <candidateList>
        <item>理设</item>
      </candidateList>
      <explain/>
      <paraID>55FD2413</paraID>
      <start>43</start>
      <end>44</end>
      <status>ignored</status>
      <modifiedWord/>
      <trackRevisions>false</trackRevisions>
    </reviewItem>
    <reviewItem>
      <errorID>9f80eab0-5bd8-44c9-825f-8ff24266c07b</errorID>
      <errorWord>法律、法规</errorWord>
      <group>L1_Word</group>
      <groupName>字词问题</groupName>
      <ability>L2_Typo</ability>
      <abilityName>字词错误</abilityName>
      <candidateList>
        <item>法律法规</item>
      </candidateList>
      <explain/>
      <paraID>323D8DF1</paraID>
      <start>190</start>
      <end>194</end>
      <status>modified</status>
      <modifiedWord>法律法规</modifiedWord>
      <trackRevisions>false</trackRevisions>
    </reviewItem>
    <reviewItem>
      <errorID>a6478708-cecd-4f7e-84fb-67d25d9a693b</errorID>
      <errorWord>III类</errorWord>
      <group>L1_Knowledge</group>
      <groupName>知识性问题</groupName>
      <ability>L2_Knowledge</ability>
      <abilityName>其他知识</abilityName>
      <candidateList>
        <item>Ⅲ类</item>
      </candidateList>
      <explain>中文环境下罗马数字格式错误。</explain>
      <paraID>7394C352</paraID>
      <start>51</start>
      <end>55</end>
      <status>ignored</status>
      <modifiedWord/>
      <trackRevisions>false</trackRevisions>
    </reviewItem>
    <reviewItem>
      <errorID>68b93321-cde4-44e5-b160-d58580baffcd</errorID>
      <errorWord>III类</errorWord>
      <group>L1_Knowledge</group>
      <groupName>知识性问题</groupName>
      <ability>L2_Knowledge</ability>
      <abilityName>其他知识</abilityName>
      <candidateList>
        <item>Ⅲ类</item>
      </candidateList>
      <explain>中文环境下罗马数字格式错误。</explain>
      <paraID>7394C352</paraID>
      <start>116</start>
      <end>120</end>
      <status>ignored</status>
      <modifiedWord/>
      <trackRevisions>false</trackRevisions>
    </reviewItem>
    <reviewItem>
      <errorID>aec68625-fa29-49bc-8685-a4231f63a67d</errorID>
      <errorWord>[2022]97号</errorWord>
      <group>L1_Knowledge</group>
      <groupName>知识性问题</groupName>
      <ability>L2_Knowledge</ability>
      <abilityName>其他知识</abilityName>
      <candidateList>
        <item>〔2022〕97号</item>
      </candidateList>
      <explain>发文字号格式错误。</explain>
      <paraID>29CFCEC2</paraID>
      <start>72</start>
      <end>81</end>
      <status>ignored</status>
      <modifiedWord/>
      <trackRevisions>false</trackRevisions>
    </reviewItem>
    <reviewItem>
      <errorID>e097a2a3-f3a3-4b08-984e-101ad33c83f6</errorID>
      <errorWord>[2022]49号</errorWord>
      <group>L1_Knowledge</group>
      <groupName>知识性问题</groupName>
      <ability>L2_Knowledge</ability>
      <abilityName>其他知识</abilityName>
      <candidateList>
        <item>〔2022〕49号</item>
      </candidateList>
      <explain>发文字号格式错误。</explain>
      <paraID> C6AF971</paraID>
      <start>118</start>
      <end>127</end>
      <status>ignored</status>
      <modifiedWord/>
      <trackRevisions>false</trackRevisions>
    </reviewItem>
    <reviewItem>
      <errorID>78e56f07-3106-4e70-98b3-0461dd4af339</errorID>
      <errorWord>，</errorWord>
      <group>L1_Word</group>
      <groupName>字词问题</groupName>
      <ability>L2_Typo</ability>
      <abilityName>字词错误</abilityName>
      <candidateList>
        <item>，对</item>
      </candidateList>
      <explain/>
      <paraID> C6AF971</paraID>
      <start>225</start>
      <end>226</end>
      <status>ignored</status>
      <modifiedWord/>
      <trackRevisions>false</trackRevisions>
    </reviewItem>
    <reviewItem>
      <errorID>a82a3352-b872-4a1f-946d-2b1c1e08e426</errorID>
      <errorWord>[2023]36号</errorWord>
      <group>L1_Knowledge</group>
      <groupName>知识性问题</groupName>
      <ability>L2_Knowledge</ability>
      <abilityName>其他知识</abilityName>
      <candidateList>
        <item>〔2023〕36号</item>
      </candidateList>
      <explain>发文字号格式错误。</explain>
      <paraID>19D2CB1B</paraID>
      <start>33</start>
      <end>42</end>
      <status>ignored</status>
      <modifiedWord/>
      <trackRevisions>false</trackRevisions>
    </reviewItem>
    <reviewItem>
      <errorID>323d9201-24b7-447e-8ab4-36b5c669f0f3</errorID>
      <errorWord>,</errorWord>
      <group>L1_Format</group>
      <groupName>格式问题</groupName>
      <ability>L2_HalfPunc_CN</ability>
      <abilityName>全半角问题</abilityName>
      <candidateList>
        <item>，</item>
      </candidateList>
      <explain>文本全半角错误。</explain>
      <paraID>3C9BE9E4</paraID>
      <start>25</start>
      <end>26</end>
      <status>modified</status>
      <modifiedWord>，</modifiedWord>
      <trackRevisions>false</trackRevisions>
    </reviewItem>
    <reviewItem>
      <errorID>27993aae-d8a2-4467-ba01-79ba9683eb07</errorID>
      <errorWord>胶粘剂</errorWord>
      <group>L1_Word</group>
      <groupName>字词问题</groupName>
      <ability>L2_Typo</ability>
      <abilityName>字词错误</abilityName>
      <candidateList>
        <item>胶黏剂</item>
      </candidateList>
      <explain/>
      <paraID>5BBC5A36</paraID>
      <start>61</start>
      <end>64</end>
      <status>ignored</status>
      <modifiedWord/>
      <trackRevisions>false</trackRevisions>
    </reviewItem>
    <reviewItem>
      <errorID>be49bfc6-78e7-402b-870c-e78544ca0abc</errorID>
      <errorWord>，</errorWord>
      <group>L1_Word</group>
      <groupName>字词问题</groupName>
      <ability>L2_Typo</ability>
      <abilityName>字词错误</abilityName>
      <candidateList>
        <item>，对</item>
      </candidateList>
      <explain/>
      <paraID>5E4F7550</paraID>
      <start>23</start>
      <end>24</end>
      <status>ignored</status>
      <modifiedWord/>
      <trackRevisions>false</trackRevisions>
    </reviewItem>
    <reviewItem>
      <errorID>5dbea195-6a6f-4bd2-b4e1-3a3e7ff97c12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3940A997</paraID>
      <start>0</start>
      <end>2</end>
      <status>ignored</status>
      <modifiedWord/>
      <trackRevisions>false</trackRevisions>
    </reviewItem>
    <reviewItem>
      <errorID>20ccc364-a590-443f-8ced-c1f8f07909d0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6C1F635</paraID>
      <start>125</start>
      <end>127</end>
      <status>modified</status>
      <modifiedWord>”“</modifiedWord>
      <trackRevisions>false</trackRevisions>
    </reviewItem>
    <reviewItem>
      <errorID>70545646-12a1-434a-adca-9c77f552d96e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6C1F635</paraID>
      <start>130</start>
      <end>132</end>
      <status>modified</status>
      <modifiedWord>”“</modifiedWord>
      <trackRevisions>false</trackRevisions>
    </reviewItem>
    <reviewItem>
      <errorID>2d8d6be3-5572-4ee7-8fcc-190d23e8efb7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7ED58E25</paraID>
      <start>0</start>
      <end>2</end>
      <status>ignored</status>
      <modifiedWord/>
      <trackRevisions>false</trackRevisions>
    </reviewItem>
    <reviewItem>
      <errorID>01ef9a8f-484d-4f62-8605-23d8bb8d9a60</errorID>
      <errorWord>文化自然遗产</errorWord>
      <group>L1_Word</group>
      <groupName>字词问题</groupName>
      <ability>L2_Typo</ability>
      <abilityName>字词错误</abilityName>
      <candidateList>
        <item>文化和自然遗产</item>
      </candidateList>
      <explain/>
      <paraID>1AF8A605</paraID>
      <start>147</start>
      <end>153</end>
      <status>ignored</status>
      <modifiedWord/>
      <trackRevisions>false</trackRevisions>
    </reviewItem>
    <reviewItem>
      <errorID>828d3966-2cc2-4f5b-959e-e79d15f300f7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5BFFECD1</paraID>
      <start>0</start>
      <end>2</end>
      <status>ignored</status>
      <modifiedWord/>
      <trackRevisions>false</trackRevisions>
    </reviewItem>
    <reviewItem>
      <errorID>1b335479-8ed4-4c0c-b4eb-ac507b479211</errorID>
      <errorWord>下</errorWord>
      <group>L1_Word</group>
      <groupName>字词问题</groupName>
      <ability>L2_Typo</ability>
      <abilityName>字词错误</abilityName>
      <candidateList>
        <item>下简</item>
      </candidateList>
      <explain/>
      <paraID> BDB903E</paraID>
      <start>254</start>
      <end>256</end>
      <status>modified</status>
      <modifiedWord>下简</modifiedWord>
      <trackRevisions>false</trackRevisions>
    </reviewItem>
    <reviewItem>
      <errorID>9862342d-5279-48fb-87d7-e36178863bb4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5E397140</paraID>
      <start>19</start>
      <end>20</end>
      <status>modified</status>
      <modifiedWord>—</modifiedWord>
      <trackRevisions>false</trackRevisions>
    </reviewItem>
    <reviewItem>
      <errorID>6334b613-629a-401e-b50a-c1cd31ee8557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2DA9356F</paraID>
      <start>0</start>
      <end>2</end>
      <status>ignored</status>
      <modifiedWord/>
      <trackRevisions>false</trackRevisions>
    </reviewItem>
    <reviewItem>
      <errorID>6ea75673-e6fd-4260-8b5c-1770ca704f4e</errorID>
      <errorWord>安徽省淮河流域水污染防治条例</errorWord>
      <group>L1_Knowledge</group>
      <groupName>知识性问题</groupName>
      <ability>L2_Knowledge</ability>
      <abilityName>其他知识</abilityName>
      <candidateList>
        <item>《安徽省淮河流域水污染防治条例》</item>
      </candidateList>
      <explain>完整法律法规名称需要加书名号，请注意检查。</explain>
      <paraID>3823CFC3</paraID>
      <start>0</start>
      <end>14</end>
      <status>ignored</status>
      <modifiedWord/>
      <trackRevisions>false</trackRevisions>
    </reviewItem>
    <reviewItem>
      <errorID>213994d4-be79-4647-ab20-37bc9e96c236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5FF916BA</paraID>
      <start>0</start>
      <end>2</end>
      <status>ignored</status>
      <modifiedWord/>
      <trackRevisions>false</trackRevisions>
    </reviewItem>
    <reviewItem>
      <errorID>88e07ee8-eb37-4f80-855b-0d76ea28b5e8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2AD0FCFF</paraID>
      <start>0</start>
      <end>2</end>
      <status>ignored</status>
      <modifiedWord/>
      <trackRevisions>false</trackRevisions>
    </reviewItem>
    <reviewItem>
      <errorID>c3a4271f-0154-4566-b52f-eb4e37a7d1a7</errorID>
      <errorWord>打好蓝天碧水净土保卫战</errorWord>
      <group>L1_Political</group>
      <groupName>政治性问题</groupName>
      <ability>L2_Keyword</ability>
      <abilityName>固定表述</abilityName>
      <candidateList>
        <item>打好蓝天、碧水、净土保卫战</item>
      </candidateList>
      <explain>注意检查当前固定表述标点是否使用规范。</explain>
      <paraID>6D70742F</paraID>
      <start>5</start>
      <end>16</end>
      <status>ignored</status>
      <modifiedWord/>
      <trackRevisions>false</trackRevisions>
    </reviewItem>
    <reviewItem>
      <errorID>0fce3174-8eef-4a03-ba26-51e8d8be446a</errorID>
      <errorWord>污染协同控制</errorWord>
      <group>L1_Political</group>
      <groupName>政治性问题</groupName>
      <ability>L2_Keyword</ability>
      <abilityName>固定表述</abilityName>
      <candidateList>
        <item>污染物协同控制</item>
      </candidateList>
      <explain>词汇“污染物协同控制”在特定场景下为固定表述形式，请确认此处的“污染协同控制”是否存在不当。</explain>
      <paraID>5373A99A</paraID>
      <start>12</start>
      <end>18</end>
      <status>ignored</status>
      <modifiedWord/>
      <trackRevisions>false</trackRevisions>
    </reviewItem>
    <reviewItem>
      <errorID>3a8c3c67-82c1-493e-91e6-1adfda6075f5</errorID>
      <errorWord>III类</errorWord>
      <group>L1_Knowledge</group>
      <groupName>知识性问题</groupName>
      <ability>L2_Knowledge</ability>
      <abilityName>其他知识</abilityName>
      <candidateList>
        <item>Ⅲ类</item>
      </candidateList>
      <explain>中文环境下罗马数字格式错误。</explain>
      <paraID>34171FD8</paraID>
      <start>220</start>
      <end>224</end>
      <status>ignored</status>
      <modifiedWord/>
      <trackRevisions>false</trackRevisions>
    </reviewItem>
    <reviewItem>
      <errorID>11441bc6-020d-4abd-b872-c9cac22523bc</errorID>
      <errorWord>(</errorWord>
      <group>L1_Format</group>
      <groupName>格式问题</groupName>
      <ability>L2_HalfPunc_CN</ability>
      <abilityName>全半角问题</abilityName>
      <candidateList>
        <item>（</item>
      </candidateList>
      <explain>文本全半角错误。</explain>
      <paraID>34171FD8</paraID>
      <start>243</start>
      <end>244</end>
      <status>ignored</status>
      <modifiedWord/>
      <trackRevisions>false</trackRevisions>
    </reviewItem>
    <reviewItem>
      <errorID>2c62b586-c94e-4357-81f6-aa4a6a1b244b</errorID>
      <errorWord>)</errorWord>
      <group>L1_Format</group>
      <groupName>格式问题</groupName>
      <ability>L2_HalfPunc_CN</ability>
      <abilityName>全半角问题</abilityName>
      <candidateList>
        <item>）</item>
      </candidateList>
      <explain>文本全半角错误。</explain>
      <paraID>34171FD8</paraID>
      <start>255</start>
      <end>256</end>
      <status>ignored</status>
      <modifiedWord/>
      <trackRevisions>false</trackRevisions>
    </reviewItem>
    <reviewItem>
      <errorID>3f9975bf-c125-4523-84a0-cc4c0326e856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4419FAE2</paraID>
      <start>0</start>
      <end>2</end>
      <status>ignored</status>
      <modifiedWord/>
      <trackRevisions>false</trackRevisions>
    </reviewItem>
    <reviewItem>
      <errorID>1530afb8-a194-4f01-9df8-c4d4a4ae4f4f</errorID>
      <errorWord>[2015]14号</errorWord>
      <group>L1_Knowledge</group>
      <groupName>知识性问题</groupName>
      <ability>L2_Knowledge</ability>
      <abilityName>其他知识</abilityName>
      <candidateList>
        <item>〔2015〕14号</item>
      </candidateList>
      <explain>发文字号格式错误。</explain>
      <paraID>44CBF1D2</paraID>
      <start>121</start>
      <end>130</end>
      <status>ignored</status>
      <modifiedWord/>
      <trackRevisions>false</trackRevisions>
    </reviewItem>
    <reviewItem>
      <errorID>eca05f1c-33e7-4ab5-a498-18f4dade079d</errorID>
      <errorWord>[2018]90号</errorWord>
      <group>L1_Knowledge</group>
      <groupName>知识性问题</groupName>
      <ability>L2_Knowledge</ability>
      <abilityName>其他知识</abilityName>
      <candidateList>
        <item>〔2018〕90号</item>
      </candidateList>
      <explain>发文字号格式错误。</explain>
      <paraID>44CBF1D2</paraID>
      <start>224</start>
      <end>233</end>
      <status>ignored</status>
      <modifiedWord/>
      <trackRevisions>false</trackRevisions>
    </reviewItem>
    <reviewItem>
      <errorID>cb86e76f-e3cd-478b-a5ff-574a99ad27dc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65238DCA</paraID>
      <start>0</start>
      <end>2</end>
      <status>ignored</status>
      <modifiedWord/>
      <trackRevisions>false</trackRevisions>
    </reviewItem>
    <reviewItem>
      <errorID>961c11e4-ddda-448e-9484-09795dc55dbb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1A95979</paraID>
      <start>0</start>
      <end>2</end>
      <status>ignored</status>
      <modifiedWord/>
      <trackRevisions>false</trackRevisions>
    </reviewItem>
    <reviewItem>
      <errorID>ade11fda-1c59-40b0-8089-34466596a6cc</errorID>
      <errorWord>~</errorWord>
      <group>L1_Format</group>
      <groupName>格式问题</groupName>
      <ability>L2_HalfPunc_CN</ability>
      <abilityName>全半角问题</abilityName>
      <candidateList>
        <item>～</item>
      </candidateList>
      <explain>文本全半角错误。</explain>
      <paraID>3E2FCE18</paraID>
      <start>10</start>
      <end>11</end>
      <status>ignored</status>
      <modifiedWord/>
      <trackRevisions>false</trackRevisions>
    </reviewItem>
    <reviewItem>
      <errorID>7d57a944-82e5-448e-afd3-6e5c70e6e59a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511E8EBA</paraID>
      <start>0</start>
      <end>2</end>
      <status>ignored</status>
      <modifiedWord/>
      <trackRevisions>false</trackRevisions>
    </reviewItem>
    <reviewItem>
      <errorID>5ae1c07d-8015-4138-9aa7-c2b437093fa4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5A9B7202</paraID>
      <start>0</start>
      <end>2</end>
      <status>ignored</status>
      <modifiedWord/>
      <trackRevisions>false</trackRevisions>
    </reviewItem>
    <reviewItem>
      <errorID>9c9f7fa2-5ba1-45b2-94b9-bb512f925448</errorID>
      <errorWord>kw</errorWord>
      <group>L1_Word</group>
      <groupName>字词问题</groupName>
      <ability>L2_Typo</ability>
      <abilityName>字词错误</abilityName>
      <candidateList>
        <item>kW</item>
      </candidateList>
      <explain/>
      <paraID>2ED0C618</paraID>
      <start>1</start>
      <end>3</end>
      <status>ignored</status>
      <modifiedWord/>
      <trackRevisions>false</trackRevisions>
    </reviewItem>
    <reviewItem>
      <errorID>90bdaf8d-1a5d-4897-8060-c1e65feff201</errorID>
      <errorWord>(</errorWord>
      <group>L1_Format</group>
      <groupName>格式问题</groupName>
      <ability>L2_HalfPunc_CN</ability>
      <abilityName>全半角问题</abilityName>
      <candidateList>
        <item>（</item>
      </candidateList>
      <explain>文本全半角错误。</explain>
      <paraID>3615A8EE</paraID>
      <start>6</start>
      <end>7</end>
      <status>ignored</status>
      <modifiedWord/>
      <trackRevisions>false</trackRevisions>
    </reviewItem>
    <reviewItem>
      <errorID>b741dd31-1808-420d-87f2-1672bc58ee1f</errorID>
      <errorWord>)</errorWord>
      <group>L1_Format</group>
      <groupName>格式问题</groupName>
      <ability>L2_HalfPunc_CN</ability>
      <abilityName>全半角问题</abilityName>
      <candidateList>
        <item>）</item>
      </candidateList>
      <explain>文本全半角错误。</explain>
      <paraID>3615A8EE</paraID>
      <start>39</start>
      <end>40</end>
      <status>ignored</status>
      <modifiedWord/>
      <trackRevisions>false</trackRevisions>
    </reviewItem>
    <reviewItem>
      <errorID>b69e8b71-81fe-4804-bcb9-0425179acb62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4D3DFCA0</paraID>
      <start>0</start>
      <end>2</end>
      <status>ignored</status>
      <modifiedWord/>
      <trackRevisions>false</trackRevisions>
    </reviewItem>
    <reviewItem>
      <errorID>5177808d-fa19-4796-a89a-8b1af1f973bd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22C89B9D</paraID>
      <start>41</start>
      <end>42</end>
      <status>ignored</status>
      <modifiedWord/>
      <trackRevisions>false</trackRevisions>
    </reviewItem>
    <reviewItem>
      <errorID>29a61c94-7c80-4476-807c-4c901d52d0f5</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47595D09</paraID>
      <start>3</start>
      <end>4</end>
      <status>modified</status>
      <modifiedWord>对</modifiedWord>
      <trackRevisions>false</trackRevisions>
    </reviewItem>
    <reviewItem>
      <errorID>468e644a-b35e-4e01-9b9f-ea9586fa18c7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57532FDF</paraID>
      <start>0</start>
      <end>2</end>
      <status>ignored</status>
      <modifiedWord/>
      <trackRevisions>false</trackRevisions>
    </reviewItem>
    <reviewItem>
      <errorID>02a74099-1659-4fc2-ac51-20e480961491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1B678B6A</paraID>
      <start>0</start>
      <end>2</end>
      <status>ignored</status>
      <modifiedWord/>
      <trackRevisions>false</trackRevisions>
    </reviewItem>
    <reviewItem>
      <errorID>370b502d-7e82-4ac5-b4e0-fd7232aeb17d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49B4886B</paraID>
      <start>0</start>
      <end>2</end>
      <status>ignored</status>
      <modifiedWord/>
      <trackRevisions>false</trackRevisions>
    </reviewItem>
    <reviewItem>
      <errorID>ab0d871e-fb1c-489e-b953-139028d7f2e3</errorID>
      <errorWord>(</errorWord>
      <group>L1_Format</group>
      <groupName>格式问题</groupName>
      <ability>L2_HalfPunc_CN</ability>
      <abilityName>全半角问题</abilityName>
      <candidateList>
        <item>（</item>
      </candidateList>
      <explain>文本全半角错误。</explain>
      <paraID>4137FFAE</paraID>
      <start>12</start>
      <end>13</end>
      <status>ignored</status>
      <modifiedWord/>
      <trackRevisions>false</trackRevisions>
    </reviewItem>
    <reviewItem>
      <errorID>c5d1060b-34a0-41d6-8332-446e727a1551</errorID>
      <errorWord>)</errorWord>
      <group>L1_Format</group>
      <groupName>格式问题</groupName>
      <ability>L2_HalfPunc_CN</ability>
      <abilityName>全半角问题</abilityName>
      <candidateList>
        <item>）</item>
      </candidateList>
      <explain>文本全半角错误。</explain>
      <paraID>4137FFAE</paraID>
      <start>29</start>
      <end>30</end>
      <status>ignored</status>
      <modifiedWord/>
      <trackRevisions>false</trackRevisions>
    </reviewItem>
    <reviewItem>
      <errorID>6197da73-ec3c-4e36-a816-fb603f5389b1</errorID>
      <errorWord>(</errorWord>
      <group>L1_Format</group>
      <groupName>格式问题</groupName>
      <ability>L2_HalfPunc_CN</ability>
      <abilityName>全半角问题</abilityName>
      <candidateList>
        <item>（</item>
      </candidateList>
      <explain>文本全半角错误。</explain>
      <paraID>4137FFAE</paraID>
      <start>60</start>
      <end>61</end>
      <status>ignored</status>
      <modifiedWord/>
      <trackRevisions>false</trackRevisions>
    </reviewItem>
    <reviewItem>
      <errorID>605cd26e-4e51-42d5-aefe-be7011799278</errorID>
      <errorWord>)</errorWord>
      <group>L1_Format</group>
      <groupName>格式问题</groupName>
      <ability>L2_HalfPunc_CN</ability>
      <abilityName>全半角问题</abilityName>
      <candidateList>
        <item>）</item>
      </candidateList>
      <explain>文本全半角错误。</explain>
      <paraID>4137FFAE</paraID>
      <start>68</start>
      <end>69</end>
      <status>ignored</status>
      <modifiedWord/>
      <trackRevisions>false</trackRevisions>
    </reviewItem>
    <reviewItem>
      <errorID>c17ac9a7-a849-4403-804d-6cbba3d7d76b</errorID>
      <errorWord>(</errorWord>
      <group>L1_Format</group>
      <groupName>格式问题</groupName>
      <ability>L2_HalfPunc_CN</ability>
      <abilityName>全半角问题</abilityName>
      <candidateList>
        <item>（</item>
      </candidateList>
      <explain>文本全半角错误。</explain>
      <paraID>4137FFAE</paraID>
      <start>182</start>
      <end>183</end>
      <status>ignored</status>
      <modifiedWord/>
      <trackRevisions>false</trackRevisions>
    </reviewItem>
    <reviewItem>
      <errorID>c85da145-ee43-48e1-b3ad-d70343e82700</errorID>
      <errorWord>(2021) 7号</errorWord>
      <group>L1_Knowledge</group>
      <groupName>知识性问题</groupName>
      <ability>L2_Knowledge</ability>
      <abilityName>其他知识</abilityName>
      <candidateList>
        <item>〔2021〕7号</item>
      </candidateList>
      <explain>发文字号格式错误。</explain>
      <paraID>4137FFAE</paraID>
      <start>187</start>
      <end>196</end>
      <status>ignored</status>
      <modifiedWord/>
      <trackRevisions>false</trackRevisions>
    </reviewItem>
    <reviewItem>
      <errorID>19cf7408-098c-41fd-bab7-fd32cd3b3ca6</errorID>
      <errorWord>)</errorWord>
      <group>L1_Format</group>
      <groupName>格式问题</groupName>
      <ability>L2_HalfPunc_CN</ability>
      <abilityName>全半角问题</abilityName>
      <candidateList>
        <item>）</item>
      </candidateList>
      <explain>文本全半角错误。</explain>
      <paraID>4137FFAE</paraID>
      <start>196</start>
      <end>197</end>
      <status>ignored</status>
      <modifiedWord/>
      <trackRevisions>false</trackRevisions>
    </reviewItem>
    <reviewItem>
      <errorID>da76521d-77c3-4cb7-b2a3-5d1b611dfa60</errorID>
      <errorWord>(</errorWord>
      <group>L1_Format</group>
      <groupName>格式问题</groupName>
      <ability>L2_HalfPunc_CN</ability>
      <abilityName>全半角问题</abilityName>
      <candidateList>
        <item>（</item>
      </candidateList>
      <explain>文本全半角错误。</explain>
      <paraID>4137FFAE</paraID>
      <start>254</start>
      <end>255</end>
      <status>ignored</status>
      <modifiedWord/>
      <trackRevisions>false</trackRevisions>
    </reviewItem>
    <reviewItem>
      <errorID>e9aaea22-0851-4d2c-8e2b-efa0b91466a0</errorID>
      <errorWord>)</errorWord>
      <group>L1_Format</group>
      <groupName>格式问题</groupName>
      <ability>L2_HalfPunc_CN</ability>
      <abilityName>全半角问题</abilityName>
      <candidateList>
        <item>）</item>
      </candidateList>
      <explain>文本全半角错误。</explain>
      <paraID>4137FFAE</paraID>
      <start>256</start>
      <end>257</end>
      <status>ignored</status>
      <modifiedWord/>
      <trackRevisions>false</trackRevisions>
    </reviewItem>
    <reviewItem>
      <errorID>878e68a4-6bf2-4533-b17a-1fcea444a8f8</errorID>
      <errorWord>(</errorWord>
      <group>L1_Format</group>
      <groupName>格式问题</groupName>
      <ability>L2_HalfPunc_CN</ability>
      <abilityName>全半角问题</abilityName>
      <candidateList>
        <item>（</item>
      </candidateList>
      <explain>文本全半角错误。</explain>
      <paraID>1B753117</paraID>
      <start>12</start>
      <end>13</end>
      <status>ignored</status>
      <modifiedWord/>
      <trackRevisions>false</trackRevisions>
    </reviewItem>
    <reviewItem>
      <errorID>af1e193d-102e-4f29-851c-00d4c1033032</errorID>
      <errorWord>)</errorWord>
      <group>L1_Format</group>
      <groupName>格式问题</groupName>
      <ability>L2_HalfPunc_CN</ability>
      <abilityName>全半角问题</abilityName>
      <candidateList>
        <item>）</item>
      </candidateList>
      <explain>文本全半角错误。</explain>
      <paraID>1B753117</paraID>
      <start>27</start>
      <end>28</end>
      <status>ignored</status>
      <modifiedWord/>
      <trackRevisions>false</trackRevisions>
    </reviewItem>
    <reviewItem>
      <errorID>7c51a200-01dc-4cd7-83d2-7a107adc4467</errorID>
      <errorWord>(</errorWord>
      <group>L1_Format</group>
      <groupName>格式问题</groupName>
      <ability>L2_HalfPunc_CN</ability>
      <abilityName>全半角问题</abilityName>
      <candidateList>
        <item>（</item>
      </candidateList>
      <explain>文本全半角错误。</explain>
      <paraID>1B753117</paraID>
      <start>65</start>
      <end>66</end>
      <status>ignored</status>
      <modifiedWord/>
      <trackRevisions>false</trackRevisions>
    </reviewItem>
    <reviewItem>
      <errorID>fb2b2af6-858f-4b1a-a2f5-8e9fdbb776f9</errorID>
      <errorWord>)</errorWord>
      <group>L1_Format</group>
      <groupName>格式问题</groupName>
      <ability>L2_HalfPunc_CN</ability>
      <abilityName>全半角问题</abilityName>
      <candidateList>
        <item>）</item>
      </candidateList>
      <explain>文本全半角错误。</explain>
      <paraID>1B753117</paraID>
      <start>73</start>
      <end>74</end>
      <status>ignored</status>
      <modifiedWord/>
      <trackRevisions>false</trackRevisions>
    </reviewItem>
    <reviewItem>
      <errorID>e51b57a0-080e-409c-bad6-ffbfe988b6de</errorID>
      <errorWord>(</errorWord>
      <group>L1_Format</group>
      <groupName>格式问题</groupName>
      <ability>L2_HalfPunc_CN</ability>
      <abilityName>全半角问题</abilityName>
      <candidateList>
        <item>（</item>
      </candidateList>
      <explain>文本全半角错误。</explain>
      <paraID>33EBFCAA</paraID>
      <start>2</start>
      <end>3</end>
      <status>ignored</status>
      <modifiedWord/>
      <trackRevisions>false</trackRevisions>
    </reviewItem>
    <reviewItem>
      <errorID>0ee788b0-0751-49bb-8fb7-c790ea905d55</errorID>
      <errorWord>)</errorWord>
      <group>L1_Format</group>
      <groupName>格式问题</groupName>
      <ability>L2_HalfPunc_CN</ability>
      <abilityName>全半角问题</abilityName>
      <candidateList>
        <item>）</item>
      </candidateList>
      <explain>文本全半角错误。</explain>
      <paraID>33EBFCAA</paraID>
      <start>6</start>
      <end>7</end>
      <status>ignored</status>
      <modifiedWord/>
      <trackRevisions>false</trackRevisions>
    </reviewItem>
    <reviewItem>
      <errorID>3eb4c395-4b81-4812-9ca7-d988f18daa5f</errorID>
      <errorWord>(</errorWord>
      <group>L1_Format</group>
      <groupName>格式问题</groupName>
      <ability>L2_HalfPunc_CN</ability>
      <abilityName>全半角问题</abilityName>
      <candidateList>
        <item>（</item>
      </candidateList>
      <explain>文本全半角错误。</explain>
      <paraID>76880C2D</paraID>
      <start>2</start>
      <end>3</end>
      <status>ignored</status>
      <modifiedWord/>
      <trackRevisions>false</trackRevisions>
    </reviewItem>
    <reviewItem>
      <errorID>c349dd7d-a862-400e-a852-1636cb1c5dff</errorID>
      <errorWord>)</errorWord>
      <group>L1_Format</group>
      <groupName>格式问题</groupName>
      <ability>L2_HalfPunc_CN</ability>
      <abilityName>全半角问题</abilityName>
      <candidateList>
        <item>）</item>
      </candidateList>
      <explain>文本全半角错误。</explain>
      <paraID>76880C2D</paraID>
      <start>6</start>
      <end>7</end>
      <status>ignored</status>
      <modifiedWord/>
      <trackRevisions>false</trackRevisions>
    </reviewItem>
    <reviewItem>
      <errorID>a2ead911-64ae-448e-b185-57ef89b83065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76646FB2</paraID>
      <start>0</start>
      <end>2</end>
      <status>ignored</status>
      <modifiedWord/>
      <trackRevisions>false</trackRevisions>
    </reviewItem>
    <reviewItem>
      <errorID>ab4adf9f-236d-4159-bf0a-b734d10adb2f</errorID>
      <errorWord>[2015]14号</errorWord>
      <group>L1_Knowledge</group>
      <groupName>知识性问题</groupName>
      <ability>L2_Knowledge</ability>
      <abilityName>其他知识</abilityName>
      <candidateList>
        <item>〔2015〕14号</item>
      </candidateList>
      <explain>发文字号格式错误。</explain>
      <paraID>7FCC4DC8</paraID>
      <start>121</start>
      <end>130</end>
      <status>ignored</status>
      <modifiedWord/>
      <trackRevisions>false</trackRevisions>
    </reviewItem>
    <reviewItem>
      <errorID>a10a168a-12d4-452b-b223-f90faab788c2</errorID>
      <errorWord>[2018]90号</errorWord>
      <group>L1_Knowledge</group>
      <groupName>知识性问题</groupName>
      <ability>L2_Knowledge</ability>
      <abilityName>其他知识</abilityName>
      <candidateList>
        <item>〔2018〕90号</item>
      </candidateList>
      <explain>发文字号格式错误。</explain>
      <paraID>7FCC4DC8</paraID>
      <start>224</start>
      <end>233</end>
      <status>ignored</status>
      <modifiedWord/>
      <trackRevisions>false</trackRevisions>
    </reviewItem>
    <reviewItem>
      <errorID>cb223490-c95e-4e2e-8141-1cadc13eed8b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199EEF61</paraID>
      <start>0</start>
      <end>2</end>
      <status>ignored</status>
      <modifiedWord/>
      <trackRevisions>false</trackRevisions>
    </reviewItem>
    <reviewItem>
      <errorID>cf9849cb-3979-4ed4-9fc9-72fe056382fd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14AEA59</paraID>
      <start>0</start>
      <end>2</end>
      <status>ignored</status>
      <modifiedWord/>
      <trackRevisions>false</trackRevisions>
    </reviewItem>
    <reviewItem>
      <errorID>164dcc66-3bae-4289-9bb2-a2bed903c979</errorID>
      <errorWord>(</errorWord>
      <group>L1_Format</group>
      <groupName>格式问题</groupName>
      <ability>L2_HalfPunc_CN</ability>
      <abilityName>全半角问题</abilityName>
      <candidateList>
        <item>（</item>
      </candidateList>
      <explain>文本全半角错误。</explain>
      <paraID>6B55213E</paraID>
      <start>39</start>
      <end>40</end>
      <status>ignored</status>
      <modifiedWord/>
      <trackRevisions>false</trackRevisions>
    </reviewItem>
    <reviewItem>
      <errorID>1a00cd6c-f7c2-45f1-b670-4811fc1fe199</errorID>
      <errorWord>)</errorWord>
      <group>L1_Format</group>
      <groupName>格式问题</groupName>
      <ability>L2_HalfPunc_CN</ability>
      <abilityName>全半角问题</abilityName>
      <candidateList>
        <item>）</item>
      </candidateList>
      <explain>文本全半角错误。</explain>
      <paraID>6B55213E</paraID>
      <start>51</start>
      <end>52</end>
      <status>ignored</status>
      <modifiedWord/>
      <trackRevisions>false</trackRevisions>
    </reviewItem>
    <reviewItem>
      <errorID>13d4f5dd-1307-415e-98fd-921da3d9c2d3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7F90F600</paraID>
      <start>0</start>
      <end>2</end>
      <status>ignored</status>
      <modifiedWord/>
      <trackRevisions>false</trackRevisions>
    </reviewItem>
    <reviewItem>
      <errorID>4bed1c82-649a-44a3-9f04-747e650e7021</errorID>
      <errorWord>（</errorWord>
      <group>L1_Format</group>
      <groupName>格式问题</groupName>
      <ability>L2_HalfPunc_CN</ability>
      <abilityName>全半角问题</abilityName>
      <candidateList>
        <item>(</item>
      </candidateList>
      <explain>文本全半角错误。</explain>
      <paraID>690A89F2</paraID>
      <start>23</start>
      <end>24</end>
      <status>ignored</status>
      <modifiedWord/>
      <trackRevisions>false</trackRevisions>
    </reviewItem>
    <reviewItem>
      <errorID>ab3889a2-05f1-4741-b642-b899961d2975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537EB0B9</paraID>
      <start>0</start>
      <end>2</end>
      <status>ignored</status>
      <modifiedWord/>
      <trackRevisions>false</trackRevisions>
    </reviewItem>
    <reviewItem>
      <errorID>d7067476-bd51-445b-bf3a-078f7647ab03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166642A4</paraID>
      <start>0</start>
      <end>2</end>
      <status>ignored</status>
      <modifiedWord/>
      <trackRevisions>false</trackRevisions>
    </reviewItem>
    <reviewItem>
      <errorID>895dc30e-71cf-4883-8c5b-fcb23c925157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19EADD0C</paraID>
      <start>0</start>
      <end>2</end>
      <status>ignored</status>
      <modifiedWord/>
      <trackRevisions>false</trackRevisions>
    </reviewItem>
    <reviewItem>
      <errorID>4e0545b6-9669-4119-a6e9-100fe7049d1d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D6D4699</paraID>
      <start>0</start>
      <end>2</end>
      <status>ignored</status>
      <modifiedWord/>
      <trackRevisions>false</trackRevisions>
    </reviewItem>
    <reviewItem>
      <errorID>64c89c2f-822d-453e-b3a2-0c33d7255a84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CFF5709</paraID>
      <start>0</start>
      <end>2</end>
      <status>ignored</status>
      <modifiedWord/>
      <trackRevisions>false</trackRevisions>
    </reviewItem>
    <reviewItem>
      <errorID>320de10c-99b1-4681-bb26-11c55ff8f92c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1221E137</paraID>
      <start>0</start>
      <end>2</end>
      <status>ignored</status>
      <modifiedWord/>
      <trackRevisions>false</trackRevisions>
    </reviewItem>
    <reviewItem>
      <errorID>389071ab-4990-4bec-a915-3239814b2744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8A27382</paraID>
      <start>126</start>
      <end>127</end>
      <status>ignored</status>
      <modifiedWord/>
      <trackRevisions>false</trackRevisions>
    </reviewItem>
    <reviewItem>
      <errorID>b5e2caf7-7ee3-419f-9956-5a9ab168dc04</errorID>
      <errorWord>II类</errorWord>
      <group>L1_Knowledge</group>
      <groupName>知识性问题</groupName>
      <ability>L2_Knowledge</ability>
      <abilityName>其他知识</abilityName>
      <candidateList>
        <item>Ⅱ类</item>
      </candidateList>
      <explain>中文环境下罗马数字格式错误。</explain>
      <paraID>214A3C51</paraID>
      <start>128</start>
      <end>131</end>
      <status>ignored</status>
      <modifiedWord/>
      <trackRevisions>false</trackRevisions>
    </reviewItem>
    <reviewItem>
      <errorID>24eeab25-33f9-4a0a-824f-b723943243bf</errorID>
      <errorWord>II类</errorWord>
      <group>L1_Knowledge</group>
      <groupName>知识性问题</groupName>
      <ability>L2_Knowledge</ability>
      <abilityName>其他知识</abilityName>
      <candidateList>
        <item>Ⅱ类</item>
      </candidateList>
      <explain>中文环境下罗马数字格式错误。</explain>
      <paraID>214A3C51</paraID>
      <start>142</start>
      <end>145</end>
      <status>ignored</status>
      <modifiedWord/>
      <trackRevisions>false</trackRevisions>
    </reviewItem>
    <reviewItem>
      <errorID>6e487edc-a605-45f5-bdd6-58135b65a982</errorID>
      <errorWord>所在地</errorWord>
      <group>L1_Word</group>
      <groupName>字词问题</groupName>
      <ability>L2_Typo</ability>
      <abilityName>字词错误</abilityName>
      <candidateList>
        <item>所在</item>
      </candidateList>
      <explain/>
      <paraID>387BE60F</paraID>
      <start>7</start>
      <end>10</end>
      <status>ignored</status>
      <modifiedWord/>
      <trackRevisions>false</trackRevisions>
    </reviewItem>
    <reviewItem>
      <errorID>aba2811b-fa2a-4409-bd58-fddbabb368eb</errorID>
      <errorWord>（</errorWord>
      <group>L1_Punc</group>
      <groupName>标点问题</groupName>
      <ability>L2_Punc_CN</ability>
      <abilityName>标点符号问题</abilityName>
      <candidateList/>
      <explain>同一形式括号套用。</explain>
      <paraID>14CEE555</paraID>
      <start>105</start>
      <end>106</end>
      <status>ignored</status>
      <modifiedWord/>
      <trackRevisions>false</trackRevisions>
    </reviewItem>
    <reviewItem>
      <errorID>b8dd27df-eca9-44bf-9c66-77c0b0e708f2</errorID>
      <errorWord>(</errorWord>
      <group>L1_Punc</group>
      <groupName>标点问题</groupName>
      <ability>L2_Punc_CN</ability>
      <abilityName>标点符号问题</abilityName>
      <candidateList/>
      <explain>同一形式括号套用。</explain>
      <paraID>14CEE555</paraID>
      <start>114</start>
      <end>115</end>
      <status>ignored</status>
      <modifiedWord/>
      <trackRevisions>false</trackRevisions>
    </reviewItem>
    <reviewItem>
      <errorID>cf274bd7-8ee1-4bb1-a1c5-8b8d38cd0f21</errorID>
      <errorWord>)</errorWord>
      <group>L1_Punc</group>
      <groupName>标点问题</groupName>
      <ability>L2_Punc_CN</ability>
      <abilityName>标点符号问题</abilityName>
      <candidateList/>
      <explain>同一形式括号套用。</explain>
      <paraID>14CEE555</paraID>
      <start>116</start>
      <end>117</end>
      <status>ignored</status>
      <modifiedWord/>
      <trackRevisions>false</trackRevisions>
    </reviewItem>
    <reviewItem>
      <errorID>303268a6-af83-40c3-acc0-713d4e9d8c05</errorID>
      <errorWord>(</errorWord>
      <group>L1_Punc</group>
      <groupName>标点问题</groupName>
      <ability>L2_Punc_CN</ability>
      <abilityName>标点符号问题</abilityName>
      <candidateList/>
      <explain>同一形式括号套用。</explain>
      <paraID>14CEE555</paraID>
      <start>125</start>
      <end>126</end>
      <status>ignored</status>
      <modifiedWord/>
      <trackRevisions>false</trackRevisions>
    </reviewItem>
    <reviewItem>
      <errorID>1f034b72-beeb-475d-b4c4-e3f60264c62b</errorID>
      <errorWord>)</errorWord>
      <group>L1_Punc</group>
      <groupName>标点问题</groupName>
      <ability>L2_Punc_CN</ability>
      <abilityName>标点符号问题</abilityName>
      <candidateList/>
      <explain>同一形式括号套用。</explain>
      <paraID>14CEE555</paraID>
      <start>127</start>
      <end>128</end>
      <status>ignored</status>
      <modifiedWord/>
      <trackRevisions>false</trackRevisions>
    </reviewItem>
    <reviewItem>
      <errorID>3c5c177b-d615-42ea-9c67-561ba07de48a</errorID>
      <errorWord>）</errorWord>
      <group>L1_Punc</group>
      <groupName>标点问题</groupName>
      <ability>L2_Punc_CN</ability>
      <abilityName>标点符号问题</abilityName>
      <candidateList/>
      <explain>同一形式括号套用。</explain>
      <paraID>14CEE555</paraID>
      <start>128</start>
      <end>129</end>
      <status>ignored</status>
      <modifiedWord/>
      <trackRevisions>false</trackRevisions>
    </reviewItem>
    <reviewItem>
      <errorID>1555b909-ae4f-4185-8c7f-dd5fc2daf1e0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4D08CE41</paraID>
      <start>0</start>
      <end>2</end>
      <status>ignored</status>
      <modifiedWord/>
      <trackRevisions>false</trackRevisions>
    </reviewItem>
    <reviewItem>
      <errorID>4b6f2478-02e3-4082-8c32-9e46f1bd8d6c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22F19A53</paraID>
      <start>0</start>
      <end>2</end>
      <status>ignored</status>
      <modifiedWord/>
      <trackRevisions>false</trackRevisions>
    </reviewItem>
    <reviewItem>
      <errorID>79e90ece-be82-42bd-b216-648fec376021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4A369C0</paraID>
      <start>0</start>
      <end>2</end>
      <status>ignored</status>
      <modifiedWord/>
      <trackRevisions>false</trackRevisions>
    </reviewItem>
    <reviewItem>
      <errorID>af2057da-8cc8-43a3-9e5d-3fa5ccafbf3d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5EB0A8E3</paraID>
      <start>0</start>
      <end>2</end>
      <status>ignored</status>
      <modifiedWord/>
      <trackRevisions>false</trackRevisions>
    </reviewItem>
    <reviewItem>
      <errorID>a2467274-db7f-4c80-9eed-667409ae62a4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15739272</paraID>
      <start>0</start>
      <end>2</end>
      <status>ignored</status>
      <modifiedWord/>
      <trackRevisions>false</trackRevisions>
    </reviewItem>
    <reviewItem>
      <errorID>47c0d860-58bb-42da-8c50-d6dfbd8ccdc7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30E7EFF7</paraID>
      <start>0</start>
      <end>2</end>
      <status>ignored</status>
      <modifiedWord/>
      <trackRevisions>false</trackRevisions>
    </reviewItem>
    <reviewItem>
      <errorID>61c5627f-18d4-44de-8014-95de234f15f6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76D3B3A8</paraID>
      <start>0</start>
      <end>2</end>
      <status>ignored</status>
      <modifiedWord/>
      <trackRevisions>false</trackRevisions>
    </reviewItem>
    <reviewItem>
      <errorID>3187105f-9b05-4d3b-9bbb-f156d3856134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1B8437C</paraID>
      <start>0</start>
      <end>2</end>
      <status>ignored</status>
      <modifiedWord/>
      <trackRevisions>false</trackRevisions>
    </reviewItem>
    <reviewItem>
      <errorID>6e482464-ef08-4ff3-a0bd-5bcc03f722ec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7C54E583</paraID>
      <start>0</start>
      <end>2</end>
      <status>ignored</status>
      <modifiedWord/>
      <trackRevisions>false</trackRevisions>
    </reviewItem>
    <reviewItem>
      <errorID>997366bb-6b5b-4bb7-9a70-c9079690dffd</errorID>
      <errorWord>10-1千</errorWord>
      <group>L1_Knowledge</group>
      <groupName>知识性问题</groupName>
      <ability>L2_Knowledge</ability>
      <abilityName>其他知识</abilityName>
      <candidateList>
        <item>10—1千</item>
      </candidateList>
      <explain>1. “10-1千”中的单位“千”仅出现在后一个数字上，容易引起歧义；根据《现代汉语标点符号数字用法规范手册》，数字表示范围两边需要使用统一的格式。2. 根据标点国标 4.13 中的规则，数字、时间或地域连接符应使用（视觉上更长的）“—”或“～”。</explain>
      <paraID>  A1FBF4</paraID>
      <start>178</start>
      <end>183</end>
      <status>ignored</status>
      <modifiedWord/>
      <trackRevisions>false</trackRevisions>
    </reviewItem>
    <reviewItem>
      <errorID>cd662c0a-17eb-4619-b330-805d9fca6773</errorID>
      <errorWord>~</errorWord>
      <group>L1_Format</group>
      <groupName>格式问题</groupName>
      <ability>L2_HalfPunc_CN</ability>
      <abilityName>全半角问题</abilityName>
      <candidateList>
        <item>～</item>
      </candidateList>
      <explain>文本全半角错误。</explain>
      <paraID>2BC005A1</paraID>
      <start>122</start>
      <end>123</end>
      <status>ignored</status>
      <modifiedWord/>
      <trackRevisions>false</trackRevisions>
    </reviewItem>
    <reviewItem>
      <errorID>badcad4e-538c-48f9-a78b-222023dccd1a</errorID>
      <errorWord>~</errorWord>
      <group>L1_Format</group>
      <groupName>格式问题</groupName>
      <ability>L2_HalfPunc_CN</ability>
      <abilityName>全半角问题</abilityName>
      <candidateList>
        <item>～</item>
      </candidateList>
      <explain>文本全半角错误。</explain>
      <paraID>2BC005A1</paraID>
      <start>168</start>
      <end>169</end>
      <status>ignored</status>
      <modifiedWord/>
      <trackRevisions>false</trackRevisions>
    </reviewItem>
    <reviewItem>
      <errorID>b7e5abaa-0f6f-4f8a-b32e-dae5789857a0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2BC005A1</paraID>
      <start>199</start>
      <end>200</end>
      <status>ignored</status>
      <modifiedWord/>
      <trackRevisions>false</trackRevisions>
    </reviewItem>
    <reviewItem>
      <errorID>675770fc-71de-4277-a3a6-8ac5ddc4d94f</errorID>
      <errorWord>设设</errorWord>
      <group>L1_Word</group>
      <groupName>字词问题</groupName>
      <ability>L2_Typo</ability>
      <abilityName>字词错误</abilityName>
      <candidateList>
        <item>设</item>
      </candidateList>
      <explain/>
      <paraID>79E109AD</paraID>
      <start>59</start>
      <end>60</end>
      <status>modified</status>
      <modifiedWord>设</modifiedWord>
      <trackRevisions>false</trackRevisions>
    </reviewItem>
    <reviewItem>
      <errorID>55f81ace-980b-4afd-b1d3-d0f2ac7956f4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645BC7AD</paraID>
      <start>0</start>
      <end>2</end>
      <status>ignored</status>
      <modifiedWord/>
      <trackRevisions>false</trackRevisions>
    </reviewItem>
    <reviewItem>
      <errorID>c1961cea-4267-41a9-9ba1-f35a0bb26db1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50EBCCE0</paraID>
      <start>0</start>
      <end>2</end>
      <status>ignored</status>
      <modifiedWord/>
      <trackRevisions>false</trackRevisions>
    </reviewItem>
    <reviewItem>
      <errorID>c5b90ce8-a5f7-4f2a-a64e-0b8e67f3b0a1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6121864F</paraID>
      <start>0</start>
      <end>2</end>
      <status>ignored</status>
      <modifiedWord/>
      <trackRevisions>false</trackRevisions>
    </reviewItem>
    <reviewItem>
      <errorID>da30085e-b0a0-4433-b048-85dcd8982a22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530D6E86</paraID>
      <start>0</start>
      <end>2</end>
      <status>ignored</status>
      <modifiedWord/>
      <trackRevisions>false</trackRevisions>
    </reviewItem>
    <reviewItem>
      <errorID>dfd522e6-8bba-435b-af6a-5f466fc1d965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BB6117</paraID>
      <start>41</start>
      <end>42</end>
      <status>ignored</status>
      <modifiedWord/>
      <trackRevisions>false</trackRevisions>
    </reviewItem>
    <reviewItem>
      <errorID>4469294a-bc2b-4c0d-9e88-3e70135708a3</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43EFEF53</paraID>
      <start>3</start>
      <end>4</end>
      <status>modified</status>
      <modifiedWord>对</modifiedWord>
      <trackRevisions>false</trackRevisions>
    </reviewItem>
    <reviewItem>
      <errorID>3293b617-7314-40f0-b150-34c0f094d462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390335DC</paraID>
      <start>0</start>
      <end>2</end>
      <status>ignored</status>
      <modifiedWord/>
      <trackRevisions>false</trackRevisions>
    </reviewItem>
    <reviewItem>
      <errorID>1165a1f7-b47f-41ed-bdc6-ff7affe048d9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4544F886</paraID>
      <start>0</start>
      <end>2</end>
      <status>ignored</status>
      <modifiedWord/>
      <trackRevisions>false</trackRevisions>
    </reviewItem>
    <reviewItem>
      <errorID>2b009fba-6b77-48d4-b904-9e5d7269f2ca</errorID>
      <errorWord>（</errorWord>
      <group>L1_Format</group>
      <groupName>格式问题</groupName>
      <ability>L2_HalfPunc_CN</ability>
      <abilityName>全半角问题</abilityName>
      <candidateList>
        <item>(</item>
      </candidateList>
      <explain>文本全半角错误。</explain>
      <paraID>402FCEA7</paraID>
      <start>3</start>
      <end>4</end>
      <status>ignored</status>
      <modifiedWord/>
      <trackRevisions>false</trackRevisions>
    </reviewItem>
    <reviewItem>
      <errorID>3270cdc4-a497-4089-9aee-8f4b43df9ba6</errorID>
      <errorWord>）</errorWord>
      <group>L1_Format</group>
      <groupName>格式问题</groupName>
      <ability>L2_HalfPunc_CN</ability>
      <abilityName>全半角问题</abilityName>
      <candidateList>
        <item>)</item>
      </candidateList>
      <explain>文本全半角错误。</explain>
      <paraID>402FCEA7</paraID>
      <start>5</start>
      <end>6</end>
      <status>ignored</status>
      <modifiedWord/>
      <trackRevisions>false</trackRevisions>
    </reviewItem>
    <reviewItem>
      <errorID>32c74d19-87e7-4ee5-8d45-7b1e54d59a1e</errorID>
      <errorWord>（</errorWord>
      <group>L1_Format</group>
      <groupName>格式问题</groupName>
      <ability>L2_HalfPunc_CN</ability>
      <abilityName>全半角问题</abilityName>
      <candidateList>
        <item>(</item>
      </candidateList>
      <explain>文本全半角错误。</explain>
      <paraID>4FE16EB2</paraID>
      <start>3</start>
      <end>4</end>
      <status>ignored</status>
      <modifiedWord/>
      <trackRevisions>false</trackRevisions>
    </reviewItem>
    <reviewItem>
      <errorID>7b4bf579-1ded-44f4-acca-017c7b95b951</errorID>
      <errorWord>）</errorWord>
      <group>L1_Format</group>
      <groupName>格式问题</groupName>
      <ability>L2_HalfPunc_CN</ability>
      <abilityName>全半角问题</abilityName>
      <candidateList>
        <item>)</item>
      </candidateList>
      <explain>文本全半角错误。</explain>
      <paraID>4FE16EB2</paraID>
      <start>5</start>
      <end>6</end>
      <status>ignored</status>
      <modifiedWord/>
      <trackRevisions>false</trackRevisions>
    </reviewItem>
    <reviewItem>
      <errorID>d97ebbc8-2766-48b9-9052-19daf01b44c6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38CD839E</paraID>
      <start>0</start>
      <end>2</end>
      <status>ignored</status>
      <modifiedWord/>
      <trackRevisions>false</trackRevisions>
    </reviewItem>
    <reviewItem>
      <errorID>fe073200-ecdc-4173-b11f-cc98b9250eee</errorID>
      <errorWord>(</errorWord>
      <group>L1_Format</group>
      <groupName>格式问题</groupName>
      <ability>L2_HalfPunc_CN</ability>
      <abilityName>全半角问题</abilityName>
      <candidateList>
        <item>（</item>
      </candidateList>
      <explain>文本全半角错误。</explain>
      <paraID>523E9699</paraID>
      <start>18</start>
      <end>19</end>
      <status>ignored</status>
      <modifiedWord/>
      <trackRevisions>false</trackRevisions>
    </reviewItem>
    <reviewItem>
      <errorID>41596851-2acc-41f6-b2df-e95349d56b6e</errorID>
      <errorWord>)</errorWord>
      <group>L1_Format</group>
      <groupName>格式问题</groupName>
      <ability>L2_HalfPunc_CN</ability>
      <abilityName>全半角问题</abilityName>
      <candidateList>
        <item>）</item>
      </candidateList>
      <explain>文本全半角错误。</explain>
      <paraID>523E9699</paraID>
      <start>29</start>
      <end>30</end>
      <status>ignored</status>
      <modifiedWord/>
      <trackRevisions>false</trackRevisions>
    </reviewItem>
    <reviewItem>
      <errorID>2ac539d7-2e45-411d-bfd1-ea38022fa091</errorID>
      <errorWord>选</errorWord>
      <group>L1_Word</group>
      <groupName>字词问题</groupName>
      <ability>L2_Typo</ability>
      <abilityName>字词错误</abilityName>
      <candidateList>
        <item>选择</item>
      </candidateList>
      <explain>〈动〉挑选：～对象｜～地点。</explain>
      <paraID>45914938</paraID>
      <start>22</start>
      <end>23</end>
      <status>ignored</status>
      <modifiedWord/>
      <trackRevisions>false</trackRevisions>
    </reviewItem>
    <reviewItem>
      <errorID>6933c01c-c7f0-4d21-9f5d-d20b3819966a</errorID>
      <errorWord>作</errorWord>
      <group>L1_Word</group>
      <groupName>字词问题</groupName>
      <ability>L2_Typo</ability>
      <abilityName>字词错误</abilityName>
      <candidateList>
        <item>做</item>
      </candidateList>
      <explain>存在发音相同字词的误用。</explain>
      <paraID>45914938</paraID>
      <start>37</start>
      <end>38</end>
      <status>modified</status>
      <modifiedWord>做</modifiedWord>
      <trackRevisions>false</trackRevisions>
    </reviewItem>
    <reviewItem>
      <errorID>e549c262-420b-402d-b3ac-131a77e8b924</errorID>
      <errorWord>(</errorWord>
      <group>L1_Format</group>
      <groupName>格式问题</groupName>
      <ability>L2_HalfPunc_CN</ability>
      <abilityName>全半角问题</abilityName>
      <candidateList>
        <item>（</item>
      </candidateList>
      <explain>文本全半角错误。</explain>
      <paraID>757EE941</paraID>
      <start>9</start>
      <end>10</end>
      <status>ignored</status>
      <modifiedWord/>
      <trackRevisions>false</trackRevisions>
    </reviewItem>
    <reviewItem>
      <errorID>cdf7ae05-b129-44f5-970e-b4aa3d38d32e</errorID>
      <errorWord>)</errorWord>
      <group>L1_Format</group>
      <groupName>格式问题</groupName>
      <ability>L2_HalfPunc_CN</ability>
      <abilityName>全半角问题</abilityName>
      <candidateList>
        <item>）</item>
      </candidateList>
      <explain>文本全半角错误。</explain>
      <paraID>757EE941</paraID>
      <start>14</start>
      <end>15</end>
      <status>ignored</status>
      <modifiedWord/>
      <trackRevisions>false</trackRevisions>
    </reviewItem>
    <reviewItem>
      <errorID>caf35465-64d4-474b-9a70-5a9ed959bf50</errorID>
      <errorWord>(</errorWord>
      <group>L1_Format</group>
      <groupName>格式问题</groupName>
      <ability>L2_HalfPunc_CN</ability>
      <abilityName>全半角问题</abilityName>
      <candidateList>
        <item>（</item>
      </candidateList>
      <explain>文本全半角错误。</explain>
      <paraID>448B8E00</paraID>
      <start>6</start>
      <end>7</end>
      <status>ignored</status>
      <modifiedWord/>
      <trackRevisions>false</trackRevisions>
    </reviewItem>
    <reviewItem>
      <errorID>d944e8c8-0af1-4e31-96bd-de528efe88a5</errorID>
      <errorWord>)</errorWord>
      <group>L1_Format</group>
      <groupName>格式问题</groupName>
      <ability>L2_HalfPunc_CN</ability>
      <abilityName>全半角问题</abilityName>
      <candidateList>
        <item>）</item>
      </candidateList>
      <explain>文本全半角错误。</explain>
      <paraID>448B8E00</paraID>
      <start>10</start>
      <end>11</end>
      <status>ignored</status>
      <modifiedWord/>
      <trackRevisions>false</trackRevisions>
    </reviewItem>
    <reviewItem>
      <errorID>23432e40-43ba-445a-aac3-295f2d10783c</errorID>
      <errorWord>(</errorWord>
      <group>L1_Format</group>
      <groupName>格式问题</groupName>
      <ability>L2_HalfPunc_CN</ability>
      <abilityName>全半角问题</abilityName>
      <candidateList>
        <item>（</item>
      </candidateList>
      <explain>文本全半角错误。</explain>
      <paraID>39DC6D96</paraID>
      <start>7</start>
      <end>8</end>
      <status>ignored</status>
      <modifiedWord/>
      <trackRevisions>false</trackRevisions>
    </reviewItem>
    <reviewItem>
      <errorID>946387f0-cc2e-440a-a7e8-6a886051a84b</errorID>
      <errorWord>)</errorWord>
      <group>L1_Format</group>
      <groupName>格式问题</groupName>
      <ability>L2_HalfPunc_CN</ability>
      <abilityName>全半角问题</abilityName>
      <candidateList>
        <item>）</item>
      </candidateList>
      <explain>文本全半角错误。</explain>
      <paraID>39DC6D96</paraID>
      <start>12</start>
      <end>13</end>
      <status>ignored</status>
      <modifiedWord/>
      <trackRevisions>false</trackRevisions>
    </reviewItem>
    <reviewItem>
      <errorID>9c46a0fd-32fa-4369-b859-41552cfd4e43</errorID>
      <errorWord>(</errorWord>
      <group>L1_Format</group>
      <groupName>格式问题</groupName>
      <ability>L2_HalfPunc_CN</ability>
      <abilityName>全半角问题</abilityName>
      <candidateList>
        <item>（</item>
      </candidateList>
      <explain>文本全半角错误。</explain>
      <paraID>135AF8FD</paraID>
      <start>12</start>
      <end>13</end>
      <status>ignored</status>
      <modifiedWord/>
      <trackRevisions>false</trackRevisions>
    </reviewItem>
    <reviewItem>
      <errorID>486b373f-6ecf-433a-8cf7-96c6cfd7e9c6</errorID>
      <errorWord>)</errorWord>
      <group>L1_Format</group>
      <groupName>格式问题</groupName>
      <ability>L2_HalfPunc_CN</ability>
      <abilityName>全半角问题</abilityName>
      <candidateList>
        <item>）</item>
      </candidateList>
      <explain>文本全半角错误。</explain>
      <paraID>135AF8FD</paraID>
      <start>18</start>
      <end>19</end>
      <status>ignored</status>
      <modifiedWord/>
      <trackRevisions>false</trackRevisions>
    </reviewItem>
    <reviewItem>
      <errorID>fee31e42-6851-47ba-9228-2537719a740d</errorID>
      <errorWord>)</errorWord>
      <group>L1_Format</group>
      <groupName>格式问题</groupName>
      <ability>L2_HalfPunc_CN</ability>
      <abilityName>全半角问题</abilityName>
      <candidateList>
        <item>）</item>
      </candidateList>
      <explain>文本全半角错误。</explain>
      <paraID>4F1F7089</paraID>
      <start>27</start>
      <end>28</end>
      <status>ignored</status>
      <modifiedWord/>
      <trackRevisions>false</trackRevisions>
    </reviewItem>
    <reviewItem>
      <errorID>e2ba4228-5791-44ad-a59f-a447152a71fe</errorID>
      <errorWord>)</errorWord>
      <group>L1_Format</group>
      <groupName>格式问题</groupName>
      <ability>L2_HalfPunc_CN</ability>
      <abilityName>全半角问题</abilityName>
      <candidateList>
        <item>）</item>
      </candidateList>
      <explain>文本全半角错误。</explain>
      <paraID>6FC17B93</paraID>
      <start>32</start>
      <end>33</end>
      <status>ignored</status>
      <modifiedWord/>
      <trackRevisions>false</trackRevisions>
    </reviewItem>
    <reviewItem>
      <errorID>b393b0cc-0435-4c89-ba02-828a800254aa</errorID>
      <errorWord>)</errorWord>
      <group>L1_Format</group>
      <groupName>格式问题</groupName>
      <ability>L2_HalfPunc_CN</ability>
      <abilityName>全半角问题</abilityName>
      <candidateList>
        <item>）</item>
      </candidateList>
      <explain>文本全半角错误。</explain>
      <paraID>1C829E57</paraID>
      <start>18</start>
      <end>19</end>
      <status>ignored</status>
      <modifiedWord/>
      <trackRevisions>false</trackRevisions>
    </reviewItem>
    <reviewItem>
      <errorID>685ab2c2-ca36-46bb-bde0-e8847d347f40</errorID>
      <errorWord>（</errorWord>
      <group>L1_Punc</group>
      <groupName>标点问题</groupName>
      <ability>L2_Punc_CN</ability>
      <abilityName>标点符号问题</abilityName>
      <candidateList/>
      <explain>同一形式括号套用。</explain>
      <paraID>7D275E88</paraID>
      <start>62</start>
      <end>63</end>
      <status>ignored</status>
      <modifiedWord/>
      <trackRevisions>false</trackRevisions>
    </reviewItem>
    <reviewItem>
      <errorID>bdf7c9e6-c709-4d28-bc23-bde53ac3bb42</errorID>
      <errorWord>）</errorWord>
      <group>L1_Punc</group>
      <groupName>标点问题</groupName>
      <ability>L2_Punc_CN</ability>
      <abilityName>标点符号问题</abilityName>
      <candidateList/>
      <explain>同一形式括号套用。</explain>
      <paraID>7D275E88</paraID>
      <start>64</start>
      <end>65</end>
      <status>ignored</status>
      <modifiedWord/>
      <trackRevisions>false</trackRevisions>
    </reviewItem>
    <reviewItem>
      <errorID>0698442f-841a-4d21-b60e-2402e52c5bed</errorID>
      <errorWord>（</errorWord>
      <group>L1_Punc</group>
      <groupName>标点问题</groupName>
      <ability>L2_Punc_CN</ability>
      <abilityName>标点符号问题</abilityName>
      <candidateList/>
      <explain>同一形式括号套用。</explain>
      <paraID>7D275E88</paraID>
      <start>73</start>
      <end>74</end>
      <status>ignored</status>
      <modifiedWord/>
      <trackRevisions>false</trackRevisions>
    </reviewItem>
    <reviewItem>
      <errorID>cdb5c46c-e2e1-475a-a2a7-a966e0e0c07e</errorID>
      <errorWord>）</errorWord>
      <group>L1_Punc</group>
      <groupName>标点问题</groupName>
      <ability>L2_Punc_CN</ability>
      <abilityName>标点符号问题</abilityName>
      <candidateList/>
      <explain>同一形式括号套用。</explain>
      <paraID>7D275E88</paraID>
      <start>75</start>
      <end>76</end>
      <status>ignored</status>
      <modifiedWord/>
      <trackRevisions>false</trackRevisions>
    </reviewItem>
    <reviewItem>
      <errorID>06cbd1f4-0903-42bb-a3be-6de951fc30be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1EBC64D0</paraID>
      <start>0</start>
      <end>2</end>
      <status>ignored</status>
      <modifiedWord/>
      <trackRevisions>false</trackRevisions>
    </reviewItem>
    <reviewItem>
      <errorID>e439c609-2ce2-461c-926b-33b4766aff0d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C709680</paraID>
      <start>0</start>
      <end>2</end>
      <status>ignored</status>
      <modifiedWord/>
      <trackRevisions>false</trackRevisions>
    </reviewItem>
    <reviewItem>
      <errorID>2a4fdbfa-a6a0-4f24-8bbd-f6825c55e9af</errorID>
      <errorWord>计</errorWord>
      <group>L1_Word</group>
      <groupName>字词问题</groupName>
      <ability>L2_Typo</ability>
      <abilityName>字词错误</abilityName>
      <candidateList>
        <item>计算</item>
      </candidateList>
      <explain/>
      <paraID>73670808</paraID>
      <start>68</start>
      <end>69</end>
      <status>ignored</status>
      <modifiedWord/>
      <trackRevisions>false</trackRevisions>
    </reviewItem>
    <reviewItem>
      <errorID>db924a51-8c2f-4088-9e1a-5aa28a98bc98</errorID>
      <errorWord>细沙</errorWord>
      <group>L1_Word</group>
      <groupName>字词问题</groupName>
      <ability>L2_Typo</ability>
      <abilityName>字词错误</abilityName>
      <candidateList>
        <item>细砂</item>
      </candidateList>
      <explain>存在发音相同字词的误用。</explain>
      <paraID> 8119B28</paraID>
      <start>39</start>
      <end>41</end>
      <status>modified</status>
      <modifiedWord>细砂</modifiedWord>
      <trackRevisions>false</trackRevisions>
    </reviewItem>
    <reviewItem>
      <errorID>5525864f-fd47-46d0-a709-ff07b1d46aa9</errorID>
      <errorWord>水泥沙浆</errorWord>
      <group>L1_Word</group>
      <groupName>字词问题</groupName>
      <ability>L2_Alias</ability>
      <abilityName>也作/曾用词</abilityName>
      <candidateList>
        <item>水泥砂浆</item>
      </candidateList>
      <explain>词汇[水泥沙浆]为不规范表述或旧称，其规范书面表述为[水泥砂浆]。</explain>
      <paraID> 8119B28</paraID>
      <start>44</start>
      <end>48</end>
      <status>modified</status>
      <modifiedWord>水泥砂浆</modifiedWord>
      <trackRevisions>false</trackRevisions>
    </reviewItem>
    <reviewItem>
      <errorID>fa1f8f6d-1fb4-4df3-8f37-b1c799c0f5fc</errorID>
      <errorWord>，</errorWord>
      <group>L1_Format</group>
      <groupName>格式问题</groupName>
      <ability>L2_HalfPunc_CN</ability>
      <abilityName>全半角问题</abilityName>
      <candidateList>
        <item>, </item>
      </candidateList>
      <explain>文本全半角错误。</explain>
      <paraID>7A7C3827</paraID>
      <start>1</start>
      <end>2</end>
      <status>ignored</status>
      <modifiedWord/>
      <trackRevisions>false</trackRevisions>
    </reviewItem>
    <reviewItem>
      <errorID>d5b22c84-a60e-497b-99d0-62f9afb3b08b</errorID>
      <errorWord>，</errorWord>
      <group>L1_Format</group>
      <groupName>格式问题</groupName>
      <ability>L2_HalfPunc_CN</ability>
      <abilityName>全半角问题</abilityName>
      <candidateList>
        <item>, </item>
      </candidateList>
      <explain>文本全半角错误。</explain>
      <paraID>27E3577F</paraID>
      <start>1</start>
      <end>2</end>
      <status>ignored</status>
      <modifiedWord/>
      <trackRevisions>false</trackRevisions>
    </reviewItem>
    <reviewItem>
      <errorID>cdb00f40-86eb-4dc1-b63b-97085ed37ffa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58A15BD9</paraID>
      <start>0</start>
      <end>2</end>
      <status>ignored</status>
      <modifiedWord/>
      <trackRevisions>false</trackRevisions>
    </reviewItem>
    <reviewItem>
      <errorID>c7d7729f-879e-4d29-8176-29725c8dd706</errorID>
      <errorWord>具</errorWord>
      <group>L1_Word</group>
      <groupName>字词问题</groupName>
      <ability>L2_Typo</ability>
      <abilityName>字词错误</abilityName>
      <candidateList>
        <item>具有</item>
      </candidateList>
      <explain>〈动〉有（多用于抽象事物）：～信心｜～伟大的意义。</explain>
      <paraID> 6A9A35C</paraID>
      <start>90</start>
      <end>92</end>
      <status>modified</status>
      <modifiedWord>具有</modifiedWord>
      <trackRevisions>false</trackRevisions>
    </reviewItem>
    <reviewItem>
      <errorID>bf72dd9c-2f4e-4e6a-9628-ca2c9f96da30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45845E4F</paraID>
      <start>125</start>
      <end>126</end>
      <status>ignored</status>
      <modifiedWord/>
      <trackRevisions>false</trackRevisions>
    </reviewItem>
    <reviewItem>
      <errorID>1822066c-f94d-46fe-bc0f-c17caac3241b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45845E4F</paraID>
      <start>164</start>
      <end>165</end>
      <status>ignored</status>
      <modifiedWord/>
      <trackRevisions>false</trackRevisions>
    </reviewItem>
    <reviewItem>
      <errorID>c295966d-7d94-41c7-856b-949009dc7cbf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63DECFAA</paraID>
      <start>77</start>
      <end>78</end>
      <status>ignored</status>
      <modifiedWord/>
      <trackRevisions>false</trackRevisions>
    </reviewItem>
    <reviewItem>
      <errorID>46cc097b-3592-4da0-a245-29c309fa3a66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63DECFAA</paraID>
      <start>125</start>
      <end>126</end>
      <status>ignored</status>
      <modifiedWord/>
      <trackRevisions>false</trackRevisions>
    </reviewItem>
    <reviewItem>
      <errorID>530eba76-2eac-4fb1-99aa-cde9caf70466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3381B280</paraID>
      <start>0</start>
      <end>2</end>
      <status>ignored</status>
      <modifiedWord/>
      <trackRevisions>false</trackRevisions>
    </reviewItem>
    <reviewItem>
      <errorID>b5bc5896-bb21-468b-b68b-755194f6f9eb</errorID>
      <errorWord>(</errorWord>
      <group>L1_Format</group>
      <groupName>格式问题</groupName>
      <ability>L2_HalfPunc_CN</ability>
      <abilityName>全半角问题</abilityName>
      <candidateList>
        <item>（</item>
      </candidateList>
      <explain>文本全半角错误。</explain>
      <paraID>3FDA4D91</paraID>
      <start>93</start>
      <end>94</end>
      <status>ignored</status>
      <modifiedWord/>
      <trackRevisions>false</trackRevisions>
    </reviewItem>
    <reviewItem>
      <errorID>b50495d9-77b2-4faf-be7c-361fbaee0cf4</errorID>
      <errorWord>)</errorWord>
      <group>L1_Format</group>
      <groupName>格式问题</groupName>
      <ability>L2_HalfPunc_CN</ability>
      <abilityName>全半角问题</abilityName>
      <candidateList>
        <item>）</item>
      </candidateList>
      <explain>文本全半角错误。</explain>
      <paraID>3FDA4D91</paraID>
      <start>106</start>
      <end>107</end>
      <status>ignored</status>
      <modifiedWord/>
      <trackRevisions>false</trackRevisions>
    </reviewItem>
    <reviewItem>
      <errorID>da01fa4d-67b3-428d-b1b1-8b4006ae881d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5DA3FB95</paraID>
      <start>0</start>
      <end>2</end>
      <status>ignored</status>
      <modifiedWord/>
      <trackRevisions>false</trackRevisions>
    </reviewItem>
    <reviewItem>
      <errorID>c7b2f01e-8ae7-4022-a268-cf4e103719eb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3BEEC2E3</paraID>
      <start>0</start>
      <end>2</end>
      <status>ignored</status>
      <modifiedWord/>
      <trackRevisions>false</trackRevisions>
    </reviewItem>
    <reviewItem>
      <errorID>569bd97b-3168-43df-92dd-f9c4921b68c2</errorID>
      <errorWord>效率和</errorWord>
      <group>L1_Word</group>
      <groupName>字词问题</groupName>
      <ability>L2_Typo</ability>
      <abilityName>字词错误</abilityName>
      <candidateList>
        <item>效率</item>
      </candidateList>
      <explain/>
      <paraID>2B36AD71</paraID>
      <start>26</start>
      <end>29</end>
      <status>ignored</status>
      <modifiedWord/>
      <trackRevisions>false</trackRevisions>
    </reviewItem>
    <reviewItem>
      <errorID>919061dd-007f-40e6-8325-9ecc6e19e8ee</errorID>
      <errorWord>产生</errorWord>
      <group>L1_Word</group>
      <groupName>字词问题</groupName>
      <ability>L2_Typo</ability>
      <abilityName>字词错误</abilityName>
      <candidateList>
        <item>发生</item>
      </candidateList>
      <explain>〈动〉❶原来没有的事出现了；产生：～变化｜～事故｜～关系。❷卵子受精后逐渐生长。</explain>
      <paraID>26724855</paraID>
      <start>33</start>
      <end>35</end>
      <status>modified</status>
      <modifiedWord>发生</modifiedWord>
      <trackRevisions>false</trackRevisions>
    </reviewItem>
    <reviewItem>
      <errorID>dd704fa7-688a-4d55-912e-ac0ff2abc027</errorID>
      <errorWord>连锁</errorWord>
      <group>L1_Word</group>
      <groupName>字词问题</groupName>
      <ability>L2_Typo</ability>
      <abilityName>字词错误</abilityName>
      <candidateList>
        <item>联锁</item>
      </candidateList>
      <explain>存在发音相同字词的误用。</explain>
      <paraID>58E5ED37</paraID>
      <start>18</start>
      <end>20</end>
      <status>ignored</status>
      <modifiedWord/>
      <trackRevisions>false</trackRevisions>
    </reviewItem>
    <reviewItem>
      <errorID>696eb734-d956-4394-860a-3ca6e2561d7e</errorID>
      <errorWord>(</errorWord>
      <group>L1_Format</group>
      <groupName>格式问题</groupName>
      <ability>L2_HalfPunc_CN</ability>
      <abilityName>全半角问题</abilityName>
      <candidateList>
        <item>（</item>
      </candidateList>
      <explain>文本全半角错误。</explain>
      <paraID>30E93D74</paraID>
      <start>36</start>
      <end>37</end>
      <status>ignored</status>
      <modifiedWord/>
      <trackRevisions>false</trackRevisions>
    </reviewItem>
    <reviewItem>
      <errorID>2b180bf7-2abf-4620-8d11-aebde71a682a</errorID>
      <errorWord>)</errorWord>
      <group>L1_Format</group>
      <groupName>格式问题</groupName>
      <ability>L2_HalfPunc_CN</ability>
      <abilityName>全半角问题</abilityName>
      <candidateList>
        <item>）</item>
      </candidateList>
      <explain>文本全半角错误。</explain>
      <paraID>30E93D74</paraID>
      <start>38</start>
      <end>39</end>
      <status>ignored</status>
      <modifiedWord/>
      <trackRevisions>false</trackRevisions>
    </reviewItem>
    <reviewItem>
      <errorID>d5f9d9aa-30b8-43a6-b3b5-ba5a766f7e9d</errorID>
      <errorWord>《爆炸危险环境电力装置设计规范(GB50058-2014)》</errorWord>
      <group>L1_Knowledge</group>
      <groupName>知识性问题</groupName>
      <ability>L2_Knowledge</ability>
      <abilityName>其他知识</abilityName>
      <candidateList>
        <item>《爆炸危险环境电力装置设计规范》(GB50058-2014)</item>
      </candidateList>
      <explain>疑似政策文件、法律法规名称等书写不规范，请注意检查。</explain>
      <paraID>30E93D74</paraID>
      <start>47</start>
      <end>77</end>
      <status>ignored</status>
      <modifiedWord/>
      <trackRevisions>false</trackRevisions>
    </reviewItem>
    <reviewItem>
      <errorID>51e9822c-d1cb-469c-a2ca-cc737c26ff4a</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3E507855</paraID>
      <start>76</start>
      <end>78</end>
      <status>ignored</status>
      <modifiedWord/>
      <trackRevisions>false</trackRevisions>
    </reviewItem>
    <reviewItem>
      <errorID>1b375ec4-cda9-4b9f-b955-7e12b0d95dfb</errorID>
      <errorWord>(</errorWord>
      <group>L1_Format</group>
      <groupName>格式问题</groupName>
      <ability>L2_HalfPunc_CN</ability>
      <abilityName>全半角问题</abilityName>
      <candidateList>
        <item>（</item>
      </candidateList>
      <explain>文本全半角错误。</explain>
      <paraID>6A1016DE</paraID>
      <start>76</start>
      <end>77</end>
      <status>ignored</status>
      <modifiedWord/>
      <trackRevisions>false</trackRevisions>
    </reviewItem>
    <reviewItem>
      <errorID>59f78181-880c-46c3-b96b-5a904f58977d</errorID>
      <errorWord>)</errorWord>
      <group>L1_Format</group>
      <groupName>格式问题</groupName>
      <ability>L2_HalfPunc_CN</ability>
      <abilityName>全半角问题</abilityName>
      <candidateList>
        <item>）</item>
      </candidateList>
      <explain>文本全半角错误。</explain>
      <paraID>6A1016DE</paraID>
      <start>89</start>
      <end>90</end>
      <status>ignored</status>
      <modifiedWord/>
      <trackRevisions>false</trackRevisions>
    </reviewItem>
    <reviewItem>
      <errorID>0fa19e2f-e6f1-456d-a4aa-c912e1d15a00</errorID>
      <errorWord>火</errorWord>
      <group>L1_Word</group>
      <groupName>字词问题</groupName>
      <ability>L2_Typo</ability>
      <abilityName>字词错误</abilityName>
      <candidateList>
        <item>或</item>
      </candidateList>
      <explain>存在发音相同字词的误用。</explain>
      <paraID> 613307E</paraID>
      <start>89</start>
      <end>90</end>
      <status>ignored</status>
      <modifiedWord/>
      <trackRevisions>false</trackRevisions>
    </reviewItem>
    <reviewItem>
      <errorID>599615f0-1404-4e1c-921b-5cbbf4a4c7f9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462EFEFD</paraID>
      <start>0</start>
      <end>2</end>
      <status>ignored</status>
      <modifiedWord/>
      <trackRevisions>false</trackRevisions>
    </reviewItem>
    <reviewItem>
      <errorID>f3e7dcd5-3585-4bb2-84e7-abd1e1f33b6a</errorID>
      <errorWord>，在</errorWord>
      <group>L1_Word</group>
      <groupName>字词问题</groupName>
      <ability>L2_Typo</ability>
      <abilityName>字词错误</abilityName>
      <candidateList>
        <item>，</item>
      </candidateList>
      <explain/>
      <paraID>1FB91FA9</paraID>
      <start>8</start>
      <end>10</end>
      <status>ignored</status>
      <modifiedWord/>
      <trackRevisions>false</trackRevisions>
    </reviewItem>
    <reviewItem>
      <errorID>866129c8-9f34-48fe-9366-0c0eca5c90fa</errorID>
      <errorWord>(</errorWord>
      <group>L1_Format</group>
      <groupName>格式问题</groupName>
      <ability>L2_HalfPunc_CN</ability>
      <abilityName>全半角问题</abilityName>
      <candidateList>
        <item>（</item>
      </candidateList>
      <explain>文本全半角错误。</explain>
      <paraID>2C4F5916</paraID>
      <start>3</start>
      <end>4</end>
      <status>ignored</status>
      <modifiedWord/>
      <trackRevisions>false</trackRevisions>
    </reviewItem>
    <reviewItem>
      <errorID>d64bed79-51f8-4fe0-9c1a-7f1c147155b9</errorID>
      <errorWord>)</errorWord>
      <group>L1_Format</group>
      <groupName>格式问题</groupName>
      <ability>L2_HalfPunc_CN</ability>
      <abilityName>全半角问题</abilityName>
      <candidateList>
        <item>）</item>
      </candidateList>
      <explain>文本全半角错误。</explain>
      <paraID>2C4F5916</paraID>
      <start>9</start>
      <end>10</end>
      <status>ignored</status>
      <modifiedWord/>
      <trackRevisions>false</trackRevisions>
    </reviewItem>
    <reviewItem>
      <errorID>01f22006-0c07-4de4-95fe-9cad1f599040</errorID>
      <errorWord>物质</errorWord>
      <group>L1_Word</group>
      <groupName>字词问题</groupName>
      <ability>L2_Typo</ability>
      <abilityName>字词错误</abilityName>
      <candidateList>
        <item>物资</item>
      </candidateList>
      <explain/>
      <paraID> A971BF7</paraID>
      <start>2</start>
      <end>4</end>
      <status>ignored</status>
      <modifiedWord/>
      <trackRevisions>false</trackRevisions>
    </reviewItem>
    <reviewItem>
      <errorID>46994764-0e01-43cb-9030-dbfbdf848207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3370D6F8</paraID>
      <start>0</start>
      <end>2</end>
      <status>ignored</status>
      <modifiedWord/>
      <trackRevisions>false</trackRevisions>
    </reviewItem>
    <reviewItem>
      <errorID>50b962bd-dbad-49a2-93e2-e17f8cdf1ba0</errorID>
      <errorWord>(</errorWord>
      <group>L1_Format</group>
      <groupName>格式问题</groupName>
      <ability>L2_HalfPunc_CN</ability>
      <abilityName>全半角问题</abilityName>
      <candidateList>
        <item>（</item>
      </candidateList>
      <explain>文本全半角错误。</explain>
      <paraID>7A73C172</paraID>
      <start>36</start>
      <end>37</end>
      <status>ignored</status>
      <modifiedWord/>
      <trackRevisions>false</trackRevisions>
    </reviewItem>
    <reviewItem>
      <errorID>b68e2939-67dc-4fdc-a5f4-d70b4712194a</errorID>
      <errorWord>)</errorWord>
      <group>L1_Format</group>
      <groupName>格式问题</groupName>
      <ability>L2_HalfPunc_CN</ability>
      <abilityName>全半角问题</abilityName>
      <candidateList>
        <item>）</item>
      </candidateList>
      <explain>文本全半角错误。</explain>
      <paraID>7A73C172</paraID>
      <start>44</start>
      <end>45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c74824-c3e6-4b66-8f7f-5993a7a452da}">
  <ds:schemaRefs/>
</ds:datastoreItem>
</file>

<file path=docProps/app.xml><?xml version="1.0" encoding="utf-8"?>
<Properties xmlns="http://schemas.openxmlformats.org/officeDocument/2006/extended-properties" xmlns:vt="http://schemas.openxmlformats.org/officeDocument/2006/docPropsVTypes">
  <Template>wdzx97.dot</Template>
  <Company>微软中国</Company>
  <Pages>88</Pages>
  <Words>27087</Words>
  <Characters>28971</Characters>
  <Lines>44</Lines>
  <Paragraphs>12</Paragraphs>
  <TotalTime>25</TotalTime>
  <ScaleCrop>false</ScaleCrop>
  <LinksUpToDate>false</LinksUpToDate>
  <CharactersWithSpaces>28998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EI</cp:lastModifiedBy>
  <cp:lastPrinted>2022-01-25T05:21:00Z</cp:lastPrinted>
  <dcterms:modified xsi:type="dcterms:W3CDTF">2026-07-11T20:58:58Z</dcterms:modified>
  <dc:title>附件2</dc:title>
  <cp:revision>218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1178400027_cloud</vt:lpwstr>
  </property>
  <property fmtid="{D5CDD505-2E9C-101B-9397-08002B2CF9AE}" pid="4" name="ICV">
    <vt:lpwstr>2C67AFDADAB9450B87EA35A1E500097A_13</vt:lpwstr>
  </property>
  <property fmtid="{D5CDD505-2E9C-101B-9397-08002B2CF9AE}" pid="5" name="KSOTemplateDocerSaveRecord">
    <vt:lpwstr>eyJoZGlkIjoiOGEyNmQ2NTc2MmM2YzVlYWMwNTgzMzhjOWYxNjcyNGEiLCJ1c2VySWQiOiIxMjI2Mzk2MTkzIn0=</vt:lpwstr>
  </property>
</Properties>
</file>