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D589C6">
      <w:pPr>
        <w:rPr>
          <w:color w:val="0000FF"/>
        </w:rPr>
      </w:pPr>
      <w:bookmarkStart w:id="0" w:name="_Hlk177544117"/>
      <w:bookmarkEnd w:id="0"/>
      <w:bookmarkStart w:id="1" w:name="OLE_LINK1"/>
      <w:bookmarkStart w:id="2" w:name="_Toc121151509"/>
      <w:bookmarkStart w:id="3" w:name="_Toc67775550"/>
    </w:p>
    <w:p w14:paraId="2AD6A228">
      <w:pPr>
        <w:adjustRightInd w:val="0"/>
        <w:snapToGrid w:val="0"/>
        <w:jc w:val="center"/>
        <w:rPr>
          <w:sz w:val="36"/>
          <w:szCs w:val="36"/>
        </w:rPr>
      </w:pPr>
    </w:p>
    <w:p w14:paraId="2558AFCD">
      <w:pPr>
        <w:adjustRightInd w:val="0"/>
        <w:snapToGrid w:val="0"/>
        <w:jc w:val="center"/>
        <w:rPr>
          <w:sz w:val="36"/>
          <w:szCs w:val="36"/>
        </w:rPr>
      </w:pPr>
    </w:p>
    <w:p w14:paraId="62D6D567">
      <w:pPr>
        <w:adjustRightInd w:val="0"/>
        <w:snapToGrid w:val="0"/>
        <w:jc w:val="center"/>
        <w:rPr>
          <w:sz w:val="36"/>
          <w:szCs w:val="36"/>
        </w:rPr>
      </w:pPr>
    </w:p>
    <w:p w14:paraId="4026E2B2">
      <w:pPr>
        <w:adjustRightInd w:val="0"/>
        <w:snapToGrid w:val="0"/>
        <w:jc w:val="center"/>
        <w:rPr>
          <w:sz w:val="36"/>
          <w:szCs w:val="36"/>
        </w:rPr>
      </w:pPr>
    </w:p>
    <w:p w14:paraId="6ADF4DFA">
      <w:pPr>
        <w:adjustRightInd w:val="0"/>
        <w:snapToGrid w:val="0"/>
        <w:jc w:val="center"/>
        <w:rPr>
          <w:sz w:val="36"/>
          <w:szCs w:val="36"/>
        </w:rPr>
      </w:pPr>
    </w:p>
    <w:p w14:paraId="3A7D8655">
      <w:pPr>
        <w:adjustRightInd w:val="0"/>
        <w:snapToGrid w:val="0"/>
        <w:spacing w:line="240" w:lineRule="auto"/>
        <w:jc w:val="center"/>
        <w:outlineLvl w:val="0"/>
        <w:rPr>
          <w:bCs/>
          <w:sz w:val="72"/>
          <w:szCs w:val="72"/>
        </w:rPr>
      </w:pPr>
      <w:bookmarkStart w:id="4" w:name="_Toc22824"/>
      <w:bookmarkStart w:id="5" w:name="_Toc22129"/>
      <w:bookmarkStart w:id="6" w:name="_Toc6462"/>
      <w:bookmarkStart w:id="7" w:name="_Toc28749"/>
      <w:r>
        <w:rPr>
          <w:bCs/>
          <w:sz w:val="72"/>
          <w:szCs w:val="72"/>
        </w:rPr>
        <w:t>建设项目环境影响报告表</w:t>
      </w:r>
      <w:bookmarkEnd w:id="1"/>
      <w:bookmarkEnd w:id="2"/>
      <w:bookmarkEnd w:id="4"/>
      <w:bookmarkEnd w:id="5"/>
      <w:bookmarkEnd w:id="6"/>
      <w:bookmarkEnd w:id="7"/>
    </w:p>
    <w:p w14:paraId="38C021C2">
      <w:pPr>
        <w:adjustRightInd w:val="0"/>
        <w:snapToGrid w:val="0"/>
        <w:spacing w:beforeLines="80"/>
        <w:jc w:val="center"/>
        <w:rPr>
          <w:rFonts w:eastAsia="华文楷体"/>
          <w:bCs/>
          <w:sz w:val="34"/>
          <w:szCs w:val="48"/>
        </w:rPr>
      </w:pPr>
      <w:r>
        <w:rPr>
          <w:rFonts w:eastAsia="华文楷体"/>
          <w:bCs/>
          <w:sz w:val="48"/>
          <w:szCs w:val="48"/>
        </w:rPr>
        <w:t>（污染影响类）</w:t>
      </w:r>
    </w:p>
    <w:p w14:paraId="0912EC0F">
      <w:pPr>
        <w:adjustRightInd w:val="0"/>
        <w:snapToGrid w:val="0"/>
        <w:spacing w:line="288" w:lineRule="auto"/>
        <w:jc w:val="center"/>
        <w:rPr>
          <w:kern w:val="44"/>
          <w:sz w:val="44"/>
          <w:szCs w:val="44"/>
        </w:rPr>
      </w:pPr>
    </w:p>
    <w:p w14:paraId="12741D54">
      <w:pPr>
        <w:jc w:val="center"/>
        <w:rPr>
          <w:sz w:val="52"/>
          <w:szCs w:val="52"/>
        </w:rPr>
      </w:pPr>
    </w:p>
    <w:p w14:paraId="1E573E95">
      <w:pPr>
        <w:jc w:val="center"/>
        <w:rPr>
          <w:sz w:val="52"/>
          <w:szCs w:val="52"/>
        </w:rPr>
      </w:pPr>
    </w:p>
    <w:p w14:paraId="7314109F">
      <w:pPr>
        <w:jc w:val="center"/>
        <w:rPr>
          <w:sz w:val="52"/>
          <w:szCs w:val="52"/>
        </w:rPr>
      </w:pPr>
    </w:p>
    <w:p w14:paraId="66A0491C">
      <w:pPr>
        <w:jc w:val="center"/>
        <w:rPr>
          <w:sz w:val="52"/>
          <w:szCs w:val="52"/>
        </w:rPr>
      </w:pPr>
    </w:p>
    <w:p w14:paraId="7151B43B">
      <w:pPr>
        <w:jc w:val="center"/>
        <w:rPr>
          <w:sz w:val="52"/>
          <w:szCs w:val="52"/>
        </w:rPr>
      </w:pPr>
      <w:bookmarkStart w:id="8" w:name="_Hlk57884087"/>
    </w:p>
    <w:tbl>
      <w:tblPr>
        <w:tblStyle w:val="24"/>
        <w:tblW w:w="880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2960"/>
        <w:gridCol w:w="5845"/>
      </w:tblGrid>
      <w:tr w14:paraId="536303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80" w:hRule="atLeast"/>
          <w:jc w:val="center"/>
        </w:trPr>
        <w:tc>
          <w:tcPr>
            <w:tcW w:w="2960" w:type="dxa"/>
            <w:vAlign w:val="bottom"/>
          </w:tcPr>
          <w:p w14:paraId="22CB210E">
            <w:pPr>
              <w:jc w:val="distribute"/>
              <w:rPr>
                <w:sz w:val="32"/>
                <w:szCs w:val="32"/>
              </w:rPr>
            </w:pPr>
            <w:r>
              <w:rPr>
                <w:sz w:val="32"/>
                <w:szCs w:val="32"/>
              </w:rPr>
              <w:t>项 目 名 称：</w:t>
            </w:r>
          </w:p>
        </w:tc>
        <w:tc>
          <w:tcPr>
            <w:tcW w:w="5845" w:type="dxa"/>
            <w:tcBorders>
              <w:bottom w:val="single" w:color="auto" w:sz="4" w:space="0"/>
            </w:tcBorders>
            <w:vAlign w:val="bottom"/>
          </w:tcPr>
          <w:p w14:paraId="3CB0CA38">
            <w:pPr>
              <w:jc w:val="center"/>
              <w:rPr>
                <w:sz w:val="32"/>
                <w:szCs w:val="32"/>
              </w:rPr>
            </w:pPr>
            <w:r>
              <w:rPr>
                <w:rFonts w:hint="eastAsia"/>
                <w:sz w:val="32"/>
                <w:szCs w:val="32"/>
              </w:rPr>
              <w:t>现代智能化食品工厂及电商运营中心项目</w:t>
            </w:r>
          </w:p>
        </w:tc>
      </w:tr>
      <w:tr w14:paraId="3BB6D9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80" w:hRule="atLeast"/>
          <w:jc w:val="center"/>
        </w:trPr>
        <w:tc>
          <w:tcPr>
            <w:tcW w:w="2960" w:type="dxa"/>
            <w:vAlign w:val="bottom"/>
          </w:tcPr>
          <w:p w14:paraId="0D323AB3">
            <w:pPr>
              <w:jc w:val="distribute"/>
              <w:rPr>
                <w:sz w:val="32"/>
                <w:szCs w:val="32"/>
              </w:rPr>
            </w:pPr>
            <w:r>
              <w:rPr>
                <w:sz w:val="32"/>
                <w:szCs w:val="32"/>
              </w:rPr>
              <w:t>建设单位</w:t>
            </w:r>
            <w:r>
              <w:rPr>
                <w:rFonts w:hint="eastAsia"/>
                <w:sz w:val="32"/>
                <w:szCs w:val="32"/>
              </w:rPr>
              <w:t>（</w:t>
            </w:r>
            <w:r>
              <w:rPr>
                <w:sz w:val="32"/>
                <w:szCs w:val="32"/>
              </w:rPr>
              <w:t>盖章</w:t>
            </w:r>
            <w:r>
              <w:rPr>
                <w:rFonts w:hint="eastAsia"/>
                <w:sz w:val="32"/>
                <w:szCs w:val="32"/>
              </w:rPr>
              <w:t>）</w:t>
            </w:r>
            <w:r>
              <w:rPr>
                <w:sz w:val="32"/>
                <w:szCs w:val="32"/>
              </w:rPr>
              <w:t>：</w:t>
            </w:r>
          </w:p>
        </w:tc>
        <w:tc>
          <w:tcPr>
            <w:tcW w:w="5845" w:type="dxa"/>
            <w:tcBorders>
              <w:top w:val="single" w:color="auto" w:sz="4" w:space="0"/>
              <w:bottom w:val="single" w:color="auto" w:sz="4" w:space="0"/>
            </w:tcBorders>
            <w:vAlign w:val="bottom"/>
          </w:tcPr>
          <w:p w14:paraId="0B099B29">
            <w:pPr>
              <w:jc w:val="center"/>
              <w:rPr>
                <w:sz w:val="32"/>
                <w:szCs w:val="32"/>
              </w:rPr>
            </w:pPr>
            <w:r>
              <w:rPr>
                <w:rFonts w:hint="eastAsia"/>
                <w:sz w:val="32"/>
                <w:szCs w:val="32"/>
              </w:rPr>
              <w:t>安徽淮记本食生物科技有限公司</w:t>
            </w:r>
          </w:p>
        </w:tc>
      </w:tr>
      <w:tr w14:paraId="7067E3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80" w:hRule="atLeast"/>
          <w:jc w:val="center"/>
        </w:trPr>
        <w:tc>
          <w:tcPr>
            <w:tcW w:w="2960" w:type="dxa"/>
            <w:vAlign w:val="bottom"/>
          </w:tcPr>
          <w:p w14:paraId="2EDE9273">
            <w:pPr>
              <w:jc w:val="distribute"/>
              <w:rPr>
                <w:sz w:val="32"/>
                <w:szCs w:val="32"/>
              </w:rPr>
            </w:pPr>
            <w:r>
              <w:rPr>
                <w:sz w:val="32"/>
                <w:szCs w:val="32"/>
              </w:rPr>
              <w:t>编 制 日 期：</w:t>
            </w:r>
          </w:p>
        </w:tc>
        <w:tc>
          <w:tcPr>
            <w:tcW w:w="5845" w:type="dxa"/>
            <w:tcBorders>
              <w:top w:val="single" w:color="auto" w:sz="4" w:space="0"/>
              <w:bottom w:val="single" w:color="auto" w:sz="4" w:space="0"/>
            </w:tcBorders>
            <w:vAlign w:val="bottom"/>
          </w:tcPr>
          <w:p w14:paraId="30BE6366">
            <w:pPr>
              <w:jc w:val="center"/>
              <w:rPr>
                <w:sz w:val="32"/>
                <w:szCs w:val="32"/>
              </w:rPr>
            </w:pPr>
            <w:r>
              <w:rPr>
                <w:sz w:val="32"/>
                <w:szCs w:val="32"/>
              </w:rPr>
              <w:t>202</w:t>
            </w:r>
            <w:r>
              <w:rPr>
                <w:rFonts w:hint="eastAsia"/>
                <w:sz w:val="32"/>
                <w:szCs w:val="32"/>
              </w:rPr>
              <w:t>6</w:t>
            </w:r>
            <w:r>
              <w:rPr>
                <w:sz w:val="32"/>
                <w:szCs w:val="32"/>
              </w:rPr>
              <w:t>年</w:t>
            </w:r>
            <w:r>
              <w:rPr>
                <w:rFonts w:hint="eastAsia"/>
                <w:sz w:val="32"/>
                <w:szCs w:val="32"/>
              </w:rPr>
              <w:t>7</w:t>
            </w:r>
            <w:r>
              <w:rPr>
                <w:sz w:val="32"/>
                <w:szCs w:val="32"/>
              </w:rPr>
              <w:t>月</w:t>
            </w:r>
          </w:p>
        </w:tc>
      </w:tr>
      <w:bookmarkEnd w:id="8"/>
    </w:tbl>
    <w:p w14:paraId="794AD627">
      <w:pPr>
        <w:adjustRightInd w:val="0"/>
        <w:snapToGrid w:val="0"/>
        <w:spacing w:line="288" w:lineRule="auto"/>
        <w:jc w:val="center"/>
        <w:rPr>
          <w:sz w:val="36"/>
          <w:szCs w:val="36"/>
        </w:rPr>
      </w:pPr>
    </w:p>
    <w:p w14:paraId="705B9958">
      <w:pPr>
        <w:adjustRightInd w:val="0"/>
        <w:snapToGrid w:val="0"/>
        <w:spacing w:line="288" w:lineRule="auto"/>
        <w:jc w:val="center"/>
        <w:rPr>
          <w:sz w:val="36"/>
          <w:szCs w:val="36"/>
        </w:rPr>
      </w:pPr>
    </w:p>
    <w:p w14:paraId="6C843A4B">
      <w:pPr>
        <w:adjustRightInd w:val="0"/>
        <w:snapToGrid w:val="0"/>
        <w:spacing w:line="288" w:lineRule="auto"/>
        <w:jc w:val="center"/>
        <w:rPr>
          <w:sz w:val="36"/>
          <w:szCs w:val="36"/>
        </w:rPr>
      </w:pPr>
    </w:p>
    <w:p w14:paraId="48F15F66">
      <w:pPr>
        <w:adjustRightInd w:val="0"/>
        <w:snapToGrid w:val="0"/>
        <w:spacing w:line="288" w:lineRule="auto"/>
        <w:jc w:val="center"/>
        <w:rPr>
          <w:sz w:val="36"/>
          <w:szCs w:val="36"/>
        </w:rPr>
      </w:pPr>
      <w:r>
        <w:rPr>
          <w:sz w:val="36"/>
          <w:szCs w:val="36"/>
        </w:rPr>
        <w:t>中华人民共和国生态环境部制</w:t>
      </w:r>
    </w:p>
    <w:p w14:paraId="129AA13A">
      <w:pPr>
        <w:adjustRightInd w:val="0"/>
        <w:snapToGrid w:val="0"/>
        <w:spacing w:line="288" w:lineRule="auto"/>
        <w:rPr>
          <w:sz w:val="36"/>
          <w:szCs w:val="36"/>
        </w:rPr>
        <w:sectPr>
          <w:headerReference r:id="rId5" w:type="first"/>
          <w:footerReference r:id="rId7" w:type="first"/>
          <w:footerReference r:id="rId6" w:type="even"/>
          <w:pgSz w:w="11906" w:h="16838"/>
          <w:pgMar w:top="1701" w:right="991" w:bottom="1701" w:left="1276" w:header="851" w:footer="1077" w:gutter="0"/>
          <w:pgNumType w:start="3"/>
          <w:cols w:space="720" w:num="1"/>
          <w:docGrid w:linePitch="312" w:charSpace="0"/>
        </w:sectPr>
      </w:pPr>
    </w:p>
    <w:p w14:paraId="1D89742C">
      <w:pPr>
        <w:spacing w:line="360" w:lineRule="auto"/>
        <w:jc w:val="center"/>
        <w:rPr>
          <w:b/>
          <w:color w:val="0000FF"/>
          <w:sz w:val="28"/>
          <w:szCs w:val="28"/>
        </w:rPr>
      </w:pPr>
    </w:p>
    <w:p w14:paraId="2906F392">
      <w:pPr>
        <w:spacing w:line="360" w:lineRule="auto"/>
        <w:rPr>
          <w:b/>
          <w:color w:val="0000FF"/>
          <w:sz w:val="28"/>
          <w:szCs w:val="28"/>
        </w:rPr>
        <w:sectPr>
          <w:footerReference r:id="rId8" w:type="default"/>
          <w:pgSz w:w="11906" w:h="16838"/>
          <w:pgMar w:top="1440" w:right="1440" w:bottom="1440" w:left="1440" w:header="851" w:footer="1077" w:gutter="0"/>
          <w:pgNumType w:fmt="numberInDash" w:start="1"/>
          <w:cols w:space="720" w:num="1"/>
          <w:docGrid w:linePitch="312" w:charSpace="0"/>
        </w:sectPr>
      </w:pPr>
    </w:p>
    <w:bookmarkEnd w:id="3"/>
    <w:sdt>
      <w:sdtPr>
        <w:rPr>
          <w:rFonts w:ascii="宋体" w:hAnsi="宋体"/>
          <w:sz w:val="21"/>
        </w:rPr>
        <w:id w:val="147452971"/>
        <w:docPartObj>
          <w:docPartGallery w:val="Table of Contents"/>
          <w:docPartUnique/>
        </w:docPartObj>
      </w:sdtPr>
      <w:sdtEndPr>
        <w:rPr>
          <w:rFonts w:ascii="宋体" w:hAnsi="宋体"/>
          <w:sz w:val="21"/>
        </w:rPr>
      </w:sdtEndPr>
      <w:sdtContent>
        <w:p w14:paraId="0692EB41">
          <w:pPr>
            <w:spacing w:line="240" w:lineRule="auto"/>
            <w:jc w:val="center"/>
          </w:pPr>
          <w:r>
            <w:rPr>
              <w:rFonts w:ascii="宋体" w:hAnsi="宋体"/>
              <w:sz w:val="32"/>
              <w:szCs w:val="40"/>
            </w:rPr>
            <w:t>目录</w:t>
          </w:r>
        </w:p>
        <w:p w14:paraId="36B86DE3">
          <w:pPr>
            <w:pStyle w:val="19"/>
            <w:tabs>
              <w:tab w:val="right" w:leader="dot" w:pos="9026"/>
            </w:tabs>
          </w:pPr>
          <w:r>
            <w:fldChar w:fldCharType="begin"/>
          </w:r>
          <w:r>
            <w:instrText xml:space="preserve">TOC \o "1-1" \h \u </w:instrText>
          </w:r>
          <w:r>
            <w:fldChar w:fldCharType="separate"/>
          </w:r>
          <w:r>
            <w:fldChar w:fldCharType="begin"/>
          </w:r>
          <w:r>
            <w:instrText xml:space="preserve"> HYPERLINK \l "_Toc2920" </w:instrText>
          </w:r>
          <w:r>
            <w:fldChar w:fldCharType="separate"/>
          </w:r>
          <w:r>
            <w:rPr>
              <w:rFonts w:hint="eastAsia"/>
            </w:rPr>
            <w:t>一、建设项目基本情况</w:t>
          </w:r>
          <w:r>
            <w:tab/>
          </w:r>
          <w:r>
            <w:fldChar w:fldCharType="begin"/>
          </w:r>
          <w:r>
            <w:instrText xml:space="preserve"> PAGEREF _Toc2920 \h </w:instrText>
          </w:r>
          <w:r>
            <w:fldChar w:fldCharType="separate"/>
          </w:r>
          <w:r>
            <w:t>1</w:t>
          </w:r>
          <w:r>
            <w:fldChar w:fldCharType="end"/>
          </w:r>
          <w:r>
            <w:fldChar w:fldCharType="end"/>
          </w:r>
        </w:p>
        <w:p w14:paraId="00DDB371">
          <w:pPr>
            <w:pStyle w:val="19"/>
            <w:tabs>
              <w:tab w:val="right" w:leader="dot" w:pos="9026"/>
            </w:tabs>
          </w:pPr>
          <w:r>
            <w:fldChar w:fldCharType="begin"/>
          </w:r>
          <w:r>
            <w:instrText xml:space="preserve"> HYPERLINK \l "_Toc25807" </w:instrText>
          </w:r>
          <w:r>
            <w:fldChar w:fldCharType="separate"/>
          </w:r>
          <w:r>
            <w:t>二、建设项目工程分析</w:t>
          </w:r>
          <w:r>
            <w:tab/>
          </w:r>
          <w:r>
            <w:fldChar w:fldCharType="begin"/>
          </w:r>
          <w:r>
            <w:instrText xml:space="preserve"> PAGEREF _Toc25807 \h </w:instrText>
          </w:r>
          <w:r>
            <w:fldChar w:fldCharType="separate"/>
          </w:r>
          <w:r>
            <w:t>11</w:t>
          </w:r>
          <w:r>
            <w:fldChar w:fldCharType="end"/>
          </w:r>
          <w:r>
            <w:fldChar w:fldCharType="end"/>
          </w:r>
        </w:p>
        <w:p w14:paraId="0937CF8D">
          <w:pPr>
            <w:pStyle w:val="19"/>
            <w:tabs>
              <w:tab w:val="right" w:leader="dot" w:pos="9026"/>
            </w:tabs>
          </w:pPr>
          <w:r>
            <w:fldChar w:fldCharType="begin"/>
          </w:r>
          <w:r>
            <w:instrText xml:space="preserve"> HYPERLINK \l "_Toc32153" </w:instrText>
          </w:r>
          <w:r>
            <w:fldChar w:fldCharType="separate"/>
          </w:r>
          <w:r>
            <w:t>三、区域环境质量现状、环境保护目标及评价标准</w:t>
          </w:r>
          <w:r>
            <w:tab/>
          </w:r>
          <w:r>
            <w:fldChar w:fldCharType="begin"/>
          </w:r>
          <w:r>
            <w:instrText xml:space="preserve"> PAGEREF _Toc32153 \h </w:instrText>
          </w:r>
          <w:r>
            <w:fldChar w:fldCharType="separate"/>
          </w:r>
          <w:r>
            <w:t>27</w:t>
          </w:r>
          <w:r>
            <w:fldChar w:fldCharType="end"/>
          </w:r>
          <w:r>
            <w:fldChar w:fldCharType="end"/>
          </w:r>
        </w:p>
        <w:p w14:paraId="07AD8DED">
          <w:pPr>
            <w:pStyle w:val="19"/>
            <w:tabs>
              <w:tab w:val="right" w:leader="dot" w:pos="9026"/>
            </w:tabs>
          </w:pPr>
          <w:r>
            <w:fldChar w:fldCharType="begin"/>
          </w:r>
          <w:r>
            <w:instrText xml:space="preserve"> HYPERLINK \l "_Toc26157" </w:instrText>
          </w:r>
          <w:r>
            <w:fldChar w:fldCharType="separate"/>
          </w:r>
          <w:r>
            <w:t>四、主要环境影响和保护措施</w:t>
          </w:r>
          <w:r>
            <w:tab/>
          </w:r>
          <w:bookmarkStart w:id="77" w:name="_GoBack"/>
          <w:bookmarkEnd w:id="77"/>
          <w:r>
            <w:fldChar w:fldCharType="begin"/>
          </w:r>
          <w:r>
            <w:instrText xml:space="preserve"> PAGEREF _Toc26157 \h </w:instrText>
          </w:r>
          <w:r>
            <w:fldChar w:fldCharType="separate"/>
          </w:r>
          <w:r>
            <w:t>36</w:t>
          </w:r>
          <w:r>
            <w:fldChar w:fldCharType="end"/>
          </w:r>
          <w:r>
            <w:fldChar w:fldCharType="end"/>
          </w:r>
        </w:p>
        <w:p w14:paraId="3B69CCFB">
          <w:pPr>
            <w:pStyle w:val="19"/>
            <w:tabs>
              <w:tab w:val="right" w:leader="dot" w:pos="9026"/>
            </w:tabs>
          </w:pPr>
          <w:r>
            <w:fldChar w:fldCharType="begin"/>
          </w:r>
          <w:r>
            <w:instrText xml:space="preserve"> HYPERLINK \l "_Toc28110" </w:instrText>
          </w:r>
          <w:r>
            <w:fldChar w:fldCharType="separate"/>
          </w:r>
          <w:r>
            <w:t>五、环境保护措施监督检查清单</w:t>
          </w:r>
          <w:r>
            <w:tab/>
          </w:r>
          <w:r>
            <w:fldChar w:fldCharType="begin"/>
          </w:r>
          <w:r>
            <w:instrText xml:space="preserve"> PAGEREF _Toc28110 \h </w:instrText>
          </w:r>
          <w:r>
            <w:fldChar w:fldCharType="separate"/>
          </w:r>
          <w:r>
            <w:t>59</w:t>
          </w:r>
          <w:r>
            <w:fldChar w:fldCharType="end"/>
          </w:r>
          <w:r>
            <w:fldChar w:fldCharType="end"/>
          </w:r>
        </w:p>
        <w:p w14:paraId="1C368A1A">
          <w:pPr>
            <w:pStyle w:val="19"/>
            <w:tabs>
              <w:tab w:val="right" w:leader="dot" w:pos="9026"/>
            </w:tabs>
          </w:pPr>
          <w:r>
            <w:fldChar w:fldCharType="begin"/>
          </w:r>
          <w:r>
            <w:instrText xml:space="preserve"> HYPERLINK \l "_Toc17473" </w:instrText>
          </w:r>
          <w:r>
            <w:fldChar w:fldCharType="separate"/>
          </w:r>
          <w:r>
            <w:t>六、结论</w:t>
          </w:r>
          <w:r>
            <w:tab/>
          </w:r>
          <w:r>
            <w:fldChar w:fldCharType="begin"/>
          </w:r>
          <w:r>
            <w:instrText xml:space="preserve"> PAGEREF _Toc17473 \h </w:instrText>
          </w:r>
          <w:r>
            <w:fldChar w:fldCharType="separate"/>
          </w:r>
          <w:r>
            <w:t>61</w:t>
          </w:r>
          <w:r>
            <w:fldChar w:fldCharType="end"/>
          </w:r>
          <w:r>
            <w:fldChar w:fldCharType="end"/>
          </w:r>
        </w:p>
        <w:p w14:paraId="41955331">
          <w:pPr>
            <w:pStyle w:val="19"/>
            <w:tabs>
              <w:tab w:val="right" w:leader="dot" w:pos="9026"/>
            </w:tabs>
          </w:pPr>
          <w:r>
            <w:fldChar w:fldCharType="begin"/>
          </w:r>
          <w:r>
            <w:instrText xml:space="preserve"> HYPERLINK \l "_Toc5522" </w:instrText>
          </w:r>
          <w:r>
            <w:fldChar w:fldCharType="separate"/>
          </w:r>
          <w:r>
            <w:rPr>
              <w:snapToGrid w:val="0"/>
              <w:szCs w:val="28"/>
            </w:rPr>
            <w:t>附表</w:t>
          </w:r>
          <w:r>
            <w:tab/>
          </w:r>
          <w:r>
            <w:fldChar w:fldCharType="begin"/>
          </w:r>
          <w:r>
            <w:instrText xml:space="preserve"> PAGEREF _Toc5522 \h </w:instrText>
          </w:r>
          <w:r>
            <w:fldChar w:fldCharType="separate"/>
          </w:r>
          <w:r>
            <w:t>62</w:t>
          </w:r>
          <w:r>
            <w:fldChar w:fldCharType="end"/>
          </w:r>
          <w:r>
            <w:fldChar w:fldCharType="end"/>
          </w:r>
        </w:p>
        <w:p w14:paraId="1D881F4E">
          <w:pPr>
            <w:pStyle w:val="19"/>
            <w:tabs>
              <w:tab w:val="right" w:leader="dot" w:pos="9026"/>
            </w:tabs>
          </w:pPr>
          <w:r>
            <w:fldChar w:fldCharType="begin"/>
          </w:r>
          <w:r>
            <w:instrText xml:space="preserve"> HYPERLINK \l "_Toc5613" </w:instrText>
          </w:r>
          <w:r>
            <w:fldChar w:fldCharType="separate"/>
          </w:r>
          <w:r>
            <w:rPr>
              <w:snapToGrid w:val="0"/>
              <w:szCs w:val="32"/>
            </w:rPr>
            <w:t>建设项目污染物排放量汇总表</w:t>
          </w:r>
          <w:r>
            <w:tab/>
          </w:r>
          <w:r>
            <w:fldChar w:fldCharType="begin"/>
          </w:r>
          <w:r>
            <w:instrText xml:space="preserve"> PAGEREF _Toc5613 \h </w:instrText>
          </w:r>
          <w:r>
            <w:fldChar w:fldCharType="separate"/>
          </w:r>
          <w:r>
            <w:t>62</w:t>
          </w:r>
          <w:r>
            <w:fldChar w:fldCharType="end"/>
          </w:r>
          <w:r>
            <w:fldChar w:fldCharType="end"/>
          </w:r>
        </w:p>
        <w:p w14:paraId="492F836C">
          <w:r>
            <w:fldChar w:fldCharType="end"/>
          </w:r>
        </w:p>
      </w:sdtContent>
    </w:sdt>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21"/>
        <w:gridCol w:w="4621"/>
      </w:tblGrid>
      <w:tr w14:paraId="575F4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21" w:type="dxa"/>
          </w:tcPr>
          <w:p w14:paraId="4FFDB17C">
            <w:pPr>
              <w:adjustRightInd w:val="0"/>
              <w:snapToGrid w:val="0"/>
              <w:rPr>
                <w:b/>
                <w:bCs/>
                <w:color w:val="000000" w:themeColor="text1"/>
                <w:sz w:val="22"/>
                <w:szCs w:val="21"/>
              </w:rPr>
            </w:pPr>
            <w:r>
              <w:rPr>
                <w:b/>
                <w:bCs/>
                <w:color w:val="000000" w:themeColor="text1"/>
                <w:sz w:val="22"/>
                <w:szCs w:val="21"/>
              </w:rPr>
              <w:t>附图：</w:t>
            </w:r>
          </w:p>
          <w:p w14:paraId="392AB942">
            <w:pPr>
              <w:rPr>
                <w:color w:val="000000" w:themeColor="text1"/>
                <w:sz w:val="22"/>
                <w:szCs w:val="21"/>
              </w:rPr>
            </w:pPr>
            <w:r>
              <w:rPr>
                <w:color w:val="000000" w:themeColor="text1"/>
                <w:sz w:val="22"/>
                <w:szCs w:val="21"/>
              </w:rPr>
              <w:t>附图1 项目地理位置图</w:t>
            </w:r>
          </w:p>
          <w:p w14:paraId="62A824B8">
            <w:pPr>
              <w:rPr>
                <w:color w:val="000000" w:themeColor="text1"/>
                <w:sz w:val="22"/>
              </w:rPr>
            </w:pPr>
            <w:r>
              <w:rPr>
                <w:color w:val="000000" w:themeColor="text1"/>
                <w:sz w:val="22"/>
              </w:rPr>
              <w:t>附图2</w:t>
            </w:r>
            <w:r>
              <w:rPr>
                <w:rFonts w:hint="eastAsia"/>
                <w:color w:val="000000" w:themeColor="text1"/>
                <w:sz w:val="22"/>
              </w:rPr>
              <w:t>-1</w:t>
            </w:r>
            <w:r>
              <w:rPr>
                <w:rFonts w:hint="eastAsia"/>
                <w:bCs/>
                <w:color w:val="000000" w:themeColor="text1"/>
                <w:sz w:val="22"/>
                <w:szCs w:val="21"/>
              </w:rPr>
              <w:t>本项目总平面布置图（一层）</w:t>
            </w:r>
          </w:p>
          <w:p w14:paraId="1C7C8B11">
            <w:pPr>
              <w:rPr>
                <w:bCs/>
                <w:color w:val="000000" w:themeColor="text1"/>
                <w:sz w:val="22"/>
                <w:szCs w:val="21"/>
              </w:rPr>
            </w:pPr>
            <w:r>
              <w:rPr>
                <w:color w:val="000000" w:themeColor="text1"/>
                <w:sz w:val="22"/>
                <w:szCs w:val="21"/>
              </w:rPr>
              <w:t>附图</w:t>
            </w:r>
            <w:r>
              <w:rPr>
                <w:rFonts w:hint="eastAsia"/>
                <w:color w:val="000000" w:themeColor="text1"/>
                <w:sz w:val="22"/>
                <w:szCs w:val="21"/>
              </w:rPr>
              <w:t>2</w:t>
            </w:r>
            <w:r>
              <w:rPr>
                <w:color w:val="000000" w:themeColor="text1"/>
                <w:sz w:val="22"/>
                <w:szCs w:val="21"/>
              </w:rPr>
              <w:t>-</w:t>
            </w:r>
            <w:r>
              <w:rPr>
                <w:rFonts w:hint="eastAsia"/>
                <w:color w:val="000000" w:themeColor="text1"/>
                <w:sz w:val="22"/>
                <w:szCs w:val="21"/>
              </w:rPr>
              <w:t xml:space="preserve">2 </w:t>
            </w:r>
            <w:r>
              <w:rPr>
                <w:rFonts w:hint="eastAsia"/>
                <w:bCs/>
                <w:color w:val="000000" w:themeColor="text1"/>
                <w:sz w:val="22"/>
                <w:szCs w:val="21"/>
              </w:rPr>
              <w:t>本项目总平面布置图（二层）</w:t>
            </w:r>
          </w:p>
          <w:p w14:paraId="36488252">
            <w:pPr>
              <w:rPr>
                <w:bCs/>
                <w:color w:val="000000" w:themeColor="text1"/>
                <w:sz w:val="22"/>
                <w:szCs w:val="21"/>
              </w:rPr>
            </w:pPr>
            <w:r>
              <w:rPr>
                <w:color w:val="000000" w:themeColor="text1"/>
                <w:sz w:val="22"/>
                <w:szCs w:val="21"/>
              </w:rPr>
              <w:t>附图3</w:t>
            </w:r>
            <w:r>
              <w:rPr>
                <w:rFonts w:hint="eastAsia"/>
                <w:color w:val="000000" w:themeColor="text1"/>
                <w:sz w:val="22"/>
                <w:szCs w:val="21"/>
              </w:rPr>
              <w:t>周边</w:t>
            </w:r>
            <w:r>
              <w:rPr>
                <w:color w:val="000000" w:themeColor="text1"/>
                <w:sz w:val="22"/>
                <w:szCs w:val="21"/>
              </w:rPr>
              <w:t>环境</w:t>
            </w:r>
            <w:r>
              <w:rPr>
                <w:rFonts w:hint="eastAsia"/>
                <w:color w:val="000000" w:themeColor="text1"/>
                <w:sz w:val="22"/>
                <w:szCs w:val="21"/>
              </w:rPr>
              <w:t>关系</w:t>
            </w:r>
            <w:r>
              <w:rPr>
                <w:color w:val="000000" w:themeColor="text1"/>
                <w:sz w:val="22"/>
                <w:szCs w:val="21"/>
              </w:rPr>
              <w:t>图</w:t>
            </w:r>
          </w:p>
          <w:p w14:paraId="30C70ECE">
            <w:pPr>
              <w:rPr>
                <w:color w:val="000000" w:themeColor="text1"/>
                <w:sz w:val="22"/>
                <w:szCs w:val="21"/>
              </w:rPr>
            </w:pPr>
            <w:r>
              <w:rPr>
                <w:rFonts w:hint="eastAsia"/>
                <w:color w:val="000000" w:themeColor="text1"/>
                <w:sz w:val="22"/>
                <w:szCs w:val="21"/>
              </w:rPr>
              <w:t>附图</w:t>
            </w:r>
            <w:r>
              <w:rPr>
                <w:color w:val="000000" w:themeColor="text1"/>
                <w:sz w:val="22"/>
                <w:szCs w:val="21"/>
              </w:rPr>
              <w:t>4 项目</w:t>
            </w:r>
            <w:r>
              <w:rPr>
                <w:rFonts w:hint="eastAsia"/>
                <w:bCs/>
                <w:color w:val="000000" w:themeColor="text1"/>
                <w:sz w:val="22"/>
                <w:szCs w:val="21"/>
              </w:rPr>
              <w:t>环境保护目标分布图</w:t>
            </w:r>
          </w:p>
          <w:p w14:paraId="71C2FEF4">
            <w:pPr>
              <w:rPr>
                <w:color w:val="000000" w:themeColor="text1"/>
                <w:sz w:val="22"/>
                <w:szCs w:val="21"/>
              </w:rPr>
            </w:pPr>
            <w:r>
              <w:rPr>
                <w:color w:val="000000" w:themeColor="text1"/>
                <w:sz w:val="22"/>
                <w:szCs w:val="21"/>
              </w:rPr>
              <w:t>附图5</w:t>
            </w:r>
            <w:r>
              <w:rPr>
                <w:rFonts w:hint="eastAsia"/>
                <w:color w:val="000000" w:themeColor="text1"/>
                <w:sz w:val="22"/>
              </w:rPr>
              <w:t>项目所在厂区分区防渗图</w:t>
            </w:r>
          </w:p>
          <w:p w14:paraId="0790345C">
            <w:pPr>
              <w:rPr>
                <w:color w:val="000000" w:themeColor="text1"/>
                <w:sz w:val="22"/>
                <w:szCs w:val="21"/>
              </w:rPr>
            </w:pPr>
            <w:r>
              <w:rPr>
                <w:rFonts w:hint="eastAsia"/>
                <w:color w:val="000000" w:themeColor="text1"/>
                <w:sz w:val="22"/>
                <w:szCs w:val="21"/>
              </w:rPr>
              <w:t>附图6 淮南市“三区三线”划定图</w:t>
            </w:r>
          </w:p>
          <w:p w14:paraId="77666F72">
            <w:pPr>
              <w:rPr>
                <w:color w:val="000000" w:themeColor="text1"/>
                <w:sz w:val="22"/>
                <w:szCs w:val="21"/>
              </w:rPr>
            </w:pPr>
            <w:r>
              <w:rPr>
                <w:rFonts w:hint="eastAsia"/>
                <w:color w:val="000000" w:themeColor="text1"/>
                <w:sz w:val="22"/>
                <w:szCs w:val="21"/>
              </w:rPr>
              <w:t>附图7 淮南市生态空间图</w:t>
            </w:r>
          </w:p>
          <w:p w14:paraId="4F765910">
            <w:pPr>
              <w:rPr>
                <w:color w:val="000000" w:themeColor="text1"/>
                <w:sz w:val="22"/>
                <w:szCs w:val="21"/>
              </w:rPr>
            </w:pPr>
            <w:r>
              <w:rPr>
                <w:color w:val="000000" w:themeColor="text1"/>
                <w:sz w:val="22"/>
                <w:szCs w:val="21"/>
              </w:rPr>
              <w:t>附图</w:t>
            </w:r>
            <w:r>
              <w:rPr>
                <w:rFonts w:hint="eastAsia"/>
                <w:color w:val="000000" w:themeColor="text1"/>
                <w:sz w:val="22"/>
                <w:szCs w:val="21"/>
              </w:rPr>
              <w:t>8淮南市环境管控单元图</w:t>
            </w:r>
          </w:p>
          <w:p w14:paraId="2312E082">
            <w:pPr>
              <w:rPr>
                <w:color w:val="000000" w:themeColor="text1"/>
                <w:sz w:val="22"/>
                <w:szCs w:val="21"/>
              </w:rPr>
            </w:pPr>
            <w:r>
              <w:rPr>
                <w:rFonts w:hint="eastAsia"/>
                <w:color w:val="000000" w:themeColor="text1"/>
                <w:sz w:val="22"/>
                <w:szCs w:val="21"/>
              </w:rPr>
              <w:t>附图9本项目在园区位置示意图</w:t>
            </w:r>
          </w:p>
          <w:p w14:paraId="7E9A792A">
            <w:pPr>
              <w:rPr>
                <w:color w:val="000000" w:themeColor="text1"/>
                <w:sz w:val="22"/>
                <w:szCs w:val="21"/>
              </w:rPr>
            </w:pPr>
            <w:r>
              <w:rPr>
                <w:rFonts w:hint="eastAsia"/>
                <w:color w:val="000000" w:themeColor="text1"/>
                <w:sz w:val="22"/>
                <w:szCs w:val="21"/>
              </w:rPr>
              <w:t>附图10本项目在《淮南市国土空间总体规划》中位置示意图</w:t>
            </w:r>
          </w:p>
          <w:p w14:paraId="5782E7A4">
            <w:pPr>
              <w:rPr>
                <w:color w:val="000000" w:themeColor="text1"/>
                <w:sz w:val="22"/>
                <w:szCs w:val="21"/>
              </w:rPr>
            </w:pPr>
            <w:r>
              <w:rPr>
                <w:rFonts w:hint="eastAsia"/>
                <w:color w:val="000000" w:themeColor="text1"/>
                <w:sz w:val="22"/>
                <w:szCs w:val="21"/>
              </w:rPr>
              <w:t>附图11 安徽省</w:t>
            </w:r>
            <w:r>
              <w:rPr>
                <w:color w:val="000000" w:themeColor="text1"/>
                <w:sz w:val="22"/>
                <w:szCs w:val="21"/>
              </w:rPr>
              <w:t>“三线一单”查询结果</w:t>
            </w:r>
          </w:p>
          <w:p w14:paraId="086BDB1E">
            <w:pPr>
              <w:adjustRightInd w:val="0"/>
              <w:snapToGrid w:val="0"/>
              <w:rPr>
                <w:b/>
                <w:bCs/>
                <w:color w:val="000000" w:themeColor="text1"/>
                <w:sz w:val="22"/>
                <w:szCs w:val="21"/>
              </w:rPr>
            </w:pPr>
          </w:p>
        </w:tc>
        <w:tc>
          <w:tcPr>
            <w:tcW w:w="4621" w:type="dxa"/>
          </w:tcPr>
          <w:p w14:paraId="718359E9">
            <w:pPr>
              <w:adjustRightInd w:val="0"/>
              <w:snapToGrid w:val="0"/>
              <w:rPr>
                <w:b/>
                <w:color w:val="000000" w:themeColor="text1"/>
                <w:sz w:val="22"/>
              </w:rPr>
            </w:pPr>
            <w:r>
              <w:rPr>
                <w:b/>
                <w:color w:val="000000" w:themeColor="text1"/>
                <w:sz w:val="22"/>
              </w:rPr>
              <w:t>附件：</w:t>
            </w:r>
          </w:p>
          <w:p w14:paraId="745F1F60">
            <w:pPr>
              <w:adjustRightInd w:val="0"/>
              <w:snapToGrid w:val="0"/>
              <w:rPr>
                <w:color w:val="000000" w:themeColor="text1"/>
                <w:sz w:val="22"/>
              </w:rPr>
            </w:pPr>
            <w:r>
              <w:rPr>
                <w:color w:val="000000" w:themeColor="text1"/>
                <w:sz w:val="22"/>
              </w:rPr>
              <w:t>附件1 环评委托书</w:t>
            </w:r>
          </w:p>
          <w:p w14:paraId="04F01AA9">
            <w:pPr>
              <w:adjustRightInd w:val="0"/>
              <w:snapToGrid w:val="0"/>
              <w:rPr>
                <w:color w:val="000000" w:themeColor="text1"/>
                <w:sz w:val="22"/>
              </w:rPr>
            </w:pPr>
            <w:r>
              <w:rPr>
                <w:color w:val="000000" w:themeColor="text1"/>
                <w:sz w:val="22"/>
              </w:rPr>
              <w:t>附件2 环评真实性承诺函</w:t>
            </w:r>
          </w:p>
          <w:p w14:paraId="4B1342F2">
            <w:pPr>
              <w:adjustRightInd w:val="0"/>
              <w:snapToGrid w:val="0"/>
              <w:rPr>
                <w:color w:val="000000" w:themeColor="text1"/>
                <w:sz w:val="22"/>
              </w:rPr>
            </w:pPr>
            <w:r>
              <w:rPr>
                <w:color w:val="000000" w:themeColor="text1"/>
                <w:sz w:val="22"/>
              </w:rPr>
              <w:t>附件3 项目备案表</w:t>
            </w:r>
          </w:p>
          <w:p w14:paraId="03BDAAFF">
            <w:pPr>
              <w:adjustRightInd w:val="0"/>
              <w:snapToGrid w:val="0"/>
              <w:rPr>
                <w:color w:val="000000" w:themeColor="text1"/>
                <w:sz w:val="22"/>
              </w:rPr>
            </w:pPr>
            <w:r>
              <w:rPr>
                <w:color w:val="000000" w:themeColor="text1"/>
                <w:sz w:val="22"/>
              </w:rPr>
              <w:t>附件4 营业执照</w:t>
            </w:r>
          </w:p>
          <w:p w14:paraId="0ED84D83">
            <w:pPr>
              <w:adjustRightInd w:val="0"/>
              <w:snapToGrid w:val="0"/>
              <w:rPr>
                <w:color w:val="000000" w:themeColor="text1"/>
                <w:sz w:val="22"/>
              </w:rPr>
            </w:pPr>
            <w:r>
              <w:rPr>
                <w:color w:val="000000" w:themeColor="text1"/>
                <w:sz w:val="22"/>
              </w:rPr>
              <w:t>附件5厂房租赁合同</w:t>
            </w:r>
          </w:p>
          <w:p w14:paraId="3B45DA09">
            <w:pPr>
              <w:adjustRightInd w:val="0"/>
              <w:snapToGrid w:val="0"/>
              <w:rPr>
                <w:color w:val="000000" w:themeColor="text1"/>
                <w:sz w:val="22"/>
              </w:rPr>
            </w:pPr>
            <w:r>
              <w:rPr>
                <w:color w:val="000000" w:themeColor="text1"/>
                <w:sz w:val="22"/>
              </w:rPr>
              <w:t>附件6污水准许接管证明</w:t>
            </w:r>
          </w:p>
          <w:p w14:paraId="07632A29">
            <w:pPr>
              <w:adjustRightInd w:val="0"/>
              <w:snapToGrid w:val="0"/>
              <w:rPr>
                <w:b/>
                <w:bCs/>
                <w:color w:val="000000" w:themeColor="text1"/>
                <w:sz w:val="22"/>
                <w:szCs w:val="21"/>
              </w:rPr>
            </w:pPr>
          </w:p>
        </w:tc>
      </w:tr>
    </w:tbl>
    <w:p w14:paraId="2ADD6B06">
      <w:pPr>
        <w:spacing w:line="276" w:lineRule="auto"/>
        <w:rPr>
          <w:color w:val="0000FF"/>
        </w:rPr>
        <w:sectPr>
          <w:footerReference r:id="rId9" w:type="default"/>
          <w:pgSz w:w="11906" w:h="16838"/>
          <w:pgMar w:top="1440" w:right="1440" w:bottom="1440" w:left="1440" w:header="851" w:footer="1077" w:gutter="0"/>
          <w:pgNumType w:fmt="numberInDash" w:start="1"/>
          <w:cols w:space="720" w:num="1"/>
          <w:docGrid w:linePitch="312" w:charSpace="0"/>
        </w:sectPr>
      </w:pPr>
    </w:p>
    <w:p w14:paraId="61FB58FE">
      <w:pPr>
        <w:pStyle w:val="2"/>
        <w:framePr w:wrap="around"/>
        <w:spacing w:line="240" w:lineRule="auto"/>
      </w:pPr>
      <w:bookmarkStart w:id="9" w:name="_Toc31459"/>
      <w:bookmarkStart w:id="10" w:name="_Toc2920"/>
      <w:r>
        <w:rPr>
          <w:rFonts w:hint="eastAsia"/>
        </w:rPr>
        <w:t>一、建设项目基本情况</w:t>
      </w:r>
      <w:bookmarkEnd w:id="9"/>
      <w:bookmarkEnd w:id="10"/>
    </w:p>
    <w:tbl>
      <w:tblPr>
        <w:tblStyle w:val="23"/>
        <w:tblpPr w:leftFromText="181" w:rightFromText="181" w:vertAnchor="text" w:tblpXSpec="center" w:tblpY="1"/>
        <w:tblOverlap w:val="never"/>
        <w:tblW w:w="5324" w:type="pct"/>
        <w:tblInd w:w="457"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889"/>
        <w:gridCol w:w="561"/>
        <w:gridCol w:w="2112"/>
        <w:gridCol w:w="2259"/>
        <w:gridCol w:w="390"/>
        <w:gridCol w:w="2661"/>
      </w:tblGrid>
      <w:tr w14:paraId="21892D8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1451" w:type="dxa"/>
            <w:gridSpan w:val="2"/>
            <w:tcMar>
              <w:top w:w="16" w:type="dxa"/>
              <w:left w:w="16" w:type="dxa"/>
              <w:right w:w="16" w:type="dxa"/>
            </w:tcMar>
            <w:vAlign w:val="center"/>
          </w:tcPr>
          <w:p w14:paraId="44F0EE34">
            <w:pPr>
              <w:overflowPunct w:val="0"/>
              <w:jc w:val="center"/>
              <w:rPr>
                <w:color w:val="auto"/>
              </w:rPr>
            </w:pPr>
            <w:bookmarkStart w:id="11" w:name="_Hlk179379718"/>
            <w:r>
              <w:rPr>
                <w:color w:val="auto"/>
              </w:rPr>
              <w:t>建设项目名称</w:t>
            </w:r>
          </w:p>
        </w:tc>
        <w:tc>
          <w:tcPr>
            <w:tcW w:w="7428" w:type="dxa"/>
            <w:gridSpan w:val="4"/>
            <w:vAlign w:val="center"/>
          </w:tcPr>
          <w:p w14:paraId="26F90B8E">
            <w:pPr>
              <w:overflowPunct w:val="0"/>
              <w:adjustRightInd w:val="0"/>
              <w:snapToGrid w:val="0"/>
              <w:jc w:val="center"/>
              <w:outlineLvl w:val="1"/>
              <w:rPr>
                <w:color w:val="auto"/>
              </w:rPr>
            </w:pPr>
            <w:bookmarkStart w:id="12" w:name="_Toc18504"/>
            <w:r>
              <w:rPr>
                <w:rFonts w:hint="eastAsia"/>
                <w:color w:val="auto"/>
              </w:rPr>
              <w:t>现代智能化食品工厂及电商运营中心项目</w:t>
            </w:r>
            <w:bookmarkEnd w:id="12"/>
          </w:p>
        </w:tc>
      </w:tr>
      <w:tr w14:paraId="50C74AA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1451" w:type="dxa"/>
            <w:gridSpan w:val="2"/>
            <w:tcMar>
              <w:top w:w="16" w:type="dxa"/>
              <w:left w:w="16" w:type="dxa"/>
              <w:right w:w="16" w:type="dxa"/>
            </w:tcMar>
            <w:vAlign w:val="center"/>
          </w:tcPr>
          <w:p w14:paraId="6D77B67C">
            <w:pPr>
              <w:overflowPunct w:val="0"/>
              <w:jc w:val="center"/>
              <w:rPr>
                <w:color w:val="auto"/>
              </w:rPr>
            </w:pPr>
            <w:r>
              <w:rPr>
                <w:color w:val="auto"/>
              </w:rPr>
              <w:t>项目代码</w:t>
            </w:r>
          </w:p>
        </w:tc>
        <w:tc>
          <w:tcPr>
            <w:tcW w:w="7428" w:type="dxa"/>
            <w:gridSpan w:val="4"/>
            <w:vAlign w:val="center"/>
          </w:tcPr>
          <w:p w14:paraId="4D69BA80">
            <w:pPr>
              <w:overflowPunct w:val="0"/>
              <w:jc w:val="center"/>
              <w:rPr>
                <w:color w:val="auto"/>
              </w:rPr>
            </w:pPr>
            <w:r>
              <w:rPr>
                <w:rFonts w:hint="eastAsia"/>
                <w:color w:val="auto"/>
              </w:rPr>
              <w:t>2509-340403-04-01-371227</w:t>
            </w:r>
          </w:p>
        </w:tc>
      </w:tr>
      <w:tr w14:paraId="4EE0FCF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1451" w:type="dxa"/>
            <w:gridSpan w:val="2"/>
            <w:tcMar>
              <w:top w:w="16" w:type="dxa"/>
              <w:left w:w="16" w:type="dxa"/>
              <w:right w:w="16" w:type="dxa"/>
            </w:tcMar>
            <w:vAlign w:val="center"/>
          </w:tcPr>
          <w:p w14:paraId="420746A2">
            <w:pPr>
              <w:overflowPunct w:val="0"/>
              <w:jc w:val="center"/>
              <w:rPr>
                <w:color w:val="auto"/>
              </w:rPr>
            </w:pPr>
            <w:r>
              <w:rPr>
                <w:color w:val="auto"/>
              </w:rPr>
              <w:t>建设单位</w:t>
            </w:r>
          </w:p>
          <w:p w14:paraId="53B05A0A">
            <w:pPr>
              <w:overflowPunct w:val="0"/>
              <w:jc w:val="center"/>
              <w:rPr>
                <w:color w:val="auto"/>
              </w:rPr>
            </w:pPr>
            <w:r>
              <w:rPr>
                <w:color w:val="auto"/>
              </w:rPr>
              <w:t>联系人</w:t>
            </w:r>
          </w:p>
        </w:tc>
        <w:tc>
          <w:tcPr>
            <w:tcW w:w="2114" w:type="dxa"/>
            <w:vAlign w:val="center"/>
          </w:tcPr>
          <w:p w14:paraId="7E46D834">
            <w:pPr>
              <w:overflowPunct w:val="0"/>
              <w:jc w:val="center"/>
              <w:rPr>
                <w:color w:val="auto"/>
              </w:rPr>
            </w:pPr>
            <w:r>
              <w:rPr>
                <w:rFonts w:hint="eastAsia"/>
                <w:color w:val="auto"/>
              </w:rPr>
              <w:t>杨云</w:t>
            </w:r>
          </w:p>
        </w:tc>
        <w:tc>
          <w:tcPr>
            <w:tcW w:w="2651" w:type="dxa"/>
            <w:gridSpan w:val="2"/>
            <w:vAlign w:val="center"/>
          </w:tcPr>
          <w:p w14:paraId="05B47DE0">
            <w:pPr>
              <w:overflowPunct w:val="0"/>
              <w:jc w:val="center"/>
              <w:rPr>
                <w:color w:val="auto"/>
              </w:rPr>
            </w:pPr>
            <w:r>
              <w:rPr>
                <w:color w:val="auto"/>
              </w:rPr>
              <w:t>联系方式</w:t>
            </w:r>
          </w:p>
        </w:tc>
        <w:tc>
          <w:tcPr>
            <w:tcW w:w="2663" w:type="dxa"/>
            <w:vAlign w:val="center"/>
          </w:tcPr>
          <w:p w14:paraId="2CAA19E9">
            <w:pPr>
              <w:overflowPunct w:val="0"/>
              <w:jc w:val="center"/>
              <w:rPr>
                <w:color w:val="auto"/>
              </w:rPr>
            </w:pPr>
            <w:r>
              <w:rPr>
                <w:rFonts w:hint="eastAsia"/>
                <w:color w:val="auto"/>
              </w:rPr>
              <w:t>18119518840</w:t>
            </w:r>
          </w:p>
        </w:tc>
      </w:tr>
      <w:tr w14:paraId="336B84B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1451" w:type="dxa"/>
            <w:gridSpan w:val="2"/>
            <w:tcMar>
              <w:top w:w="16" w:type="dxa"/>
              <w:left w:w="16" w:type="dxa"/>
              <w:right w:w="16" w:type="dxa"/>
            </w:tcMar>
            <w:vAlign w:val="center"/>
          </w:tcPr>
          <w:p w14:paraId="244F9340">
            <w:pPr>
              <w:overflowPunct w:val="0"/>
              <w:adjustRightInd w:val="0"/>
              <w:snapToGrid w:val="0"/>
              <w:spacing w:line="240" w:lineRule="auto"/>
              <w:jc w:val="center"/>
              <w:rPr>
                <w:color w:val="auto"/>
              </w:rPr>
            </w:pPr>
            <w:r>
              <w:rPr>
                <w:color w:val="auto"/>
              </w:rPr>
              <w:t>建设地点</w:t>
            </w:r>
          </w:p>
        </w:tc>
        <w:tc>
          <w:tcPr>
            <w:tcW w:w="7428" w:type="dxa"/>
            <w:gridSpan w:val="4"/>
            <w:vAlign w:val="center"/>
          </w:tcPr>
          <w:p w14:paraId="4B1B06F1">
            <w:pPr>
              <w:widowControl/>
              <w:overflowPunct w:val="0"/>
              <w:spacing w:line="240" w:lineRule="auto"/>
              <w:jc w:val="center"/>
              <w:rPr>
                <w:color w:val="auto"/>
              </w:rPr>
            </w:pPr>
            <w:r>
              <w:rPr>
                <w:rFonts w:hint="eastAsia"/>
                <w:color w:val="auto"/>
              </w:rPr>
              <w:t>安徽省淮南市田家庵经济开发区(北区)标准化厂房6号西一、二层</w:t>
            </w:r>
          </w:p>
        </w:tc>
      </w:tr>
      <w:tr w14:paraId="065C8A1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1451" w:type="dxa"/>
            <w:gridSpan w:val="2"/>
            <w:tcMar>
              <w:top w:w="16" w:type="dxa"/>
              <w:left w:w="16" w:type="dxa"/>
              <w:right w:w="16" w:type="dxa"/>
            </w:tcMar>
            <w:vAlign w:val="center"/>
          </w:tcPr>
          <w:p w14:paraId="74DD0628">
            <w:pPr>
              <w:overflowPunct w:val="0"/>
              <w:jc w:val="center"/>
              <w:rPr>
                <w:color w:val="auto"/>
              </w:rPr>
            </w:pPr>
            <w:r>
              <w:rPr>
                <w:color w:val="auto"/>
              </w:rPr>
              <w:t>地理坐标</w:t>
            </w:r>
          </w:p>
        </w:tc>
        <w:tc>
          <w:tcPr>
            <w:tcW w:w="7428" w:type="dxa"/>
            <w:gridSpan w:val="4"/>
            <w:vAlign w:val="center"/>
          </w:tcPr>
          <w:p w14:paraId="7CC76C7A">
            <w:pPr>
              <w:overflowPunct w:val="0"/>
              <w:jc w:val="center"/>
              <w:rPr>
                <w:color w:val="auto"/>
              </w:rPr>
            </w:pPr>
            <w:r>
              <w:rPr>
                <w:color w:val="auto"/>
              </w:rPr>
              <w:t>（</w:t>
            </w:r>
            <w:r>
              <w:rPr>
                <w:rFonts w:hint="eastAsia"/>
                <w:color w:val="auto"/>
              </w:rPr>
              <w:t>116</w:t>
            </w:r>
            <w:r>
              <w:rPr>
                <w:color w:val="auto"/>
              </w:rPr>
              <w:t>°</w:t>
            </w:r>
            <w:r>
              <w:rPr>
                <w:rFonts w:hint="eastAsia"/>
                <w:color w:val="auto"/>
              </w:rPr>
              <w:t>58</w:t>
            </w:r>
            <w:r>
              <w:rPr>
                <w:color w:val="auto"/>
              </w:rPr>
              <w:t>'</w:t>
            </w:r>
            <w:r>
              <w:rPr>
                <w:rFonts w:hint="eastAsia"/>
                <w:color w:val="auto"/>
              </w:rPr>
              <w:t>11.158</w:t>
            </w:r>
            <w:r>
              <w:rPr>
                <w:color w:val="auto"/>
              </w:rPr>
              <w:t>"E</w:t>
            </w:r>
            <w:r>
              <w:rPr>
                <w:rFonts w:hint="eastAsia"/>
                <w:color w:val="auto"/>
              </w:rPr>
              <w:t>，</w:t>
            </w:r>
            <w:r>
              <w:rPr>
                <w:color w:val="auto"/>
              </w:rPr>
              <w:t>32°</w:t>
            </w:r>
            <w:r>
              <w:rPr>
                <w:rFonts w:hint="eastAsia"/>
                <w:color w:val="auto"/>
              </w:rPr>
              <w:t>38</w:t>
            </w:r>
            <w:r>
              <w:rPr>
                <w:color w:val="auto"/>
              </w:rPr>
              <w:t>'</w:t>
            </w:r>
            <w:r>
              <w:rPr>
                <w:rFonts w:hint="eastAsia"/>
                <w:color w:val="auto"/>
              </w:rPr>
              <w:t>49.652</w:t>
            </w:r>
            <w:r>
              <w:rPr>
                <w:color w:val="auto"/>
              </w:rPr>
              <w:t>"N）</w:t>
            </w:r>
          </w:p>
        </w:tc>
      </w:tr>
      <w:tr w14:paraId="6C9B7CE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1" w:hRule="atLeast"/>
        </w:trPr>
        <w:tc>
          <w:tcPr>
            <w:tcW w:w="1451" w:type="dxa"/>
            <w:gridSpan w:val="2"/>
            <w:tcMar>
              <w:top w:w="16" w:type="dxa"/>
              <w:left w:w="16" w:type="dxa"/>
              <w:right w:w="16" w:type="dxa"/>
            </w:tcMar>
            <w:vAlign w:val="center"/>
          </w:tcPr>
          <w:p w14:paraId="34FDE1D2">
            <w:pPr>
              <w:overflowPunct w:val="0"/>
              <w:adjustRightInd w:val="0"/>
              <w:spacing w:line="400" w:lineRule="exact"/>
              <w:jc w:val="center"/>
              <w:rPr>
                <w:color w:val="auto"/>
              </w:rPr>
            </w:pPr>
            <w:r>
              <w:rPr>
                <w:color w:val="auto"/>
              </w:rPr>
              <w:t>国民经济</w:t>
            </w:r>
          </w:p>
          <w:p w14:paraId="6FC9E260">
            <w:pPr>
              <w:overflowPunct w:val="0"/>
              <w:adjustRightInd w:val="0"/>
              <w:spacing w:line="400" w:lineRule="exact"/>
              <w:jc w:val="center"/>
              <w:rPr>
                <w:color w:val="auto"/>
              </w:rPr>
            </w:pPr>
            <w:r>
              <w:rPr>
                <w:color w:val="auto"/>
              </w:rPr>
              <w:t>行业类别</w:t>
            </w:r>
          </w:p>
        </w:tc>
        <w:tc>
          <w:tcPr>
            <w:tcW w:w="2114" w:type="dxa"/>
            <w:vAlign w:val="center"/>
          </w:tcPr>
          <w:p w14:paraId="168B1938">
            <w:pPr>
              <w:overflowPunct w:val="0"/>
              <w:jc w:val="center"/>
              <w:rPr>
                <w:color w:val="auto"/>
              </w:rPr>
            </w:pPr>
            <w:r>
              <w:rPr>
                <w:rFonts w:hint="eastAsia"/>
                <w:color w:val="auto"/>
              </w:rPr>
              <w:t>C1439其他方便食品制造</w:t>
            </w:r>
          </w:p>
        </w:tc>
        <w:tc>
          <w:tcPr>
            <w:tcW w:w="2261" w:type="dxa"/>
            <w:vAlign w:val="center"/>
          </w:tcPr>
          <w:p w14:paraId="6FFF9BEE">
            <w:pPr>
              <w:overflowPunct w:val="0"/>
              <w:adjustRightInd w:val="0"/>
              <w:spacing w:line="400" w:lineRule="exact"/>
              <w:jc w:val="center"/>
              <w:rPr>
                <w:color w:val="auto"/>
              </w:rPr>
            </w:pPr>
            <w:bookmarkStart w:id="13" w:name="_Hlk49843745"/>
            <w:r>
              <w:rPr>
                <w:color w:val="auto"/>
              </w:rPr>
              <w:t>建设项目</w:t>
            </w:r>
          </w:p>
          <w:p w14:paraId="2C34E80B">
            <w:pPr>
              <w:overflowPunct w:val="0"/>
              <w:adjustRightInd w:val="0"/>
              <w:spacing w:line="400" w:lineRule="exact"/>
              <w:jc w:val="center"/>
              <w:rPr>
                <w:color w:val="auto"/>
              </w:rPr>
            </w:pPr>
            <w:r>
              <w:rPr>
                <w:color w:val="auto"/>
              </w:rPr>
              <w:t>行业类别</w:t>
            </w:r>
            <w:bookmarkEnd w:id="13"/>
          </w:p>
        </w:tc>
        <w:tc>
          <w:tcPr>
            <w:tcW w:w="3053" w:type="dxa"/>
            <w:gridSpan w:val="2"/>
            <w:vAlign w:val="center"/>
          </w:tcPr>
          <w:p w14:paraId="4C580134">
            <w:pPr>
              <w:overflowPunct w:val="0"/>
              <w:jc w:val="center"/>
              <w:rPr>
                <w:color w:val="auto"/>
              </w:rPr>
            </w:pPr>
            <w:r>
              <w:rPr>
                <w:rFonts w:hint="eastAsia"/>
                <w:color w:val="auto"/>
              </w:rPr>
              <w:t>十一、食品制造业14-21方便食品制造143-除单纯分装外的</w:t>
            </w:r>
          </w:p>
        </w:tc>
      </w:tr>
      <w:tr w14:paraId="7929A22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226" w:hRule="atLeast"/>
        </w:trPr>
        <w:tc>
          <w:tcPr>
            <w:tcW w:w="1451" w:type="dxa"/>
            <w:gridSpan w:val="2"/>
            <w:tcMar>
              <w:top w:w="16" w:type="dxa"/>
              <w:left w:w="16" w:type="dxa"/>
              <w:right w:w="16" w:type="dxa"/>
            </w:tcMar>
            <w:vAlign w:val="center"/>
          </w:tcPr>
          <w:p w14:paraId="6534DAA9">
            <w:pPr>
              <w:overflowPunct w:val="0"/>
              <w:jc w:val="center"/>
              <w:rPr>
                <w:color w:val="auto"/>
              </w:rPr>
            </w:pPr>
            <w:r>
              <w:rPr>
                <w:color w:val="auto"/>
              </w:rPr>
              <w:t>建设性质</w:t>
            </w:r>
          </w:p>
        </w:tc>
        <w:tc>
          <w:tcPr>
            <w:tcW w:w="2114" w:type="dxa"/>
            <w:vAlign w:val="center"/>
          </w:tcPr>
          <w:p w14:paraId="6AC63423">
            <w:pPr>
              <w:overflowPunct w:val="0"/>
              <w:spacing w:line="240" w:lineRule="atLeast"/>
              <w:jc w:val="left"/>
              <w:rPr>
                <w:color w:val="auto"/>
              </w:rPr>
            </w:pPr>
            <w:r>
              <w:rPr>
                <w:rFonts w:hint="eastAsia"/>
                <w:color w:val="auto"/>
              </w:rPr>
              <w:t>☑</w:t>
            </w:r>
            <w:r>
              <w:rPr>
                <w:color w:val="auto"/>
              </w:rPr>
              <w:t>新建</w:t>
            </w:r>
            <w:r>
              <w:rPr>
                <w:rFonts w:hint="eastAsia"/>
                <w:color w:val="auto"/>
              </w:rPr>
              <w:t>（</w:t>
            </w:r>
            <w:r>
              <w:rPr>
                <w:color w:val="auto"/>
              </w:rPr>
              <w:t>迁建）</w:t>
            </w:r>
          </w:p>
          <w:p w14:paraId="2BC23609">
            <w:pPr>
              <w:overflowPunct w:val="0"/>
              <w:spacing w:line="240" w:lineRule="atLeast"/>
              <w:jc w:val="left"/>
              <w:rPr>
                <w:color w:val="auto"/>
              </w:rPr>
            </w:pPr>
            <w:r>
              <w:rPr>
                <w:rFonts w:hint="eastAsia"/>
                <w:color w:val="auto"/>
              </w:rPr>
              <w:t>□</w:t>
            </w:r>
            <w:r>
              <w:rPr>
                <w:color w:val="auto"/>
              </w:rPr>
              <w:t>改建</w:t>
            </w:r>
          </w:p>
          <w:p w14:paraId="2DAFDC04">
            <w:pPr>
              <w:overflowPunct w:val="0"/>
              <w:spacing w:line="240" w:lineRule="atLeast"/>
              <w:jc w:val="left"/>
              <w:rPr>
                <w:color w:val="auto"/>
              </w:rPr>
            </w:pPr>
            <w:r>
              <w:rPr>
                <w:rFonts w:hint="eastAsia"/>
                <w:color w:val="auto"/>
                <w:lang w:eastAsia="zh-CN"/>
              </w:rPr>
              <w:t>□</w:t>
            </w:r>
            <w:r>
              <w:rPr>
                <w:color w:val="auto"/>
              </w:rPr>
              <w:t>扩建</w:t>
            </w:r>
          </w:p>
          <w:p w14:paraId="076859E3">
            <w:pPr>
              <w:overflowPunct w:val="0"/>
              <w:spacing w:line="240" w:lineRule="atLeast"/>
              <w:jc w:val="left"/>
              <w:rPr>
                <w:color w:val="auto"/>
              </w:rPr>
            </w:pPr>
            <w:r>
              <w:rPr>
                <w:rFonts w:hint="eastAsia"/>
                <w:color w:val="auto"/>
              </w:rPr>
              <w:t>□</w:t>
            </w:r>
            <w:r>
              <w:rPr>
                <w:color w:val="auto"/>
              </w:rPr>
              <w:t>技术改造</w:t>
            </w:r>
          </w:p>
        </w:tc>
        <w:tc>
          <w:tcPr>
            <w:tcW w:w="2261" w:type="dxa"/>
            <w:vAlign w:val="center"/>
          </w:tcPr>
          <w:p w14:paraId="14A5233A">
            <w:pPr>
              <w:overflowPunct w:val="0"/>
              <w:jc w:val="center"/>
              <w:rPr>
                <w:color w:val="auto"/>
              </w:rPr>
            </w:pPr>
            <w:r>
              <w:rPr>
                <w:color w:val="auto"/>
              </w:rPr>
              <w:t>建设项目</w:t>
            </w:r>
          </w:p>
          <w:p w14:paraId="0B23144A">
            <w:pPr>
              <w:overflowPunct w:val="0"/>
              <w:jc w:val="center"/>
              <w:rPr>
                <w:color w:val="auto"/>
              </w:rPr>
            </w:pPr>
            <w:r>
              <w:rPr>
                <w:color w:val="auto"/>
              </w:rPr>
              <w:t>申报情形</w:t>
            </w:r>
          </w:p>
        </w:tc>
        <w:tc>
          <w:tcPr>
            <w:tcW w:w="3053" w:type="dxa"/>
            <w:gridSpan w:val="2"/>
            <w:vAlign w:val="center"/>
          </w:tcPr>
          <w:p w14:paraId="7AC188A2">
            <w:pPr>
              <w:overflowPunct w:val="0"/>
              <w:spacing w:line="240" w:lineRule="atLeast"/>
              <w:jc w:val="left"/>
              <w:rPr>
                <w:color w:val="auto"/>
              </w:rPr>
            </w:pPr>
            <w:r>
              <w:rPr>
                <w:rFonts w:hint="eastAsia"/>
                <w:color w:val="auto"/>
              </w:rPr>
              <w:t>☑</w:t>
            </w:r>
            <w:r>
              <w:rPr>
                <w:color w:val="auto"/>
              </w:rPr>
              <w:t>首次申报项目</w:t>
            </w:r>
          </w:p>
          <w:p w14:paraId="508B09C6">
            <w:pPr>
              <w:overflowPunct w:val="0"/>
              <w:spacing w:line="240" w:lineRule="atLeast"/>
              <w:jc w:val="left"/>
              <w:rPr>
                <w:color w:val="auto"/>
              </w:rPr>
            </w:pPr>
            <w:r>
              <w:rPr>
                <w:rFonts w:hint="eastAsia"/>
                <w:color w:val="auto"/>
              </w:rPr>
              <w:t>□</w:t>
            </w:r>
            <w:r>
              <w:rPr>
                <w:color w:val="auto"/>
              </w:rPr>
              <w:t>不予批准后再次申报项目</w:t>
            </w:r>
          </w:p>
          <w:p w14:paraId="347D57B6">
            <w:pPr>
              <w:overflowPunct w:val="0"/>
              <w:spacing w:line="240" w:lineRule="atLeast"/>
              <w:jc w:val="left"/>
              <w:rPr>
                <w:color w:val="auto"/>
              </w:rPr>
            </w:pPr>
            <w:r>
              <w:rPr>
                <w:rFonts w:hint="eastAsia"/>
                <w:color w:val="auto"/>
              </w:rPr>
              <w:t>□</w:t>
            </w:r>
            <w:r>
              <w:rPr>
                <w:color w:val="auto"/>
              </w:rPr>
              <w:t>超五年重新审核项目</w:t>
            </w:r>
          </w:p>
          <w:p w14:paraId="62CD0FC5">
            <w:pPr>
              <w:overflowPunct w:val="0"/>
              <w:spacing w:line="240" w:lineRule="atLeast"/>
              <w:jc w:val="left"/>
              <w:rPr>
                <w:color w:val="auto"/>
              </w:rPr>
            </w:pPr>
            <w:r>
              <w:rPr>
                <w:rFonts w:hint="eastAsia"/>
                <w:color w:val="auto"/>
              </w:rPr>
              <w:t>□</w:t>
            </w:r>
            <w:r>
              <w:rPr>
                <w:color w:val="auto"/>
              </w:rPr>
              <w:t>重大变动重新报批项目</w:t>
            </w:r>
          </w:p>
        </w:tc>
      </w:tr>
      <w:tr w14:paraId="3908664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51" w:hRule="atLeast"/>
        </w:trPr>
        <w:tc>
          <w:tcPr>
            <w:tcW w:w="1451" w:type="dxa"/>
            <w:gridSpan w:val="2"/>
            <w:tcMar>
              <w:top w:w="16" w:type="dxa"/>
              <w:left w:w="16" w:type="dxa"/>
              <w:right w:w="16" w:type="dxa"/>
            </w:tcMar>
            <w:vAlign w:val="center"/>
          </w:tcPr>
          <w:p w14:paraId="07396447">
            <w:pPr>
              <w:overflowPunct w:val="0"/>
              <w:jc w:val="center"/>
              <w:rPr>
                <w:color w:val="auto"/>
              </w:rPr>
            </w:pPr>
            <w:r>
              <w:rPr>
                <w:color w:val="auto"/>
              </w:rPr>
              <w:t>项目审批</w:t>
            </w:r>
          </w:p>
          <w:p w14:paraId="3DAD4FED">
            <w:pPr>
              <w:overflowPunct w:val="0"/>
              <w:jc w:val="center"/>
              <w:rPr>
                <w:color w:val="auto"/>
              </w:rPr>
            </w:pPr>
            <w:r>
              <w:rPr>
                <w:color w:val="auto"/>
              </w:rPr>
              <w:t>（核准/备案）</w:t>
            </w:r>
          </w:p>
          <w:p w14:paraId="7287F180">
            <w:pPr>
              <w:overflowPunct w:val="0"/>
              <w:jc w:val="center"/>
              <w:rPr>
                <w:color w:val="auto"/>
              </w:rPr>
            </w:pPr>
            <w:r>
              <w:rPr>
                <w:color w:val="auto"/>
              </w:rPr>
              <w:t>部门</w:t>
            </w:r>
            <w:r>
              <w:rPr>
                <w:rFonts w:hint="eastAsia"/>
                <w:color w:val="auto"/>
              </w:rPr>
              <w:t>（选填）</w:t>
            </w:r>
          </w:p>
        </w:tc>
        <w:tc>
          <w:tcPr>
            <w:tcW w:w="2114" w:type="dxa"/>
            <w:vAlign w:val="center"/>
          </w:tcPr>
          <w:p w14:paraId="5B801C36">
            <w:pPr>
              <w:overflowPunct w:val="0"/>
              <w:jc w:val="center"/>
              <w:rPr>
                <w:color w:val="auto"/>
              </w:rPr>
            </w:pPr>
            <w:r>
              <w:rPr>
                <w:rFonts w:hint="eastAsia"/>
                <w:color w:val="auto"/>
              </w:rPr>
              <w:t>淮南市田家庵区发展和改革委员会</w:t>
            </w:r>
          </w:p>
        </w:tc>
        <w:tc>
          <w:tcPr>
            <w:tcW w:w="2261" w:type="dxa"/>
            <w:vAlign w:val="center"/>
          </w:tcPr>
          <w:p w14:paraId="4BC0C3A5">
            <w:pPr>
              <w:overflowPunct w:val="0"/>
              <w:jc w:val="center"/>
              <w:rPr>
                <w:color w:val="auto"/>
              </w:rPr>
            </w:pPr>
            <w:r>
              <w:rPr>
                <w:color w:val="auto"/>
              </w:rPr>
              <w:t>项目审批（核准/备案）文号（选填）</w:t>
            </w:r>
          </w:p>
        </w:tc>
        <w:tc>
          <w:tcPr>
            <w:tcW w:w="3053" w:type="dxa"/>
            <w:gridSpan w:val="2"/>
            <w:vAlign w:val="center"/>
          </w:tcPr>
          <w:p w14:paraId="62F96010">
            <w:pPr>
              <w:overflowPunct w:val="0"/>
              <w:jc w:val="center"/>
              <w:rPr>
                <w:color w:val="auto"/>
              </w:rPr>
            </w:pPr>
            <w:r>
              <w:rPr>
                <w:rFonts w:hint="eastAsia"/>
                <w:color w:val="auto"/>
              </w:rPr>
              <w:t>/</w:t>
            </w:r>
          </w:p>
        </w:tc>
      </w:tr>
      <w:tr w14:paraId="6C70737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1451" w:type="dxa"/>
            <w:gridSpan w:val="2"/>
            <w:tcMar>
              <w:top w:w="16" w:type="dxa"/>
              <w:left w:w="16" w:type="dxa"/>
              <w:right w:w="16" w:type="dxa"/>
            </w:tcMar>
            <w:vAlign w:val="center"/>
          </w:tcPr>
          <w:p w14:paraId="690FF7AE">
            <w:pPr>
              <w:overflowPunct w:val="0"/>
              <w:jc w:val="center"/>
              <w:rPr>
                <w:color w:val="auto"/>
              </w:rPr>
            </w:pPr>
            <w:r>
              <w:rPr>
                <w:color w:val="auto"/>
              </w:rPr>
              <w:t>总投资</w:t>
            </w:r>
          </w:p>
          <w:p w14:paraId="3E664331">
            <w:pPr>
              <w:overflowPunct w:val="0"/>
              <w:jc w:val="center"/>
              <w:rPr>
                <w:color w:val="auto"/>
              </w:rPr>
            </w:pPr>
            <w:r>
              <w:rPr>
                <w:color w:val="auto"/>
              </w:rPr>
              <w:t>（万元）</w:t>
            </w:r>
          </w:p>
        </w:tc>
        <w:tc>
          <w:tcPr>
            <w:tcW w:w="2114" w:type="dxa"/>
            <w:vAlign w:val="center"/>
          </w:tcPr>
          <w:p w14:paraId="27F751BE">
            <w:pPr>
              <w:overflowPunct w:val="0"/>
              <w:jc w:val="center"/>
              <w:rPr>
                <w:color w:val="auto"/>
              </w:rPr>
            </w:pPr>
            <w:r>
              <w:rPr>
                <w:rFonts w:hint="eastAsia"/>
                <w:color w:val="auto"/>
              </w:rPr>
              <w:t>11000</w:t>
            </w:r>
          </w:p>
        </w:tc>
        <w:tc>
          <w:tcPr>
            <w:tcW w:w="2261" w:type="dxa"/>
            <w:tcMar>
              <w:top w:w="16" w:type="dxa"/>
              <w:left w:w="16" w:type="dxa"/>
              <w:right w:w="16" w:type="dxa"/>
            </w:tcMar>
            <w:vAlign w:val="center"/>
          </w:tcPr>
          <w:p w14:paraId="76FFEBC3">
            <w:pPr>
              <w:overflowPunct w:val="0"/>
              <w:jc w:val="center"/>
              <w:rPr>
                <w:color w:val="auto"/>
              </w:rPr>
            </w:pPr>
            <w:r>
              <w:rPr>
                <w:color w:val="auto"/>
              </w:rPr>
              <w:t>环保投资</w:t>
            </w:r>
          </w:p>
          <w:p w14:paraId="10B5B5FF">
            <w:pPr>
              <w:overflowPunct w:val="0"/>
              <w:jc w:val="center"/>
              <w:rPr>
                <w:color w:val="auto"/>
              </w:rPr>
            </w:pPr>
            <w:r>
              <w:rPr>
                <w:color w:val="auto"/>
              </w:rPr>
              <w:t>（万元）</w:t>
            </w:r>
          </w:p>
        </w:tc>
        <w:tc>
          <w:tcPr>
            <w:tcW w:w="3053" w:type="dxa"/>
            <w:gridSpan w:val="2"/>
            <w:vAlign w:val="center"/>
          </w:tcPr>
          <w:p w14:paraId="29C10697">
            <w:pPr>
              <w:overflowPunct w:val="0"/>
              <w:jc w:val="center"/>
              <w:rPr>
                <w:color w:val="auto"/>
              </w:rPr>
            </w:pPr>
            <w:r>
              <w:rPr>
                <w:rFonts w:hint="eastAsia"/>
                <w:color w:val="auto"/>
              </w:rPr>
              <w:t>48</w:t>
            </w:r>
          </w:p>
        </w:tc>
      </w:tr>
      <w:tr w14:paraId="5FF3CB8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1451" w:type="dxa"/>
            <w:gridSpan w:val="2"/>
            <w:tcMar>
              <w:top w:w="16" w:type="dxa"/>
              <w:left w:w="16" w:type="dxa"/>
              <w:right w:w="16" w:type="dxa"/>
            </w:tcMar>
            <w:vAlign w:val="center"/>
          </w:tcPr>
          <w:p w14:paraId="58945EB8">
            <w:pPr>
              <w:overflowPunct w:val="0"/>
              <w:jc w:val="center"/>
              <w:rPr>
                <w:color w:val="auto"/>
              </w:rPr>
            </w:pPr>
            <w:r>
              <w:rPr>
                <w:color w:val="auto"/>
              </w:rPr>
              <w:t>环保投资占比（%）</w:t>
            </w:r>
          </w:p>
        </w:tc>
        <w:tc>
          <w:tcPr>
            <w:tcW w:w="2114" w:type="dxa"/>
            <w:vAlign w:val="center"/>
          </w:tcPr>
          <w:p w14:paraId="3C0E4D22">
            <w:pPr>
              <w:overflowPunct w:val="0"/>
              <w:jc w:val="center"/>
              <w:rPr>
                <w:color w:val="auto"/>
              </w:rPr>
            </w:pPr>
            <w:r>
              <w:rPr>
                <w:rFonts w:hint="eastAsia"/>
                <w:color w:val="auto"/>
              </w:rPr>
              <w:t>0.44</w:t>
            </w:r>
          </w:p>
        </w:tc>
        <w:tc>
          <w:tcPr>
            <w:tcW w:w="2261" w:type="dxa"/>
            <w:tcMar>
              <w:top w:w="16" w:type="dxa"/>
              <w:left w:w="16" w:type="dxa"/>
              <w:right w:w="16" w:type="dxa"/>
            </w:tcMar>
            <w:vAlign w:val="center"/>
          </w:tcPr>
          <w:p w14:paraId="48FAA7C7">
            <w:pPr>
              <w:overflowPunct w:val="0"/>
              <w:jc w:val="center"/>
              <w:rPr>
                <w:color w:val="auto"/>
              </w:rPr>
            </w:pPr>
            <w:r>
              <w:rPr>
                <w:color w:val="auto"/>
              </w:rPr>
              <w:t>施工工期</w:t>
            </w:r>
          </w:p>
        </w:tc>
        <w:tc>
          <w:tcPr>
            <w:tcW w:w="3053" w:type="dxa"/>
            <w:gridSpan w:val="2"/>
            <w:vAlign w:val="center"/>
          </w:tcPr>
          <w:p w14:paraId="4134B978">
            <w:pPr>
              <w:overflowPunct w:val="0"/>
              <w:jc w:val="center"/>
              <w:rPr>
                <w:color w:val="auto"/>
              </w:rPr>
            </w:pPr>
            <w:r>
              <w:rPr>
                <w:rFonts w:hint="eastAsia"/>
                <w:color w:val="auto"/>
              </w:rPr>
              <w:t>6</w:t>
            </w:r>
            <w:r>
              <w:rPr>
                <w:color w:val="auto"/>
              </w:rPr>
              <w:t>个月</w:t>
            </w:r>
          </w:p>
        </w:tc>
      </w:tr>
      <w:tr w14:paraId="4E232B7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002" w:hRule="atLeast"/>
        </w:trPr>
        <w:tc>
          <w:tcPr>
            <w:tcW w:w="1451" w:type="dxa"/>
            <w:gridSpan w:val="2"/>
            <w:tcMar>
              <w:top w:w="16" w:type="dxa"/>
              <w:left w:w="16" w:type="dxa"/>
              <w:right w:w="16" w:type="dxa"/>
            </w:tcMar>
            <w:vAlign w:val="center"/>
          </w:tcPr>
          <w:p w14:paraId="150B9EDE">
            <w:pPr>
              <w:overflowPunct w:val="0"/>
              <w:jc w:val="center"/>
              <w:rPr>
                <w:color w:val="auto"/>
              </w:rPr>
            </w:pPr>
            <w:r>
              <w:rPr>
                <w:color w:val="auto"/>
              </w:rPr>
              <w:t>是否开工</w:t>
            </w:r>
          </w:p>
          <w:p w14:paraId="39DD0ECC">
            <w:pPr>
              <w:overflowPunct w:val="0"/>
              <w:jc w:val="center"/>
              <w:rPr>
                <w:color w:val="auto"/>
              </w:rPr>
            </w:pPr>
            <w:r>
              <w:rPr>
                <w:color w:val="auto"/>
              </w:rPr>
              <w:t>建设</w:t>
            </w:r>
          </w:p>
        </w:tc>
        <w:tc>
          <w:tcPr>
            <w:tcW w:w="2114" w:type="dxa"/>
            <w:vAlign w:val="center"/>
          </w:tcPr>
          <w:p w14:paraId="5C08F758">
            <w:pPr>
              <w:overflowPunct w:val="0"/>
              <w:snapToGrid w:val="0"/>
              <w:rPr>
                <w:color w:val="auto"/>
              </w:rPr>
            </w:pPr>
            <w:r>
              <w:rPr>
                <w:rFonts w:hint="eastAsia"/>
                <w:color w:val="auto"/>
              </w:rPr>
              <w:t>☑</w:t>
            </w:r>
            <w:r>
              <w:rPr>
                <w:color w:val="auto"/>
              </w:rPr>
              <w:t>否</w:t>
            </w:r>
          </w:p>
          <w:p w14:paraId="3AA2AE5A">
            <w:pPr>
              <w:overflowPunct w:val="0"/>
              <w:rPr>
                <w:color w:val="auto"/>
              </w:rPr>
            </w:pPr>
            <w:r>
              <w:rPr>
                <w:rFonts w:hint="eastAsia"/>
                <w:color w:val="auto"/>
              </w:rPr>
              <w:t>□</w:t>
            </w:r>
            <w:r>
              <w:rPr>
                <w:color w:val="auto"/>
              </w:rPr>
              <w:t>是：</w:t>
            </w:r>
          </w:p>
        </w:tc>
        <w:tc>
          <w:tcPr>
            <w:tcW w:w="2261" w:type="dxa"/>
            <w:vAlign w:val="center"/>
          </w:tcPr>
          <w:p w14:paraId="41216D73">
            <w:pPr>
              <w:overflowPunct w:val="0"/>
              <w:snapToGrid w:val="0"/>
              <w:jc w:val="center"/>
              <w:rPr>
                <w:color w:val="auto"/>
              </w:rPr>
            </w:pPr>
            <w:r>
              <w:rPr>
                <w:color w:val="auto"/>
              </w:rPr>
              <w:t>用地面积（m</w:t>
            </w:r>
            <w:r>
              <w:rPr>
                <w:color w:val="auto"/>
                <w:vertAlign w:val="superscript"/>
              </w:rPr>
              <w:t>2</w:t>
            </w:r>
            <w:r>
              <w:rPr>
                <w:color w:val="auto"/>
              </w:rPr>
              <w:t>）</w:t>
            </w:r>
          </w:p>
        </w:tc>
        <w:tc>
          <w:tcPr>
            <w:tcW w:w="3053" w:type="dxa"/>
            <w:gridSpan w:val="2"/>
            <w:vAlign w:val="center"/>
          </w:tcPr>
          <w:p w14:paraId="20909F7F">
            <w:pPr>
              <w:overflowPunct w:val="0"/>
              <w:jc w:val="center"/>
              <w:rPr>
                <w:color w:val="auto"/>
              </w:rPr>
            </w:pPr>
            <w:r>
              <w:rPr>
                <w:rFonts w:hint="eastAsia"/>
                <w:color w:val="auto"/>
              </w:rPr>
              <w:t>2901</w:t>
            </w:r>
          </w:p>
        </w:tc>
      </w:tr>
      <w:tr w14:paraId="28D42C1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25" w:hRule="atLeast"/>
        </w:trPr>
        <w:tc>
          <w:tcPr>
            <w:tcW w:w="890" w:type="dxa"/>
            <w:vAlign w:val="center"/>
          </w:tcPr>
          <w:p w14:paraId="2E29AD90">
            <w:pPr>
              <w:overflowPunct w:val="0"/>
              <w:adjustRightInd w:val="0"/>
              <w:spacing w:line="400" w:lineRule="exact"/>
              <w:ind w:left="-72" w:leftChars="-30" w:right="-72" w:rightChars="-30"/>
              <w:jc w:val="center"/>
              <w:outlineLvl w:val="1"/>
              <w:rPr>
                <w:color w:val="auto"/>
              </w:rPr>
            </w:pPr>
            <w:bookmarkStart w:id="14" w:name="_Toc16635"/>
            <w:r>
              <w:rPr>
                <w:color w:val="auto"/>
              </w:rPr>
              <w:t>专项评价设置情况</w:t>
            </w:r>
            <w:bookmarkEnd w:id="14"/>
          </w:p>
        </w:tc>
        <w:tc>
          <w:tcPr>
            <w:tcW w:w="7989" w:type="dxa"/>
            <w:gridSpan w:val="5"/>
            <w:vAlign w:val="center"/>
          </w:tcPr>
          <w:p w14:paraId="42E1E72A">
            <w:pPr>
              <w:overflowPunct w:val="0"/>
              <w:ind w:firstLine="480"/>
              <w:outlineLvl w:val="1"/>
              <w:rPr>
                <w:color w:val="auto"/>
              </w:rPr>
            </w:pPr>
            <w:bookmarkStart w:id="15" w:name="_Toc2029"/>
            <w:r>
              <w:rPr>
                <w:color w:val="auto"/>
              </w:rPr>
              <w:t>专项评价设置情况：</w:t>
            </w:r>
            <w:r>
              <w:rPr>
                <w:rFonts w:hint="eastAsia"/>
                <w:color w:val="auto"/>
              </w:rPr>
              <w:t>无</w:t>
            </w:r>
            <w:r>
              <w:rPr>
                <w:color w:val="auto"/>
              </w:rPr>
              <w:t>。</w:t>
            </w:r>
            <w:bookmarkEnd w:id="15"/>
          </w:p>
          <w:p w14:paraId="034EA8DB">
            <w:pPr>
              <w:overflowPunct w:val="0"/>
              <w:ind w:firstLine="480"/>
              <w:rPr>
                <w:color w:val="auto"/>
              </w:rPr>
            </w:pPr>
            <w:r>
              <w:rPr>
                <w:color w:val="auto"/>
              </w:rPr>
              <w:t>根据《建设项目环境影响报告表编制技术指南（污染影响类）》（试行），判定依据见下表：</w:t>
            </w:r>
          </w:p>
          <w:p w14:paraId="1CD5ACA4">
            <w:pPr>
              <w:pStyle w:val="6"/>
              <w:overflowPunct w:val="0"/>
              <w:adjustRightInd w:val="0"/>
              <w:snapToGrid w:val="0"/>
              <w:rPr>
                <w:rFonts w:eastAsia="黑体"/>
                <w:color w:val="auto"/>
              </w:rPr>
            </w:pPr>
            <w:r>
              <w:rPr>
                <w:color w:val="auto"/>
              </w:rPr>
              <w:t xml:space="preserve">表 </w:t>
            </w:r>
            <w:r>
              <w:rPr>
                <w:rFonts w:hint="eastAsia"/>
                <w:color w:val="auto"/>
              </w:rPr>
              <w:t>1-</w:t>
            </w:r>
            <w:r>
              <w:rPr>
                <w:color w:val="auto"/>
              </w:rPr>
              <w:fldChar w:fldCharType="begin"/>
            </w:r>
            <w:r>
              <w:rPr>
                <w:color w:val="auto"/>
              </w:rPr>
              <w:instrText xml:space="preserve"> SEQ 表 \* ARABIC \s 1 </w:instrText>
            </w:r>
            <w:r>
              <w:rPr>
                <w:color w:val="auto"/>
              </w:rPr>
              <w:fldChar w:fldCharType="separate"/>
            </w:r>
            <w:r>
              <w:rPr>
                <w:color w:val="auto"/>
              </w:rPr>
              <w:t>1</w:t>
            </w:r>
            <w:r>
              <w:rPr>
                <w:color w:val="auto"/>
              </w:rPr>
              <w:fldChar w:fldCharType="end"/>
            </w:r>
            <w:r>
              <w:rPr>
                <w:color w:val="auto"/>
                <w:kern w:val="1"/>
              </w:rPr>
              <w:t>本项目专项评价设置判定情况</w:t>
            </w:r>
          </w:p>
          <w:tbl>
            <w:tblPr>
              <w:tblStyle w:val="23"/>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935"/>
              <w:gridCol w:w="2965"/>
              <w:gridCol w:w="2951"/>
              <w:gridCol w:w="903"/>
            </w:tblGrid>
            <w:tr w14:paraId="6EB7B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32" w:hRule="atLeast"/>
                <w:jc w:val="center"/>
              </w:trPr>
              <w:tc>
                <w:tcPr>
                  <w:tcW w:w="603" w:type="pct"/>
                  <w:vAlign w:val="center"/>
                </w:tcPr>
                <w:p w14:paraId="28570A50">
                  <w:pPr>
                    <w:pStyle w:val="30"/>
                    <w:framePr w:hSpace="0" w:wrap="auto" w:vAnchor="margin" w:hAnchor="text" w:xAlign="left" w:yAlign="inline"/>
                    <w:overflowPunct w:val="0"/>
                    <w:rPr>
                      <w:color w:val="auto"/>
                    </w:rPr>
                  </w:pPr>
                  <w:r>
                    <w:rPr>
                      <w:color w:val="auto"/>
                    </w:rPr>
                    <w:t>专项评价的类别</w:t>
                  </w:r>
                </w:p>
              </w:tc>
              <w:tc>
                <w:tcPr>
                  <w:tcW w:w="1912" w:type="pct"/>
                  <w:vAlign w:val="center"/>
                </w:tcPr>
                <w:p w14:paraId="44797D12">
                  <w:pPr>
                    <w:pStyle w:val="30"/>
                    <w:framePr w:hSpace="0" w:wrap="auto" w:vAnchor="margin" w:hAnchor="text" w:xAlign="left" w:yAlign="inline"/>
                    <w:overflowPunct w:val="0"/>
                    <w:rPr>
                      <w:color w:val="auto"/>
                    </w:rPr>
                  </w:pPr>
                  <w:r>
                    <w:rPr>
                      <w:color w:val="auto"/>
                    </w:rPr>
                    <w:t>设置原则</w:t>
                  </w:r>
                </w:p>
              </w:tc>
              <w:tc>
                <w:tcPr>
                  <w:tcW w:w="1903" w:type="pct"/>
                  <w:vAlign w:val="center"/>
                </w:tcPr>
                <w:p w14:paraId="37374541">
                  <w:pPr>
                    <w:pStyle w:val="30"/>
                    <w:framePr w:hSpace="0" w:wrap="auto" w:vAnchor="margin" w:hAnchor="text" w:xAlign="left" w:yAlign="inline"/>
                    <w:overflowPunct w:val="0"/>
                    <w:rPr>
                      <w:color w:val="auto"/>
                    </w:rPr>
                  </w:pPr>
                  <w:r>
                    <w:rPr>
                      <w:color w:val="auto"/>
                    </w:rPr>
                    <w:t>本项目情况</w:t>
                  </w:r>
                </w:p>
              </w:tc>
              <w:tc>
                <w:tcPr>
                  <w:tcW w:w="580" w:type="pct"/>
                  <w:vAlign w:val="center"/>
                </w:tcPr>
                <w:p w14:paraId="0F44C9D9">
                  <w:pPr>
                    <w:pStyle w:val="30"/>
                    <w:framePr w:hSpace="0" w:wrap="auto" w:vAnchor="margin" w:hAnchor="text" w:xAlign="left" w:yAlign="inline"/>
                    <w:overflowPunct w:val="0"/>
                    <w:rPr>
                      <w:color w:val="auto"/>
                    </w:rPr>
                  </w:pPr>
                  <w:r>
                    <w:rPr>
                      <w:color w:val="auto"/>
                    </w:rPr>
                    <w:t>是否设置专项评价</w:t>
                  </w:r>
                </w:p>
              </w:tc>
            </w:tr>
            <w:tr w14:paraId="59515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14" w:hRule="atLeast"/>
                <w:jc w:val="center"/>
              </w:trPr>
              <w:tc>
                <w:tcPr>
                  <w:tcW w:w="603" w:type="pct"/>
                  <w:vAlign w:val="center"/>
                </w:tcPr>
                <w:p w14:paraId="5A0B967E">
                  <w:pPr>
                    <w:pStyle w:val="30"/>
                    <w:framePr w:hSpace="0" w:wrap="auto" w:vAnchor="margin" w:hAnchor="text" w:xAlign="left" w:yAlign="inline"/>
                    <w:overflowPunct w:val="0"/>
                    <w:rPr>
                      <w:color w:val="auto"/>
                    </w:rPr>
                  </w:pPr>
                  <w:r>
                    <w:rPr>
                      <w:color w:val="auto"/>
                    </w:rPr>
                    <w:t>大气</w:t>
                  </w:r>
                </w:p>
              </w:tc>
              <w:tc>
                <w:tcPr>
                  <w:tcW w:w="1912" w:type="pct"/>
                  <w:vAlign w:val="center"/>
                </w:tcPr>
                <w:p w14:paraId="7E193350">
                  <w:pPr>
                    <w:pStyle w:val="30"/>
                    <w:framePr w:hSpace="0" w:wrap="auto" w:vAnchor="margin" w:hAnchor="text" w:xAlign="left" w:yAlign="inline"/>
                    <w:overflowPunct w:val="0"/>
                    <w:rPr>
                      <w:color w:val="auto"/>
                      <w:lang w:bidi="zh-CN"/>
                    </w:rPr>
                  </w:pPr>
                  <w:r>
                    <w:rPr>
                      <w:color w:val="auto"/>
                      <w:lang w:bidi="zh-CN"/>
                    </w:rPr>
                    <w:t>排放废气含有毒有害污染物、二噁英、苯并[a]芘、氰化物、氯气且厂界外500米范围内有环境空气保护目标的建设项目。</w:t>
                  </w:r>
                </w:p>
              </w:tc>
              <w:tc>
                <w:tcPr>
                  <w:tcW w:w="1903" w:type="pct"/>
                  <w:vAlign w:val="center"/>
                </w:tcPr>
                <w:p w14:paraId="7A5B58E8">
                  <w:pPr>
                    <w:pStyle w:val="30"/>
                    <w:framePr w:hSpace="0" w:wrap="auto" w:vAnchor="margin" w:hAnchor="text" w:xAlign="left" w:yAlign="inline"/>
                    <w:overflowPunct w:val="0"/>
                    <w:rPr>
                      <w:color w:val="auto"/>
                      <w:lang w:bidi="zh-CN"/>
                    </w:rPr>
                  </w:pPr>
                  <w:r>
                    <w:rPr>
                      <w:color w:val="auto"/>
                      <w:lang w:bidi="zh-CN"/>
                    </w:rPr>
                    <w:t>本项目厂界外</w:t>
                  </w:r>
                  <w:r>
                    <w:rPr>
                      <w:rFonts w:hint="eastAsia"/>
                      <w:color w:val="auto"/>
                      <w:lang w:bidi="zh-CN"/>
                    </w:rPr>
                    <w:t>5</w:t>
                  </w:r>
                  <w:r>
                    <w:rPr>
                      <w:color w:val="auto"/>
                      <w:lang w:bidi="zh-CN"/>
                    </w:rPr>
                    <w:t>00米范围内有环境空气保护目标，排放的废气中不含排放废气含有毒有害污染物、二噁英、苯并[a]芘、氰化物、氯气</w:t>
                  </w:r>
                  <w:r>
                    <w:rPr>
                      <w:rFonts w:hint="eastAsia"/>
                      <w:color w:val="auto"/>
                      <w:lang w:bidi="zh-CN"/>
                    </w:rPr>
                    <w:t>，</w:t>
                  </w:r>
                  <w:r>
                    <w:rPr>
                      <w:color w:val="auto"/>
                      <w:lang w:bidi="zh-CN"/>
                    </w:rPr>
                    <w:t>无需设置大气专项评价。</w:t>
                  </w:r>
                </w:p>
              </w:tc>
              <w:tc>
                <w:tcPr>
                  <w:tcW w:w="580" w:type="pct"/>
                  <w:vAlign w:val="center"/>
                </w:tcPr>
                <w:p w14:paraId="54A396F7">
                  <w:pPr>
                    <w:pStyle w:val="30"/>
                    <w:framePr w:hSpace="0" w:wrap="auto" w:vAnchor="margin" w:hAnchor="text" w:xAlign="left" w:yAlign="inline"/>
                    <w:overflowPunct w:val="0"/>
                    <w:rPr>
                      <w:color w:val="auto"/>
                    </w:rPr>
                  </w:pPr>
                  <w:r>
                    <w:rPr>
                      <w:color w:val="auto"/>
                    </w:rPr>
                    <w:t>否</w:t>
                  </w:r>
                </w:p>
              </w:tc>
            </w:tr>
            <w:tr w14:paraId="0B119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3" w:hRule="atLeast"/>
                <w:jc w:val="center"/>
              </w:trPr>
              <w:tc>
                <w:tcPr>
                  <w:tcW w:w="603" w:type="pct"/>
                  <w:vAlign w:val="center"/>
                </w:tcPr>
                <w:p w14:paraId="3002C3DA">
                  <w:pPr>
                    <w:pStyle w:val="30"/>
                    <w:framePr w:hSpace="0" w:wrap="auto" w:vAnchor="margin" w:hAnchor="text" w:xAlign="left" w:yAlign="inline"/>
                    <w:overflowPunct w:val="0"/>
                    <w:rPr>
                      <w:color w:val="auto"/>
                    </w:rPr>
                  </w:pPr>
                  <w:r>
                    <w:rPr>
                      <w:color w:val="auto"/>
                    </w:rPr>
                    <w:t>地表水</w:t>
                  </w:r>
                </w:p>
              </w:tc>
              <w:tc>
                <w:tcPr>
                  <w:tcW w:w="1912" w:type="pct"/>
                  <w:vAlign w:val="center"/>
                </w:tcPr>
                <w:p w14:paraId="4E11F51F">
                  <w:pPr>
                    <w:pStyle w:val="30"/>
                    <w:framePr w:hSpace="0" w:wrap="auto" w:vAnchor="margin" w:hAnchor="text" w:xAlign="left" w:yAlign="inline"/>
                    <w:overflowPunct w:val="0"/>
                    <w:rPr>
                      <w:color w:val="auto"/>
                    </w:rPr>
                  </w:pPr>
                  <w:r>
                    <w:rPr>
                      <w:color w:val="auto"/>
                    </w:rPr>
                    <w:t>新增工业废水直排建设项目（槽罐车外送污水处理厂的除外）；新增废水直排的污水集中处理厂。</w:t>
                  </w:r>
                </w:p>
              </w:tc>
              <w:tc>
                <w:tcPr>
                  <w:tcW w:w="1903" w:type="pct"/>
                  <w:vAlign w:val="center"/>
                </w:tcPr>
                <w:p w14:paraId="32714647">
                  <w:pPr>
                    <w:pStyle w:val="30"/>
                    <w:framePr w:hSpace="0" w:wrap="auto" w:vAnchor="margin" w:hAnchor="text" w:xAlign="left" w:yAlign="inline"/>
                    <w:overflowPunct w:val="0"/>
                    <w:rPr>
                      <w:color w:val="auto"/>
                    </w:rPr>
                  </w:pPr>
                  <w:r>
                    <w:rPr>
                      <w:color w:val="auto"/>
                    </w:rPr>
                    <w:t>本项目废水</w:t>
                  </w:r>
                  <w:r>
                    <w:rPr>
                      <w:rFonts w:hint="eastAsia"/>
                      <w:color w:val="auto"/>
                      <w:lang w:val="en-US"/>
                    </w:rPr>
                    <w:t>经预处理达标后</w:t>
                  </w:r>
                  <w:r>
                    <w:rPr>
                      <w:color w:val="auto"/>
                    </w:rPr>
                    <w:t>纳入市政污水管网，不直接排放。</w:t>
                  </w:r>
                </w:p>
              </w:tc>
              <w:tc>
                <w:tcPr>
                  <w:tcW w:w="580" w:type="pct"/>
                  <w:vAlign w:val="center"/>
                </w:tcPr>
                <w:p w14:paraId="3325D119">
                  <w:pPr>
                    <w:pStyle w:val="30"/>
                    <w:framePr w:hSpace="0" w:wrap="auto" w:vAnchor="margin" w:hAnchor="text" w:xAlign="left" w:yAlign="inline"/>
                    <w:overflowPunct w:val="0"/>
                    <w:rPr>
                      <w:color w:val="auto"/>
                    </w:rPr>
                  </w:pPr>
                  <w:r>
                    <w:rPr>
                      <w:color w:val="auto"/>
                    </w:rPr>
                    <w:t>否</w:t>
                  </w:r>
                </w:p>
              </w:tc>
            </w:tr>
            <w:tr w14:paraId="05F6D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39" w:hRule="atLeast"/>
                <w:jc w:val="center"/>
              </w:trPr>
              <w:tc>
                <w:tcPr>
                  <w:tcW w:w="603" w:type="pct"/>
                  <w:vAlign w:val="center"/>
                </w:tcPr>
                <w:p w14:paraId="40BF5166">
                  <w:pPr>
                    <w:pStyle w:val="30"/>
                    <w:framePr w:hSpace="0" w:wrap="auto" w:vAnchor="margin" w:hAnchor="text" w:xAlign="left" w:yAlign="inline"/>
                    <w:overflowPunct w:val="0"/>
                    <w:rPr>
                      <w:color w:val="auto"/>
                    </w:rPr>
                  </w:pPr>
                  <w:r>
                    <w:rPr>
                      <w:color w:val="auto"/>
                    </w:rPr>
                    <w:t>环境风险</w:t>
                  </w:r>
                </w:p>
              </w:tc>
              <w:tc>
                <w:tcPr>
                  <w:tcW w:w="1912" w:type="pct"/>
                  <w:vAlign w:val="center"/>
                </w:tcPr>
                <w:p w14:paraId="4142A3A1">
                  <w:pPr>
                    <w:pStyle w:val="30"/>
                    <w:framePr w:hSpace="0" w:wrap="auto" w:vAnchor="margin" w:hAnchor="text" w:xAlign="left" w:yAlign="inline"/>
                    <w:overflowPunct w:val="0"/>
                    <w:rPr>
                      <w:color w:val="auto"/>
                    </w:rPr>
                  </w:pPr>
                  <w:r>
                    <w:rPr>
                      <w:color w:val="auto"/>
                    </w:rPr>
                    <w:t>有毒有害和易燃易爆危险物质存储量超过临界量。</w:t>
                  </w:r>
                </w:p>
              </w:tc>
              <w:tc>
                <w:tcPr>
                  <w:tcW w:w="1903" w:type="pct"/>
                  <w:vAlign w:val="center"/>
                </w:tcPr>
                <w:p w14:paraId="73B14C61">
                  <w:pPr>
                    <w:pStyle w:val="30"/>
                    <w:framePr w:hSpace="0" w:wrap="auto" w:vAnchor="margin" w:hAnchor="text" w:xAlign="left" w:yAlign="inline"/>
                    <w:overflowPunct w:val="0"/>
                    <w:rPr>
                      <w:color w:val="auto"/>
                    </w:rPr>
                  </w:pPr>
                  <w:r>
                    <w:rPr>
                      <w:color w:val="auto"/>
                    </w:rPr>
                    <w:t>本项目</w:t>
                  </w:r>
                  <w:r>
                    <w:rPr>
                      <w:rFonts w:hint="eastAsia"/>
                      <w:color w:val="auto"/>
                      <w:lang w:val="en-US"/>
                    </w:rPr>
                    <w:t>不涉及</w:t>
                  </w:r>
                  <w:r>
                    <w:rPr>
                      <w:color w:val="auto"/>
                    </w:rPr>
                    <w:t>有毒有害和易燃易爆危险物质。</w:t>
                  </w:r>
                </w:p>
              </w:tc>
              <w:tc>
                <w:tcPr>
                  <w:tcW w:w="580" w:type="pct"/>
                  <w:vAlign w:val="center"/>
                </w:tcPr>
                <w:p w14:paraId="0FCF2580">
                  <w:pPr>
                    <w:pStyle w:val="30"/>
                    <w:framePr w:hSpace="0" w:wrap="auto" w:vAnchor="margin" w:hAnchor="text" w:xAlign="left" w:yAlign="inline"/>
                    <w:overflowPunct w:val="0"/>
                    <w:rPr>
                      <w:color w:val="auto"/>
                    </w:rPr>
                  </w:pPr>
                  <w:r>
                    <w:rPr>
                      <w:color w:val="auto"/>
                    </w:rPr>
                    <w:t>否</w:t>
                  </w:r>
                </w:p>
              </w:tc>
            </w:tr>
            <w:tr w14:paraId="6001B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0" w:hRule="atLeast"/>
                <w:jc w:val="center"/>
              </w:trPr>
              <w:tc>
                <w:tcPr>
                  <w:tcW w:w="603" w:type="pct"/>
                  <w:vAlign w:val="center"/>
                </w:tcPr>
                <w:p w14:paraId="43BFDF27">
                  <w:pPr>
                    <w:pStyle w:val="30"/>
                    <w:framePr w:hSpace="0" w:wrap="auto" w:vAnchor="margin" w:hAnchor="text" w:xAlign="left" w:yAlign="inline"/>
                    <w:overflowPunct w:val="0"/>
                    <w:rPr>
                      <w:color w:val="auto"/>
                    </w:rPr>
                  </w:pPr>
                  <w:r>
                    <w:rPr>
                      <w:color w:val="auto"/>
                    </w:rPr>
                    <w:t>生态</w:t>
                  </w:r>
                </w:p>
              </w:tc>
              <w:tc>
                <w:tcPr>
                  <w:tcW w:w="1912" w:type="pct"/>
                  <w:vAlign w:val="center"/>
                </w:tcPr>
                <w:p w14:paraId="1EB73C1F">
                  <w:pPr>
                    <w:pStyle w:val="30"/>
                    <w:framePr w:hSpace="0" w:wrap="auto" w:vAnchor="margin" w:hAnchor="text" w:xAlign="left" w:yAlign="inline"/>
                    <w:overflowPunct w:val="0"/>
                    <w:rPr>
                      <w:color w:val="auto"/>
                    </w:rPr>
                  </w:pPr>
                  <w:r>
                    <w:rPr>
                      <w:color w:val="auto"/>
                    </w:rPr>
                    <w:t>取水口下游500米范围内有重要水生生物的自然产卵场、索饵场、越冬场和洄游通道的新增河道取水的污染类建设项目。</w:t>
                  </w:r>
                </w:p>
              </w:tc>
              <w:tc>
                <w:tcPr>
                  <w:tcW w:w="3038" w:type="dxa"/>
                  <w:vAlign w:val="center"/>
                </w:tcPr>
                <w:p w14:paraId="3CCFEC07">
                  <w:pPr>
                    <w:pStyle w:val="30"/>
                    <w:framePr w:hSpace="0" w:wrap="auto" w:vAnchor="margin" w:hAnchor="text" w:xAlign="left" w:yAlign="inline"/>
                    <w:overflowPunct w:val="0"/>
                    <w:rPr>
                      <w:rFonts w:cs="宋体"/>
                      <w:color w:val="auto"/>
                      <w:szCs w:val="22"/>
                    </w:rPr>
                  </w:pPr>
                  <w:r>
                    <w:rPr>
                      <w:color w:val="auto"/>
                    </w:rPr>
                    <w:t>不涉及</w:t>
                  </w:r>
                </w:p>
              </w:tc>
              <w:tc>
                <w:tcPr>
                  <w:tcW w:w="580" w:type="pct"/>
                  <w:vAlign w:val="center"/>
                </w:tcPr>
                <w:p w14:paraId="0768D7F3">
                  <w:pPr>
                    <w:pStyle w:val="30"/>
                    <w:framePr w:hSpace="0" w:wrap="auto" w:vAnchor="margin" w:hAnchor="text" w:xAlign="left" w:yAlign="inline"/>
                    <w:overflowPunct w:val="0"/>
                    <w:rPr>
                      <w:color w:val="auto"/>
                    </w:rPr>
                  </w:pPr>
                  <w:r>
                    <w:rPr>
                      <w:color w:val="auto"/>
                    </w:rPr>
                    <w:t>否</w:t>
                  </w:r>
                </w:p>
              </w:tc>
            </w:tr>
            <w:tr w14:paraId="1BFB7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67" w:hRule="atLeast"/>
                <w:jc w:val="center"/>
              </w:trPr>
              <w:tc>
                <w:tcPr>
                  <w:tcW w:w="603" w:type="pct"/>
                  <w:vAlign w:val="center"/>
                </w:tcPr>
                <w:p w14:paraId="47F578E6">
                  <w:pPr>
                    <w:pStyle w:val="30"/>
                    <w:framePr w:hSpace="0" w:wrap="auto" w:vAnchor="margin" w:hAnchor="text" w:xAlign="left" w:yAlign="inline"/>
                    <w:overflowPunct w:val="0"/>
                    <w:rPr>
                      <w:color w:val="auto"/>
                    </w:rPr>
                  </w:pPr>
                  <w:r>
                    <w:rPr>
                      <w:color w:val="auto"/>
                    </w:rPr>
                    <w:t>海洋</w:t>
                  </w:r>
                </w:p>
              </w:tc>
              <w:tc>
                <w:tcPr>
                  <w:tcW w:w="1912" w:type="pct"/>
                  <w:vAlign w:val="center"/>
                </w:tcPr>
                <w:p w14:paraId="655F964F">
                  <w:pPr>
                    <w:pStyle w:val="30"/>
                    <w:framePr w:hSpace="0" w:wrap="auto" w:vAnchor="margin" w:hAnchor="text" w:xAlign="left" w:yAlign="inline"/>
                    <w:overflowPunct w:val="0"/>
                    <w:rPr>
                      <w:color w:val="auto"/>
                    </w:rPr>
                  </w:pPr>
                  <w:r>
                    <w:rPr>
                      <w:color w:val="auto"/>
                    </w:rPr>
                    <w:t>直接向海排放污染物的海洋工程建设项目。</w:t>
                  </w:r>
                </w:p>
              </w:tc>
              <w:tc>
                <w:tcPr>
                  <w:tcW w:w="3038" w:type="dxa"/>
                  <w:vAlign w:val="center"/>
                </w:tcPr>
                <w:p w14:paraId="58644C54">
                  <w:pPr>
                    <w:pStyle w:val="30"/>
                    <w:framePr w:hSpace="0" w:wrap="auto" w:vAnchor="margin" w:hAnchor="text" w:xAlign="left" w:yAlign="inline"/>
                    <w:overflowPunct w:val="0"/>
                    <w:rPr>
                      <w:rFonts w:cs="宋体"/>
                      <w:color w:val="auto"/>
                      <w:szCs w:val="22"/>
                    </w:rPr>
                  </w:pPr>
                  <w:r>
                    <w:rPr>
                      <w:color w:val="auto"/>
                    </w:rPr>
                    <w:t>不涉及</w:t>
                  </w:r>
                </w:p>
              </w:tc>
              <w:tc>
                <w:tcPr>
                  <w:tcW w:w="580" w:type="pct"/>
                  <w:vAlign w:val="center"/>
                </w:tcPr>
                <w:p w14:paraId="7C88D834">
                  <w:pPr>
                    <w:pStyle w:val="30"/>
                    <w:framePr w:hSpace="0" w:wrap="auto" w:vAnchor="margin" w:hAnchor="text" w:xAlign="left" w:yAlign="inline"/>
                    <w:overflowPunct w:val="0"/>
                    <w:rPr>
                      <w:color w:val="auto"/>
                    </w:rPr>
                  </w:pPr>
                  <w:r>
                    <w:rPr>
                      <w:color w:val="auto"/>
                    </w:rPr>
                    <w:t>否</w:t>
                  </w:r>
                </w:p>
              </w:tc>
            </w:tr>
            <w:tr w14:paraId="6C5F6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67" w:hRule="atLeast"/>
                <w:jc w:val="center"/>
              </w:trPr>
              <w:tc>
                <w:tcPr>
                  <w:tcW w:w="5000" w:type="pct"/>
                  <w:gridSpan w:val="4"/>
                  <w:vAlign w:val="center"/>
                </w:tcPr>
                <w:p w14:paraId="3E162D58">
                  <w:pPr>
                    <w:pStyle w:val="30"/>
                    <w:framePr w:hSpace="0" w:wrap="auto" w:vAnchor="margin" w:hAnchor="text" w:xAlign="left" w:yAlign="inline"/>
                    <w:overflowPunct w:val="0"/>
                    <w:jc w:val="both"/>
                    <w:rPr>
                      <w:color w:val="auto"/>
                      <w:kern w:val="1"/>
                    </w:rPr>
                  </w:pPr>
                  <w:r>
                    <w:rPr>
                      <w:color w:val="auto"/>
                    </w:rPr>
                    <w:t>注：1、废气中有毒有害污染物指纳入《有毒有害大气污染物名录》的污染物（不包括无排放标准的污染物）。2、环境空气保护目标指自然保护区、风景名胜区、居住区、文化区和农村地区中人群较集中的区域。3、临界量及其计算方法可参考《建设项目环境风险评价技术导则》（HJ169）附录B、附录C。</w:t>
                  </w:r>
                </w:p>
              </w:tc>
            </w:tr>
          </w:tbl>
          <w:p w14:paraId="28721FEE">
            <w:pPr>
              <w:widowControl/>
              <w:overflowPunct w:val="0"/>
              <w:spacing w:line="276" w:lineRule="auto"/>
              <w:rPr>
                <w:color w:val="auto"/>
              </w:rPr>
            </w:pPr>
          </w:p>
        </w:tc>
      </w:tr>
      <w:tr w14:paraId="275B735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54" w:hRule="atLeast"/>
        </w:trPr>
        <w:tc>
          <w:tcPr>
            <w:tcW w:w="890" w:type="dxa"/>
            <w:vAlign w:val="center"/>
          </w:tcPr>
          <w:p w14:paraId="53400529">
            <w:pPr>
              <w:overflowPunct w:val="0"/>
              <w:adjustRightInd w:val="0"/>
              <w:snapToGrid w:val="0"/>
              <w:jc w:val="center"/>
              <w:rPr>
                <w:color w:val="auto"/>
              </w:rPr>
            </w:pPr>
            <w:r>
              <w:rPr>
                <w:color w:val="auto"/>
              </w:rPr>
              <w:t>规划情况</w:t>
            </w:r>
          </w:p>
        </w:tc>
        <w:tc>
          <w:tcPr>
            <w:tcW w:w="7989" w:type="dxa"/>
            <w:gridSpan w:val="5"/>
            <w:vAlign w:val="center"/>
          </w:tcPr>
          <w:p w14:paraId="437A8155">
            <w:pPr>
              <w:widowControl/>
              <w:overflowPunct w:val="0"/>
              <w:rPr>
                <w:color w:val="auto"/>
              </w:rPr>
            </w:pPr>
            <w:r>
              <w:rPr>
                <w:bCs/>
                <w:color w:val="auto"/>
              </w:rPr>
              <w:t>1</w:t>
            </w:r>
            <w:r>
              <w:rPr>
                <w:rFonts w:hint="eastAsia"/>
                <w:color w:val="auto"/>
              </w:rPr>
              <w:t>、规划名称：《淮南市国土空间总体规划》（2021-2035年）</w:t>
            </w:r>
          </w:p>
          <w:p w14:paraId="5723FDC5">
            <w:pPr>
              <w:widowControl/>
              <w:overflowPunct w:val="0"/>
              <w:ind w:firstLine="480" w:firstLineChars="200"/>
              <w:rPr>
                <w:color w:val="auto"/>
              </w:rPr>
            </w:pPr>
            <w:r>
              <w:rPr>
                <w:bCs/>
                <w:color w:val="auto"/>
              </w:rPr>
              <w:t>审批机关：</w:t>
            </w:r>
            <w:r>
              <w:rPr>
                <w:rFonts w:hint="eastAsia"/>
                <w:color w:val="auto"/>
              </w:rPr>
              <w:t>安徽省人民政府</w:t>
            </w:r>
          </w:p>
          <w:p w14:paraId="5591607B">
            <w:pPr>
              <w:widowControl/>
              <w:overflowPunct w:val="0"/>
              <w:ind w:firstLine="480" w:firstLineChars="200"/>
              <w:rPr>
                <w:color w:val="auto"/>
              </w:rPr>
            </w:pPr>
            <w:r>
              <w:rPr>
                <w:bCs/>
                <w:color w:val="auto"/>
              </w:rPr>
              <w:t>审批文件名称：</w:t>
            </w:r>
            <w:r>
              <w:rPr>
                <w:rFonts w:hint="eastAsia"/>
                <w:color w:val="auto"/>
              </w:rPr>
              <w:t>安徽省人民政府关于《淮南市国土空间总体规划（2021—2035年）》的批复</w:t>
            </w:r>
          </w:p>
          <w:p w14:paraId="324B52A3">
            <w:pPr>
              <w:widowControl/>
              <w:overflowPunct w:val="0"/>
              <w:ind w:firstLine="480" w:firstLineChars="200"/>
              <w:rPr>
                <w:color w:val="auto"/>
              </w:rPr>
            </w:pPr>
            <w:r>
              <w:rPr>
                <w:bCs/>
                <w:color w:val="auto"/>
              </w:rPr>
              <w:t>审批文号：</w:t>
            </w:r>
            <w:r>
              <w:rPr>
                <w:rFonts w:hint="eastAsia"/>
                <w:color w:val="auto"/>
              </w:rPr>
              <w:t>皖政秘〔2024〕46号。</w:t>
            </w:r>
          </w:p>
        </w:tc>
      </w:tr>
      <w:tr w14:paraId="39B7D87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890" w:type="dxa"/>
            <w:vAlign w:val="center"/>
          </w:tcPr>
          <w:p w14:paraId="585552C6">
            <w:pPr>
              <w:overflowPunct w:val="0"/>
              <w:adjustRightInd w:val="0"/>
              <w:snapToGrid w:val="0"/>
              <w:jc w:val="center"/>
              <w:rPr>
                <w:color w:val="auto"/>
              </w:rPr>
            </w:pPr>
            <w:r>
              <w:rPr>
                <w:color w:val="auto"/>
              </w:rPr>
              <w:t>规划环境影响评价情况</w:t>
            </w:r>
          </w:p>
        </w:tc>
        <w:tc>
          <w:tcPr>
            <w:tcW w:w="7989" w:type="dxa"/>
            <w:gridSpan w:val="5"/>
            <w:vAlign w:val="center"/>
          </w:tcPr>
          <w:p w14:paraId="1D8B645F">
            <w:pPr>
              <w:widowControl/>
              <w:overflowPunct w:val="0"/>
              <w:ind w:firstLine="480" w:firstLineChars="200"/>
              <w:rPr>
                <w:color w:val="auto"/>
              </w:rPr>
            </w:pPr>
            <w:r>
              <w:rPr>
                <w:rFonts w:hint="eastAsia"/>
                <w:color w:val="auto"/>
              </w:rPr>
              <w:t>1、规划环评报告书</w:t>
            </w:r>
          </w:p>
          <w:p w14:paraId="4EDB19FA">
            <w:pPr>
              <w:widowControl/>
              <w:overflowPunct w:val="0"/>
              <w:ind w:firstLine="480" w:firstLineChars="200"/>
              <w:rPr>
                <w:color w:val="auto"/>
              </w:rPr>
            </w:pPr>
            <w:r>
              <w:rPr>
                <w:rFonts w:hint="eastAsia"/>
                <w:color w:val="auto"/>
              </w:rPr>
              <w:t>文件名称：《安徽淮南田家庵经济开发区总体发展规划（2023-2035年）环境影响报告书》；</w:t>
            </w:r>
          </w:p>
          <w:p w14:paraId="6670E032">
            <w:pPr>
              <w:widowControl/>
              <w:overflowPunct w:val="0"/>
              <w:ind w:firstLine="480" w:firstLineChars="200"/>
              <w:rPr>
                <w:color w:val="auto"/>
              </w:rPr>
            </w:pPr>
            <w:r>
              <w:rPr>
                <w:rFonts w:hint="eastAsia"/>
                <w:color w:val="auto"/>
              </w:rPr>
              <w:t>审查机关：安徽省生态环境厅；</w:t>
            </w:r>
          </w:p>
          <w:p w14:paraId="69E49E31">
            <w:pPr>
              <w:widowControl/>
              <w:overflowPunct w:val="0"/>
              <w:ind w:firstLine="480" w:firstLineChars="200"/>
              <w:rPr>
                <w:color w:val="auto"/>
              </w:rPr>
            </w:pPr>
            <w:r>
              <w:rPr>
                <w:rFonts w:hint="eastAsia"/>
                <w:color w:val="auto"/>
              </w:rPr>
              <w:t>审查文件名称及文号：《安徽淮南田家庵经济开发区总体发展规划(2023-2035年)环境影响报告书审查意见》（皖环函〔2023〕1148号），2023年11月28日。</w:t>
            </w:r>
          </w:p>
        </w:tc>
      </w:tr>
      <w:tr w14:paraId="3176933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734" w:hRule="atLeast"/>
        </w:trPr>
        <w:tc>
          <w:tcPr>
            <w:tcW w:w="890" w:type="dxa"/>
            <w:vAlign w:val="center"/>
          </w:tcPr>
          <w:p w14:paraId="643C2803">
            <w:pPr>
              <w:overflowPunct w:val="0"/>
              <w:adjustRightInd w:val="0"/>
              <w:snapToGrid w:val="0"/>
              <w:jc w:val="center"/>
              <w:rPr>
                <w:color w:val="auto"/>
              </w:rPr>
            </w:pPr>
            <w:r>
              <w:rPr>
                <w:color w:val="auto"/>
              </w:rPr>
              <w:t>规划及规划环境影响评价符合性分</w:t>
            </w:r>
            <w:r>
              <w:rPr>
                <w:color w:val="auto"/>
                <w:sz w:val="21"/>
              </w:rPr>
              <w:t>析</w:t>
            </w:r>
          </w:p>
        </w:tc>
        <w:tc>
          <w:tcPr>
            <w:tcW w:w="7989" w:type="dxa"/>
            <w:gridSpan w:val="5"/>
            <w:vAlign w:val="center"/>
          </w:tcPr>
          <w:p w14:paraId="566CBB02">
            <w:pPr>
              <w:overflowPunct w:val="0"/>
              <w:rPr>
                <w:b/>
                <w:bCs/>
                <w:color w:val="auto"/>
              </w:rPr>
            </w:pPr>
            <w:r>
              <w:rPr>
                <w:rFonts w:hint="eastAsia"/>
                <w:b/>
                <w:bCs/>
                <w:color w:val="auto"/>
              </w:rPr>
              <w:t>1、与《淮南市国土空间总体规划（2021-2035年）》相符性分析</w:t>
            </w:r>
          </w:p>
          <w:p w14:paraId="07D69FC3">
            <w:pPr>
              <w:overflowPunct w:val="0"/>
              <w:ind w:firstLine="480" w:firstLineChars="200"/>
              <w:rPr>
                <w:color w:val="auto"/>
              </w:rPr>
            </w:pPr>
            <w:r>
              <w:rPr>
                <w:color w:val="auto"/>
              </w:rPr>
              <w:t>本项目</w:t>
            </w:r>
            <w:r>
              <w:rPr>
                <w:rFonts w:hint="eastAsia"/>
                <w:color w:val="auto"/>
              </w:rPr>
              <w:t>位于安徽省淮南市田家庵经济开发区（北区）标准化厂房6号楼西一、二层</w:t>
            </w:r>
            <w:r>
              <w:rPr>
                <w:color w:val="auto"/>
              </w:rPr>
              <w:t>，</w:t>
            </w:r>
            <w:r>
              <w:rPr>
                <w:rFonts w:hint="eastAsia"/>
                <w:color w:val="auto"/>
              </w:rPr>
              <w:t>根据《淮南市国土空间总体规划（2021-2035年）》空间布局原则，以及对现状城区发展方向分析，安成镇中心镇区总体的发展框架为“</w:t>
            </w:r>
            <w:r>
              <w:rPr>
                <w:color w:val="auto"/>
              </w:rPr>
              <w:t>1234</w:t>
            </w:r>
            <w:r>
              <w:rPr>
                <w:rFonts w:hint="eastAsia"/>
                <w:color w:val="auto"/>
              </w:rPr>
              <w:t>”的空间结构。</w:t>
            </w:r>
          </w:p>
          <w:p w14:paraId="25FB2EF8">
            <w:pPr>
              <w:overflowPunct w:val="0"/>
              <w:ind w:firstLine="480" w:firstLineChars="200"/>
              <w:rPr>
                <w:color w:val="auto"/>
              </w:rPr>
            </w:pPr>
            <w:r>
              <w:rPr>
                <w:rFonts w:hint="eastAsia"/>
                <w:color w:val="auto"/>
              </w:rPr>
              <w:t>规划范围：淮南市行政辖区范围，包括五区两县。即田家庵区、大通区、谢家集区、八公山区、潘集区、寿县、凤台县（含毛集实验区）。市域开发保护总体格局一轴、两带、四板块。</w:t>
            </w:r>
          </w:p>
          <w:p w14:paraId="47B1CFD7">
            <w:pPr>
              <w:overflowPunct w:val="0"/>
              <w:ind w:firstLine="480" w:firstLineChars="200"/>
              <w:rPr>
                <w:color w:val="auto"/>
              </w:rPr>
            </w:pPr>
            <w:r>
              <w:rPr>
                <w:rFonts w:hint="eastAsia"/>
                <w:color w:val="auto"/>
              </w:rPr>
              <w:t>一轴：合淮蚌发展轴；两带：沿淮绿色发展带、江淮运河生态复合廊带；四板块：北部粮煤复合功能板块、中部城镇集中建设板块、南部现代农业与特色旅游功能板块、新桥临空板块。</w:t>
            </w:r>
          </w:p>
          <w:p w14:paraId="07288040">
            <w:pPr>
              <w:overflowPunct w:val="0"/>
              <w:ind w:firstLine="480" w:firstLineChars="200"/>
              <w:rPr>
                <w:color w:val="auto"/>
              </w:rPr>
            </w:pPr>
            <w:r>
              <w:rPr>
                <w:color w:val="auto"/>
              </w:rPr>
              <w:t>本项目属于</w:t>
            </w:r>
            <w:r>
              <w:rPr>
                <w:rFonts w:hint="eastAsia"/>
                <w:color w:val="auto"/>
              </w:rPr>
              <w:t>C1439其他方便食品制造</w:t>
            </w:r>
            <w:r>
              <w:rPr>
                <w:color w:val="auto"/>
              </w:rPr>
              <w:t>，</w:t>
            </w:r>
            <w:r>
              <w:rPr>
                <w:rFonts w:hint="eastAsia"/>
                <w:color w:val="auto"/>
              </w:rPr>
              <w:t>位于淮南市中部城镇集中建设板块，占地类型为工矿用地，符合《淮南市国土空间总体规划（2021-2035年）》中相关要求。</w:t>
            </w:r>
          </w:p>
          <w:p w14:paraId="1DEFEECD">
            <w:pPr>
              <w:overflowPunct w:val="0"/>
              <w:spacing w:line="360" w:lineRule="auto"/>
              <w:rPr>
                <w:color w:val="auto"/>
              </w:rPr>
            </w:pPr>
            <w:r>
              <w:rPr>
                <w:color w:val="auto"/>
              </w:rPr>
              <w:drawing>
                <wp:inline distT="0" distB="0" distL="114300" distR="114300">
                  <wp:extent cx="4954270" cy="3481070"/>
                  <wp:effectExtent l="0" t="0" r="17780" b="5080"/>
                  <wp:docPr id="2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
                          <pic:cNvPicPr>
                            <a:picLocks noChangeAspect="1"/>
                          </pic:cNvPicPr>
                        </pic:nvPicPr>
                        <pic:blipFill>
                          <a:blip r:embed="rId19"/>
                          <a:stretch>
                            <a:fillRect/>
                          </a:stretch>
                        </pic:blipFill>
                        <pic:spPr>
                          <a:xfrm>
                            <a:off x="0" y="0"/>
                            <a:ext cx="4954270" cy="3481070"/>
                          </a:xfrm>
                          <a:prstGeom prst="rect">
                            <a:avLst/>
                          </a:prstGeom>
                          <a:noFill/>
                          <a:ln>
                            <a:noFill/>
                          </a:ln>
                        </pic:spPr>
                      </pic:pic>
                    </a:graphicData>
                  </a:graphic>
                </wp:inline>
              </w:drawing>
            </w:r>
          </w:p>
          <w:p w14:paraId="66CD98C7">
            <w:pPr>
              <w:pStyle w:val="6"/>
              <w:overflowPunct w:val="0"/>
              <w:adjustRightInd w:val="0"/>
              <w:snapToGrid w:val="0"/>
              <w:rPr>
                <w:color w:val="auto"/>
              </w:rPr>
            </w:pPr>
            <w:r>
              <w:rPr>
                <w:color w:val="auto"/>
              </w:rPr>
              <w:t xml:space="preserve">图 </w:t>
            </w:r>
            <w:r>
              <w:rPr>
                <w:rFonts w:hint="eastAsia"/>
                <w:color w:val="auto"/>
              </w:rPr>
              <w:t>1-</w:t>
            </w:r>
            <w:r>
              <w:rPr>
                <w:color w:val="auto"/>
              </w:rPr>
              <w:fldChar w:fldCharType="begin"/>
            </w:r>
            <w:r>
              <w:rPr>
                <w:color w:val="auto"/>
              </w:rPr>
              <w:instrText xml:space="preserve"> SEQ 图 \* ARABIC \s 1 </w:instrText>
            </w:r>
            <w:r>
              <w:rPr>
                <w:color w:val="auto"/>
              </w:rPr>
              <w:fldChar w:fldCharType="separate"/>
            </w:r>
            <w:r>
              <w:rPr>
                <w:color w:val="auto"/>
              </w:rPr>
              <w:t>1</w:t>
            </w:r>
            <w:r>
              <w:rPr>
                <w:color w:val="auto"/>
              </w:rPr>
              <w:fldChar w:fldCharType="end"/>
            </w:r>
            <w:r>
              <w:rPr>
                <w:rFonts w:hint="eastAsia"/>
                <w:color w:val="auto"/>
              </w:rPr>
              <w:t>本</w:t>
            </w:r>
            <w:r>
              <w:rPr>
                <w:color w:val="auto"/>
              </w:rPr>
              <w:t>项目</w:t>
            </w:r>
            <w:r>
              <w:rPr>
                <w:rFonts w:hint="eastAsia"/>
                <w:color w:val="auto"/>
              </w:rPr>
              <w:t>所</w:t>
            </w:r>
            <w:r>
              <w:rPr>
                <w:color w:val="auto"/>
              </w:rPr>
              <w:t>在</w:t>
            </w:r>
            <w:r>
              <w:rPr>
                <w:rFonts w:hint="eastAsia"/>
                <w:color w:val="auto"/>
              </w:rPr>
              <w:t>《淮南市国土空间总体规划（2021-2035年）》</w:t>
            </w:r>
            <w:r>
              <w:rPr>
                <w:color w:val="auto"/>
              </w:rPr>
              <w:t>位置图</w:t>
            </w:r>
          </w:p>
          <w:p w14:paraId="4087F177">
            <w:pPr>
              <w:overflowPunct w:val="0"/>
              <w:ind w:firstLine="482" w:firstLineChars="200"/>
              <w:rPr>
                <w:rFonts w:hint="eastAsia"/>
                <w:b/>
                <w:bCs/>
                <w:color w:val="auto"/>
              </w:rPr>
            </w:pPr>
            <w:r>
              <w:rPr>
                <w:rFonts w:hint="eastAsia"/>
                <w:b/>
                <w:bCs/>
                <w:color w:val="auto"/>
              </w:rPr>
              <w:t>2、与《安徽淮南田家庵经济开发区总体发展规划（2023-2035年）环境影响报告书》及其审查意见的符合性分析</w:t>
            </w:r>
          </w:p>
          <w:p w14:paraId="04AE832A">
            <w:pPr>
              <w:overflowPunct w:val="0"/>
              <w:ind w:firstLine="480" w:firstLineChars="200"/>
              <w:rPr>
                <w:rFonts w:hint="eastAsia"/>
                <w:color w:val="auto"/>
              </w:rPr>
            </w:pPr>
            <w:r>
              <w:rPr>
                <w:rFonts w:hint="eastAsia"/>
                <w:color w:val="auto"/>
              </w:rPr>
              <w:t>2023年11月28日，安徽省生态环境厅印发了《安徽淮南田家庵经济开发区总体发展规划（2023-2035年）环境影响报告书审查意见》（皖环函〔2023〕1148号），本次评价对照规划环评及其审查意见分析符合性如下：</w:t>
            </w:r>
          </w:p>
          <w:p w14:paraId="766B91B5">
            <w:pPr>
              <w:pStyle w:val="6"/>
              <w:rPr>
                <w:color w:val="auto"/>
              </w:rPr>
            </w:pPr>
            <w:r>
              <w:rPr>
                <w:color w:val="auto"/>
              </w:rPr>
              <w:t xml:space="preserve">表 </w:t>
            </w:r>
            <w:r>
              <w:rPr>
                <w:rFonts w:hint="eastAsia"/>
                <w:color w:val="auto"/>
              </w:rPr>
              <w:t>1-</w:t>
            </w:r>
            <w:r>
              <w:rPr>
                <w:color w:val="auto"/>
              </w:rPr>
              <w:fldChar w:fldCharType="begin"/>
            </w:r>
            <w:r>
              <w:rPr>
                <w:color w:val="auto"/>
              </w:rPr>
              <w:instrText xml:space="preserve"> SEQ 表 \* ARABIC \s 1 </w:instrText>
            </w:r>
            <w:r>
              <w:rPr>
                <w:color w:val="auto"/>
              </w:rPr>
              <w:fldChar w:fldCharType="separate"/>
            </w:r>
            <w:r>
              <w:rPr>
                <w:color w:val="auto"/>
              </w:rPr>
              <w:t>2</w:t>
            </w:r>
            <w:r>
              <w:rPr>
                <w:color w:val="auto"/>
              </w:rPr>
              <w:fldChar w:fldCharType="end"/>
            </w:r>
            <w:r>
              <w:rPr>
                <w:color w:val="auto"/>
              </w:rPr>
              <w:t>项目与规划环评审查意见符合性</w:t>
            </w:r>
          </w:p>
          <w:tbl>
            <w:tblPr>
              <w:tblStyle w:val="32"/>
              <w:tblW w:w="7767" w:type="dxa"/>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57" w:type="dxa"/>
                <w:bottom w:w="0" w:type="dxa"/>
                <w:right w:w="57" w:type="dxa"/>
              </w:tblCellMar>
            </w:tblPr>
            <w:tblGrid>
              <w:gridCol w:w="418"/>
              <w:gridCol w:w="4910"/>
              <w:gridCol w:w="1953"/>
              <w:gridCol w:w="486"/>
            </w:tblGrid>
            <w:tr w14:paraId="521C6E4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340" w:hRule="atLeast"/>
                <w:jc w:val="center"/>
              </w:trPr>
              <w:tc>
                <w:tcPr>
                  <w:tcW w:w="269" w:type="pct"/>
                  <w:tcBorders>
                    <w:top w:val="single" w:color="000000" w:sz="4" w:space="0"/>
                    <w:left w:val="single" w:color="000000" w:sz="4" w:space="0"/>
                    <w:bottom w:val="single" w:color="000000" w:sz="4" w:space="0"/>
                    <w:right w:val="single" w:color="000000" w:sz="4" w:space="0"/>
                    <w:tl2br w:val="nil"/>
                  </w:tcBorders>
                  <w:shd w:val="clear" w:color="auto" w:fill="FFFFFF"/>
                  <w:noWrap/>
                  <w:vAlign w:val="center"/>
                </w:tcPr>
                <w:p w14:paraId="6D01CE23">
                  <w:pPr>
                    <w:pStyle w:val="30"/>
                    <w:framePr w:hSpace="0" w:wrap="auto" w:vAnchor="margin" w:hAnchor="text" w:xAlign="left" w:yAlign="inline"/>
                    <w:rPr>
                      <w:b/>
                      <w:bCs/>
                      <w:color w:val="auto"/>
                    </w:rPr>
                  </w:pPr>
                  <w:r>
                    <w:rPr>
                      <w:b/>
                      <w:bCs/>
                      <w:color w:val="auto"/>
                    </w:rPr>
                    <w:t>序号</w:t>
                  </w:r>
                </w:p>
              </w:tc>
              <w:tc>
                <w:tcPr>
                  <w:tcW w:w="316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448FCC">
                  <w:pPr>
                    <w:pStyle w:val="30"/>
                    <w:framePr w:hSpace="0" w:wrap="auto" w:vAnchor="margin" w:hAnchor="text" w:xAlign="left" w:yAlign="inline"/>
                    <w:rPr>
                      <w:b/>
                      <w:bCs/>
                      <w:color w:val="auto"/>
                    </w:rPr>
                  </w:pPr>
                  <w:r>
                    <w:rPr>
                      <w:b/>
                      <w:bCs/>
                      <w:color w:val="auto"/>
                    </w:rPr>
                    <w:t>规划环评审查意见要求</w:t>
                  </w:r>
                </w:p>
              </w:tc>
              <w:tc>
                <w:tcPr>
                  <w:tcW w:w="125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CC87B0">
                  <w:pPr>
                    <w:pStyle w:val="30"/>
                    <w:framePr w:hSpace="0" w:wrap="auto" w:vAnchor="margin" w:hAnchor="text" w:xAlign="left" w:yAlign="inline"/>
                    <w:rPr>
                      <w:b/>
                      <w:bCs/>
                      <w:color w:val="auto"/>
                    </w:rPr>
                  </w:pPr>
                  <w:r>
                    <w:rPr>
                      <w:b/>
                      <w:bCs/>
                      <w:color w:val="auto"/>
                    </w:rPr>
                    <w:t>本项目情况</w:t>
                  </w:r>
                </w:p>
              </w:tc>
              <w:tc>
                <w:tcPr>
                  <w:tcW w:w="3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7BEAE9">
                  <w:pPr>
                    <w:pStyle w:val="30"/>
                    <w:framePr w:hSpace="0" w:wrap="auto" w:vAnchor="margin" w:hAnchor="text" w:xAlign="left" w:yAlign="inline"/>
                    <w:rPr>
                      <w:b/>
                      <w:bCs/>
                      <w:color w:val="auto"/>
                    </w:rPr>
                  </w:pPr>
                  <w:r>
                    <w:rPr>
                      <w:b/>
                      <w:bCs/>
                      <w:color w:val="auto"/>
                    </w:rPr>
                    <w:t>符合性</w:t>
                  </w:r>
                </w:p>
              </w:tc>
            </w:tr>
            <w:tr w14:paraId="057DC66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340" w:hRule="atLeast"/>
                <w:jc w:val="center"/>
              </w:trPr>
              <w:tc>
                <w:tcPr>
                  <w:tcW w:w="2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788FA8">
                  <w:pPr>
                    <w:pStyle w:val="30"/>
                    <w:framePr w:hSpace="0" w:wrap="auto" w:vAnchor="margin" w:hAnchor="text" w:xAlign="left" w:yAlign="inline"/>
                    <w:rPr>
                      <w:color w:val="auto"/>
                    </w:rPr>
                  </w:pPr>
                  <w:r>
                    <w:rPr>
                      <w:color w:val="auto"/>
                    </w:rPr>
                    <w:t>1</w:t>
                  </w:r>
                </w:p>
              </w:tc>
              <w:tc>
                <w:tcPr>
                  <w:tcW w:w="316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64AADC">
                  <w:pPr>
                    <w:pStyle w:val="30"/>
                    <w:framePr w:hSpace="0" w:wrap="auto" w:vAnchor="margin" w:hAnchor="text" w:xAlign="left" w:yAlign="inline"/>
                    <w:rPr>
                      <w:color w:val="auto"/>
                    </w:rPr>
                  </w:pPr>
                  <w:r>
                    <w:rPr>
                      <w:rFonts w:hint="eastAsia"/>
                      <w:color w:val="auto"/>
                    </w:rPr>
                    <w:t>(一)加强《规划》引领，坚持绿色协调发展《规划》应全面贯彻落实习近平生态文明思想，加强《规划》与《长江三角洲区域一体化发展规划纲要》、深入打好污染防治攻坚战等相关要求、区域生态环境分区管控要求、“三区三线”等的协调衔接。统筹推进开发区整体发展和生态保护，基于区域资源、生态、环境等制约因素合理控制开发利用强度和开发区建设时序，进一步提高土地利用效率，协调好产业发展与区域环境保护的关系。统筹开发区减污降碳协同共治、资源节约集约及循环化利用、能源智慧高效利用、环境风险防控等重大事项，引导开发区高质量发展。认真落实开发区近期发展规划，着力推进开发区产业转型升级和结构优化，结合区域生态环境承载力，确保产业发展与区域生态环境保护、人居环境质量保障相协调。</w:t>
                  </w:r>
                </w:p>
              </w:tc>
              <w:tc>
                <w:tcPr>
                  <w:tcW w:w="1256" w:type="pct"/>
                  <w:vMerge w:val="restart"/>
                  <w:tcBorders>
                    <w:top w:val="single" w:color="000000" w:sz="4" w:space="0"/>
                    <w:left w:val="single" w:color="000000" w:sz="4" w:space="0"/>
                    <w:right w:val="single" w:color="000000" w:sz="4" w:space="0"/>
                  </w:tcBorders>
                  <w:shd w:val="clear" w:color="auto" w:fill="FFFFFF"/>
                  <w:noWrap/>
                  <w:vAlign w:val="center"/>
                </w:tcPr>
                <w:p w14:paraId="7BFB4BF0">
                  <w:pPr>
                    <w:pStyle w:val="30"/>
                    <w:framePr w:hSpace="0" w:wrap="auto" w:vAnchor="margin" w:hAnchor="text" w:xAlign="left" w:yAlign="inline"/>
                    <w:jc w:val="both"/>
                    <w:rPr>
                      <w:color w:val="auto"/>
                    </w:rPr>
                  </w:pPr>
                  <w:r>
                    <w:rPr>
                      <w:color w:val="auto"/>
                    </w:rPr>
                    <w:t>本项目为</w:t>
                  </w:r>
                  <w:r>
                    <w:rPr>
                      <w:rFonts w:hint="eastAsia"/>
                      <w:color w:val="auto"/>
                    </w:rPr>
                    <w:t>C1439其他方便食品制造</w:t>
                  </w:r>
                  <w:r>
                    <w:rPr>
                      <w:color w:val="auto"/>
                    </w:rPr>
                    <w:t>项目，</w:t>
                  </w:r>
                  <w:r>
                    <w:rPr>
                      <w:rFonts w:hint="eastAsia"/>
                      <w:color w:val="auto"/>
                    </w:rPr>
                    <w:t>项目建设符合区域生态环境分区管控要求、“三区三线”等相关要求。</w:t>
                  </w:r>
                  <w:r>
                    <w:rPr>
                      <w:color w:val="auto"/>
                    </w:rPr>
                    <w:t>本项目不在淮南市生态红线范围内。对照《安徽省“两高”项目管理目录》（2022年试行），本项目不在安徽省两高目录范围内，不属于高耗能高污染项目。</w:t>
                  </w:r>
                  <w:r>
                    <w:rPr>
                      <w:rFonts w:hint="eastAsia"/>
                      <w:color w:val="auto"/>
                      <w:lang w:val="en-US"/>
                    </w:rPr>
                    <w:t>不属于</w:t>
                  </w:r>
                  <w:r>
                    <w:rPr>
                      <w:rFonts w:hint="eastAsia"/>
                      <w:color w:val="auto"/>
                    </w:rPr>
                    <w:t>《安徽省淮河流域水污染防治条例》限制和禁止类项目；</w:t>
                  </w:r>
                  <w:r>
                    <w:rPr>
                      <w:color w:val="auto"/>
                    </w:rPr>
                    <w:t>项目运营过程中产生污染物，采取相应的污染防治措施后，各类污染物的排放对周围环境造成的影响较小，不会降低当地环境质量</w:t>
                  </w:r>
                  <w:r>
                    <w:rPr>
                      <w:rFonts w:hint="eastAsia"/>
                      <w:color w:val="auto"/>
                    </w:rPr>
                    <w:t>；</w:t>
                  </w:r>
                  <w:r>
                    <w:rPr>
                      <w:rFonts w:hint="eastAsia"/>
                      <w:color w:val="auto"/>
                      <w:lang w:val="en-US"/>
                    </w:rPr>
                    <w:t>本项目位于安成经济开发区污水处理厂收水范围内，外排废水接管至安成经济开发区污水处理厂处理达标后排放，项目不新建排污口。</w:t>
                  </w:r>
                </w:p>
              </w:tc>
              <w:tc>
                <w:tcPr>
                  <w:tcW w:w="313" w:type="pct"/>
                  <w:vMerge w:val="restart"/>
                  <w:tcBorders>
                    <w:top w:val="single" w:color="000000" w:sz="4" w:space="0"/>
                    <w:left w:val="single" w:color="000000" w:sz="4" w:space="0"/>
                    <w:right w:val="single" w:color="000000" w:sz="4" w:space="0"/>
                  </w:tcBorders>
                  <w:shd w:val="clear" w:color="auto" w:fill="FFFFFF"/>
                  <w:noWrap/>
                  <w:vAlign w:val="center"/>
                </w:tcPr>
                <w:p w14:paraId="6AA1585D">
                  <w:pPr>
                    <w:pStyle w:val="30"/>
                    <w:framePr w:hSpace="0" w:wrap="auto" w:vAnchor="margin" w:hAnchor="text" w:xAlign="left" w:yAlign="inline"/>
                    <w:rPr>
                      <w:color w:val="auto"/>
                    </w:rPr>
                  </w:pPr>
                  <w:r>
                    <w:rPr>
                      <w:color w:val="auto"/>
                    </w:rPr>
                    <w:t>符合</w:t>
                  </w:r>
                </w:p>
              </w:tc>
            </w:tr>
            <w:tr w14:paraId="0D0DD78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340" w:hRule="atLeast"/>
                <w:jc w:val="center"/>
              </w:trPr>
              <w:tc>
                <w:tcPr>
                  <w:tcW w:w="2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41A3FE">
                  <w:pPr>
                    <w:pStyle w:val="30"/>
                    <w:framePr w:hSpace="0" w:wrap="auto" w:vAnchor="margin" w:hAnchor="text" w:xAlign="left" w:yAlign="inline"/>
                    <w:rPr>
                      <w:color w:val="auto"/>
                      <w:lang w:val="en-US"/>
                    </w:rPr>
                  </w:pPr>
                  <w:r>
                    <w:rPr>
                      <w:rFonts w:hint="eastAsia"/>
                      <w:color w:val="auto"/>
                      <w:lang w:val="en-US"/>
                    </w:rPr>
                    <w:t>2</w:t>
                  </w:r>
                </w:p>
              </w:tc>
              <w:tc>
                <w:tcPr>
                  <w:tcW w:w="316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874C23">
                  <w:pPr>
                    <w:pStyle w:val="30"/>
                    <w:framePr w:hSpace="0" w:wrap="auto" w:vAnchor="margin" w:hAnchor="text" w:xAlign="left" w:yAlign="inline"/>
                    <w:rPr>
                      <w:color w:val="auto"/>
                    </w:rPr>
                  </w:pPr>
                  <w:r>
                    <w:rPr>
                      <w:rFonts w:hint="eastAsia"/>
                      <w:color w:val="auto"/>
                    </w:rPr>
                    <w:t>开发区临近瓦埠湖，生态环境保护要求较高，对开发区后续开发建设形成制约。开发区应坚持“生态优先、绿色发展”的战略定位，以生态环境质量改善、防范环境风险为核心，明确开发区发展存在的环境制约因素，重点关注园区开发对受纳水体瓦埠湖、园区规划范围内及周边居民区的生态环境影响，同时应关注中国石化销售股份有限公司安徽淮南石油分公司淮南油库环境风险。根据国家和安徽省大气、水、土壤、环境风险防范和固体废物污染防治相关要求，妥善解决区域现存生态环境问题，确保开发区建设项目污染物长期稳定达标排放，区域生态环境质量持续改善。</w:t>
                  </w:r>
                </w:p>
              </w:tc>
              <w:tc>
                <w:tcPr>
                  <w:tcW w:w="1256" w:type="pct"/>
                  <w:vMerge w:val="continue"/>
                  <w:tcBorders>
                    <w:left w:val="single" w:color="000000" w:sz="4" w:space="0"/>
                    <w:right w:val="single" w:color="000000" w:sz="4" w:space="0"/>
                  </w:tcBorders>
                  <w:shd w:val="clear" w:color="auto" w:fill="FFFFFF"/>
                  <w:noWrap/>
                  <w:vAlign w:val="center"/>
                </w:tcPr>
                <w:p w14:paraId="43A77900">
                  <w:pPr>
                    <w:pStyle w:val="30"/>
                    <w:framePr w:hSpace="0" w:wrap="auto" w:vAnchor="margin" w:hAnchor="text" w:xAlign="left" w:yAlign="inline"/>
                    <w:rPr>
                      <w:color w:val="auto"/>
                    </w:rPr>
                  </w:pPr>
                </w:p>
              </w:tc>
              <w:tc>
                <w:tcPr>
                  <w:tcW w:w="313" w:type="pct"/>
                  <w:vMerge w:val="continue"/>
                  <w:tcBorders>
                    <w:left w:val="single" w:color="000000" w:sz="4" w:space="0"/>
                    <w:right w:val="single" w:color="000000" w:sz="4" w:space="0"/>
                  </w:tcBorders>
                  <w:shd w:val="clear" w:color="auto" w:fill="FFFFFF"/>
                  <w:noWrap/>
                  <w:vAlign w:val="center"/>
                </w:tcPr>
                <w:p w14:paraId="2FDE4D9B">
                  <w:pPr>
                    <w:pStyle w:val="30"/>
                    <w:framePr w:hSpace="0" w:wrap="auto" w:vAnchor="margin" w:hAnchor="text" w:xAlign="left" w:yAlign="inline"/>
                    <w:rPr>
                      <w:color w:val="auto"/>
                    </w:rPr>
                  </w:pPr>
                </w:p>
              </w:tc>
            </w:tr>
            <w:tr w14:paraId="4212E72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340" w:hRule="atLeast"/>
                <w:jc w:val="center"/>
              </w:trPr>
              <w:tc>
                <w:tcPr>
                  <w:tcW w:w="2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1D539B">
                  <w:pPr>
                    <w:pStyle w:val="30"/>
                    <w:framePr w:hSpace="0" w:wrap="auto" w:vAnchor="margin" w:hAnchor="text" w:xAlign="left" w:yAlign="inline"/>
                    <w:rPr>
                      <w:color w:val="auto"/>
                      <w:lang w:val="en-US"/>
                    </w:rPr>
                  </w:pPr>
                  <w:r>
                    <w:rPr>
                      <w:rFonts w:hint="eastAsia"/>
                      <w:color w:val="auto"/>
                      <w:lang w:val="en-US"/>
                    </w:rPr>
                    <w:t>3</w:t>
                  </w:r>
                </w:p>
              </w:tc>
              <w:tc>
                <w:tcPr>
                  <w:tcW w:w="316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A304AC">
                  <w:pPr>
                    <w:pStyle w:val="30"/>
                    <w:framePr w:hSpace="0" w:wrap="auto" w:vAnchor="margin" w:hAnchor="text" w:xAlign="left" w:yAlign="inline"/>
                    <w:rPr>
                      <w:color w:val="auto"/>
                    </w:rPr>
                  </w:pPr>
                  <w:r>
                    <w:rPr>
                      <w:rFonts w:hint="eastAsia"/>
                      <w:color w:val="auto"/>
                    </w:rPr>
                    <w:t>落实生态环境分区管控要求，结合国家和省长江经济带发展负面清单管控要求、《安徽省淮河流域水污染防治条例》及区域资源优势和环境制约因素、开发区产业定位等，进一步完善产业发展规划，优化主导产业发展方向、功能分区和重大项目布局。园区严禁建设《安徽省淮河流域水污染防治条例》限制和禁止类项目。合理规划不同功能区的环境保护空间，严禁不符合管控要求的各类开发建设活动，规划实施不得损害周边地表水、地下水、环境空气和声环境等敏感目标环境质量和生态功能。做好开发区与周边地表水、居住区之间的有效隔离和管控，居住区周边严禁布设生态环境影响较大的建设项目，保障居住区和各类自然保护地的生态环境质量，实现产业发展与区域生态环境保护相协调。</w:t>
                  </w:r>
                </w:p>
              </w:tc>
              <w:tc>
                <w:tcPr>
                  <w:tcW w:w="1256" w:type="pct"/>
                  <w:vMerge w:val="continue"/>
                  <w:tcBorders>
                    <w:left w:val="single" w:color="000000" w:sz="4" w:space="0"/>
                    <w:right w:val="single" w:color="000000" w:sz="4" w:space="0"/>
                  </w:tcBorders>
                  <w:shd w:val="clear" w:color="auto" w:fill="FFFFFF"/>
                  <w:noWrap/>
                  <w:vAlign w:val="center"/>
                </w:tcPr>
                <w:p w14:paraId="32E75888">
                  <w:pPr>
                    <w:pStyle w:val="30"/>
                    <w:framePr w:hSpace="0" w:wrap="auto" w:vAnchor="margin" w:hAnchor="text" w:xAlign="left" w:yAlign="inline"/>
                    <w:rPr>
                      <w:color w:val="auto"/>
                    </w:rPr>
                  </w:pPr>
                </w:p>
              </w:tc>
              <w:tc>
                <w:tcPr>
                  <w:tcW w:w="313" w:type="pct"/>
                  <w:vMerge w:val="continue"/>
                  <w:tcBorders>
                    <w:left w:val="single" w:color="000000" w:sz="4" w:space="0"/>
                    <w:right w:val="single" w:color="000000" w:sz="4" w:space="0"/>
                  </w:tcBorders>
                  <w:shd w:val="clear" w:color="auto" w:fill="FFFFFF"/>
                  <w:noWrap/>
                  <w:vAlign w:val="center"/>
                </w:tcPr>
                <w:p w14:paraId="11B7DD08">
                  <w:pPr>
                    <w:pStyle w:val="30"/>
                    <w:framePr w:hSpace="0" w:wrap="auto" w:vAnchor="margin" w:hAnchor="text" w:xAlign="left" w:yAlign="inline"/>
                    <w:rPr>
                      <w:color w:val="auto"/>
                    </w:rPr>
                  </w:pPr>
                </w:p>
              </w:tc>
            </w:tr>
            <w:tr w14:paraId="43FF22A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340" w:hRule="atLeast"/>
                <w:jc w:val="center"/>
              </w:trPr>
              <w:tc>
                <w:tcPr>
                  <w:tcW w:w="2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D1AD30">
                  <w:pPr>
                    <w:pStyle w:val="30"/>
                    <w:framePr w:hSpace="0" w:wrap="auto" w:vAnchor="margin" w:hAnchor="text" w:xAlign="left" w:yAlign="inline"/>
                    <w:rPr>
                      <w:color w:val="auto"/>
                      <w:lang w:val="en-US"/>
                    </w:rPr>
                  </w:pPr>
                  <w:r>
                    <w:rPr>
                      <w:rFonts w:hint="eastAsia"/>
                      <w:color w:val="auto"/>
                      <w:lang w:val="en-US"/>
                    </w:rPr>
                    <w:t>4</w:t>
                  </w:r>
                </w:p>
              </w:tc>
              <w:tc>
                <w:tcPr>
                  <w:tcW w:w="316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D339FE">
                  <w:pPr>
                    <w:pStyle w:val="30"/>
                    <w:framePr w:hSpace="0" w:wrap="auto" w:vAnchor="margin" w:hAnchor="text" w:xAlign="left" w:yAlign="inline"/>
                    <w:rPr>
                      <w:color w:val="auto"/>
                    </w:rPr>
                  </w:pPr>
                  <w:r>
                    <w:rPr>
                      <w:rFonts w:hint="eastAsia"/>
                      <w:color w:val="auto"/>
                    </w:rPr>
                    <w:t>根据开发时序和开发强度要求，进一步优化区域供水、排水、供热等规划，按照科学规划、适度超前的原则，统筹考虑集中供热设施建设。结合区域环境质量现状，细化园区污染防治基础设施建设、排放和运行管理要求及应急处理处置方案，保障开发区周边受纳水体的水环境功能、下游水环境保护目标及相关考核断面水质稳定达标。加快开发区雨、污水管网和中水回用工程建设，开发区污水处理厂收水范围外不得建设排放水污染物的项目，规划期内开发区污水处理厂不得扩大排污口规模。</w:t>
                  </w:r>
                </w:p>
              </w:tc>
              <w:tc>
                <w:tcPr>
                  <w:tcW w:w="1256" w:type="pct"/>
                  <w:vMerge w:val="continue"/>
                  <w:tcBorders>
                    <w:left w:val="single" w:color="000000" w:sz="4" w:space="0"/>
                    <w:right w:val="single" w:color="000000" w:sz="4" w:space="0"/>
                  </w:tcBorders>
                  <w:shd w:val="clear" w:color="auto" w:fill="FFFFFF"/>
                  <w:noWrap/>
                  <w:vAlign w:val="center"/>
                </w:tcPr>
                <w:p w14:paraId="5E134592">
                  <w:pPr>
                    <w:pStyle w:val="30"/>
                    <w:framePr w:hSpace="0" w:wrap="auto" w:vAnchor="margin" w:hAnchor="text" w:xAlign="left" w:yAlign="inline"/>
                    <w:rPr>
                      <w:color w:val="auto"/>
                      <w:lang w:val="en-US"/>
                    </w:rPr>
                  </w:pPr>
                </w:p>
              </w:tc>
              <w:tc>
                <w:tcPr>
                  <w:tcW w:w="313" w:type="pct"/>
                  <w:vMerge w:val="continue"/>
                  <w:tcBorders>
                    <w:left w:val="single" w:color="000000" w:sz="4" w:space="0"/>
                    <w:right w:val="single" w:color="000000" w:sz="4" w:space="0"/>
                  </w:tcBorders>
                  <w:shd w:val="clear" w:color="auto" w:fill="FFFFFF"/>
                  <w:noWrap/>
                  <w:vAlign w:val="center"/>
                </w:tcPr>
                <w:p w14:paraId="74A79512">
                  <w:pPr>
                    <w:pStyle w:val="30"/>
                    <w:framePr w:hSpace="0" w:wrap="auto" w:vAnchor="margin" w:hAnchor="text" w:xAlign="left" w:yAlign="inline"/>
                    <w:rPr>
                      <w:color w:val="auto"/>
                    </w:rPr>
                  </w:pPr>
                </w:p>
              </w:tc>
            </w:tr>
            <w:tr w14:paraId="67EBF32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340" w:hRule="atLeast"/>
                <w:jc w:val="center"/>
              </w:trPr>
              <w:tc>
                <w:tcPr>
                  <w:tcW w:w="2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4C8F5B">
                  <w:pPr>
                    <w:pStyle w:val="30"/>
                    <w:framePr w:hSpace="0" w:wrap="auto" w:vAnchor="margin" w:hAnchor="text" w:xAlign="left" w:yAlign="inline"/>
                    <w:rPr>
                      <w:color w:val="auto"/>
                      <w:lang w:val="en-US"/>
                    </w:rPr>
                  </w:pPr>
                  <w:r>
                    <w:rPr>
                      <w:rFonts w:hint="eastAsia"/>
                      <w:color w:val="auto"/>
                      <w:lang w:val="en-US"/>
                    </w:rPr>
                    <w:t>5</w:t>
                  </w:r>
                </w:p>
              </w:tc>
              <w:tc>
                <w:tcPr>
                  <w:tcW w:w="316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20F719">
                  <w:pPr>
                    <w:pStyle w:val="30"/>
                    <w:framePr w:hSpace="0" w:wrap="auto" w:vAnchor="margin" w:hAnchor="text" w:xAlign="left" w:yAlign="inline"/>
                    <w:rPr>
                      <w:color w:val="auto"/>
                    </w:rPr>
                  </w:pPr>
                  <w:r>
                    <w:rPr>
                      <w:rFonts w:hint="eastAsia"/>
                      <w:color w:val="auto"/>
                    </w:rPr>
                    <w:t>根据国家和区域发展战略，结合区域生态环境质量现状、生态环境分区管控要求、“三区三线”成果等，严格落实《报告书》生态环境准入要求。严格执行国家产业政策，坚决遏制高耗能、高排放项目盲目发展，禁止与规划主导产业不相关且污染物排放量大的项目入园，严禁不符合淮河流域生态环境保护要求的项目。引进项目的生产工艺、设备、自动化水平，以及单位产品能耗、污染物排放、碳排放等不应低于国内同行业先进水平。</w:t>
                  </w:r>
                </w:p>
              </w:tc>
              <w:tc>
                <w:tcPr>
                  <w:tcW w:w="1256" w:type="pct"/>
                  <w:vMerge w:val="continue"/>
                  <w:tcBorders>
                    <w:left w:val="single" w:color="000000" w:sz="4" w:space="0"/>
                    <w:right w:val="single" w:color="000000" w:sz="4" w:space="0"/>
                  </w:tcBorders>
                  <w:shd w:val="clear" w:color="auto" w:fill="FFFFFF"/>
                  <w:noWrap/>
                  <w:vAlign w:val="center"/>
                </w:tcPr>
                <w:p w14:paraId="6EBE25D3">
                  <w:pPr>
                    <w:pStyle w:val="30"/>
                    <w:framePr w:hSpace="0" w:wrap="auto" w:vAnchor="margin" w:hAnchor="text" w:xAlign="left" w:yAlign="inline"/>
                    <w:rPr>
                      <w:color w:val="auto"/>
                      <w:lang w:val="en-US"/>
                    </w:rPr>
                  </w:pPr>
                </w:p>
              </w:tc>
              <w:tc>
                <w:tcPr>
                  <w:tcW w:w="313" w:type="pct"/>
                  <w:vMerge w:val="continue"/>
                  <w:tcBorders>
                    <w:left w:val="single" w:color="000000" w:sz="4" w:space="0"/>
                    <w:right w:val="single" w:color="000000" w:sz="4" w:space="0"/>
                  </w:tcBorders>
                  <w:shd w:val="clear" w:color="auto" w:fill="FFFFFF"/>
                  <w:noWrap/>
                  <w:vAlign w:val="center"/>
                </w:tcPr>
                <w:p w14:paraId="74DCA690">
                  <w:pPr>
                    <w:pStyle w:val="30"/>
                    <w:framePr w:hSpace="0" w:wrap="auto" w:vAnchor="margin" w:hAnchor="text" w:xAlign="left" w:yAlign="inline"/>
                    <w:rPr>
                      <w:color w:val="auto"/>
                    </w:rPr>
                  </w:pPr>
                </w:p>
              </w:tc>
            </w:tr>
            <w:tr w14:paraId="537079A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340" w:hRule="atLeast"/>
                <w:jc w:val="center"/>
              </w:trPr>
              <w:tc>
                <w:tcPr>
                  <w:tcW w:w="2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CD8773">
                  <w:pPr>
                    <w:pStyle w:val="30"/>
                    <w:framePr w:hSpace="0" w:wrap="auto" w:vAnchor="margin" w:hAnchor="text" w:xAlign="left" w:yAlign="inline"/>
                    <w:rPr>
                      <w:color w:val="auto"/>
                      <w:lang w:val="en-US"/>
                    </w:rPr>
                  </w:pPr>
                  <w:r>
                    <w:rPr>
                      <w:rFonts w:hint="eastAsia"/>
                      <w:color w:val="auto"/>
                      <w:lang w:val="en-US"/>
                    </w:rPr>
                    <w:t>6</w:t>
                  </w:r>
                </w:p>
              </w:tc>
              <w:tc>
                <w:tcPr>
                  <w:tcW w:w="316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6AC8C6">
                  <w:pPr>
                    <w:pStyle w:val="30"/>
                    <w:framePr w:hSpace="0" w:wrap="auto" w:vAnchor="margin" w:hAnchor="text" w:xAlign="left" w:yAlign="inline"/>
                    <w:rPr>
                      <w:color w:val="auto"/>
                    </w:rPr>
                  </w:pPr>
                  <w:r>
                    <w:rPr>
                      <w:rFonts w:hint="eastAsia"/>
                      <w:color w:val="auto"/>
                    </w:rPr>
                    <w:t>着力提升开发区环境管理水平，统筹考虑区域内污染物排放、大气环境保护、水环境保护、环境风险防范、环境管理等要求，健全区域风险防范体系和生态安全保障体系。加强日常环境监管与监测，强化对进入瓦埠湖的初期雨水监测，落实区域环境管理要求。做好开发区重大环境风险源的识别与管控，确保事故废水与外环境有效隔离、及时处置。</w:t>
                  </w:r>
                </w:p>
              </w:tc>
              <w:tc>
                <w:tcPr>
                  <w:tcW w:w="1256" w:type="pct"/>
                  <w:vMerge w:val="continue"/>
                  <w:tcBorders>
                    <w:left w:val="single" w:color="000000" w:sz="4" w:space="0"/>
                    <w:bottom w:val="single" w:color="000000" w:sz="4" w:space="0"/>
                    <w:right w:val="single" w:color="000000" w:sz="4" w:space="0"/>
                  </w:tcBorders>
                  <w:shd w:val="clear" w:color="auto" w:fill="FFFFFF"/>
                  <w:noWrap/>
                  <w:vAlign w:val="center"/>
                </w:tcPr>
                <w:p w14:paraId="0D0B4CBF">
                  <w:pPr>
                    <w:pStyle w:val="30"/>
                    <w:framePr w:hSpace="0" w:wrap="auto" w:vAnchor="margin" w:hAnchor="text" w:xAlign="left" w:yAlign="inline"/>
                    <w:rPr>
                      <w:color w:val="auto"/>
                    </w:rPr>
                  </w:pPr>
                </w:p>
              </w:tc>
              <w:tc>
                <w:tcPr>
                  <w:tcW w:w="313" w:type="pct"/>
                  <w:vMerge w:val="continue"/>
                  <w:tcBorders>
                    <w:left w:val="single" w:color="000000" w:sz="4" w:space="0"/>
                    <w:bottom w:val="single" w:color="000000" w:sz="4" w:space="0"/>
                    <w:right w:val="single" w:color="000000" w:sz="4" w:space="0"/>
                  </w:tcBorders>
                  <w:shd w:val="clear" w:color="auto" w:fill="FFFFFF"/>
                  <w:noWrap/>
                  <w:vAlign w:val="center"/>
                </w:tcPr>
                <w:p w14:paraId="72779324">
                  <w:pPr>
                    <w:pStyle w:val="30"/>
                    <w:framePr w:hSpace="0" w:wrap="auto" w:vAnchor="margin" w:hAnchor="text" w:xAlign="left" w:yAlign="inline"/>
                    <w:rPr>
                      <w:color w:val="auto"/>
                    </w:rPr>
                  </w:pPr>
                </w:p>
              </w:tc>
            </w:tr>
          </w:tbl>
          <w:p w14:paraId="7339318D">
            <w:pPr>
              <w:overflowPunct w:val="0"/>
              <w:ind w:firstLine="480" w:firstLineChars="200"/>
              <w:rPr>
                <w:color w:val="auto"/>
              </w:rPr>
            </w:pPr>
            <w:r>
              <w:rPr>
                <w:rFonts w:hint="eastAsia" w:ascii="Times New Roman" w:hAnsi="Times New Roman" w:eastAsia="宋体" w:cs="Times New Roman"/>
                <w:color w:val="auto"/>
                <w:lang w:val="en-US" w:eastAsia="zh-CN"/>
              </w:rPr>
              <w:t>淮南市田家庵安成经济开发区北区目前已完成规划环评，项目立项、规划、环评手续齐全，落实雨污分流、初期雨水收集、危废暂存间等环保设施并执行环保 “三同时”，入驻企业另行办理环评及排污许可，园区统一配套危废收集转运、固废清运体系。园区北区已完成七通一平，路网、市政供水、雨污管网、110kV 变电站、天然气、通讯消防等基础设施全部建成，污水统一接入城市污水处理厂处置。项目生产生活用水、供电、供气、物流、废水及固废处置均可依托园区现有成熟配套，污水处理厂处理余量充足，区域环境承载力满足低污染轻工、装备配套类企业入驻要求，基础设施依托条件完善，建设运营可行性较高。</w:t>
            </w:r>
          </w:p>
        </w:tc>
      </w:tr>
      <w:tr w14:paraId="314FA89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790" w:hRule="atLeast"/>
        </w:trPr>
        <w:tc>
          <w:tcPr>
            <w:tcW w:w="890" w:type="dxa"/>
            <w:vAlign w:val="center"/>
          </w:tcPr>
          <w:p w14:paraId="7BA48E28">
            <w:pPr>
              <w:overflowPunct w:val="0"/>
              <w:adjustRightInd w:val="0"/>
              <w:snapToGrid w:val="0"/>
              <w:jc w:val="center"/>
              <w:rPr>
                <w:color w:val="auto"/>
              </w:rPr>
            </w:pPr>
            <w:r>
              <w:rPr>
                <w:color w:val="auto"/>
              </w:rPr>
              <w:t>其他符合性分析</w:t>
            </w:r>
          </w:p>
        </w:tc>
        <w:tc>
          <w:tcPr>
            <w:tcW w:w="7989" w:type="dxa"/>
            <w:gridSpan w:val="5"/>
            <w:vAlign w:val="center"/>
          </w:tcPr>
          <w:p w14:paraId="2B23DCA9">
            <w:pPr>
              <w:overflowPunct w:val="0"/>
              <w:snapToGrid w:val="0"/>
              <w:rPr>
                <w:b/>
                <w:color w:val="auto"/>
              </w:rPr>
            </w:pPr>
            <w:r>
              <w:rPr>
                <w:rFonts w:hint="eastAsia"/>
                <w:b/>
                <w:color w:val="auto"/>
              </w:rPr>
              <w:t>1、</w:t>
            </w:r>
            <w:r>
              <w:rPr>
                <w:b/>
                <w:color w:val="auto"/>
              </w:rPr>
              <w:t>产业政策相符性分析</w:t>
            </w:r>
          </w:p>
          <w:p w14:paraId="24723390">
            <w:pPr>
              <w:overflowPunct w:val="0"/>
              <w:ind w:firstLine="480" w:firstLineChars="200"/>
              <w:rPr>
                <w:color w:val="auto"/>
              </w:rPr>
            </w:pPr>
            <w:r>
              <w:rPr>
                <w:color w:val="auto"/>
              </w:rPr>
              <w:t>本项目为</w:t>
            </w:r>
            <w:r>
              <w:rPr>
                <w:rFonts w:hint="eastAsia"/>
                <w:color w:val="auto"/>
              </w:rPr>
              <w:t>C1439其他方便食品制造</w:t>
            </w:r>
            <w:r>
              <w:rPr>
                <w:color w:val="auto"/>
              </w:rPr>
              <w:t>，</w:t>
            </w:r>
            <w:r>
              <w:rPr>
                <w:rFonts w:hint="eastAsia"/>
                <w:color w:val="auto"/>
              </w:rPr>
              <w:t>对照《产业结构调整指导目录》（2024年本），本项目不属于禁止类、限制类产业，可视为允许类。对照</w:t>
            </w:r>
            <w:r>
              <w:rPr>
                <w:color w:val="auto"/>
              </w:rPr>
              <w:t>《市场准入负面清单》（2022年版），本项目不涉及清单禁止准入的事项，属于市场准入负面清单以外的行业，可依法平等进入。</w:t>
            </w:r>
          </w:p>
          <w:p w14:paraId="124A5365">
            <w:pPr>
              <w:overflowPunct w:val="0"/>
              <w:ind w:firstLine="480" w:firstLineChars="200"/>
              <w:rPr>
                <w:color w:val="auto"/>
                <w:lang w:val="zh-CN"/>
              </w:rPr>
            </w:pPr>
            <w:r>
              <w:rPr>
                <w:rFonts w:hint="eastAsia"/>
                <w:color w:val="auto"/>
              </w:rPr>
              <w:t>2025</w:t>
            </w:r>
            <w:r>
              <w:rPr>
                <w:color w:val="auto"/>
              </w:rPr>
              <w:t>年</w:t>
            </w:r>
            <w:r>
              <w:rPr>
                <w:rFonts w:hint="eastAsia"/>
                <w:color w:val="auto"/>
              </w:rPr>
              <w:t>9</w:t>
            </w:r>
            <w:r>
              <w:rPr>
                <w:color w:val="auto"/>
              </w:rPr>
              <w:t>月</w:t>
            </w:r>
            <w:r>
              <w:rPr>
                <w:rFonts w:hint="eastAsia"/>
                <w:color w:val="auto"/>
              </w:rPr>
              <w:t>15</w:t>
            </w:r>
            <w:r>
              <w:rPr>
                <w:color w:val="auto"/>
              </w:rPr>
              <w:t>日</w:t>
            </w:r>
            <w:r>
              <w:rPr>
                <w:rFonts w:hint="eastAsia"/>
                <w:color w:val="auto"/>
              </w:rPr>
              <w:t>，本项目</w:t>
            </w:r>
            <w:r>
              <w:rPr>
                <w:color w:val="auto"/>
              </w:rPr>
              <w:t>已由</w:t>
            </w:r>
            <w:r>
              <w:rPr>
                <w:rFonts w:hint="eastAsia"/>
                <w:color w:val="auto"/>
              </w:rPr>
              <w:t>淮南市田家庵区发展和改革委员会</w:t>
            </w:r>
            <w:r>
              <w:rPr>
                <w:color w:val="auto"/>
              </w:rPr>
              <w:t>同意</w:t>
            </w:r>
            <w:r>
              <w:rPr>
                <w:color w:val="auto"/>
                <w:lang w:val="zh-CN"/>
              </w:rPr>
              <w:t>备案，项目备案号为</w:t>
            </w:r>
            <w:r>
              <w:rPr>
                <w:rFonts w:hint="eastAsia"/>
                <w:color w:val="auto"/>
              </w:rPr>
              <w:t>2509-340403-04-01-371227</w:t>
            </w:r>
            <w:r>
              <w:rPr>
                <w:color w:val="auto"/>
                <w:lang w:val="zh-CN"/>
              </w:rPr>
              <w:t>。</w:t>
            </w:r>
          </w:p>
          <w:p w14:paraId="64701284">
            <w:pPr>
              <w:overflowPunct w:val="0"/>
              <w:ind w:firstLine="480" w:firstLineChars="200"/>
              <w:rPr>
                <w:color w:val="auto"/>
              </w:rPr>
            </w:pPr>
            <w:r>
              <w:rPr>
                <w:color w:val="auto"/>
                <w:lang w:val="zh-CN"/>
              </w:rPr>
              <w:t>因此，本项目</w:t>
            </w:r>
            <w:r>
              <w:rPr>
                <w:rFonts w:hint="eastAsia"/>
                <w:color w:val="auto"/>
                <w:lang w:val="zh-CN"/>
              </w:rPr>
              <w:t>建设与</w:t>
            </w:r>
            <w:r>
              <w:rPr>
                <w:color w:val="auto"/>
                <w:lang w:val="zh-CN"/>
              </w:rPr>
              <w:t>国家及地方的产业政策的要求</w:t>
            </w:r>
            <w:r>
              <w:rPr>
                <w:color w:val="auto"/>
              </w:rPr>
              <w:t>不冲突，基本</w:t>
            </w:r>
            <w:r>
              <w:rPr>
                <w:color w:val="auto"/>
                <w:lang w:val="zh-CN"/>
              </w:rPr>
              <w:t>符合国家及地方的产业政策的要求</w:t>
            </w:r>
            <w:r>
              <w:rPr>
                <w:color w:val="auto"/>
              </w:rPr>
              <w:t>。</w:t>
            </w:r>
          </w:p>
          <w:p w14:paraId="6E876131">
            <w:pPr>
              <w:overflowPunct w:val="0"/>
              <w:rPr>
                <w:b/>
                <w:bCs/>
                <w:color w:val="auto"/>
              </w:rPr>
            </w:pPr>
            <w:r>
              <w:rPr>
                <w:rFonts w:hint="eastAsia"/>
                <w:b/>
                <w:bCs/>
                <w:color w:val="auto"/>
              </w:rPr>
              <w:t>2、</w:t>
            </w:r>
            <w:r>
              <w:rPr>
                <w:b/>
                <w:bCs/>
                <w:color w:val="auto"/>
              </w:rPr>
              <w:t>与</w:t>
            </w:r>
            <w:r>
              <w:rPr>
                <w:rFonts w:hint="eastAsia"/>
                <w:b/>
                <w:bCs/>
                <w:color w:val="auto"/>
              </w:rPr>
              <w:t>淮南市“</w:t>
            </w:r>
            <w:r>
              <w:rPr>
                <w:b/>
                <w:bCs/>
                <w:color w:val="auto"/>
              </w:rPr>
              <w:t>三线一单</w:t>
            </w:r>
            <w:r>
              <w:rPr>
                <w:rFonts w:hint="eastAsia"/>
                <w:b/>
                <w:bCs/>
                <w:color w:val="auto"/>
              </w:rPr>
              <w:t>”符合性分析</w:t>
            </w:r>
          </w:p>
          <w:p w14:paraId="3BD48E43">
            <w:pPr>
              <w:overflowPunct w:val="0"/>
              <w:ind w:firstLine="480"/>
              <w:rPr>
                <w:color w:val="auto"/>
              </w:rPr>
            </w:pPr>
            <w:r>
              <w:rPr>
                <w:color w:val="auto"/>
              </w:rPr>
              <w:t>根据环境保护部环评[2016]150号《关于以改善环境质量为核心加强环境影响评价管理的通知》要求：为适应以改善环境质量为核心的环境管理要求，切实加强环境影响评价（以下简称环评）管理，落实“生态保护红线、环境质量底线、资源利用上线和</w:t>
            </w:r>
            <w:r>
              <w:rPr>
                <w:rFonts w:hint="eastAsia"/>
                <w:color w:val="auto"/>
              </w:rPr>
              <w:t>生态环境准入清单</w:t>
            </w:r>
            <w:r>
              <w:rPr>
                <w:color w:val="auto"/>
              </w:rPr>
              <w:t>”（以下简称“三线一单”）约束，建立项目环评审批与规划环评、现有项目环境管理、区域环境质量联动机制，更好地发挥环评制度从源头防范环境污染和生态破坏的作用，加快推进改善环境质量。</w:t>
            </w:r>
          </w:p>
          <w:p w14:paraId="08AB591D">
            <w:pPr>
              <w:overflowPunct w:val="0"/>
              <w:ind w:firstLine="480"/>
              <w:rPr>
                <w:color w:val="auto"/>
              </w:rPr>
            </w:pPr>
            <w:r>
              <w:rPr>
                <w:color w:val="auto"/>
              </w:rPr>
              <w:t>本项目</w:t>
            </w:r>
            <w:r>
              <w:rPr>
                <w:rFonts w:hint="eastAsia"/>
                <w:color w:val="auto"/>
              </w:rPr>
              <w:t>与淮南市“三线一单”符合性分析如下：</w:t>
            </w:r>
          </w:p>
          <w:p w14:paraId="56172A64">
            <w:pPr>
              <w:pStyle w:val="6"/>
              <w:overflowPunct w:val="0"/>
              <w:adjustRightInd w:val="0"/>
              <w:snapToGrid w:val="0"/>
              <w:rPr>
                <w:color w:val="auto"/>
              </w:rPr>
            </w:pPr>
            <w:r>
              <w:rPr>
                <w:color w:val="auto"/>
              </w:rPr>
              <w:t xml:space="preserve">表 </w:t>
            </w:r>
            <w:r>
              <w:rPr>
                <w:rFonts w:hint="eastAsia"/>
                <w:color w:val="auto"/>
              </w:rPr>
              <w:t>1-</w:t>
            </w:r>
            <w:r>
              <w:rPr>
                <w:color w:val="auto"/>
              </w:rPr>
              <w:fldChar w:fldCharType="begin"/>
            </w:r>
            <w:r>
              <w:rPr>
                <w:color w:val="auto"/>
              </w:rPr>
              <w:instrText xml:space="preserve"> SEQ 表 \* ARABIC \s 1 </w:instrText>
            </w:r>
            <w:r>
              <w:rPr>
                <w:color w:val="auto"/>
              </w:rPr>
              <w:fldChar w:fldCharType="separate"/>
            </w:r>
            <w:r>
              <w:rPr>
                <w:color w:val="auto"/>
              </w:rPr>
              <w:t>3</w:t>
            </w:r>
            <w:r>
              <w:rPr>
                <w:color w:val="auto"/>
              </w:rPr>
              <w:fldChar w:fldCharType="end"/>
            </w:r>
            <w:r>
              <w:rPr>
                <w:color w:val="auto"/>
              </w:rPr>
              <w:t>本项目</w:t>
            </w:r>
            <w:r>
              <w:rPr>
                <w:rFonts w:hint="eastAsia"/>
                <w:color w:val="auto"/>
              </w:rPr>
              <w:t>与淮南市</w:t>
            </w:r>
            <w:r>
              <w:rPr>
                <w:color w:val="auto"/>
              </w:rPr>
              <w:t>“三线一单”符合性分析一览表</w:t>
            </w:r>
          </w:p>
          <w:tbl>
            <w:tblPr>
              <w:tblStyle w:val="23"/>
              <w:tblpPr w:leftFromText="180" w:rightFromText="180" w:vertAnchor="text" w:tblpXSpec="center" w:tblpY="1"/>
              <w:tblOverlap w:val="never"/>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567"/>
              <w:gridCol w:w="3054"/>
              <w:gridCol w:w="3472"/>
              <w:gridCol w:w="664"/>
            </w:tblGrid>
            <w:tr w14:paraId="20368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577" w:type="dxa"/>
                  <w:vAlign w:val="center"/>
                </w:tcPr>
                <w:p w14:paraId="00E957AC">
                  <w:pPr>
                    <w:pStyle w:val="30"/>
                    <w:framePr w:hSpace="0" w:wrap="auto" w:vAnchor="margin" w:hAnchor="text" w:xAlign="left" w:yAlign="inline"/>
                    <w:overflowPunct w:val="0"/>
                    <w:rPr>
                      <w:b/>
                      <w:bCs/>
                      <w:color w:val="auto"/>
                    </w:rPr>
                  </w:pPr>
                  <w:r>
                    <w:rPr>
                      <w:b/>
                      <w:bCs/>
                      <w:color w:val="auto"/>
                    </w:rPr>
                    <w:t>内容</w:t>
                  </w:r>
                </w:p>
              </w:tc>
              <w:tc>
                <w:tcPr>
                  <w:tcW w:w="3118" w:type="dxa"/>
                  <w:vAlign w:val="center"/>
                </w:tcPr>
                <w:p w14:paraId="6EF700E5">
                  <w:pPr>
                    <w:pStyle w:val="30"/>
                    <w:framePr w:hSpace="0" w:wrap="auto" w:vAnchor="margin" w:hAnchor="text" w:xAlign="left" w:yAlign="inline"/>
                    <w:overflowPunct w:val="0"/>
                    <w:rPr>
                      <w:b/>
                      <w:bCs/>
                      <w:color w:val="auto"/>
                    </w:rPr>
                  </w:pPr>
                  <w:r>
                    <w:rPr>
                      <w:b/>
                      <w:bCs/>
                      <w:color w:val="auto"/>
                    </w:rPr>
                    <w:t>文件要求</w:t>
                  </w:r>
                </w:p>
              </w:tc>
              <w:tc>
                <w:tcPr>
                  <w:tcW w:w="3544" w:type="dxa"/>
                  <w:vAlign w:val="center"/>
                </w:tcPr>
                <w:p w14:paraId="5F647E82">
                  <w:pPr>
                    <w:pStyle w:val="30"/>
                    <w:framePr w:hSpace="0" w:wrap="auto" w:vAnchor="margin" w:hAnchor="text" w:xAlign="left" w:yAlign="inline"/>
                    <w:overflowPunct w:val="0"/>
                    <w:rPr>
                      <w:b/>
                      <w:bCs/>
                      <w:color w:val="auto"/>
                    </w:rPr>
                  </w:pPr>
                  <w:r>
                    <w:rPr>
                      <w:b/>
                      <w:bCs/>
                      <w:color w:val="auto"/>
                    </w:rPr>
                    <w:t>本项目情况对照简析</w:t>
                  </w:r>
                </w:p>
              </w:tc>
              <w:tc>
                <w:tcPr>
                  <w:tcW w:w="677" w:type="dxa"/>
                  <w:vAlign w:val="center"/>
                </w:tcPr>
                <w:p w14:paraId="296A72C5">
                  <w:pPr>
                    <w:pStyle w:val="30"/>
                    <w:framePr w:hSpace="0" w:wrap="auto" w:vAnchor="margin" w:hAnchor="text" w:xAlign="left" w:yAlign="inline"/>
                    <w:overflowPunct w:val="0"/>
                    <w:rPr>
                      <w:b/>
                      <w:bCs/>
                      <w:color w:val="auto"/>
                    </w:rPr>
                  </w:pPr>
                  <w:r>
                    <w:rPr>
                      <w:rFonts w:hint="eastAsia"/>
                      <w:b/>
                      <w:bCs/>
                      <w:color w:val="auto"/>
                    </w:rPr>
                    <w:t>符合性分析</w:t>
                  </w:r>
                </w:p>
              </w:tc>
            </w:tr>
            <w:tr w14:paraId="0696A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577" w:type="dxa"/>
                  <w:vAlign w:val="center"/>
                </w:tcPr>
                <w:p w14:paraId="30C60DBD">
                  <w:pPr>
                    <w:pStyle w:val="30"/>
                    <w:framePr w:hSpace="0" w:wrap="auto" w:vAnchor="margin" w:hAnchor="text" w:xAlign="left" w:yAlign="inline"/>
                    <w:overflowPunct w:val="0"/>
                    <w:rPr>
                      <w:color w:val="auto"/>
                    </w:rPr>
                  </w:pPr>
                  <w:r>
                    <w:rPr>
                      <w:color w:val="auto"/>
                    </w:rPr>
                    <w:t>生态保护红线</w:t>
                  </w:r>
                </w:p>
              </w:tc>
              <w:tc>
                <w:tcPr>
                  <w:tcW w:w="3118" w:type="dxa"/>
                  <w:vAlign w:val="center"/>
                </w:tcPr>
                <w:p w14:paraId="54230060">
                  <w:pPr>
                    <w:pStyle w:val="30"/>
                    <w:framePr w:hSpace="0" w:wrap="auto" w:vAnchor="margin" w:hAnchor="text" w:xAlign="left" w:yAlign="inline"/>
                    <w:overflowPunct w:val="0"/>
                    <w:rPr>
                      <w:color w:val="auto"/>
                    </w:rPr>
                  </w:pPr>
                  <w:r>
                    <w:rPr>
                      <w:color w:val="auto"/>
                    </w:rPr>
                    <w:t>生态保护红线是生态空间范围内具有特殊重要生态功能必须实行强制性严格保护的区域。在生态保护红线范围内，严控各类开发建设活动，依法不予审批新建工业项目和矿产开发。</w:t>
                  </w:r>
                </w:p>
              </w:tc>
              <w:tc>
                <w:tcPr>
                  <w:tcW w:w="3544" w:type="dxa"/>
                  <w:vAlign w:val="center"/>
                </w:tcPr>
                <w:p w14:paraId="50E4A878">
                  <w:pPr>
                    <w:pStyle w:val="30"/>
                    <w:framePr w:hSpace="0" w:wrap="auto" w:vAnchor="margin" w:hAnchor="text" w:xAlign="left" w:yAlign="inline"/>
                    <w:overflowPunct w:val="0"/>
                    <w:rPr>
                      <w:color w:val="auto"/>
                    </w:rPr>
                  </w:pPr>
                  <w:r>
                    <w:rPr>
                      <w:color w:val="auto"/>
                    </w:rPr>
                    <w:t>本项目位于</w:t>
                  </w:r>
                  <w:r>
                    <w:rPr>
                      <w:rFonts w:hint="eastAsia"/>
                      <w:color w:val="auto"/>
                    </w:rPr>
                    <w:t>淮南市田家庵安成经济开发区（北区）</w:t>
                  </w:r>
                  <w:r>
                    <w:rPr>
                      <w:color w:val="auto"/>
                    </w:rPr>
                    <w:t>，用地性质为工业用地，根据《淮南市“三区三线”划定方案》</w:t>
                  </w:r>
                  <w:r>
                    <w:rPr>
                      <w:rFonts w:hint="eastAsia"/>
                      <w:color w:val="auto"/>
                    </w:rPr>
                    <w:t>（2022年11月）</w:t>
                  </w:r>
                  <w:r>
                    <w:rPr>
                      <w:color w:val="auto"/>
                    </w:rPr>
                    <w:t>，本项目不在淮南市生态红线范围内。</w:t>
                  </w:r>
                </w:p>
              </w:tc>
              <w:tc>
                <w:tcPr>
                  <w:tcW w:w="677" w:type="dxa"/>
                  <w:vAlign w:val="center"/>
                </w:tcPr>
                <w:p w14:paraId="27EB32B5">
                  <w:pPr>
                    <w:pStyle w:val="30"/>
                    <w:framePr w:hSpace="0" w:wrap="auto" w:vAnchor="margin" w:hAnchor="text" w:xAlign="left" w:yAlign="inline"/>
                    <w:overflowPunct w:val="0"/>
                    <w:rPr>
                      <w:color w:val="auto"/>
                    </w:rPr>
                  </w:pPr>
                  <w:r>
                    <w:rPr>
                      <w:color w:val="auto"/>
                    </w:rPr>
                    <w:t>符合</w:t>
                  </w:r>
                </w:p>
              </w:tc>
            </w:tr>
            <w:tr w14:paraId="45D01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577" w:type="dxa"/>
                  <w:vAlign w:val="center"/>
                </w:tcPr>
                <w:p w14:paraId="15621EDC">
                  <w:pPr>
                    <w:pStyle w:val="30"/>
                    <w:framePr w:hSpace="0" w:wrap="auto" w:vAnchor="margin" w:hAnchor="text" w:xAlign="left" w:yAlign="inline"/>
                    <w:overflowPunct w:val="0"/>
                    <w:rPr>
                      <w:color w:val="auto"/>
                    </w:rPr>
                  </w:pPr>
                  <w:r>
                    <w:rPr>
                      <w:color w:val="auto"/>
                    </w:rPr>
                    <w:t>环境质量</w:t>
                  </w:r>
                  <w:r>
                    <w:rPr>
                      <w:rFonts w:hint="eastAsia"/>
                      <w:color w:val="auto"/>
                    </w:rPr>
                    <w:t>底线</w:t>
                  </w:r>
                </w:p>
              </w:tc>
              <w:tc>
                <w:tcPr>
                  <w:tcW w:w="3118" w:type="dxa"/>
                  <w:vAlign w:val="center"/>
                </w:tcPr>
                <w:p w14:paraId="0078B56C">
                  <w:pPr>
                    <w:pStyle w:val="30"/>
                    <w:framePr w:hSpace="0" w:wrap="auto" w:vAnchor="margin" w:hAnchor="text" w:xAlign="left" w:yAlign="inline"/>
                    <w:overflowPunct w:val="0"/>
                    <w:rPr>
                      <w:color w:val="auto"/>
                    </w:rPr>
                  </w:pPr>
                  <w:r>
                    <w:rPr>
                      <w:color w:val="auto"/>
                    </w:rPr>
                    <w:t>环境质量现状超标地区以及未达到环境质量目标考核要求的地区上新项目将受到限制；对环境质量现状超标的地区，项目拟采取的措施不能满足区域环境质量改善目标管理要求的，依法不予审批其环评文件。</w:t>
                  </w:r>
                </w:p>
              </w:tc>
              <w:tc>
                <w:tcPr>
                  <w:tcW w:w="3544" w:type="dxa"/>
                  <w:vAlign w:val="center"/>
                </w:tcPr>
                <w:p w14:paraId="176ECBC8">
                  <w:pPr>
                    <w:pStyle w:val="30"/>
                    <w:framePr w:hSpace="0" w:wrap="auto" w:vAnchor="margin" w:hAnchor="text" w:xAlign="left" w:yAlign="inline"/>
                    <w:overflowPunct w:val="0"/>
                    <w:jc w:val="both"/>
                    <w:rPr>
                      <w:color w:val="auto"/>
                    </w:rPr>
                  </w:pPr>
                  <w:r>
                    <w:rPr>
                      <w:color w:val="auto"/>
                    </w:rPr>
                    <w:t>根据《</w:t>
                  </w:r>
                  <w:r>
                    <w:rPr>
                      <w:rFonts w:hint="eastAsia"/>
                      <w:color w:val="auto"/>
                    </w:rPr>
                    <w:t>2024年淮南市生态环境质量状况公报</w:t>
                  </w:r>
                  <w:r>
                    <w:rPr>
                      <w:color w:val="auto"/>
                    </w:rPr>
                    <w:t>》，本项目所在区域为大气环境</w:t>
                  </w:r>
                  <w:r>
                    <w:rPr>
                      <w:rFonts w:hint="eastAsia"/>
                      <w:color w:val="auto"/>
                    </w:rPr>
                    <w:t>PM</w:t>
                  </w:r>
                  <w:r>
                    <w:rPr>
                      <w:rFonts w:hint="eastAsia"/>
                      <w:color w:val="auto"/>
                      <w:vertAlign w:val="subscript"/>
                    </w:rPr>
                    <w:t>2.5</w:t>
                  </w:r>
                  <w:r>
                    <w:rPr>
                      <w:color w:val="auto"/>
                    </w:rPr>
                    <w:t>不达标区，为进一步缓解大气不达标情况，改善淮南市环境空气质量，淮南市通过集中专项整治</w:t>
                  </w:r>
                  <w:r>
                    <w:rPr>
                      <w:rFonts w:hint="eastAsia"/>
                      <w:color w:val="auto"/>
                    </w:rPr>
                    <w:t>“</w:t>
                  </w:r>
                  <w:r>
                    <w:rPr>
                      <w:color w:val="auto"/>
                    </w:rPr>
                    <w:t>小散乱污</w:t>
                  </w:r>
                  <w:r>
                    <w:rPr>
                      <w:rFonts w:hint="eastAsia"/>
                      <w:color w:val="auto"/>
                    </w:rPr>
                    <w:t>”</w:t>
                  </w:r>
                  <w:r>
                    <w:rPr>
                      <w:color w:val="auto"/>
                    </w:rPr>
                    <w:t>企业、企业清洁生产技术改造、小锅炉升级改造、燃煤机组超低排放改造，整治散装物料堆场，督促企业完成挥发性有机物整改任务等措施改善环境空气质量；根据《</w:t>
                  </w:r>
                  <w:r>
                    <w:rPr>
                      <w:rFonts w:hint="eastAsia"/>
                      <w:color w:val="auto"/>
                      <w:lang w:val="en-US"/>
                    </w:rPr>
                    <w:t>2026年1</w:t>
                  </w:r>
                  <w:r>
                    <w:rPr>
                      <w:rFonts w:hint="eastAsia"/>
                      <w:color w:val="auto"/>
                    </w:rPr>
                    <w:t>月</w:t>
                  </w:r>
                  <w:r>
                    <w:rPr>
                      <w:color w:val="auto"/>
                    </w:rPr>
                    <w:t>淮南市环境质量</w:t>
                  </w:r>
                  <w:r>
                    <w:rPr>
                      <w:rFonts w:hint="eastAsia"/>
                      <w:color w:val="auto"/>
                    </w:rPr>
                    <w:t>月</w:t>
                  </w:r>
                  <w:r>
                    <w:rPr>
                      <w:color w:val="auto"/>
                    </w:rPr>
                    <w:t>报》地表水总体状况，区域地表水淮河各监测断面水质</w:t>
                  </w:r>
                  <w:r>
                    <w:rPr>
                      <w:rFonts w:hint="eastAsia"/>
                      <w:color w:val="auto"/>
                    </w:rPr>
                    <w:t>优</w:t>
                  </w:r>
                  <w:r>
                    <w:rPr>
                      <w:color w:val="auto"/>
                    </w:rPr>
                    <w:t>；</w:t>
                  </w:r>
                  <w:r>
                    <w:rPr>
                      <w:rFonts w:hint="eastAsia"/>
                      <w:color w:val="auto"/>
                    </w:rPr>
                    <w:t>本项目排放的废水经废水处理设施处理达标后排入安成经济开发区污水处理厂处理达标后外排淮河，对淮河影响较小，故不会破坏项目的环境质量底线。区域声环境质量达到《声环境质量标准》（GB3096-2008）3类标准。该项目运营过程中</w:t>
                  </w:r>
                  <w:r>
                    <w:rPr>
                      <w:color w:val="auto"/>
                    </w:rPr>
                    <w:t>产生的污染物</w:t>
                  </w:r>
                  <w:r>
                    <w:rPr>
                      <w:rFonts w:hint="eastAsia"/>
                      <w:color w:val="auto"/>
                    </w:rPr>
                    <w:t>经环</w:t>
                  </w:r>
                  <w:r>
                    <w:rPr>
                      <w:rFonts w:hint="eastAsia" w:ascii="宋体" w:hAnsi="宋体"/>
                      <w:color w:val="auto"/>
                    </w:rPr>
                    <w:t>保措施处理后可达标</w:t>
                  </w:r>
                  <w:r>
                    <w:rPr>
                      <w:rFonts w:ascii="宋体" w:hAnsi="宋体"/>
                      <w:color w:val="auto"/>
                    </w:rPr>
                    <w:t>排放</w:t>
                  </w:r>
                  <w:r>
                    <w:rPr>
                      <w:rFonts w:hint="eastAsia" w:ascii="宋体" w:hAnsi="宋体"/>
                      <w:color w:val="auto"/>
                    </w:rPr>
                    <w:t>，</w:t>
                  </w:r>
                  <w:r>
                    <w:rPr>
                      <w:rFonts w:ascii="宋体" w:hAnsi="宋体"/>
                      <w:color w:val="auto"/>
                    </w:rPr>
                    <w:t>对周围环境造成的影响较小，不会降低当地环境质量，不会触碰区域环境质量底线。</w:t>
                  </w:r>
                </w:p>
              </w:tc>
              <w:tc>
                <w:tcPr>
                  <w:tcW w:w="677" w:type="dxa"/>
                  <w:vAlign w:val="center"/>
                </w:tcPr>
                <w:p w14:paraId="42FF066C">
                  <w:pPr>
                    <w:pStyle w:val="30"/>
                    <w:framePr w:hSpace="0" w:wrap="auto" w:vAnchor="margin" w:hAnchor="text" w:xAlign="left" w:yAlign="inline"/>
                    <w:overflowPunct w:val="0"/>
                    <w:rPr>
                      <w:color w:val="auto"/>
                    </w:rPr>
                  </w:pPr>
                  <w:r>
                    <w:rPr>
                      <w:color w:val="auto"/>
                    </w:rPr>
                    <w:t>符合</w:t>
                  </w:r>
                </w:p>
              </w:tc>
            </w:tr>
            <w:tr w14:paraId="6B4EF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577" w:type="dxa"/>
                  <w:vAlign w:val="center"/>
                </w:tcPr>
                <w:p w14:paraId="77D90C39">
                  <w:pPr>
                    <w:pStyle w:val="30"/>
                    <w:framePr w:hSpace="0" w:wrap="auto" w:vAnchor="margin" w:hAnchor="text" w:xAlign="left" w:yAlign="inline"/>
                    <w:overflowPunct w:val="0"/>
                    <w:rPr>
                      <w:color w:val="auto"/>
                    </w:rPr>
                  </w:pPr>
                  <w:r>
                    <w:rPr>
                      <w:color w:val="auto"/>
                    </w:rPr>
                    <w:t>资源利用上线</w:t>
                  </w:r>
                </w:p>
              </w:tc>
              <w:tc>
                <w:tcPr>
                  <w:tcW w:w="3118" w:type="dxa"/>
                  <w:vAlign w:val="center"/>
                </w:tcPr>
                <w:p w14:paraId="0B4AA5BF">
                  <w:pPr>
                    <w:pStyle w:val="30"/>
                    <w:framePr w:hSpace="0" w:wrap="auto" w:vAnchor="margin" w:hAnchor="text" w:xAlign="left" w:yAlign="inline"/>
                    <w:overflowPunct w:val="0"/>
                    <w:rPr>
                      <w:color w:val="auto"/>
                    </w:rPr>
                  </w:pPr>
                  <w:r>
                    <w:rPr>
                      <w:color w:val="auto"/>
                    </w:rPr>
                    <w:t>依据有关资源利用上线要求，即各地区能源、水、土地等资源消耗是不得突破的“天花板”。</w:t>
                  </w:r>
                </w:p>
              </w:tc>
              <w:tc>
                <w:tcPr>
                  <w:tcW w:w="3544" w:type="dxa"/>
                  <w:vAlign w:val="center"/>
                </w:tcPr>
                <w:p w14:paraId="45A01598">
                  <w:pPr>
                    <w:pStyle w:val="30"/>
                    <w:framePr w:hSpace="0" w:wrap="auto" w:vAnchor="margin" w:hAnchor="text" w:xAlign="left" w:yAlign="inline"/>
                    <w:overflowPunct w:val="0"/>
                    <w:rPr>
                      <w:color w:val="auto"/>
                    </w:rPr>
                  </w:pPr>
                  <w:r>
                    <w:rPr>
                      <w:color w:val="auto"/>
                    </w:rPr>
                    <w:t>本项目运营过程主要资源消耗为</w:t>
                  </w:r>
                  <w:r>
                    <w:rPr>
                      <w:rFonts w:hint="eastAsia"/>
                      <w:color w:val="auto"/>
                    </w:rPr>
                    <w:t>水、电</w:t>
                  </w:r>
                  <w:r>
                    <w:rPr>
                      <w:color w:val="auto"/>
                    </w:rPr>
                    <w:t>，</w:t>
                  </w:r>
                  <w:r>
                    <w:rPr>
                      <w:rFonts w:hint="eastAsia"/>
                      <w:color w:val="auto"/>
                    </w:rPr>
                    <w:t>依托</w:t>
                  </w:r>
                  <w:r>
                    <w:rPr>
                      <w:color w:val="auto"/>
                    </w:rPr>
                    <w:t>市政</w:t>
                  </w:r>
                  <w:r>
                    <w:rPr>
                      <w:rFonts w:hint="eastAsia"/>
                      <w:color w:val="auto"/>
                    </w:rPr>
                    <w:t>供水</w:t>
                  </w:r>
                  <w:r>
                    <w:rPr>
                      <w:color w:val="auto"/>
                    </w:rPr>
                    <w:t>供电，对当地能源、水、土地资源影响</w:t>
                  </w:r>
                  <w:r>
                    <w:rPr>
                      <w:rFonts w:hint="eastAsia"/>
                      <w:color w:val="auto"/>
                    </w:rPr>
                    <w:t>较小</w:t>
                  </w:r>
                  <w:r>
                    <w:rPr>
                      <w:color w:val="auto"/>
                    </w:rPr>
                    <w:t>，不会超出当地资源利用上线。</w:t>
                  </w:r>
                </w:p>
              </w:tc>
              <w:tc>
                <w:tcPr>
                  <w:tcW w:w="677" w:type="dxa"/>
                  <w:vAlign w:val="center"/>
                </w:tcPr>
                <w:p w14:paraId="12770D8C">
                  <w:pPr>
                    <w:pStyle w:val="30"/>
                    <w:framePr w:hSpace="0" w:wrap="auto" w:vAnchor="margin" w:hAnchor="text" w:xAlign="left" w:yAlign="inline"/>
                    <w:overflowPunct w:val="0"/>
                    <w:rPr>
                      <w:color w:val="auto"/>
                    </w:rPr>
                  </w:pPr>
                  <w:r>
                    <w:rPr>
                      <w:color w:val="auto"/>
                    </w:rPr>
                    <w:t>符合</w:t>
                  </w:r>
                </w:p>
              </w:tc>
            </w:tr>
            <w:tr w14:paraId="5465E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577" w:type="dxa"/>
                  <w:vAlign w:val="center"/>
                </w:tcPr>
                <w:p w14:paraId="1989422F">
                  <w:pPr>
                    <w:pStyle w:val="30"/>
                    <w:framePr w:hSpace="0" w:wrap="auto" w:vAnchor="margin" w:hAnchor="text" w:xAlign="left" w:yAlign="inline"/>
                    <w:overflowPunct w:val="0"/>
                    <w:rPr>
                      <w:color w:val="auto"/>
                    </w:rPr>
                  </w:pPr>
                  <w:r>
                    <w:rPr>
                      <w:color w:val="auto"/>
                    </w:rPr>
                    <w:t>生态环境准入清单</w:t>
                  </w:r>
                </w:p>
              </w:tc>
              <w:tc>
                <w:tcPr>
                  <w:tcW w:w="3118" w:type="dxa"/>
                  <w:vAlign w:val="center"/>
                </w:tcPr>
                <w:p w14:paraId="2260D3CC">
                  <w:pPr>
                    <w:pStyle w:val="30"/>
                    <w:framePr w:hSpace="0" w:wrap="auto" w:vAnchor="margin" w:hAnchor="text" w:xAlign="left" w:yAlign="inline"/>
                    <w:overflowPunct w:val="0"/>
                    <w:rPr>
                      <w:color w:val="auto"/>
                    </w:rPr>
                  </w:pPr>
                  <w:r>
                    <w:rPr>
                      <w:color w:val="auto"/>
                    </w:rPr>
                    <w:t>生态环境准入负面清单是基于生态保护红线、环境质量底线和资源利用上线，以清单方式列出的禁止、限制等差别化环境准入条件和要求。要在规划环评清单式管理试点的基础上，从布局选址、资源利用效率、资源配置方式等方面入手，制定环境准入负面清单，充分发挥负面清单对产业发展和项目准入的指导和约束作用。</w:t>
                  </w:r>
                </w:p>
              </w:tc>
              <w:tc>
                <w:tcPr>
                  <w:tcW w:w="3544" w:type="dxa"/>
                  <w:vAlign w:val="center"/>
                </w:tcPr>
                <w:p w14:paraId="25099B05">
                  <w:pPr>
                    <w:pStyle w:val="30"/>
                    <w:framePr w:hSpace="0" w:wrap="auto" w:vAnchor="margin" w:hAnchor="text" w:xAlign="left" w:yAlign="inline"/>
                    <w:overflowPunct w:val="0"/>
                    <w:rPr>
                      <w:color w:val="auto"/>
                    </w:rPr>
                  </w:pPr>
                  <w:r>
                    <w:rPr>
                      <w:color w:val="auto"/>
                    </w:rPr>
                    <w:t>本项目为</w:t>
                  </w:r>
                  <w:r>
                    <w:rPr>
                      <w:rFonts w:hint="eastAsia"/>
                      <w:color w:val="auto"/>
                    </w:rPr>
                    <w:t>C1439其他方便食品制造</w:t>
                  </w:r>
                  <w:r>
                    <w:rPr>
                      <w:color w:val="auto"/>
                    </w:rPr>
                    <w:t>，</w:t>
                  </w:r>
                  <w:r>
                    <w:rPr>
                      <w:rFonts w:hint="eastAsia"/>
                      <w:color w:val="auto"/>
                    </w:rPr>
                    <w:t>对照《安徽省“两高”项目管理目录》（2022年试行），本项目不在安徽省两高目录范围内，</w:t>
                  </w:r>
                  <w:r>
                    <w:rPr>
                      <w:color w:val="auto"/>
                    </w:rPr>
                    <w:t>不属于高耗能高污染项目</w:t>
                  </w:r>
                  <w:r>
                    <w:rPr>
                      <w:rFonts w:hint="eastAsia"/>
                      <w:color w:val="auto"/>
                    </w:rPr>
                    <w:t>；对照《产业结构调整指导目录》（2024年本），本项目不属于禁止类、限制类产业，可视为允许类。</w:t>
                  </w:r>
                </w:p>
              </w:tc>
              <w:tc>
                <w:tcPr>
                  <w:tcW w:w="677" w:type="dxa"/>
                  <w:vAlign w:val="center"/>
                </w:tcPr>
                <w:p w14:paraId="1719740C">
                  <w:pPr>
                    <w:pStyle w:val="30"/>
                    <w:framePr w:hSpace="0" w:wrap="auto" w:vAnchor="margin" w:hAnchor="text" w:xAlign="left" w:yAlign="inline"/>
                    <w:overflowPunct w:val="0"/>
                    <w:rPr>
                      <w:color w:val="auto"/>
                    </w:rPr>
                  </w:pPr>
                  <w:r>
                    <w:rPr>
                      <w:color w:val="auto"/>
                    </w:rPr>
                    <w:t>符合</w:t>
                  </w:r>
                </w:p>
              </w:tc>
            </w:tr>
          </w:tbl>
          <w:p w14:paraId="213B004D">
            <w:pPr>
              <w:overflowPunct w:val="0"/>
              <w:rPr>
                <w:b/>
                <w:bCs/>
                <w:color w:val="auto"/>
              </w:rPr>
            </w:pPr>
            <w:r>
              <w:rPr>
                <w:rFonts w:hint="eastAsia"/>
                <w:b/>
                <w:bCs/>
                <w:color w:val="auto"/>
              </w:rPr>
              <w:t>3、</w:t>
            </w:r>
            <w:r>
              <w:rPr>
                <w:b/>
                <w:bCs/>
                <w:color w:val="auto"/>
              </w:rPr>
              <w:t>与淮南市</w:t>
            </w:r>
            <w:r>
              <w:rPr>
                <w:rFonts w:hint="eastAsia"/>
                <w:b/>
                <w:bCs/>
                <w:color w:val="auto"/>
              </w:rPr>
              <w:t>生态环境分区管控</w:t>
            </w:r>
            <w:r>
              <w:rPr>
                <w:b/>
                <w:bCs/>
                <w:color w:val="auto"/>
              </w:rPr>
              <w:t>符合性分析</w:t>
            </w:r>
          </w:p>
          <w:p w14:paraId="7F9FFBF9">
            <w:pPr>
              <w:overflowPunct w:val="0"/>
              <w:ind w:firstLine="480"/>
              <w:rPr>
                <w:color w:val="auto"/>
                <w:lang w:val="zh-CN"/>
              </w:rPr>
            </w:pPr>
            <w:r>
              <w:rPr>
                <w:rFonts w:hint="eastAsia"/>
                <w:color w:val="auto"/>
              </w:rPr>
              <w:t>本项目位于淮南市田家庵安成经济开发区（北区）标准化厂房6号楼，经查阅“安徽省三线一单公众服务平台”（</w:t>
            </w:r>
            <w:r>
              <w:rPr>
                <w:color w:val="auto"/>
              </w:rPr>
              <w:t>http</w:t>
            </w:r>
            <w:r>
              <w:rPr>
                <w:rFonts w:hint="eastAsia"/>
                <w:color w:val="auto"/>
              </w:rPr>
              <w:t>:</w:t>
            </w:r>
            <w:r>
              <w:rPr>
                <w:color w:val="auto"/>
              </w:rPr>
              <w:t>//39.145.8.156</w:t>
            </w:r>
            <w:r>
              <w:rPr>
                <w:rFonts w:hint="eastAsia"/>
                <w:color w:val="auto"/>
              </w:rPr>
              <w:t>：</w:t>
            </w:r>
            <w:r>
              <w:rPr>
                <w:color w:val="auto"/>
              </w:rPr>
              <w:t>1509/ah/public/#/home</w:t>
            </w:r>
            <w:r>
              <w:rPr>
                <w:rFonts w:hint="eastAsia"/>
                <w:color w:val="auto"/>
              </w:rPr>
              <w:t>），本项目所在区域管控单元分类属于“重点管控单元7”，</w:t>
            </w:r>
            <w:r>
              <w:rPr>
                <w:color w:val="auto"/>
              </w:rPr>
              <w:t>环境管控单元编码</w:t>
            </w:r>
            <w:r>
              <w:rPr>
                <w:rFonts w:hint="eastAsia"/>
                <w:color w:val="auto"/>
              </w:rPr>
              <w:t>ZH34040320026，涉及的管控单元细类为大气重点和水重点。本项目</w:t>
            </w:r>
            <w:r>
              <w:rPr>
                <w:color w:val="auto"/>
              </w:rPr>
              <w:t>生态管控单元查询</w:t>
            </w:r>
            <w:r>
              <w:rPr>
                <w:rFonts w:hint="eastAsia"/>
                <w:color w:val="auto"/>
              </w:rPr>
              <w:t>情况（截选）见下图</w:t>
            </w:r>
            <w:r>
              <w:rPr>
                <w:color w:val="auto"/>
              </w:rPr>
              <w:t>。</w:t>
            </w:r>
          </w:p>
          <w:p w14:paraId="2C228090">
            <w:pPr>
              <w:overflowPunct w:val="0"/>
              <w:spacing w:line="240" w:lineRule="auto"/>
              <w:jc w:val="center"/>
              <w:rPr>
                <w:color w:val="auto"/>
              </w:rPr>
            </w:pPr>
            <w:r>
              <w:rPr>
                <w:color w:val="auto"/>
              </w:rPr>
              <w:drawing>
                <wp:inline distT="0" distB="0" distL="114300" distR="114300">
                  <wp:extent cx="4933950" cy="2593975"/>
                  <wp:effectExtent l="9525" t="9525" r="9525" b="25400"/>
                  <wp:docPr id="2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3"/>
                          <pic:cNvPicPr>
                            <a:picLocks noChangeAspect="1"/>
                          </pic:cNvPicPr>
                        </pic:nvPicPr>
                        <pic:blipFill>
                          <a:blip r:embed="rId20"/>
                          <a:stretch>
                            <a:fillRect/>
                          </a:stretch>
                        </pic:blipFill>
                        <pic:spPr>
                          <a:xfrm>
                            <a:off x="0" y="0"/>
                            <a:ext cx="4933950" cy="2593975"/>
                          </a:xfrm>
                          <a:prstGeom prst="rect">
                            <a:avLst/>
                          </a:prstGeom>
                          <a:noFill/>
                          <a:ln>
                            <a:solidFill>
                              <a:schemeClr val="tx1"/>
                            </a:solidFill>
                          </a:ln>
                        </pic:spPr>
                      </pic:pic>
                    </a:graphicData>
                  </a:graphic>
                </wp:inline>
              </w:drawing>
            </w:r>
          </w:p>
          <w:p w14:paraId="5EEA3E01">
            <w:pPr>
              <w:pStyle w:val="6"/>
              <w:overflowPunct w:val="0"/>
              <w:adjustRightInd w:val="0"/>
              <w:snapToGrid w:val="0"/>
              <w:rPr>
                <w:color w:val="auto"/>
              </w:rPr>
            </w:pPr>
            <w:r>
              <w:rPr>
                <w:color w:val="auto"/>
              </w:rPr>
              <w:t xml:space="preserve">图 </w:t>
            </w:r>
            <w:r>
              <w:rPr>
                <w:rFonts w:hint="eastAsia"/>
                <w:color w:val="auto"/>
              </w:rPr>
              <w:t>1-</w:t>
            </w:r>
            <w:r>
              <w:rPr>
                <w:color w:val="auto"/>
              </w:rPr>
              <w:fldChar w:fldCharType="begin"/>
            </w:r>
            <w:r>
              <w:rPr>
                <w:color w:val="auto"/>
              </w:rPr>
              <w:instrText xml:space="preserve"> SEQ 图 \* ARABIC \s 1 </w:instrText>
            </w:r>
            <w:r>
              <w:rPr>
                <w:color w:val="auto"/>
              </w:rPr>
              <w:fldChar w:fldCharType="separate"/>
            </w:r>
            <w:r>
              <w:rPr>
                <w:color w:val="auto"/>
              </w:rPr>
              <w:t>2</w:t>
            </w:r>
            <w:r>
              <w:rPr>
                <w:color w:val="auto"/>
              </w:rPr>
              <w:fldChar w:fldCharType="end"/>
            </w:r>
            <w:r>
              <w:rPr>
                <w:rFonts w:hint="eastAsia"/>
                <w:snapToGrid w:val="0"/>
                <w:color w:val="auto"/>
              </w:rPr>
              <w:t>本项目</w:t>
            </w:r>
            <w:r>
              <w:rPr>
                <w:snapToGrid w:val="0"/>
                <w:color w:val="auto"/>
              </w:rPr>
              <w:t>生态管控单元</w:t>
            </w:r>
            <w:r>
              <w:rPr>
                <w:rFonts w:hint="eastAsia"/>
                <w:snapToGrid w:val="0"/>
                <w:color w:val="auto"/>
              </w:rPr>
              <w:t>情况（截选）</w:t>
            </w:r>
          </w:p>
          <w:p w14:paraId="22E97B57">
            <w:pPr>
              <w:overflowPunct w:val="0"/>
              <w:ind w:firstLine="480"/>
              <w:rPr>
                <w:snapToGrid w:val="0"/>
                <w:color w:val="auto"/>
                <w:sz w:val="20"/>
                <w:szCs w:val="28"/>
              </w:rPr>
            </w:pPr>
            <w:r>
              <w:rPr>
                <w:color w:val="auto"/>
              </w:rPr>
              <w:t>本项目与生态管控单元的符合性分析见下表。</w:t>
            </w:r>
          </w:p>
          <w:p w14:paraId="15FDD2D0">
            <w:pPr>
              <w:pStyle w:val="6"/>
              <w:overflowPunct w:val="0"/>
              <w:adjustRightInd w:val="0"/>
              <w:snapToGrid w:val="0"/>
              <w:rPr>
                <w:color w:val="auto"/>
              </w:rPr>
            </w:pPr>
            <w:r>
              <w:rPr>
                <w:color w:val="auto"/>
              </w:rPr>
              <w:t xml:space="preserve">表 </w:t>
            </w:r>
            <w:r>
              <w:rPr>
                <w:rFonts w:hint="eastAsia"/>
                <w:color w:val="auto"/>
              </w:rPr>
              <w:t>1-</w:t>
            </w:r>
            <w:r>
              <w:rPr>
                <w:color w:val="auto"/>
              </w:rPr>
              <w:fldChar w:fldCharType="begin"/>
            </w:r>
            <w:r>
              <w:rPr>
                <w:color w:val="auto"/>
              </w:rPr>
              <w:instrText xml:space="preserve"> SEQ 表 \* ARABIC \s 1 </w:instrText>
            </w:r>
            <w:r>
              <w:rPr>
                <w:color w:val="auto"/>
              </w:rPr>
              <w:fldChar w:fldCharType="separate"/>
            </w:r>
            <w:r>
              <w:rPr>
                <w:color w:val="auto"/>
              </w:rPr>
              <w:t>4</w:t>
            </w:r>
            <w:r>
              <w:rPr>
                <w:color w:val="auto"/>
              </w:rPr>
              <w:fldChar w:fldCharType="end"/>
            </w:r>
            <w:r>
              <w:rPr>
                <w:color w:val="auto"/>
              </w:rPr>
              <w:t xml:space="preserve"> 本项目与生态管控单元的符合性分析</w:t>
            </w:r>
          </w:p>
          <w:tbl>
            <w:tblPr>
              <w:tblStyle w:val="23"/>
              <w:tblpPr w:leftFromText="180" w:rightFromText="180" w:vertAnchor="text" w:tblpY="1"/>
              <w:tblOverlap w:val="never"/>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686"/>
              <w:gridCol w:w="3735"/>
              <w:gridCol w:w="2657"/>
              <w:gridCol w:w="673"/>
            </w:tblGrid>
            <w:tr w14:paraId="689DB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15" w:hRule="atLeast"/>
              </w:trPr>
              <w:tc>
                <w:tcPr>
                  <w:tcW w:w="442" w:type="pct"/>
                  <w:vAlign w:val="center"/>
                </w:tcPr>
                <w:p w14:paraId="71866144">
                  <w:pPr>
                    <w:pStyle w:val="30"/>
                    <w:framePr w:hSpace="0" w:wrap="auto" w:vAnchor="margin" w:hAnchor="text" w:xAlign="left" w:yAlign="inline"/>
                    <w:overflowPunct w:val="0"/>
                    <w:rPr>
                      <w:b/>
                      <w:bCs/>
                      <w:color w:val="auto"/>
                    </w:rPr>
                  </w:pPr>
                  <w:r>
                    <w:rPr>
                      <w:b/>
                      <w:bCs/>
                      <w:color w:val="auto"/>
                    </w:rPr>
                    <w:t>管控类别</w:t>
                  </w:r>
                </w:p>
              </w:tc>
              <w:tc>
                <w:tcPr>
                  <w:tcW w:w="2408" w:type="pct"/>
                  <w:vAlign w:val="center"/>
                </w:tcPr>
                <w:p w14:paraId="1FA1AAA4">
                  <w:pPr>
                    <w:pStyle w:val="30"/>
                    <w:framePr w:hSpace="0" w:wrap="auto" w:vAnchor="margin" w:hAnchor="text" w:xAlign="left" w:yAlign="inline"/>
                    <w:overflowPunct w:val="0"/>
                    <w:rPr>
                      <w:b/>
                      <w:bCs/>
                      <w:color w:val="auto"/>
                    </w:rPr>
                  </w:pPr>
                  <w:r>
                    <w:rPr>
                      <w:b/>
                      <w:bCs/>
                      <w:color w:val="auto"/>
                    </w:rPr>
                    <w:t>环境管控要求</w:t>
                  </w:r>
                </w:p>
              </w:tc>
              <w:tc>
                <w:tcPr>
                  <w:tcW w:w="1713" w:type="pct"/>
                  <w:vAlign w:val="center"/>
                </w:tcPr>
                <w:p w14:paraId="69DAC92F">
                  <w:pPr>
                    <w:pStyle w:val="30"/>
                    <w:framePr w:hSpace="0" w:wrap="auto" w:vAnchor="margin" w:hAnchor="text" w:xAlign="left" w:yAlign="inline"/>
                    <w:overflowPunct w:val="0"/>
                    <w:rPr>
                      <w:b/>
                      <w:bCs/>
                      <w:color w:val="auto"/>
                    </w:rPr>
                  </w:pPr>
                  <w:r>
                    <w:rPr>
                      <w:b/>
                      <w:bCs/>
                      <w:color w:val="auto"/>
                    </w:rPr>
                    <w:t>协调性分析</w:t>
                  </w:r>
                </w:p>
              </w:tc>
              <w:tc>
                <w:tcPr>
                  <w:tcW w:w="434" w:type="pct"/>
                  <w:vAlign w:val="center"/>
                </w:tcPr>
                <w:p w14:paraId="1DE9A8ED">
                  <w:pPr>
                    <w:pStyle w:val="30"/>
                    <w:framePr w:hSpace="0" w:wrap="auto" w:vAnchor="margin" w:hAnchor="text" w:xAlign="left" w:yAlign="inline"/>
                    <w:overflowPunct w:val="0"/>
                    <w:rPr>
                      <w:b/>
                      <w:bCs/>
                      <w:color w:val="auto"/>
                    </w:rPr>
                  </w:pPr>
                  <w:r>
                    <w:rPr>
                      <w:b/>
                      <w:bCs/>
                      <w:color w:val="auto"/>
                    </w:rPr>
                    <w:t>符合性</w:t>
                  </w:r>
                </w:p>
              </w:tc>
            </w:tr>
            <w:tr w14:paraId="1EF23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58" w:hRule="atLeast"/>
              </w:trPr>
              <w:tc>
                <w:tcPr>
                  <w:tcW w:w="442" w:type="pct"/>
                  <w:vMerge w:val="restart"/>
                  <w:vAlign w:val="center"/>
                </w:tcPr>
                <w:p w14:paraId="7741DE7E">
                  <w:pPr>
                    <w:tabs>
                      <w:tab w:val="left" w:pos="1830"/>
                    </w:tabs>
                    <w:overflowPunct w:val="0"/>
                    <w:adjustRightInd w:val="0"/>
                    <w:snapToGrid w:val="0"/>
                    <w:spacing w:line="240" w:lineRule="auto"/>
                    <w:jc w:val="center"/>
                    <w:rPr>
                      <w:color w:val="auto"/>
                      <w:sz w:val="18"/>
                      <w:szCs w:val="18"/>
                    </w:rPr>
                  </w:pPr>
                  <w:r>
                    <w:rPr>
                      <w:color w:val="auto"/>
                      <w:sz w:val="18"/>
                      <w:szCs w:val="18"/>
                    </w:rPr>
                    <w:t>空间布局约束</w:t>
                  </w:r>
                </w:p>
              </w:tc>
              <w:tc>
                <w:tcPr>
                  <w:tcW w:w="2408" w:type="pct"/>
                  <w:shd w:val="clear" w:color="auto" w:fill="auto"/>
                  <w:vAlign w:val="center"/>
                </w:tcPr>
                <w:p w14:paraId="5ABF17BB">
                  <w:pPr>
                    <w:tabs>
                      <w:tab w:val="left" w:pos="1830"/>
                    </w:tabs>
                    <w:overflowPunct w:val="0"/>
                    <w:adjustRightInd w:val="0"/>
                    <w:snapToGrid w:val="0"/>
                    <w:spacing w:line="240" w:lineRule="auto"/>
                    <w:rPr>
                      <w:color w:val="auto"/>
                      <w:sz w:val="18"/>
                      <w:szCs w:val="18"/>
                    </w:rPr>
                  </w:pPr>
                  <w:r>
                    <w:rPr>
                      <w:color w:val="auto"/>
                      <w:sz w:val="18"/>
                      <w:szCs w:val="18"/>
                    </w:rPr>
                    <w:t>禁止新建燃料类煤气发生炉（园区现有企业统一建设的清洁煤制气中心除外）</w:t>
                  </w:r>
                </w:p>
              </w:tc>
              <w:tc>
                <w:tcPr>
                  <w:tcW w:w="1713" w:type="pct"/>
                  <w:vAlign w:val="center"/>
                </w:tcPr>
                <w:p w14:paraId="1DDAA1E3">
                  <w:pPr>
                    <w:pStyle w:val="30"/>
                    <w:framePr w:hSpace="0" w:wrap="auto" w:vAnchor="margin" w:hAnchor="text" w:xAlign="left" w:yAlign="inline"/>
                    <w:overflowPunct w:val="0"/>
                    <w:jc w:val="both"/>
                    <w:rPr>
                      <w:color w:val="auto"/>
                    </w:rPr>
                  </w:pPr>
                  <w:r>
                    <w:rPr>
                      <w:color w:val="auto"/>
                    </w:rPr>
                    <w:t>本项目不新建燃料类煤气发生炉。</w:t>
                  </w:r>
                </w:p>
              </w:tc>
              <w:tc>
                <w:tcPr>
                  <w:tcW w:w="434" w:type="pct"/>
                  <w:vAlign w:val="center"/>
                </w:tcPr>
                <w:p w14:paraId="1C8EFFB6">
                  <w:pPr>
                    <w:pStyle w:val="30"/>
                    <w:framePr w:hSpace="0" w:wrap="auto" w:vAnchor="margin" w:hAnchor="text" w:xAlign="left" w:yAlign="inline"/>
                    <w:overflowPunct w:val="0"/>
                    <w:rPr>
                      <w:color w:val="auto"/>
                    </w:rPr>
                  </w:pPr>
                  <w:r>
                    <w:rPr>
                      <w:color w:val="auto"/>
                    </w:rPr>
                    <w:t>符合</w:t>
                  </w:r>
                </w:p>
              </w:tc>
            </w:tr>
            <w:tr w14:paraId="20A95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16" w:hRule="atLeast"/>
              </w:trPr>
              <w:tc>
                <w:tcPr>
                  <w:tcW w:w="442" w:type="pct"/>
                  <w:vMerge w:val="continue"/>
                  <w:vAlign w:val="center"/>
                </w:tcPr>
                <w:p w14:paraId="54749E60">
                  <w:pPr>
                    <w:pStyle w:val="30"/>
                    <w:framePr w:hSpace="0" w:wrap="auto" w:vAnchor="margin" w:hAnchor="text" w:xAlign="left" w:yAlign="inline"/>
                    <w:overflowPunct w:val="0"/>
                    <w:rPr>
                      <w:color w:val="auto"/>
                      <w:kern w:val="0"/>
                      <w:lang w:val="en-US"/>
                    </w:rPr>
                  </w:pPr>
                </w:p>
              </w:tc>
              <w:tc>
                <w:tcPr>
                  <w:tcW w:w="2408" w:type="pct"/>
                  <w:shd w:val="clear" w:color="auto" w:fill="auto"/>
                  <w:vAlign w:val="center"/>
                </w:tcPr>
                <w:p w14:paraId="67D95C60">
                  <w:pPr>
                    <w:tabs>
                      <w:tab w:val="left" w:pos="1830"/>
                    </w:tabs>
                    <w:overflowPunct w:val="0"/>
                    <w:adjustRightInd w:val="0"/>
                    <w:snapToGrid w:val="0"/>
                    <w:spacing w:line="240" w:lineRule="auto"/>
                    <w:rPr>
                      <w:color w:val="auto"/>
                      <w:sz w:val="18"/>
                      <w:szCs w:val="18"/>
                    </w:rPr>
                  </w:pPr>
                  <w:r>
                    <w:rPr>
                      <w:color w:val="auto"/>
                      <w:sz w:val="18"/>
                      <w:szCs w:val="18"/>
                    </w:rPr>
                    <w:t>严禁新增钢铁、焦化、电解铝、铸造、水泥和平板玻璃等产能；严格执行钢铁、水泥、平板玻璃等行业产能置换实施办法。</w:t>
                  </w:r>
                </w:p>
              </w:tc>
              <w:tc>
                <w:tcPr>
                  <w:tcW w:w="1713" w:type="pct"/>
                  <w:vAlign w:val="center"/>
                </w:tcPr>
                <w:p w14:paraId="3475672F">
                  <w:pPr>
                    <w:pStyle w:val="30"/>
                    <w:framePr w:hSpace="0" w:wrap="auto" w:vAnchor="margin" w:hAnchor="text" w:xAlign="left" w:yAlign="inline"/>
                    <w:overflowPunct w:val="0"/>
                    <w:jc w:val="both"/>
                    <w:rPr>
                      <w:color w:val="auto"/>
                    </w:rPr>
                  </w:pPr>
                  <w:r>
                    <w:rPr>
                      <w:color w:val="auto"/>
                    </w:rPr>
                    <w:t>本项目不属于上述行业。</w:t>
                  </w:r>
                </w:p>
              </w:tc>
              <w:tc>
                <w:tcPr>
                  <w:tcW w:w="434" w:type="pct"/>
                  <w:vAlign w:val="center"/>
                </w:tcPr>
                <w:p w14:paraId="3ED3F60D">
                  <w:pPr>
                    <w:pStyle w:val="30"/>
                    <w:framePr w:hSpace="0" w:wrap="auto" w:vAnchor="margin" w:hAnchor="text" w:xAlign="left" w:yAlign="inline"/>
                    <w:overflowPunct w:val="0"/>
                    <w:rPr>
                      <w:color w:val="auto"/>
                    </w:rPr>
                  </w:pPr>
                  <w:r>
                    <w:rPr>
                      <w:color w:val="auto"/>
                    </w:rPr>
                    <w:t>符合</w:t>
                  </w:r>
                </w:p>
              </w:tc>
            </w:tr>
            <w:tr w14:paraId="41972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16" w:hRule="atLeast"/>
              </w:trPr>
              <w:tc>
                <w:tcPr>
                  <w:tcW w:w="442" w:type="pct"/>
                  <w:vMerge w:val="continue"/>
                  <w:vAlign w:val="center"/>
                </w:tcPr>
                <w:p w14:paraId="2FA7E83D">
                  <w:pPr>
                    <w:pStyle w:val="30"/>
                    <w:framePr w:hSpace="0" w:wrap="auto" w:vAnchor="margin" w:hAnchor="text" w:xAlign="left" w:yAlign="inline"/>
                    <w:overflowPunct w:val="0"/>
                    <w:rPr>
                      <w:color w:val="auto"/>
                      <w:kern w:val="0"/>
                      <w:lang w:val="en-US"/>
                    </w:rPr>
                  </w:pPr>
                </w:p>
              </w:tc>
              <w:tc>
                <w:tcPr>
                  <w:tcW w:w="2408" w:type="pct"/>
                  <w:shd w:val="clear" w:color="auto" w:fill="auto"/>
                  <w:vAlign w:val="center"/>
                </w:tcPr>
                <w:p w14:paraId="6E3EBB3D">
                  <w:pPr>
                    <w:widowControl/>
                    <w:overflowPunct w:val="0"/>
                    <w:adjustRightInd w:val="0"/>
                    <w:snapToGrid w:val="0"/>
                    <w:spacing w:line="240" w:lineRule="auto"/>
                    <w:rPr>
                      <w:color w:val="auto"/>
                      <w:sz w:val="18"/>
                      <w:szCs w:val="18"/>
                    </w:rPr>
                  </w:pPr>
                  <w:r>
                    <w:rPr>
                      <w:color w:val="auto"/>
                      <w:sz w:val="18"/>
                      <w:szCs w:val="18"/>
                    </w:rPr>
                    <w:t>严格执行国家关于“两高”产业准入目录和产能总量控制政策措施。严禁新增钢铁、焦化、电解铝、铸造、水泥和平板玻璃等产能；新、改、扩建涉及大宗物料运输的建设项目，原则上不得采用公路运输。</w:t>
                  </w:r>
                </w:p>
              </w:tc>
              <w:tc>
                <w:tcPr>
                  <w:tcW w:w="1713" w:type="pct"/>
                  <w:vAlign w:val="center"/>
                </w:tcPr>
                <w:p w14:paraId="234763C8">
                  <w:pPr>
                    <w:pStyle w:val="30"/>
                    <w:framePr w:hSpace="0" w:wrap="auto" w:vAnchor="margin" w:hAnchor="text" w:xAlign="left" w:yAlign="inline"/>
                    <w:overflowPunct w:val="0"/>
                    <w:jc w:val="both"/>
                    <w:rPr>
                      <w:color w:val="auto"/>
                    </w:rPr>
                  </w:pPr>
                  <w:r>
                    <w:rPr>
                      <w:color w:val="auto"/>
                    </w:rPr>
                    <w:t>对照《安徽省“两高”项目管理目录》（2022年试行），本项目不在安徽省两高目录范围内，不属于高耗能高污染项目。</w:t>
                  </w:r>
                </w:p>
              </w:tc>
              <w:tc>
                <w:tcPr>
                  <w:tcW w:w="434" w:type="pct"/>
                  <w:vAlign w:val="center"/>
                </w:tcPr>
                <w:p w14:paraId="0BBDD1D2">
                  <w:pPr>
                    <w:pStyle w:val="30"/>
                    <w:framePr w:hSpace="0" w:wrap="auto" w:vAnchor="margin" w:hAnchor="text" w:xAlign="left" w:yAlign="inline"/>
                    <w:overflowPunct w:val="0"/>
                    <w:rPr>
                      <w:color w:val="auto"/>
                    </w:rPr>
                  </w:pPr>
                  <w:r>
                    <w:rPr>
                      <w:color w:val="auto"/>
                    </w:rPr>
                    <w:t>符合</w:t>
                  </w:r>
                </w:p>
              </w:tc>
            </w:tr>
            <w:tr w14:paraId="07C69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16" w:hRule="atLeast"/>
              </w:trPr>
              <w:tc>
                <w:tcPr>
                  <w:tcW w:w="442" w:type="pct"/>
                  <w:vMerge w:val="continue"/>
                  <w:vAlign w:val="center"/>
                </w:tcPr>
                <w:p w14:paraId="5F114556">
                  <w:pPr>
                    <w:pStyle w:val="30"/>
                    <w:framePr w:hSpace="0" w:wrap="auto" w:vAnchor="margin" w:hAnchor="text" w:xAlign="left" w:yAlign="inline"/>
                    <w:overflowPunct w:val="0"/>
                    <w:rPr>
                      <w:color w:val="auto"/>
                    </w:rPr>
                  </w:pPr>
                </w:p>
              </w:tc>
              <w:tc>
                <w:tcPr>
                  <w:tcW w:w="2408" w:type="pct"/>
                  <w:shd w:val="clear" w:color="auto" w:fill="auto"/>
                  <w:vAlign w:val="center"/>
                </w:tcPr>
                <w:p w14:paraId="0910CF8E">
                  <w:pPr>
                    <w:widowControl/>
                    <w:overflowPunct w:val="0"/>
                    <w:adjustRightInd w:val="0"/>
                    <w:snapToGrid w:val="0"/>
                    <w:spacing w:line="240" w:lineRule="auto"/>
                    <w:rPr>
                      <w:color w:val="auto"/>
                      <w:sz w:val="18"/>
                      <w:szCs w:val="18"/>
                    </w:rPr>
                  </w:pPr>
                  <w:r>
                    <w:rPr>
                      <w:color w:val="auto"/>
                      <w:sz w:val="18"/>
                      <w:szCs w:val="18"/>
                    </w:rPr>
                    <w:t>禁止建设生产和使用高挥发性有机物含量涂料、油墨、胶粘剂、清洗剂等项目。</w:t>
                  </w:r>
                </w:p>
              </w:tc>
              <w:tc>
                <w:tcPr>
                  <w:tcW w:w="1713" w:type="pct"/>
                  <w:vAlign w:val="center"/>
                </w:tcPr>
                <w:p w14:paraId="6BB3E62F">
                  <w:pPr>
                    <w:widowControl/>
                    <w:overflowPunct w:val="0"/>
                    <w:adjustRightInd w:val="0"/>
                    <w:snapToGrid w:val="0"/>
                    <w:spacing w:line="240" w:lineRule="auto"/>
                    <w:rPr>
                      <w:color w:val="auto"/>
                      <w:sz w:val="18"/>
                      <w:szCs w:val="18"/>
                    </w:rPr>
                  </w:pPr>
                  <w:r>
                    <w:rPr>
                      <w:color w:val="auto"/>
                      <w:sz w:val="18"/>
                      <w:szCs w:val="18"/>
                    </w:rPr>
                    <w:t>本项目</w:t>
                  </w:r>
                  <w:r>
                    <w:rPr>
                      <w:rFonts w:hint="eastAsia"/>
                      <w:color w:val="auto"/>
                      <w:sz w:val="18"/>
                      <w:szCs w:val="18"/>
                    </w:rPr>
                    <w:t>不使用涂料、胶粘剂、清洗剂等原辅材料</w:t>
                  </w:r>
                  <w:r>
                    <w:rPr>
                      <w:color w:val="auto"/>
                      <w:sz w:val="18"/>
                      <w:szCs w:val="18"/>
                    </w:rPr>
                    <w:t>。</w:t>
                  </w:r>
                </w:p>
              </w:tc>
              <w:tc>
                <w:tcPr>
                  <w:tcW w:w="434" w:type="pct"/>
                  <w:vAlign w:val="center"/>
                </w:tcPr>
                <w:p w14:paraId="16CBA558">
                  <w:pPr>
                    <w:overflowPunct w:val="0"/>
                    <w:adjustRightInd w:val="0"/>
                    <w:snapToGrid w:val="0"/>
                    <w:spacing w:line="240" w:lineRule="auto"/>
                    <w:jc w:val="center"/>
                    <w:rPr>
                      <w:color w:val="auto"/>
                      <w:sz w:val="18"/>
                      <w:szCs w:val="18"/>
                    </w:rPr>
                  </w:pPr>
                  <w:r>
                    <w:rPr>
                      <w:color w:val="auto"/>
                      <w:sz w:val="18"/>
                      <w:szCs w:val="18"/>
                    </w:rPr>
                    <w:t>符合</w:t>
                  </w:r>
                </w:p>
              </w:tc>
            </w:tr>
            <w:tr w14:paraId="6B093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16" w:hRule="atLeast"/>
              </w:trPr>
              <w:tc>
                <w:tcPr>
                  <w:tcW w:w="442" w:type="pct"/>
                  <w:vMerge w:val="continue"/>
                  <w:vAlign w:val="center"/>
                </w:tcPr>
                <w:p w14:paraId="563FB2E8">
                  <w:pPr>
                    <w:pStyle w:val="30"/>
                    <w:framePr w:hSpace="0" w:wrap="auto" w:vAnchor="margin" w:hAnchor="text" w:xAlign="left" w:yAlign="inline"/>
                    <w:overflowPunct w:val="0"/>
                    <w:rPr>
                      <w:color w:val="auto"/>
                    </w:rPr>
                  </w:pPr>
                </w:p>
              </w:tc>
              <w:tc>
                <w:tcPr>
                  <w:tcW w:w="2408" w:type="pct"/>
                  <w:shd w:val="clear" w:color="auto" w:fill="auto"/>
                  <w:vAlign w:val="center"/>
                </w:tcPr>
                <w:p w14:paraId="7921A240">
                  <w:pPr>
                    <w:widowControl/>
                    <w:overflowPunct w:val="0"/>
                    <w:adjustRightInd w:val="0"/>
                    <w:snapToGrid w:val="0"/>
                    <w:spacing w:line="240" w:lineRule="auto"/>
                    <w:rPr>
                      <w:color w:val="auto"/>
                      <w:sz w:val="18"/>
                      <w:szCs w:val="18"/>
                    </w:rPr>
                  </w:pPr>
                  <w:r>
                    <w:rPr>
                      <w:color w:val="auto"/>
                      <w:sz w:val="18"/>
                      <w:szCs w:val="18"/>
                    </w:rPr>
                    <w:t>禁止新建不符合国家规定的燃煤发电机组、燃油发电机组和燃煤热电机组。</w:t>
                  </w:r>
                </w:p>
              </w:tc>
              <w:tc>
                <w:tcPr>
                  <w:tcW w:w="1713" w:type="pct"/>
                  <w:vAlign w:val="center"/>
                </w:tcPr>
                <w:p w14:paraId="04B2DA89">
                  <w:pPr>
                    <w:pStyle w:val="30"/>
                    <w:framePr w:hSpace="0" w:wrap="auto" w:vAnchor="margin" w:hAnchor="text" w:xAlign="left" w:yAlign="inline"/>
                    <w:overflowPunct w:val="0"/>
                    <w:jc w:val="both"/>
                    <w:rPr>
                      <w:color w:val="auto"/>
                    </w:rPr>
                  </w:pPr>
                  <w:r>
                    <w:rPr>
                      <w:color w:val="auto"/>
                    </w:rPr>
                    <w:t>本项目不新建燃煤发电机组、燃油发电机组和燃煤热电机组。</w:t>
                  </w:r>
                </w:p>
              </w:tc>
              <w:tc>
                <w:tcPr>
                  <w:tcW w:w="434" w:type="pct"/>
                  <w:vAlign w:val="center"/>
                </w:tcPr>
                <w:p w14:paraId="042DC218">
                  <w:pPr>
                    <w:overflowPunct w:val="0"/>
                    <w:adjustRightInd w:val="0"/>
                    <w:snapToGrid w:val="0"/>
                    <w:spacing w:line="240" w:lineRule="auto"/>
                    <w:jc w:val="center"/>
                    <w:rPr>
                      <w:color w:val="auto"/>
                      <w:sz w:val="18"/>
                      <w:szCs w:val="18"/>
                    </w:rPr>
                  </w:pPr>
                  <w:r>
                    <w:rPr>
                      <w:color w:val="auto"/>
                      <w:sz w:val="18"/>
                      <w:szCs w:val="18"/>
                    </w:rPr>
                    <w:t>符合</w:t>
                  </w:r>
                </w:p>
              </w:tc>
            </w:tr>
            <w:tr w14:paraId="48F0A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16" w:hRule="atLeast"/>
              </w:trPr>
              <w:tc>
                <w:tcPr>
                  <w:tcW w:w="442" w:type="pct"/>
                  <w:vMerge w:val="continue"/>
                  <w:vAlign w:val="center"/>
                </w:tcPr>
                <w:p w14:paraId="4CFBCA73">
                  <w:pPr>
                    <w:pStyle w:val="30"/>
                    <w:framePr w:hSpace="0" w:wrap="auto" w:vAnchor="margin" w:hAnchor="text" w:xAlign="left" w:yAlign="inline"/>
                    <w:overflowPunct w:val="0"/>
                    <w:rPr>
                      <w:color w:val="auto"/>
                    </w:rPr>
                  </w:pPr>
                </w:p>
              </w:tc>
              <w:tc>
                <w:tcPr>
                  <w:tcW w:w="2408" w:type="pct"/>
                  <w:shd w:val="clear" w:color="auto" w:fill="auto"/>
                  <w:vAlign w:val="center"/>
                </w:tcPr>
                <w:p w14:paraId="4FB34D94">
                  <w:pPr>
                    <w:widowControl/>
                    <w:overflowPunct w:val="0"/>
                    <w:adjustRightInd w:val="0"/>
                    <w:snapToGrid w:val="0"/>
                    <w:spacing w:line="240" w:lineRule="auto"/>
                    <w:rPr>
                      <w:color w:val="auto"/>
                      <w:sz w:val="18"/>
                      <w:szCs w:val="18"/>
                    </w:rPr>
                  </w:pPr>
                  <w:r>
                    <w:rPr>
                      <w:color w:val="auto"/>
                      <w:sz w:val="18"/>
                      <w:szCs w:val="18"/>
                    </w:rPr>
                    <w:t>在城市规划区内禁止新建、扩建大气污染严重的建设项目。</w:t>
                  </w:r>
                </w:p>
              </w:tc>
              <w:tc>
                <w:tcPr>
                  <w:tcW w:w="1713" w:type="pct"/>
                  <w:vAlign w:val="center"/>
                </w:tcPr>
                <w:p w14:paraId="7A069AED">
                  <w:pPr>
                    <w:pStyle w:val="30"/>
                    <w:framePr w:hSpace="0" w:wrap="auto" w:vAnchor="margin" w:hAnchor="text" w:xAlign="left" w:yAlign="inline"/>
                    <w:overflowPunct w:val="0"/>
                    <w:jc w:val="both"/>
                    <w:rPr>
                      <w:color w:val="auto"/>
                    </w:rPr>
                  </w:pPr>
                  <w:r>
                    <w:rPr>
                      <w:color w:val="auto"/>
                      <w:lang w:val="en-US"/>
                    </w:rPr>
                    <w:t>本项目产生废气经配套相应污染防治措施，可以确保达标排放。</w:t>
                  </w:r>
                </w:p>
              </w:tc>
              <w:tc>
                <w:tcPr>
                  <w:tcW w:w="434" w:type="pct"/>
                  <w:vAlign w:val="center"/>
                </w:tcPr>
                <w:p w14:paraId="64709FAC">
                  <w:pPr>
                    <w:overflowPunct w:val="0"/>
                    <w:adjustRightInd w:val="0"/>
                    <w:snapToGrid w:val="0"/>
                    <w:spacing w:line="240" w:lineRule="auto"/>
                    <w:jc w:val="center"/>
                    <w:rPr>
                      <w:color w:val="auto"/>
                      <w:sz w:val="18"/>
                      <w:szCs w:val="18"/>
                    </w:rPr>
                  </w:pPr>
                  <w:r>
                    <w:rPr>
                      <w:color w:val="auto"/>
                      <w:sz w:val="18"/>
                      <w:szCs w:val="18"/>
                    </w:rPr>
                    <w:t>符合</w:t>
                  </w:r>
                </w:p>
              </w:tc>
            </w:tr>
            <w:tr w14:paraId="07EC2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16" w:hRule="atLeast"/>
              </w:trPr>
              <w:tc>
                <w:tcPr>
                  <w:tcW w:w="442" w:type="pct"/>
                  <w:vMerge w:val="continue"/>
                  <w:vAlign w:val="center"/>
                </w:tcPr>
                <w:p w14:paraId="29162ED6">
                  <w:pPr>
                    <w:pStyle w:val="30"/>
                    <w:framePr w:hSpace="0" w:wrap="auto" w:vAnchor="margin" w:hAnchor="text" w:xAlign="left" w:yAlign="inline"/>
                    <w:overflowPunct w:val="0"/>
                    <w:rPr>
                      <w:color w:val="auto"/>
                    </w:rPr>
                  </w:pPr>
                </w:p>
              </w:tc>
              <w:tc>
                <w:tcPr>
                  <w:tcW w:w="2408" w:type="pct"/>
                  <w:shd w:val="clear" w:color="auto" w:fill="auto"/>
                  <w:vAlign w:val="center"/>
                </w:tcPr>
                <w:p w14:paraId="4A748A11">
                  <w:pPr>
                    <w:widowControl/>
                    <w:overflowPunct w:val="0"/>
                    <w:adjustRightInd w:val="0"/>
                    <w:snapToGrid w:val="0"/>
                    <w:spacing w:line="240" w:lineRule="auto"/>
                    <w:rPr>
                      <w:color w:val="auto"/>
                      <w:sz w:val="18"/>
                      <w:szCs w:val="18"/>
                    </w:rPr>
                  </w:pPr>
                  <w:r>
                    <w:rPr>
                      <w:color w:val="auto"/>
                      <w:sz w:val="18"/>
                      <w:szCs w:val="18"/>
                    </w:rPr>
                    <w:t>禁止淘汰落后类的产业进入开发区。</w:t>
                  </w:r>
                </w:p>
              </w:tc>
              <w:tc>
                <w:tcPr>
                  <w:tcW w:w="1713" w:type="pct"/>
                  <w:vAlign w:val="center"/>
                </w:tcPr>
                <w:p w14:paraId="6D0357EF">
                  <w:pPr>
                    <w:pStyle w:val="30"/>
                    <w:framePr w:hSpace="0" w:wrap="auto" w:vAnchor="margin" w:hAnchor="text" w:xAlign="left" w:yAlign="inline"/>
                    <w:overflowPunct w:val="0"/>
                    <w:jc w:val="both"/>
                    <w:rPr>
                      <w:color w:val="auto"/>
                    </w:rPr>
                  </w:pPr>
                  <w:r>
                    <w:rPr>
                      <w:color w:val="auto"/>
                      <w:lang w:val="en-US"/>
                    </w:rPr>
                    <w:t>本项目不属于淘汰落后类产业。</w:t>
                  </w:r>
                </w:p>
              </w:tc>
              <w:tc>
                <w:tcPr>
                  <w:tcW w:w="434" w:type="pct"/>
                  <w:vAlign w:val="center"/>
                </w:tcPr>
                <w:p w14:paraId="50ABFC98">
                  <w:pPr>
                    <w:overflowPunct w:val="0"/>
                    <w:adjustRightInd w:val="0"/>
                    <w:snapToGrid w:val="0"/>
                    <w:spacing w:line="240" w:lineRule="auto"/>
                    <w:jc w:val="center"/>
                    <w:rPr>
                      <w:color w:val="auto"/>
                      <w:sz w:val="18"/>
                      <w:szCs w:val="18"/>
                    </w:rPr>
                  </w:pPr>
                  <w:r>
                    <w:rPr>
                      <w:color w:val="auto"/>
                      <w:sz w:val="18"/>
                      <w:szCs w:val="18"/>
                    </w:rPr>
                    <w:t>符合</w:t>
                  </w:r>
                </w:p>
              </w:tc>
            </w:tr>
            <w:tr w14:paraId="2B339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79" w:hRule="atLeast"/>
              </w:trPr>
              <w:tc>
                <w:tcPr>
                  <w:tcW w:w="442" w:type="pct"/>
                  <w:vMerge w:val="continue"/>
                  <w:vAlign w:val="center"/>
                </w:tcPr>
                <w:p w14:paraId="42E98D09">
                  <w:pPr>
                    <w:pStyle w:val="30"/>
                    <w:framePr w:hSpace="0" w:wrap="auto" w:vAnchor="margin" w:hAnchor="text" w:xAlign="left" w:yAlign="inline"/>
                    <w:overflowPunct w:val="0"/>
                    <w:rPr>
                      <w:color w:val="auto"/>
                    </w:rPr>
                  </w:pPr>
                </w:p>
              </w:tc>
              <w:tc>
                <w:tcPr>
                  <w:tcW w:w="2408" w:type="pct"/>
                  <w:shd w:val="clear" w:color="auto" w:fill="auto"/>
                  <w:vAlign w:val="center"/>
                </w:tcPr>
                <w:p w14:paraId="0AC2C069">
                  <w:pPr>
                    <w:tabs>
                      <w:tab w:val="left" w:pos="1830"/>
                    </w:tabs>
                    <w:overflowPunct w:val="0"/>
                    <w:adjustRightInd w:val="0"/>
                    <w:snapToGrid w:val="0"/>
                    <w:spacing w:line="240" w:lineRule="auto"/>
                    <w:rPr>
                      <w:color w:val="auto"/>
                      <w:sz w:val="18"/>
                      <w:szCs w:val="18"/>
                    </w:rPr>
                  </w:pPr>
                  <w:r>
                    <w:rPr>
                      <w:color w:val="auto"/>
                      <w:sz w:val="18"/>
                      <w:szCs w:val="18"/>
                    </w:rPr>
                    <w:t>城市建成区排放污水的工业企业应依法持有排污许可证，并严格按证排污。排入城镇水体的工业污水应符合相关行业标准及地方标准要求，严禁任何企业、单位超标和超总量排污，对超标或超总量的排污单位一律限制生产或停产整顿。</w:t>
                  </w:r>
                </w:p>
              </w:tc>
              <w:tc>
                <w:tcPr>
                  <w:tcW w:w="1713" w:type="pct"/>
                  <w:vAlign w:val="center"/>
                </w:tcPr>
                <w:p w14:paraId="42D903B3">
                  <w:pPr>
                    <w:tabs>
                      <w:tab w:val="left" w:pos="1830"/>
                    </w:tabs>
                    <w:overflowPunct w:val="0"/>
                    <w:adjustRightInd w:val="0"/>
                    <w:snapToGrid w:val="0"/>
                    <w:spacing w:line="240" w:lineRule="auto"/>
                    <w:rPr>
                      <w:color w:val="auto"/>
                      <w:sz w:val="18"/>
                      <w:szCs w:val="18"/>
                    </w:rPr>
                  </w:pPr>
                  <w:r>
                    <w:rPr>
                      <w:color w:val="auto"/>
                      <w:sz w:val="18"/>
                      <w:szCs w:val="18"/>
                    </w:rPr>
                    <w:t>本项目在实际排污前申领排污许可证，坚决不无证排污。</w:t>
                  </w:r>
                </w:p>
              </w:tc>
              <w:tc>
                <w:tcPr>
                  <w:tcW w:w="434" w:type="pct"/>
                  <w:vAlign w:val="center"/>
                </w:tcPr>
                <w:p w14:paraId="709D5045">
                  <w:pPr>
                    <w:overflowPunct w:val="0"/>
                    <w:adjustRightInd w:val="0"/>
                    <w:snapToGrid w:val="0"/>
                    <w:spacing w:line="240" w:lineRule="auto"/>
                    <w:jc w:val="center"/>
                    <w:rPr>
                      <w:color w:val="auto"/>
                      <w:sz w:val="18"/>
                      <w:szCs w:val="18"/>
                    </w:rPr>
                  </w:pPr>
                  <w:r>
                    <w:rPr>
                      <w:color w:val="auto"/>
                      <w:sz w:val="18"/>
                      <w:szCs w:val="18"/>
                    </w:rPr>
                    <w:t>符合</w:t>
                  </w:r>
                </w:p>
              </w:tc>
            </w:tr>
            <w:tr w14:paraId="44A9D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09" w:hRule="atLeast"/>
              </w:trPr>
              <w:tc>
                <w:tcPr>
                  <w:tcW w:w="442" w:type="pct"/>
                  <w:vMerge w:val="continue"/>
                  <w:vAlign w:val="center"/>
                </w:tcPr>
                <w:p w14:paraId="33A3260D">
                  <w:pPr>
                    <w:pStyle w:val="30"/>
                    <w:framePr w:hSpace="0" w:wrap="auto" w:vAnchor="margin" w:hAnchor="text" w:xAlign="left" w:yAlign="inline"/>
                    <w:overflowPunct w:val="0"/>
                    <w:rPr>
                      <w:color w:val="auto"/>
                    </w:rPr>
                  </w:pPr>
                </w:p>
              </w:tc>
              <w:tc>
                <w:tcPr>
                  <w:tcW w:w="2408" w:type="pct"/>
                  <w:shd w:val="clear" w:color="auto" w:fill="auto"/>
                  <w:vAlign w:val="center"/>
                </w:tcPr>
                <w:p w14:paraId="640FF71D">
                  <w:pPr>
                    <w:tabs>
                      <w:tab w:val="left" w:pos="1830"/>
                    </w:tabs>
                    <w:overflowPunct w:val="0"/>
                    <w:adjustRightInd w:val="0"/>
                    <w:snapToGrid w:val="0"/>
                    <w:spacing w:line="240" w:lineRule="auto"/>
                    <w:rPr>
                      <w:color w:val="auto"/>
                      <w:sz w:val="18"/>
                      <w:szCs w:val="18"/>
                    </w:rPr>
                  </w:pPr>
                  <w:r>
                    <w:rPr>
                      <w:color w:val="auto"/>
                      <w:sz w:val="18"/>
                      <w:szCs w:val="18"/>
                    </w:rPr>
                    <w:t>严格限制在淮河流域新建印染、制革、化工、电镀、酿造等大中型项目或者其他污染严重的项目；建设该类项目的，应当事前征得省人民政府生态环境行政主管部门的同意，并按照规定办理有关手续。</w:t>
                  </w:r>
                </w:p>
              </w:tc>
              <w:tc>
                <w:tcPr>
                  <w:tcW w:w="1713" w:type="pct"/>
                  <w:vAlign w:val="center"/>
                </w:tcPr>
                <w:p w14:paraId="7F5DDB91">
                  <w:pPr>
                    <w:pStyle w:val="30"/>
                    <w:framePr w:hSpace="0" w:wrap="auto" w:vAnchor="margin" w:hAnchor="text" w:xAlign="left" w:yAlign="inline"/>
                    <w:overflowPunct w:val="0"/>
                    <w:jc w:val="both"/>
                    <w:rPr>
                      <w:color w:val="auto"/>
                      <w:kern w:val="0"/>
                      <w:lang w:val="en-US"/>
                    </w:rPr>
                  </w:pPr>
                  <w:r>
                    <w:rPr>
                      <w:color w:val="auto"/>
                      <w:kern w:val="0"/>
                      <w:lang w:val="en-US"/>
                    </w:rPr>
                    <w:t>本项目不属于印染、制革、化工、电镀、酿造等大中型项目或者其他污染严重的项目。</w:t>
                  </w:r>
                </w:p>
              </w:tc>
              <w:tc>
                <w:tcPr>
                  <w:tcW w:w="434" w:type="pct"/>
                  <w:vAlign w:val="center"/>
                </w:tcPr>
                <w:p w14:paraId="7E4502BF">
                  <w:pPr>
                    <w:overflowPunct w:val="0"/>
                    <w:adjustRightInd w:val="0"/>
                    <w:snapToGrid w:val="0"/>
                    <w:spacing w:line="240" w:lineRule="auto"/>
                    <w:jc w:val="center"/>
                    <w:rPr>
                      <w:color w:val="auto"/>
                      <w:sz w:val="18"/>
                      <w:szCs w:val="18"/>
                    </w:rPr>
                  </w:pPr>
                  <w:r>
                    <w:rPr>
                      <w:color w:val="auto"/>
                      <w:sz w:val="18"/>
                      <w:szCs w:val="18"/>
                    </w:rPr>
                    <w:t>符合</w:t>
                  </w:r>
                </w:p>
              </w:tc>
            </w:tr>
            <w:tr w14:paraId="3664C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72" w:hRule="atLeast"/>
              </w:trPr>
              <w:tc>
                <w:tcPr>
                  <w:tcW w:w="442" w:type="pct"/>
                  <w:vMerge w:val="continue"/>
                  <w:vAlign w:val="center"/>
                </w:tcPr>
                <w:p w14:paraId="78A9A12B">
                  <w:pPr>
                    <w:pStyle w:val="30"/>
                    <w:framePr w:hSpace="0" w:wrap="auto" w:vAnchor="margin" w:hAnchor="text" w:xAlign="left" w:yAlign="inline"/>
                    <w:overflowPunct w:val="0"/>
                    <w:rPr>
                      <w:color w:val="auto"/>
                    </w:rPr>
                  </w:pPr>
                </w:p>
              </w:tc>
              <w:tc>
                <w:tcPr>
                  <w:tcW w:w="2408" w:type="pct"/>
                  <w:shd w:val="clear" w:color="auto" w:fill="auto"/>
                  <w:vAlign w:val="center"/>
                </w:tcPr>
                <w:p w14:paraId="7D27C455">
                  <w:pPr>
                    <w:tabs>
                      <w:tab w:val="left" w:pos="1830"/>
                    </w:tabs>
                    <w:overflowPunct w:val="0"/>
                    <w:adjustRightInd w:val="0"/>
                    <w:snapToGrid w:val="0"/>
                    <w:spacing w:line="240" w:lineRule="auto"/>
                    <w:rPr>
                      <w:color w:val="auto"/>
                      <w:sz w:val="18"/>
                      <w:szCs w:val="18"/>
                    </w:rPr>
                  </w:pPr>
                  <w:r>
                    <w:rPr>
                      <w:color w:val="auto"/>
                      <w:sz w:val="18"/>
                      <w:szCs w:val="18"/>
                    </w:rPr>
                    <w:t>国家禁止新建不符合国家产业政策的小型造纸、制革、印染、染料、炼焦、炼硫、炼砷、炼汞、炼油、电镀、农药、石棉、水泥、玻璃、钢铁、火电以及其他严重污染水环境的生产项目。</w:t>
                  </w:r>
                </w:p>
              </w:tc>
              <w:tc>
                <w:tcPr>
                  <w:tcW w:w="1713" w:type="pct"/>
                  <w:vAlign w:val="center"/>
                </w:tcPr>
                <w:p w14:paraId="00C4DA21">
                  <w:pPr>
                    <w:tabs>
                      <w:tab w:val="left" w:pos="1830"/>
                    </w:tabs>
                    <w:overflowPunct w:val="0"/>
                    <w:adjustRightInd w:val="0"/>
                    <w:snapToGrid w:val="0"/>
                    <w:spacing w:line="240" w:lineRule="auto"/>
                    <w:rPr>
                      <w:color w:val="auto"/>
                      <w:sz w:val="18"/>
                      <w:szCs w:val="18"/>
                    </w:rPr>
                  </w:pPr>
                  <w:r>
                    <w:rPr>
                      <w:rFonts w:hint="eastAsia"/>
                      <w:color w:val="auto"/>
                      <w:sz w:val="18"/>
                      <w:szCs w:val="18"/>
                    </w:rPr>
                    <w:t>本项目建设符合国家产业政策要求，不属于上述行业。</w:t>
                  </w:r>
                </w:p>
              </w:tc>
              <w:tc>
                <w:tcPr>
                  <w:tcW w:w="434" w:type="pct"/>
                  <w:vAlign w:val="center"/>
                </w:tcPr>
                <w:p w14:paraId="4C92E74E">
                  <w:pPr>
                    <w:overflowPunct w:val="0"/>
                    <w:adjustRightInd w:val="0"/>
                    <w:snapToGrid w:val="0"/>
                    <w:spacing w:line="240" w:lineRule="auto"/>
                    <w:jc w:val="center"/>
                    <w:rPr>
                      <w:color w:val="auto"/>
                      <w:sz w:val="18"/>
                      <w:szCs w:val="18"/>
                    </w:rPr>
                  </w:pPr>
                  <w:r>
                    <w:rPr>
                      <w:color w:val="auto"/>
                      <w:sz w:val="18"/>
                      <w:szCs w:val="18"/>
                    </w:rPr>
                    <w:t>符合</w:t>
                  </w:r>
                </w:p>
              </w:tc>
            </w:tr>
            <w:tr w14:paraId="361D1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823" w:hRule="atLeast"/>
              </w:trPr>
              <w:tc>
                <w:tcPr>
                  <w:tcW w:w="442" w:type="pct"/>
                  <w:vMerge w:val="restart"/>
                  <w:vAlign w:val="center"/>
                </w:tcPr>
                <w:p w14:paraId="75672495">
                  <w:pPr>
                    <w:pStyle w:val="30"/>
                    <w:framePr w:hSpace="0" w:wrap="auto" w:vAnchor="margin" w:hAnchor="text" w:xAlign="left" w:yAlign="inline"/>
                    <w:overflowPunct w:val="0"/>
                    <w:rPr>
                      <w:color w:val="auto"/>
                    </w:rPr>
                  </w:pPr>
                  <w:r>
                    <w:rPr>
                      <w:color w:val="auto"/>
                    </w:rPr>
                    <w:t>污染物排放管控</w:t>
                  </w:r>
                </w:p>
              </w:tc>
              <w:tc>
                <w:tcPr>
                  <w:tcW w:w="2408" w:type="pct"/>
                  <w:shd w:val="clear" w:color="auto" w:fill="auto"/>
                  <w:vAlign w:val="center"/>
                </w:tcPr>
                <w:p w14:paraId="77229C06">
                  <w:pPr>
                    <w:widowControl/>
                    <w:overflowPunct w:val="0"/>
                    <w:adjustRightInd w:val="0"/>
                    <w:snapToGrid w:val="0"/>
                    <w:spacing w:line="240" w:lineRule="auto"/>
                    <w:rPr>
                      <w:color w:val="auto"/>
                      <w:sz w:val="18"/>
                      <w:szCs w:val="18"/>
                    </w:rPr>
                  </w:pPr>
                  <w:r>
                    <w:rPr>
                      <w:color w:val="auto"/>
                      <w:sz w:val="18"/>
                      <w:szCs w:val="18"/>
                    </w:rPr>
                    <w:t>新建、改建、扩建排放重点大气污染物的项目不符合总量控制要求的，不得通过环境影响评价。</w:t>
                  </w:r>
                </w:p>
              </w:tc>
              <w:tc>
                <w:tcPr>
                  <w:tcW w:w="1713" w:type="pct"/>
                  <w:vAlign w:val="center"/>
                </w:tcPr>
                <w:p w14:paraId="5545AE57">
                  <w:pPr>
                    <w:pStyle w:val="30"/>
                    <w:framePr w:hSpace="0" w:wrap="auto" w:vAnchor="margin" w:hAnchor="text" w:xAlign="left" w:yAlign="inline"/>
                    <w:overflowPunct w:val="0"/>
                    <w:jc w:val="both"/>
                    <w:rPr>
                      <w:color w:val="auto"/>
                    </w:rPr>
                  </w:pPr>
                  <w:r>
                    <w:rPr>
                      <w:rFonts w:hint="eastAsia"/>
                      <w:color w:val="auto"/>
                    </w:rPr>
                    <w:t>本项目属于新建项目，所产生的废气无组织排放。</w:t>
                  </w:r>
                </w:p>
              </w:tc>
              <w:tc>
                <w:tcPr>
                  <w:tcW w:w="434" w:type="pct"/>
                  <w:vAlign w:val="center"/>
                </w:tcPr>
                <w:p w14:paraId="17470A17">
                  <w:pPr>
                    <w:overflowPunct w:val="0"/>
                    <w:adjustRightInd w:val="0"/>
                    <w:snapToGrid w:val="0"/>
                    <w:spacing w:line="240" w:lineRule="auto"/>
                    <w:jc w:val="center"/>
                    <w:rPr>
                      <w:color w:val="auto"/>
                      <w:sz w:val="18"/>
                      <w:szCs w:val="18"/>
                    </w:rPr>
                  </w:pPr>
                  <w:r>
                    <w:rPr>
                      <w:color w:val="auto"/>
                      <w:sz w:val="18"/>
                      <w:szCs w:val="18"/>
                    </w:rPr>
                    <w:t>符合</w:t>
                  </w:r>
                </w:p>
              </w:tc>
            </w:tr>
            <w:tr w14:paraId="32D5D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573" w:hRule="atLeast"/>
              </w:trPr>
              <w:tc>
                <w:tcPr>
                  <w:tcW w:w="442" w:type="pct"/>
                  <w:vMerge w:val="continue"/>
                  <w:vAlign w:val="center"/>
                </w:tcPr>
                <w:p w14:paraId="726EEA88">
                  <w:pPr>
                    <w:pStyle w:val="30"/>
                    <w:framePr w:hSpace="0" w:wrap="auto" w:vAnchor="margin" w:hAnchor="text" w:xAlign="left" w:yAlign="inline"/>
                    <w:overflowPunct w:val="0"/>
                    <w:rPr>
                      <w:color w:val="auto"/>
                    </w:rPr>
                  </w:pPr>
                </w:p>
              </w:tc>
              <w:tc>
                <w:tcPr>
                  <w:tcW w:w="2408" w:type="pct"/>
                  <w:shd w:val="clear" w:color="auto" w:fill="auto"/>
                  <w:vAlign w:val="center"/>
                </w:tcPr>
                <w:p w14:paraId="3F97C014">
                  <w:pPr>
                    <w:tabs>
                      <w:tab w:val="left" w:pos="1830"/>
                    </w:tabs>
                    <w:overflowPunct w:val="0"/>
                    <w:adjustRightInd w:val="0"/>
                    <w:snapToGrid w:val="0"/>
                    <w:spacing w:line="240" w:lineRule="auto"/>
                    <w:rPr>
                      <w:color w:val="auto"/>
                      <w:sz w:val="18"/>
                      <w:szCs w:val="18"/>
                    </w:rPr>
                  </w:pPr>
                  <w:r>
                    <w:rPr>
                      <w:color w:val="auto"/>
                      <w:sz w:val="18"/>
                      <w:szCs w:val="18"/>
                    </w:rPr>
                    <w:t>开展经济技术开发区、高新技术产业开发区、出口加工区等工业集聚区水污染治理设施排查和污染治理，全面推行工业集聚区企业废水量、水污染物纳管总量双控制度。集聚区内工业废水必须经预处理达到集中处理要求，方可进入污水集中处理设施。</w:t>
                  </w:r>
                </w:p>
              </w:tc>
              <w:tc>
                <w:tcPr>
                  <w:tcW w:w="1713" w:type="pct"/>
                  <w:vAlign w:val="center"/>
                </w:tcPr>
                <w:p w14:paraId="4B614693">
                  <w:pPr>
                    <w:pStyle w:val="30"/>
                    <w:framePr w:hSpace="0" w:wrap="auto" w:vAnchor="margin" w:hAnchor="text" w:xAlign="left" w:yAlign="inline"/>
                    <w:overflowPunct w:val="0"/>
                    <w:jc w:val="both"/>
                    <w:rPr>
                      <w:color w:val="auto"/>
                    </w:rPr>
                  </w:pPr>
                  <w:r>
                    <w:rPr>
                      <w:rFonts w:hint="eastAsia"/>
                      <w:color w:val="auto"/>
                    </w:rPr>
                    <w:t>本项目外排废水经废水治理设施处理达标后由园区污水管网接入市政污水管网，纳管至安成经济开发区污水处理厂集中处理。</w:t>
                  </w:r>
                </w:p>
              </w:tc>
              <w:tc>
                <w:tcPr>
                  <w:tcW w:w="434" w:type="pct"/>
                  <w:vAlign w:val="center"/>
                </w:tcPr>
                <w:p w14:paraId="624866BF">
                  <w:pPr>
                    <w:overflowPunct w:val="0"/>
                    <w:adjustRightInd w:val="0"/>
                    <w:snapToGrid w:val="0"/>
                    <w:spacing w:line="240" w:lineRule="auto"/>
                    <w:jc w:val="center"/>
                    <w:rPr>
                      <w:color w:val="auto"/>
                      <w:sz w:val="18"/>
                      <w:szCs w:val="18"/>
                    </w:rPr>
                  </w:pPr>
                  <w:r>
                    <w:rPr>
                      <w:color w:val="auto"/>
                      <w:sz w:val="18"/>
                      <w:szCs w:val="18"/>
                    </w:rPr>
                    <w:t>符合</w:t>
                  </w:r>
                </w:p>
              </w:tc>
            </w:tr>
            <w:tr w14:paraId="0FAF1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550" w:hRule="atLeast"/>
              </w:trPr>
              <w:tc>
                <w:tcPr>
                  <w:tcW w:w="442" w:type="pct"/>
                  <w:vAlign w:val="center"/>
                </w:tcPr>
                <w:p w14:paraId="004626CA">
                  <w:pPr>
                    <w:pStyle w:val="30"/>
                    <w:framePr w:hSpace="0" w:wrap="auto" w:vAnchor="margin" w:hAnchor="text" w:xAlign="left" w:yAlign="inline"/>
                    <w:overflowPunct w:val="0"/>
                    <w:rPr>
                      <w:color w:val="auto"/>
                    </w:rPr>
                  </w:pPr>
                  <w:r>
                    <w:rPr>
                      <w:color w:val="auto"/>
                    </w:rPr>
                    <w:t>资源开发效率要求</w:t>
                  </w:r>
                </w:p>
              </w:tc>
              <w:tc>
                <w:tcPr>
                  <w:tcW w:w="2408" w:type="pct"/>
                  <w:shd w:val="clear" w:color="auto" w:fill="auto"/>
                  <w:vAlign w:val="center"/>
                </w:tcPr>
                <w:p w14:paraId="5EE8E638">
                  <w:pPr>
                    <w:widowControl/>
                    <w:overflowPunct w:val="0"/>
                    <w:adjustRightInd w:val="0"/>
                    <w:snapToGrid w:val="0"/>
                    <w:spacing w:line="240" w:lineRule="auto"/>
                    <w:rPr>
                      <w:color w:val="auto"/>
                      <w:sz w:val="18"/>
                      <w:szCs w:val="18"/>
                    </w:rPr>
                  </w:pPr>
                  <w:r>
                    <w:rPr>
                      <w:color w:val="auto"/>
                      <w:sz w:val="18"/>
                      <w:szCs w:val="18"/>
                    </w:rPr>
                    <w:t>实施“煤改气”和“以电代煤”。在陶瓷、玻璃、铸造等行业积极推进天然气替代煤气化工程，有序实施燃煤设施煤改气。结合区域和行业用能特点，积极推进工业生产、建筑供暖供冷、交通运输、农业生产、居民生活五大领域实施“以电代煤”，着力提高电能占终端能源消费比重。</w:t>
                  </w:r>
                </w:p>
              </w:tc>
              <w:tc>
                <w:tcPr>
                  <w:tcW w:w="1713" w:type="pct"/>
                  <w:vAlign w:val="center"/>
                </w:tcPr>
                <w:p w14:paraId="42D38D80">
                  <w:pPr>
                    <w:pStyle w:val="30"/>
                    <w:framePr w:hSpace="0" w:wrap="auto" w:vAnchor="margin" w:hAnchor="text" w:xAlign="left" w:yAlign="inline"/>
                    <w:overflowPunct w:val="0"/>
                    <w:jc w:val="both"/>
                    <w:rPr>
                      <w:color w:val="auto"/>
                    </w:rPr>
                  </w:pPr>
                  <w:r>
                    <w:rPr>
                      <w:rFonts w:hint="eastAsia"/>
                      <w:color w:val="auto"/>
                    </w:rPr>
                    <w:t>本项目不新建锅炉，生产过程中涉及的主要能源为电能、水。</w:t>
                  </w:r>
                  <w:r>
                    <w:rPr>
                      <w:rFonts w:hint="eastAsia"/>
                      <w:color w:val="auto"/>
                      <w:lang w:val="en-US"/>
                    </w:rPr>
                    <w:t>采用市政管网供水、供电，不突破资源利用上限。</w:t>
                  </w:r>
                </w:p>
              </w:tc>
              <w:tc>
                <w:tcPr>
                  <w:tcW w:w="434" w:type="pct"/>
                  <w:vAlign w:val="center"/>
                </w:tcPr>
                <w:p w14:paraId="075B5781">
                  <w:pPr>
                    <w:overflowPunct w:val="0"/>
                    <w:adjustRightInd w:val="0"/>
                    <w:snapToGrid w:val="0"/>
                    <w:spacing w:line="240" w:lineRule="auto"/>
                    <w:jc w:val="center"/>
                    <w:rPr>
                      <w:color w:val="auto"/>
                      <w:sz w:val="18"/>
                      <w:szCs w:val="18"/>
                    </w:rPr>
                  </w:pPr>
                  <w:r>
                    <w:rPr>
                      <w:color w:val="auto"/>
                      <w:sz w:val="18"/>
                      <w:szCs w:val="18"/>
                    </w:rPr>
                    <w:t>符合</w:t>
                  </w:r>
                </w:p>
              </w:tc>
            </w:tr>
          </w:tbl>
          <w:p w14:paraId="02E11AC9">
            <w:pPr>
              <w:overflowPunct w:val="0"/>
              <w:spacing w:beforeLines="50" w:line="360" w:lineRule="auto"/>
              <w:ind w:firstLine="480" w:firstLineChars="200"/>
              <w:rPr>
                <w:color w:val="auto"/>
              </w:rPr>
            </w:pPr>
            <w:r>
              <w:rPr>
                <w:color w:val="auto"/>
              </w:rPr>
              <w:t>综上所述，项目运营过程中会产生一定的污染物，采取相应的污染防治措施后，各类污染物的排放对周围环境造成的影响较小，不会降低当地环境质量，不会触碰区域环境质量底线本项目符合“三线一单”管控单元的管理要求。</w:t>
            </w:r>
          </w:p>
          <w:p w14:paraId="55BD200A">
            <w:pPr>
              <w:overflowPunct w:val="0"/>
              <w:ind w:firstLine="480" w:firstLineChars="200"/>
              <w:rPr>
                <w:color w:val="auto"/>
              </w:rPr>
            </w:pPr>
            <w:r>
              <w:rPr>
                <w:rFonts w:hint="eastAsia"/>
                <w:color w:val="auto"/>
              </w:rPr>
              <w:t>4、与《食品生产通用卫生规范》（GB14881-2013）的相符性分析</w:t>
            </w:r>
          </w:p>
          <w:p w14:paraId="0AFD6B0D">
            <w:pPr>
              <w:overflowPunct w:val="0"/>
              <w:ind w:firstLine="480" w:firstLineChars="200"/>
              <w:rPr>
                <w:color w:val="auto"/>
              </w:rPr>
            </w:pPr>
            <w:r>
              <w:rPr>
                <w:rFonts w:hint="eastAsia"/>
                <w:color w:val="auto"/>
              </w:rPr>
              <w:t>本项目与《食品生产通用卫生规范》（GB14881-2013）的相符性分析如下。</w:t>
            </w:r>
          </w:p>
          <w:tbl>
            <w:tblPr>
              <w:tblStyle w:val="2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9"/>
              <w:gridCol w:w="4085"/>
              <w:gridCol w:w="2333"/>
              <w:gridCol w:w="760"/>
            </w:tblGrid>
            <w:tr w14:paraId="4B60F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3" w:type="pct"/>
                  <w:vAlign w:val="center"/>
                </w:tcPr>
                <w:p w14:paraId="00B71461">
                  <w:pPr>
                    <w:pStyle w:val="30"/>
                    <w:framePr w:hSpace="0" w:wrap="auto" w:vAnchor="margin" w:hAnchor="text" w:xAlign="left" w:yAlign="inline"/>
                    <w:overflowPunct w:val="0"/>
                    <w:rPr>
                      <w:b/>
                      <w:bCs/>
                      <w:color w:val="auto"/>
                    </w:rPr>
                  </w:pPr>
                  <w:r>
                    <w:rPr>
                      <w:color w:val="auto"/>
                    </w:rPr>
                    <w:t>序号</w:t>
                  </w:r>
                </w:p>
              </w:tc>
              <w:tc>
                <w:tcPr>
                  <w:tcW w:w="2631" w:type="pct"/>
                  <w:vAlign w:val="center"/>
                </w:tcPr>
                <w:p w14:paraId="3ED97A75">
                  <w:pPr>
                    <w:pStyle w:val="30"/>
                    <w:framePr w:hSpace="0" w:wrap="auto" w:vAnchor="margin" w:hAnchor="text" w:xAlign="left" w:yAlign="inline"/>
                    <w:overflowPunct w:val="0"/>
                    <w:rPr>
                      <w:b/>
                      <w:bCs/>
                      <w:color w:val="auto"/>
                    </w:rPr>
                  </w:pPr>
                  <w:r>
                    <w:rPr>
                      <w:color w:val="auto"/>
                    </w:rPr>
                    <w:t>规范内容</w:t>
                  </w:r>
                </w:p>
              </w:tc>
              <w:tc>
                <w:tcPr>
                  <w:tcW w:w="1503" w:type="pct"/>
                  <w:vAlign w:val="center"/>
                </w:tcPr>
                <w:p w14:paraId="06CE81C8">
                  <w:pPr>
                    <w:pStyle w:val="30"/>
                    <w:framePr w:hSpace="0" w:wrap="auto" w:vAnchor="margin" w:hAnchor="text" w:xAlign="left" w:yAlign="inline"/>
                    <w:overflowPunct w:val="0"/>
                    <w:rPr>
                      <w:b/>
                      <w:bCs/>
                      <w:color w:val="auto"/>
                    </w:rPr>
                  </w:pPr>
                  <w:r>
                    <w:rPr>
                      <w:color w:val="auto"/>
                    </w:rPr>
                    <w:t>本项目情况</w:t>
                  </w:r>
                </w:p>
              </w:tc>
              <w:tc>
                <w:tcPr>
                  <w:tcW w:w="490" w:type="pct"/>
                  <w:vAlign w:val="center"/>
                </w:tcPr>
                <w:p w14:paraId="377426D2">
                  <w:pPr>
                    <w:pStyle w:val="30"/>
                    <w:framePr w:hSpace="0" w:wrap="auto" w:vAnchor="margin" w:hAnchor="text" w:xAlign="left" w:yAlign="inline"/>
                    <w:overflowPunct w:val="0"/>
                    <w:rPr>
                      <w:b/>
                      <w:bCs/>
                      <w:color w:val="auto"/>
                    </w:rPr>
                  </w:pPr>
                  <w:r>
                    <w:rPr>
                      <w:rFonts w:hint="eastAsia"/>
                      <w:color w:val="auto"/>
                    </w:rPr>
                    <w:t>符合性</w:t>
                  </w:r>
                </w:p>
              </w:tc>
            </w:tr>
            <w:tr w14:paraId="6E973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3" w:type="pct"/>
                  <w:vAlign w:val="center"/>
                </w:tcPr>
                <w:p w14:paraId="5FEA5326">
                  <w:pPr>
                    <w:pStyle w:val="30"/>
                    <w:framePr w:hSpace="0" w:wrap="auto" w:vAnchor="margin" w:hAnchor="text" w:xAlign="left" w:yAlign="inline"/>
                    <w:overflowPunct w:val="0"/>
                    <w:rPr>
                      <w:color w:val="auto"/>
                    </w:rPr>
                  </w:pPr>
                  <w:r>
                    <w:rPr>
                      <w:rFonts w:hint="eastAsia"/>
                      <w:color w:val="auto"/>
                    </w:rPr>
                    <w:t>1</w:t>
                  </w:r>
                </w:p>
              </w:tc>
              <w:tc>
                <w:tcPr>
                  <w:tcW w:w="2631" w:type="pct"/>
                  <w:vAlign w:val="center"/>
                </w:tcPr>
                <w:p w14:paraId="530916C9">
                  <w:pPr>
                    <w:pStyle w:val="30"/>
                    <w:framePr w:hSpace="0" w:wrap="auto" w:vAnchor="margin" w:hAnchor="text" w:xAlign="left" w:yAlign="inline"/>
                    <w:overflowPunct w:val="0"/>
                    <w:rPr>
                      <w:color w:val="auto"/>
                    </w:rPr>
                  </w:pPr>
                  <w:r>
                    <w:rPr>
                      <w:color w:val="auto"/>
                    </w:rPr>
                    <w:t>选址：</w:t>
                  </w:r>
                  <w:r>
                    <w:rPr>
                      <w:rFonts w:hint="eastAsia"/>
                      <w:color w:val="auto"/>
                    </w:rPr>
                    <w:t>（1）</w:t>
                  </w:r>
                  <w:r>
                    <w:rPr>
                      <w:color w:val="auto"/>
                    </w:rPr>
                    <w:t>厂区不应选择对食品有显著污染的区域。如</w:t>
                  </w:r>
                  <w:r>
                    <w:rPr>
                      <w:rFonts w:hint="eastAsia"/>
                      <w:color w:val="auto"/>
                    </w:rPr>
                    <w:t>：</w:t>
                  </w:r>
                  <w:r>
                    <w:rPr>
                      <w:color w:val="auto"/>
                    </w:rPr>
                    <w:t>某地对食品安全和食品宜食用性存在明显的不利影响，且无法通过采取措施加以改善，应避免在该地址建厂；</w:t>
                  </w:r>
                </w:p>
                <w:p w14:paraId="1768CD32">
                  <w:pPr>
                    <w:pStyle w:val="30"/>
                    <w:framePr w:hSpace="0" w:wrap="auto" w:vAnchor="margin" w:hAnchor="text" w:xAlign="left" w:yAlign="inline"/>
                    <w:overflowPunct w:val="0"/>
                    <w:rPr>
                      <w:color w:val="auto"/>
                    </w:rPr>
                  </w:pPr>
                  <w:r>
                    <w:rPr>
                      <w:rFonts w:hint="eastAsia"/>
                      <w:color w:val="auto"/>
                    </w:rPr>
                    <w:t>（2）</w:t>
                  </w:r>
                  <w:r>
                    <w:rPr>
                      <w:color w:val="auto"/>
                    </w:rPr>
                    <w:t>厂区不应选择有害废弃物以及粉尘、有害气体、放射性物质和其他扩散性污染源不能有效清除的地址；</w:t>
                  </w:r>
                </w:p>
                <w:p w14:paraId="3AD46046">
                  <w:pPr>
                    <w:pStyle w:val="30"/>
                    <w:framePr w:hSpace="0" w:wrap="auto" w:vAnchor="margin" w:hAnchor="text" w:xAlign="left" w:yAlign="inline"/>
                    <w:overflowPunct w:val="0"/>
                    <w:rPr>
                      <w:color w:val="auto"/>
                    </w:rPr>
                  </w:pPr>
                  <w:r>
                    <w:rPr>
                      <w:rFonts w:hint="eastAsia"/>
                      <w:color w:val="auto"/>
                    </w:rPr>
                    <w:t>（3）</w:t>
                  </w:r>
                  <w:r>
                    <w:rPr>
                      <w:color w:val="auto"/>
                    </w:rPr>
                    <w:t>厂区不宜择易发生洪涝灾害的地区，难以避开时应设计必要的防范措施；</w:t>
                  </w:r>
                </w:p>
                <w:p w14:paraId="47DD8735">
                  <w:pPr>
                    <w:pStyle w:val="30"/>
                    <w:framePr w:hSpace="0" w:wrap="auto" w:vAnchor="margin" w:hAnchor="text" w:xAlign="left" w:yAlign="inline"/>
                    <w:overflowPunct w:val="0"/>
                    <w:rPr>
                      <w:color w:val="auto"/>
                    </w:rPr>
                  </w:pPr>
                  <w:r>
                    <w:rPr>
                      <w:rFonts w:hint="eastAsia"/>
                      <w:color w:val="auto"/>
                    </w:rPr>
                    <w:t>（4）</w:t>
                  </w:r>
                  <w:r>
                    <w:rPr>
                      <w:color w:val="auto"/>
                    </w:rPr>
                    <w:t>厂区周围不宜有虫害大量孳生的潜在场所，难以避开时应设计必要的防范措施</w:t>
                  </w:r>
                </w:p>
              </w:tc>
              <w:tc>
                <w:tcPr>
                  <w:tcW w:w="1503" w:type="pct"/>
                  <w:vAlign w:val="center"/>
                </w:tcPr>
                <w:p w14:paraId="4F696358">
                  <w:pPr>
                    <w:pStyle w:val="30"/>
                    <w:framePr w:hSpace="0" w:wrap="auto" w:vAnchor="margin" w:hAnchor="text" w:xAlign="left" w:yAlign="inline"/>
                    <w:overflowPunct w:val="0"/>
                    <w:rPr>
                      <w:color w:val="auto"/>
                    </w:rPr>
                  </w:pPr>
                  <w:r>
                    <w:rPr>
                      <w:color w:val="auto"/>
                    </w:rPr>
                    <w:t>本项目位于安徽省淮南市</w:t>
                  </w:r>
                  <w:r>
                    <w:rPr>
                      <w:rFonts w:hint="eastAsia"/>
                      <w:color w:val="auto"/>
                    </w:rPr>
                    <w:t>田家庵经济开发区（北区）</w:t>
                  </w:r>
                  <w:r>
                    <w:rPr>
                      <w:rFonts w:hint="eastAsia"/>
                      <w:color w:val="auto"/>
                      <w:lang w:val="en-US"/>
                    </w:rPr>
                    <w:t>6号楼</w:t>
                  </w:r>
                  <w:r>
                    <w:rPr>
                      <w:rFonts w:hint="eastAsia"/>
                      <w:color w:val="auto"/>
                    </w:rPr>
                    <w:t>，租用现有标准化厂房，项目位置不属于有害废弃物以及粉尘、有害气体、放射性物质和其他扩散性污染源不能有效清除的地址，不属于对食品有显著污染的区域；周边500m范围内没有虫害大量孳生的潜在场所。</w:t>
                  </w:r>
                </w:p>
              </w:tc>
              <w:tc>
                <w:tcPr>
                  <w:tcW w:w="490" w:type="pct"/>
                  <w:vAlign w:val="center"/>
                </w:tcPr>
                <w:p w14:paraId="20E62664">
                  <w:pPr>
                    <w:pStyle w:val="30"/>
                    <w:framePr w:hSpace="0" w:wrap="auto" w:vAnchor="margin" w:hAnchor="text" w:xAlign="left" w:yAlign="inline"/>
                    <w:overflowPunct w:val="0"/>
                    <w:rPr>
                      <w:color w:val="auto"/>
                    </w:rPr>
                  </w:pPr>
                  <w:r>
                    <w:rPr>
                      <w:rFonts w:hint="eastAsia"/>
                      <w:color w:val="auto"/>
                    </w:rPr>
                    <w:t>符合</w:t>
                  </w:r>
                </w:p>
              </w:tc>
            </w:tr>
            <w:tr w14:paraId="3755E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3" w:type="pct"/>
                  <w:vAlign w:val="center"/>
                </w:tcPr>
                <w:p w14:paraId="7ABA49AA">
                  <w:pPr>
                    <w:pStyle w:val="30"/>
                    <w:framePr w:hSpace="0" w:wrap="auto" w:vAnchor="margin" w:hAnchor="text" w:xAlign="left" w:yAlign="inline"/>
                    <w:overflowPunct w:val="0"/>
                    <w:rPr>
                      <w:color w:val="auto"/>
                    </w:rPr>
                  </w:pPr>
                  <w:r>
                    <w:rPr>
                      <w:rFonts w:hint="eastAsia"/>
                      <w:color w:val="auto"/>
                    </w:rPr>
                    <w:t>2</w:t>
                  </w:r>
                </w:p>
              </w:tc>
              <w:tc>
                <w:tcPr>
                  <w:tcW w:w="2631" w:type="pct"/>
                  <w:vAlign w:val="center"/>
                </w:tcPr>
                <w:p w14:paraId="014AD18C">
                  <w:pPr>
                    <w:pStyle w:val="30"/>
                    <w:framePr w:hSpace="0" w:wrap="auto" w:vAnchor="margin" w:hAnchor="text" w:xAlign="left" w:yAlign="inline"/>
                    <w:overflowPunct w:val="0"/>
                    <w:rPr>
                      <w:color w:val="auto"/>
                    </w:rPr>
                  </w:pPr>
                  <w:r>
                    <w:rPr>
                      <w:color w:val="auto"/>
                    </w:rPr>
                    <w:t>厂区环境：</w:t>
                  </w:r>
                  <w:r>
                    <w:rPr>
                      <w:rFonts w:hint="eastAsia"/>
                      <w:color w:val="auto"/>
                    </w:rPr>
                    <w:t>（1）</w:t>
                  </w:r>
                  <w:r>
                    <w:rPr>
                      <w:color w:val="auto"/>
                    </w:rPr>
                    <w:t>应考虑环境给食品生产带来的潜在污染风险，并采取适当的措施将其降至最低水平；</w:t>
                  </w:r>
                </w:p>
                <w:p w14:paraId="7703770B">
                  <w:pPr>
                    <w:pStyle w:val="30"/>
                    <w:framePr w:hSpace="0" w:wrap="auto" w:vAnchor="margin" w:hAnchor="text" w:xAlign="left" w:yAlign="inline"/>
                    <w:overflowPunct w:val="0"/>
                    <w:rPr>
                      <w:color w:val="auto"/>
                    </w:rPr>
                  </w:pPr>
                  <w:r>
                    <w:rPr>
                      <w:rFonts w:hint="eastAsia"/>
                      <w:color w:val="auto"/>
                    </w:rPr>
                    <w:t>（2）</w:t>
                  </w:r>
                  <w:r>
                    <w:rPr>
                      <w:color w:val="auto"/>
                    </w:rPr>
                    <w:t>厂区应合理布局，各功能区域划分明显，并有适当的分离或分隔措施，防止交叉污染；</w:t>
                  </w:r>
                </w:p>
                <w:p w14:paraId="23F94D58">
                  <w:pPr>
                    <w:pStyle w:val="30"/>
                    <w:framePr w:hSpace="0" w:wrap="auto" w:vAnchor="margin" w:hAnchor="text" w:xAlign="left" w:yAlign="inline"/>
                    <w:overflowPunct w:val="0"/>
                    <w:rPr>
                      <w:color w:val="auto"/>
                    </w:rPr>
                  </w:pPr>
                  <w:r>
                    <w:rPr>
                      <w:rFonts w:hint="eastAsia"/>
                      <w:color w:val="auto"/>
                    </w:rPr>
                    <w:t>（3）</w:t>
                  </w:r>
                  <w:r>
                    <w:rPr>
                      <w:color w:val="auto"/>
                    </w:rPr>
                    <w:t>厂区内的道路应铺设混凝土、沥青、或者其他硬质材料；空地应采取必要措施，如铺设水泥、地砖或铺设草坪等方式，保持环境清洁，防止正常天气下扬尘和积水等现象的发生；</w:t>
                  </w:r>
                </w:p>
                <w:p w14:paraId="2109FA3D">
                  <w:pPr>
                    <w:pStyle w:val="30"/>
                    <w:framePr w:hSpace="0" w:wrap="auto" w:vAnchor="margin" w:hAnchor="text" w:xAlign="left" w:yAlign="inline"/>
                    <w:overflowPunct w:val="0"/>
                    <w:rPr>
                      <w:color w:val="auto"/>
                    </w:rPr>
                  </w:pPr>
                  <w:r>
                    <w:rPr>
                      <w:rFonts w:hint="eastAsia"/>
                      <w:color w:val="auto"/>
                    </w:rPr>
                    <w:t>（4）</w:t>
                  </w:r>
                  <w:r>
                    <w:rPr>
                      <w:color w:val="auto"/>
                    </w:rPr>
                    <w:t>厂区绿化应与生产车间保持适当距离，植被应定期维护，以防止虫害的孳生；</w:t>
                  </w:r>
                </w:p>
                <w:p w14:paraId="7FF32313">
                  <w:pPr>
                    <w:pStyle w:val="30"/>
                    <w:framePr w:hSpace="0" w:wrap="auto" w:vAnchor="margin" w:hAnchor="text" w:xAlign="left" w:yAlign="inline"/>
                    <w:overflowPunct w:val="0"/>
                    <w:rPr>
                      <w:color w:val="auto"/>
                    </w:rPr>
                  </w:pPr>
                  <w:r>
                    <w:rPr>
                      <w:rFonts w:hint="eastAsia"/>
                      <w:color w:val="auto"/>
                    </w:rPr>
                    <w:t>（5）</w:t>
                  </w:r>
                  <w:r>
                    <w:rPr>
                      <w:color w:val="auto"/>
                    </w:rPr>
                    <w:t>厂区应有适当的排水系统；</w:t>
                  </w:r>
                </w:p>
                <w:p w14:paraId="24CBEA13">
                  <w:pPr>
                    <w:pStyle w:val="30"/>
                    <w:framePr w:hSpace="0" w:wrap="auto" w:vAnchor="margin" w:hAnchor="text" w:xAlign="left" w:yAlign="inline"/>
                    <w:overflowPunct w:val="0"/>
                    <w:rPr>
                      <w:color w:val="auto"/>
                    </w:rPr>
                  </w:pPr>
                  <w:r>
                    <w:rPr>
                      <w:rFonts w:hint="eastAsia"/>
                      <w:color w:val="auto"/>
                    </w:rPr>
                    <w:t>（6）</w:t>
                  </w:r>
                  <w:r>
                    <w:rPr>
                      <w:color w:val="auto"/>
                    </w:rPr>
                    <w:t>宿舍、食堂、职工娱乐设施等生活区应与生产区保持适当距离或分隔</w:t>
                  </w:r>
                </w:p>
              </w:tc>
              <w:tc>
                <w:tcPr>
                  <w:tcW w:w="1503" w:type="pct"/>
                  <w:vAlign w:val="center"/>
                </w:tcPr>
                <w:p w14:paraId="56DE6512">
                  <w:pPr>
                    <w:pStyle w:val="30"/>
                    <w:framePr w:hSpace="0" w:wrap="auto" w:vAnchor="margin" w:hAnchor="text" w:xAlign="left" w:yAlign="inline"/>
                    <w:overflowPunct w:val="0"/>
                    <w:rPr>
                      <w:color w:val="auto"/>
                    </w:rPr>
                  </w:pPr>
                  <w:r>
                    <w:rPr>
                      <w:color w:val="auto"/>
                    </w:rPr>
                    <w:t>本项目位于</w:t>
                  </w:r>
                  <w:r>
                    <w:rPr>
                      <w:rFonts w:hint="eastAsia"/>
                      <w:color w:val="auto"/>
                    </w:rPr>
                    <w:t>安徽省</w:t>
                  </w:r>
                  <w:r>
                    <w:rPr>
                      <w:color w:val="auto"/>
                    </w:rPr>
                    <w:t>淮南市</w:t>
                  </w:r>
                  <w:r>
                    <w:rPr>
                      <w:rFonts w:hint="eastAsia"/>
                      <w:color w:val="auto"/>
                    </w:rPr>
                    <w:t>田家庵经济开发区（北区）</w:t>
                  </w:r>
                  <w:r>
                    <w:rPr>
                      <w:rFonts w:hint="eastAsia"/>
                      <w:color w:val="auto"/>
                      <w:lang w:val="en-US"/>
                    </w:rPr>
                    <w:t>6号楼</w:t>
                  </w:r>
                  <w:r>
                    <w:rPr>
                      <w:rFonts w:hint="eastAsia"/>
                      <w:color w:val="auto"/>
                    </w:rPr>
                    <w:t>，厂区内道路铺设混凝土，项目采用雨污分流制，雨水进入市政雨水管网，废水进入安成经济开发区污水处理厂处理，厂区办公区等与生产区隔开。</w:t>
                  </w:r>
                </w:p>
              </w:tc>
              <w:tc>
                <w:tcPr>
                  <w:tcW w:w="490" w:type="pct"/>
                  <w:vAlign w:val="center"/>
                </w:tcPr>
                <w:p w14:paraId="229D687B">
                  <w:pPr>
                    <w:pStyle w:val="30"/>
                    <w:framePr w:hSpace="0" w:wrap="auto" w:vAnchor="margin" w:hAnchor="text" w:xAlign="left" w:yAlign="inline"/>
                    <w:overflowPunct w:val="0"/>
                    <w:rPr>
                      <w:color w:val="auto"/>
                    </w:rPr>
                  </w:pPr>
                  <w:r>
                    <w:rPr>
                      <w:rFonts w:hint="eastAsia"/>
                      <w:color w:val="auto"/>
                    </w:rPr>
                    <w:t>符合</w:t>
                  </w:r>
                </w:p>
              </w:tc>
            </w:tr>
            <w:tr w14:paraId="664BB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73" w:type="pct"/>
                  <w:vAlign w:val="center"/>
                </w:tcPr>
                <w:p w14:paraId="7BCF0251">
                  <w:pPr>
                    <w:pStyle w:val="30"/>
                    <w:framePr w:hSpace="0" w:wrap="auto" w:vAnchor="margin" w:hAnchor="text" w:xAlign="left" w:yAlign="inline"/>
                    <w:overflowPunct w:val="0"/>
                    <w:rPr>
                      <w:color w:val="auto"/>
                    </w:rPr>
                  </w:pPr>
                  <w:r>
                    <w:rPr>
                      <w:rFonts w:hint="eastAsia"/>
                      <w:color w:val="auto"/>
                    </w:rPr>
                    <w:t>3</w:t>
                  </w:r>
                </w:p>
              </w:tc>
              <w:tc>
                <w:tcPr>
                  <w:tcW w:w="2631" w:type="pct"/>
                  <w:vAlign w:val="center"/>
                </w:tcPr>
                <w:p w14:paraId="2A078785">
                  <w:pPr>
                    <w:pStyle w:val="30"/>
                    <w:framePr w:hSpace="0" w:wrap="auto" w:vAnchor="margin" w:hAnchor="text" w:xAlign="left" w:yAlign="inline"/>
                    <w:overflowPunct w:val="0"/>
                    <w:rPr>
                      <w:color w:val="auto"/>
                    </w:rPr>
                  </w:pPr>
                  <w:r>
                    <w:rPr>
                      <w:color w:val="auto"/>
                    </w:rPr>
                    <w:t>厂房和车间：</w:t>
                  </w:r>
                </w:p>
                <w:p w14:paraId="26072BA6">
                  <w:pPr>
                    <w:pStyle w:val="30"/>
                    <w:framePr w:hSpace="0" w:wrap="auto" w:vAnchor="margin" w:hAnchor="text" w:xAlign="left" w:yAlign="inline"/>
                    <w:overflowPunct w:val="0"/>
                    <w:rPr>
                      <w:color w:val="auto"/>
                    </w:rPr>
                  </w:pPr>
                  <w:r>
                    <w:rPr>
                      <w:rFonts w:hint="eastAsia"/>
                      <w:color w:val="auto"/>
                    </w:rPr>
                    <w:t>（1）</w:t>
                  </w:r>
                  <w:r>
                    <w:rPr>
                      <w:color w:val="auto"/>
                    </w:rPr>
                    <w:t>厂房和车间的内部设计和布局应满足食品卫生操作要求，避免食品生产中发生交叉污染；</w:t>
                  </w:r>
                </w:p>
                <w:p w14:paraId="1B6211D5">
                  <w:pPr>
                    <w:pStyle w:val="30"/>
                    <w:framePr w:hSpace="0" w:wrap="auto" w:vAnchor="margin" w:hAnchor="text" w:xAlign="left" w:yAlign="inline"/>
                    <w:overflowPunct w:val="0"/>
                    <w:rPr>
                      <w:color w:val="auto"/>
                    </w:rPr>
                  </w:pPr>
                  <w:r>
                    <w:rPr>
                      <w:rFonts w:hint="eastAsia"/>
                      <w:color w:val="auto"/>
                    </w:rPr>
                    <w:t>（2）</w:t>
                  </w:r>
                  <w:r>
                    <w:rPr>
                      <w:color w:val="auto"/>
                    </w:rPr>
                    <w:t>厂房和车间的设计应根据生产工艺合理布局，预防和降低产品受污染的风险；</w:t>
                  </w:r>
                </w:p>
                <w:p w14:paraId="6DA3915D">
                  <w:pPr>
                    <w:pStyle w:val="30"/>
                    <w:framePr w:hSpace="0" w:wrap="auto" w:vAnchor="margin" w:hAnchor="text" w:xAlign="left" w:yAlign="inline"/>
                    <w:overflowPunct w:val="0"/>
                    <w:rPr>
                      <w:color w:val="auto"/>
                    </w:rPr>
                  </w:pPr>
                  <w:r>
                    <w:rPr>
                      <w:rFonts w:hint="eastAsia"/>
                      <w:color w:val="auto"/>
                    </w:rPr>
                    <w:t>（3）</w:t>
                  </w:r>
                  <w:r>
                    <w:rPr>
                      <w:color w:val="auto"/>
                    </w:rPr>
                    <w:t>厂房和车间应根据产品特点、生产工艺、生产特性以及生产过程对清洁程度的要求合理划分作业区，并采取有效分离或分隔；如：通常可划分为清洁作业区、准清洁作业区和一般作业区；或清洁作业区和一般作业区等。一般作业区应与其他作业区域分隔；</w:t>
                  </w:r>
                </w:p>
                <w:p w14:paraId="323E70F0">
                  <w:pPr>
                    <w:pStyle w:val="30"/>
                    <w:framePr w:hSpace="0" w:wrap="auto" w:vAnchor="margin" w:hAnchor="text" w:xAlign="left" w:yAlign="inline"/>
                    <w:overflowPunct w:val="0"/>
                    <w:rPr>
                      <w:color w:val="auto"/>
                    </w:rPr>
                  </w:pPr>
                  <w:r>
                    <w:rPr>
                      <w:rFonts w:hint="eastAsia"/>
                      <w:color w:val="auto"/>
                    </w:rPr>
                    <w:t>（4）</w:t>
                  </w:r>
                  <w:r>
                    <w:rPr>
                      <w:color w:val="auto"/>
                    </w:rPr>
                    <w:t>厂房内设置的检验室应与生产区域分隔；</w:t>
                  </w:r>
                </w:p>
                <w:p w14:paraId="14BF2447">
                  <w:pPr>
                    <w:pStyle w:val="30"/>
                    <w:framePr w:hSpace="0" w:wrap="auto" w:vAnchor="margin" w:hAnchor="text" w:xAlign="left" w:yAlign="inline"/>
                    <w:overflowPunct w:val="0"/>
                    <w:rPr>
                      <w:color w:val="auto"/>
                    </w:rPr>
                  </w:pPr>
                  <w:r>
                    <w:rPr>
                      <w:rFonts w:hint="eastAsia"/>
                      <w:color w:val="auto"/>
                    </w:rPr>
                    <w:t>（5）</w:t>
                  </w:r>
                  <w:r>
                    <w:rPr>
                      <w:color w:val="auto"/>
                    </w:rPr>
                    <w:t>厂房的面积和空间应与生产能力相适应，便于设备安置、清洁消毒、物料存储及人员操作</w:t>
                  </w:r>
                </w:p>
              </w:tc>
              <w:tc>
                <w:tcPr>
                  <w:tcW w:w="1503" w:type="pct"/>
                  <w:vAlign w:val="center"/>
                </w:tcPr>
                <w:p w14:paraId="1106E11F">
                  <w:pPr>
                    <w:pStyle w:val="30"/>
                    <w:framePr w:hSpace="0" w:wrap="auto" w:vAnchor="margin" w:hAnchor="text" w:xAlign="left" w:yAlign="inline"/>
                    <w:overflowPunct w:val="0"/>
                    <w:rPr>
                      <w:color w:val="auto"/>
                    </w:rPr>
                  </w:pPr>
                  <w:r>
                    <w:rPr>
                      <w:color w:val="auto"/>
                    </w:rPr>
                    <w:t>项目根据产品的性质和生产工艺的特点进行布局生产</w:t>
                  </w:r>
                  <w:r>
                    <w:rPr>
                      <w:rFonts w:hint="eastAsia"/>
                      <w:color w:val="auto"/>
                    </w:rPr>
                    <w:t>，厂房面积与生产能力相适应，位于标准化生产厂房内，</w:t>
                  </w:r>
                  <w:r>
                    <w:rPr>
                      <w:color w:val="auto"/>
                    </w:rPr>
                    <w:t>各功能区布局合理、分隔明确，有效地预防和降低产品受污染的可能性，符合厂房和车间内部的设计要求</w:t>
                  </w:r>
                </w:p>
              </w:tc>
              <w:tc>
                <w:tcPr>
                  <w:tcW w:w="490" w:type="pct"/>
                  <w:vAlign w:val="center"/>
                </w:tcPr>
                <w:p w14:paraId="10D8787E">
                  <w:pPr>
                    <w:pStyle w:val="30"/>
                    <w:framePr w:hSpace="0" w:wrap="auto" w:vAnchor="margin" w:hAnchor="text" w:xAlign="left" w:yAlign="inline"/>
                    <w:overflowPunct w:val="0"/>
                    <w:rPr>
                      <w:color w:val="auto"/>
                    </w:rPr>
                  </w:pPr>
                  <w:r>
                    <w:rPr>
                      <w:rFonts w:hint="eastAsia"/>
                      <w:color w:val="auto"/>
                    </w:rPr>
                    <w:t>符合</w:t>
                  </w:r>
                </w:p>
              </w:tc>
            </w:tr>
          </w:tbl>
          <w:p w14:paraId="7C31D779">
            <w:pPr>
              <w:overflowPunct w:val="0"/>
              <w:adjustRightInd w:val="0"/>
              <w:snapToGrid w:val="0"/>
              <w:ind w:firstLine="480" w:firstLineChars="200"/>
              <w:rPr>
                <w:color w:val="auto"/>
              </w:rPr>
            </w:pPr>
            <w:r>
              <w:rPr>
                <w:rFonts w:hint="eastAsia"/>
                <w:color w:val="auto"/>
              </w:rPr>
              <w:t>采取以上措施后，本项目选址符合《食品安全国家标准 食品生产通用卫生规范》（GB14881-2013）中相关要求。</w:t>
            </w:r>
          </w:p>
          <w:p w14:paraId="14442344">
            <w:pPr>
              <w:overflowPunct w:val="0"/>
              <w:rPr>
                <w:b/>
                <w:bCs/>
                <w:color w:val="auto"/>
              </w:rPr>
            </w:pPr>
            <w:r>
              <w:rPr>
                <w:rFonts w:hint="eastAsia"/>
                <w:b/>
                <w:bCs/>
                <w:color w:val="auto"/>
              </w:rPr>
              <w:t>5、</w:t>
            </w:r>
            <w:r>
              <w:rPr>
                <w:b/>
                <w:bCs/>
                <w:color w:val="auto"/>
              </w:rPr>
              <w:t>规划选址符合性分析</w:t>
            </w:r>
          </w:p>
          <w:p w14:paraId="3CE2FE6A">
            <w:pPr>
              <w:overflowPunct w:val="0"/>
              <w:ind w:firstLine="480" w:firstLineChars="200"/>
              <w:rPr>
                <w:color w:val="auto"/>
                <w:lang w:val="zh-CN"/>
              </w:rPr>
            </w:pPr>
            <w:r>
              <w:rPr>
                <w:rFonts w:hint="eastAsia"/>
                <w:color w:val="auto"/>
                <w:lang w:val="zh-CN"/>
              </w:rPr>
              <w:t>（</w:t>
            </w:r>
            <w:r>
              <w:rPr>
                <w:rFonts w:hint="eastAsia"/>
                <w:color w:val="auto"/>
              </w:rPr>
              <w:t>1</w:t>
            </w:r>
            <w:r>
              <w:rPr>
                <w:rFonts w:hint="eastAsia"/>
                <w:color w:val="auto"/>
                <w:lang w:val="zh-CN"/>
              </w:rPr>
              <w:t>）规划用地可行性分析</w:t>
            </w:r>
          </w:p>
          <w:p w14:paraId="5481A39A">
            <w:pPr>
              <w:overflowPunct w:val="0"/>
              <w:ind w:firstLine="480" w:firstLineChars="200"/>
              <w:rPr>
                <w:color w:val="auto"/>
                <w:lang w:val="zh-CN"/>
              </w:rPr>
            </w:pPr>
            <w:r>
              <w:rPr>
                <w:rFonts w:hint="eastAsia"/>
                <w:color w:val="auto"/>
                <w:lang w:val="zh-CN"/>
              </w:rPr>
              <w:t>本项目位于淮南市</w:t>
            </w:r>
            <w:r>
              <w:rPr>
                <w:rFonts w:hint="eastAsia"/>
                <w:color w:val="auto"/>
              </w:rPr>
              <w:t>田家庵经济开发区（北区）标准化厂房6号楼西</w:t>
            </w:r>
            <w:r>
              <w:rPr>
                <w:rFonts w:hint="eastAsia"/>
                <w:color w:val="auto"/>
                <w:lang w:val="zh-CN"/>
              </w:rPr>
              <w:t>，项目所在地用地性</w:t>
            </w:r>
            <w:r>
              <w:rPr>
                <w:color w:val="auto"/>
                <w:lang w:val="zh-CN"/>
              </w:rPr>
              <w:t>质为工业用</w:t>
            </w:r>
            <w:r>
              <w:rPr>
                <w:color w:val="auto"/>
              </w:rPr>
              <w:t>地，所在</w:t>
            </w:r>
            <w:r>
              <w:rPr>
                <w:color w:val="auto"/>
                <w:lang w:val="zh-CN"/>
              </w:rPr>
              <w:t>地</w:t>
            </w:r>
            <w:r>
              <w:rPr>
                <w:color w:val="auto"/>
              </w:rPr>
              <w:t>厂区</w:t>
            </w:r>
            <w:r>
              <w:rPr>
                <w:rFonts w:hint="eastAsia"/>
                <w:color w:val="auto"/>
              </w:rPr>
              <w:t>四周均为园区道路和标准化厂房</w:t>
            </w:r>
            <w:r>
              <w:rPr>
                <w:color w:val="auto"/>
                <w:lang w:val="zh-CN"/>
              </w:rPr>
              <w:t>，建设规模、选址、设点、布局均与周围环</w:t>
            </w:r>
            <w:r>
              <w:rPr>
                <w:rFonts w:hint="eastAsia"/>
                <w:color w:val="auto"/>
                <w:lang w:val="zh-CN"/>
              </w:rPr>
              <w:t>境相容，在采取本环评中要求的污染防治措施后，各项污染物均可达标排放，对周边环境影响很小。</w:t>
            </w:r>
          </w:p>
          <w:p w14:paraId="5B4B5D56">
            <w:pPr>
              <w:overflowPunct w:val="0"/>
              <w:ind w:firstLine="480" w:firstLineChars="200"/>
              <w:rPr>
                <w:color w:val="auto"/>
                <w:lang w:val="zh-CN"/>
              </w:rPr>
            </w:pPr>
            <w:r>
              <w:rPr>
                <w:rFonts w:hint="eastAsia"/>
                <w:color w:val="auto"/>
                <w:lang w:val="zh-CN"/>
              </w:rPr>
              <w:t>（</w:t>
            </w:r>
            <w:r>
              <w:rPr>
                <w:rFonts w:hint="eastAsia"/>
                <w:color w:val="auto"/>
              </w:rPr>
              <w:t>2</w:t>
            </w:r>
            <w:r>
              <w:rPr>
                <w:rFonts w:hint="eastAsia"/>
                <w:color w:val="auto"/>
                <w:lang w:val="zh-CN"/>
              </w:rPr>
              <w:t>）环境相容性分析</w:t>
            </w:r>
          </w:p>
          <w:p w14:paraId="26952A29">
            <w:pPr>
              <w:overflowPunct w:val="0"/>
              <w:ind w:firstLine="480" w:firstLineChars="200"/>
              <w:rPr>
                <w:color w:val="auto"/>
                <w:lang w:val="zh-CN"/>
              </w:rPr>
            </w:pPr>
            <w:r>
              <w:rPr>
                <w:rFonts w:hint="eastAsia"/>
                <w:color w:val="auto"/>
                <w:lang w:val="zh-CN"/>
              </w:rPr>
              <w:t>根据现场踏勘，淮南市</w:t>
            </w:r>
            <w:r>
              <w:rPr>
                <w:rFonts w:hint="eastAsia"/>
                <w:color w:val="auto"/>
              </w:rPr>
              <w:t>田家庵经济开发区（北区）标准化厂房6号楼共三层，本项目</w:t>
            </w:r>
            <w:r>
              <w:rPr>
                <w:rFonts w:hint="eastAsia"/>
                <w:color w:val="auto"/>
                <w:lang w:val="zh-CN"/>
              </w:rPr>
              <w:t>租赁</w:t>
            </w:r>
            <w:r>
              <w:rPr>
                <w:rFonts w:hint="eastAsia"/>
                <w:color w:val="auto"/>
              </w:rPr>
              <w:t>一层、二层</w:t>
            </w:r>
            <w:r>
              <w:rPr>
                <w:rFonts w:hint="eastAsia"/>
                <w:color w:val="auto"/>
                <w:lang w:val="zh-CN"/>
              </w:rPr>
              <w:t>进行建设</w:t>
            </w:r>
            <w:r>
              <w:rPr>
                <w:rFonts w:hint="eastAsia"/>
                <w:color w:val="auto"/>
              </w:rPr>
              <w:t>。</w:t>
            </w:r>
          </w:p>
          <w:p w14:paraId="33968454">
            <w:pPr>
              <w:overflowPunct w:val="0"/>
              <w:ind w:firstLine="480" w:firstLineChars="200"/>
              <w:rPr>
                <w:color w:val="auto"/>
              </w:rPr>
            </w:pPr>
            <w:r>
              <w:rPr>
                <w:rFonts w:hint="eastAsia"/>
                <w:color w:val="auto"/>
                <w:lang w:val="zh-CN"/>
              </w:rPr>
              <w:t>项目所在区域既不涉及饮用水源保护区、自然保护区等依法设立的自然、文化保护地，也不是基本农田、基本森林、重要湿地等生态敏感与脆弱区，同时也不是具历史、文化、科学、民族意义的保护区及社会关注区。</w:t>
            </w:r>
            <w:r>
              <w:rPr>
                <w:rFonts w:hint="eastAsia"/>
                <w:color w:val="auto"/>
              </w:rPr>
              <w:t>根据工程分析，</w:t>
            </w:r>
            <w:r>
              <w:rPr>
                <w:color w:val="auto"/>
                <w:lang w:val="zh-CN"/>
              </w:rPr>
              <w:t>本项目自身产污环节较少，污染物相对简单，在落实本次环评提出的相关污染防治措施，并认真履行“三同时”制度后，各污染物均可实现达标排放，且不会降低评价区域原有功能级别，对区域环境影响较小</w:t>
            </w:r>
            <w:r>
              <w:rPr>
                <w:rFonts w:hint="eastAsia"/>
                <w:color w:val="auto"/>
                <w:lang w:val="zh-CN"/>
              </w:rPr>
              <w:t>；</w:t>
            </w:r>
            <w:r>
              <w:rPr>
                <w:rFonts w:hint="eastAsia"/>
                <w:color w:val="auto"/>
              </w:rPr>
              <w:t>且周边环境对本项目也影响较小。</w:t>
            </w:r>
          </w:p>
          <w:p w14:paraId="5AFF0F29">
            <w:pPr>
              <w:widowControl/>
              <w:ind w:firstLine="480" w:firstLineChars="200"/>
              <w:jc w:val="left"/>
              <w:rPr>
                <w:color w:val="auto"/>
              </w:rPr>
            </w:pPr>
            <w:r>
              <w:rPr>
                <w:rFonts w:hint="eastAsia"/>
                <w:color w:val="auto"/>
              </w:rPr>
              <w:t>项目所在地厂区东侧为标准化厂房（暂无企业入驻）；南侧隔开发区道路为景峰节能玻璃；西侧隔中心沟为安徽嘉润生物科技有限公司；北侧隔园区道路为淮南经纬智能制造有限公司。根据现场踏勘及查阅相关资料，淮南市景峰玻璃有限公司主要从事玻璃深加工，废气主要为VOCs及颗粒物，磨边工序采用湿法工艺减少粉尘，涂胶及高压釜有机废气经二级活性炭吸附装置处理后通过15m高排气筒达标排放；安徽嘉润生物科技有限公司主要生产产品为胶原多肽蛋白，粉碎、筛选粉尘经密闭收集+袋式除尘器处理后达标排放；淮南经纬通智能制造有限公司主要从事汽车线束产品组装、销售。周边企业均不涉及大量有害气体的排放，废气排放企业已履行环保手续并配套相应废气治理设施，与本项目不存在环境制约因素。</w:t>
            </w:r>
          </w:p>
          <w:p w14:paraId="1F48F92D">
            <w:pPr>
              <w:overflowPunct w:val="0"/>
              <w:ind w:firstLine="480" w:firstLineChars="200"/>
              <w:rPr>
                <w:color w:val="auto"/>
                <w:lang w:val="zh-CN"/>
              </w:rPr>
            </w:pPr>
            <w:r>
              <w:rPr>
                <w:color w:val="auto"/>
                <w:lang w:val="zh-CN"/>
              </w:rPr>
              <w:t>综上</w:t>
            </w:r>
            <w:r>
              <w:rPr>
                <w:rFonts w:hint="eastAsia"/>
                <w:color w:val="auto"/>
              </w:rPr>
              <w:t>分析</w:t>
            </w:r>
            <w:r>
              <w:rPr>
                <w:color w:val="auto"/>
                <w:lang w:val="zh-CN"/>
              </w:rPr>
              <w:t>，</w:t>
            </w:r>
            <w:r>
              <w:rPr>
                <w:rFonts w:hint="eastAsia"/>
                <w:color w:val="auto"/>
              </w:rPr>
              <w:t>本项目与园区及周边环境相容性较好</w:t>
            </w:r>
            <w:r>
              <w:rPr>
                <w:rFonts w:hint="eastAsia"/>
                <w:color w:val="auto"/>
                <w:lang w:val="zh-CN"/>
              </w:rPr>
              <w:t>，</w:t>
            </w:r>
            <w:r>
              <w:rPr>
                <w:color w:val="auto"/>
                <w:lang w:val="zh-CN"/>
              </w:rPr>
              <w:t>选址较为合理。</w:t>
            </w:r>
          </w:p>
          <w:p w14:paraId="4BF7756C">
            <w:pPr>
              <w:overflowPunct w:val="0"/>
              <w:ind w:firstLine="480" w:firstLineChars="200"/>
              <w:rPr>
                <w:color w:val="auto"/>
                <w:lang w:val="zh-CN"/>
              </w:rPr>
            </w:pPr>
            <w:r>
              <w:rPr>
                <w:rFonts w:hint="eastAsia"/>
                <w:color w:val="auto"/>
                <w:lang w:val="zh-CN"/>
              </w:rPr>
              <w:t>（</w:t>
            </w:r>
            <w:r>
              <w:rPr>
                <w:rFonts w:hint="eastAsia"/>
                <w:color w:val="auto"/>
              </w:rPr>
              <w:t>3</w:t>
            </w:r>
            <w:r>
              <w:rPr>
                <w:rFonts w:hint="eastAsia"/>
                <w:color w:val="auto"/>
                <w:lang w:val="zh-CN"/>
              </w:rPr>
              <w:t>）区域配套</w:t>
            </w:r>
          </w:p>
          <w:p w14:paraId="59938049">
            <w:pPr>
              <w:overflowPunct w:val="0"/>
              <w:ind w:firstLine="480" w:firstLineChars="200"/>
              <w:rPr>
                <w:color w:val="auto"/>
                <w:lang w:val="zh-CN"/>
              </w:rPr>
            </w:pPr>
            <w:r>
              <w:rPr>
                <w:rFonts w:hint="eastAsia"/>
                <w:color w:val="auto"/>
                <w:lang w:val="zh-CN"/>
              </w:rPr>
              <w:t>本项目位于安徽省淮南市</w:t>
            </w:r>
            <w:r>
              <w:rPr>
                <w:rFonts w:hint="eastAsia"/>
                <w:color w:val="auto"/>
              </w:rPr>
              <w:t>田家庵经济开发区（北区）</w:t>
            </w:r>
            <w:r>
              <w:rPr>
                <w:rFonts w:hint="eastAsia"/>
                <w:color w:val="auto"/>
                <w:lang w:val="zh-CN"/>
              </w:rPr>
              <w:t>，项目区域范围内供水、排水、电力、</w:t>
            </w:r>
            <w:r>
              <w:rPr>
                <w:rFonts w:hint="eastAsia"/>
                <w:color w:val="auto"/>
              </w:rPr>
              <w:t>通讯</w:t>
            </w:r>
            <w:r>
              <w:rPr>
                <w:rFonts w:hint="eastAsia"/>
                <w:color w:val="auto"/>
                <w:lang w:val="zh-CN"/>
              </w:rPr>
              <w:t>等基础设施完善，本项目所在</w:t>
            </w:r>
            <w:r>
              <w:rPr>
                <w:rFonts w:hint="eastAsia"/>
                <w:color w:val="auto"/>
              </w:rPr>
              <w:t>区域</w:t>
            </w:r>
            <w:r>
              <w:rPr>
                <w:rFonts w:hint="eastAsia"/>
                <w:color w:val="auto"/>
                <w:lang w:val="zh-CN"/>
              </w:rPr>
              <w:t>交通较为便利。</w:t>
            </w:r>
          </w:p>
          <w:p w14:paraId="3D72FF3C">
            <w:pPr>
              <w:overflowPunct w:val="0"/>
              <w:adjustRightInd w:val="0"/>
              <w:snapToGrid w:val="0"/>
              <w:ind w:firstLine="480" w:firstLineChars="200"/>
              <w:rPr>
                <w:color w:val="auto"/>
                <w:lang w:val="zh-CN"/>
              </w:rPr>
            </w:pPr>
            <w:r>
              <w:rPr>
                <w:rFonts w:hint="eastAsia"/>
                <w:color w:val="auto"/>
                <w:lang w:val="zh-CN"/>
              </w:rPr>
              <w:t>综上，从规划用地可行性、环境相容性、区域配套等方面考量，本项目选址符合国家及地方的政策、规划要求，选址较为合理。</w:t>
            </w:r>
          </w:p>
        </w:tc>
      </w:tr>
      <w:bookmarkEnd w:id="11"/>
    </w:tbl>
    <w:p w14:paraId="29F58139">
      <w:pPr>
        <w:sectPr>
          <w:headerReference r:id="rId10" w:type="default"/>
          <w:footerReference r:id="rId11" w:type="default"/>
          <w:pgSz w:w="11906" w:h="16838"/>
          <w:pgMar w:top="1440" w:right="1800" w:bottom="1617" w:left="1800" w:header="851" w:footer="850" w:gutter="0"/>
          <w:pgNumType w:start="1"/>
          <w:cols w:space="720" w:num="1"/>
          <w:docGrid w:linePitch="312" w:charSpace="0"/>
        </w:sectPr>
      </w:pPr>
    </w:p>
    <w:p w14:paraId="621B186C">
      <w:pPr>
        <w:pStyle w:val="2"/>
        <w:framePr w:wrap="around"/>
      </w:pPr>
      <w:bookmarkStart w:id="16" w:name="_Toc25807"/>
      <w:r>
        <w:t>二、建设项目工程分析</w:t>
      </w:r>
      <w:bookmarkEnd w:id="16"/>
    </w:p>
    <w:tbl>
      <w:tblPr>
        <w:tblStyle w:val="2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5"/>
        <w:gridCol w:w="8067"/>
      </w:tblGrid>
      <w:tr w14:paraId="5FACF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7" w:hRule="atLeast"/>
          <w:jc w:val="center"/>
        </w:trPr>
        <w:tc>
          <w:tcPr>
            <w:tcW w:w="814" w:type="dxa"/>
            <w:vAlign w:val="center"/>
          </w:tcPr>
          <w:p w14:paraId="4389F5D6">
            <w:pPr>
              <w:adjustRightInd w:val="0"/>
              <w:snapToGrid w:val="0"/>
              <w:jc w:val="center"/>
              <w:rPr>
                <w:color w:val="auto"/>
                <w:szCs w:val="21"/>
              </w:rPr>
            </w:pPr>
            <w:r>
              <w:rPr>
                <w:color w:val="auto"/>
              </w:rPr>
              <w:t>设内容</w:t>
            </w:r>
          </w:p>
        </w:tc>
        <w:tc>
          <w:tcPr>
            <w:tcW w:w="7708" w:type="dxa"/>
          </w:tcPr>
          <w:p w14:paraId="18CF28E9">
            <w:pPr>
              <w:pStyle w:val="3"/>
              <w:rPr>
                <w:color w:val="auto"/>
              </w:rPr>
            </w:pPr>
            <w:bookmarkStart w:id="17" w:name="_Toc10708"/>
            <w:r>
              <w:rPr>
                <w:rFonts w:hint="eastAsia"/>
                <w:color w:val="auto"/>
              </w:rPr>
              <w:t>2.1项目概况</w:t>
            </w:r>
            <w:bookmarkEnd w:id="17"/>
          </w:p>
          <w:p w14:paraId="128A79AA">
            <w:pPr>
              <w:widowControl/>
              <w:spacing w:line="360" w:lineRule="auto"/>
              <w:ind w:firstLine="480" w:firstLineChars="200"/>
              <w:rPr>
                <w:rFonts w:hint="eastAsia" w:ascii="Times New Roman" w:hAnsi="Times New Roman" w:eastAsia="宋体" w:cs="Times New Roman"/>
                <w:color w:val="auto"/>
              </w:rPr>
            </w:pPr>
            <w:r>
              <w:rPr>
                <w:rFonts w:hint="eastAsia"/>
                <w:color w:val="auto"/>
              </w:rPr>
              <w:t>安徽淮记本食生物科技有限公司成立于</w:t>
            </w:r>
            <w:r>
              <w:rPr>
                <w:color w:val="auto"/>
              </w:rPr>
              <w:t>20</w:t>
            </w:r>
            <w:r>
              <w:rPr>
                <w:rFonts w:hint="eastAsia"/>
                <w:color w:val="auto"/>
              </w:rPr>
              <w:t>23年4月，专业从事食品加工、食品销售等业务，公司租用安徽省淮南市田家庵安成经济开发区（北区）标准化厂房，主要建设电商运营中心、部分功能区以及洁净化车间、全自动智能组装车间，主要用于生产淮南牛肉汤系列产品</w:t>
            </w:r>
            <w:r>
              <w:rPr>
                <w:rFonts w:hint="eastAsia" w:ascii="新宋体" w:hAnsi="新宋体" w:eastAsia="新宋体" w:cs="新宋体"/>
                <w:color w:val="auto"/>
              </w:rPr>
              <w:t>。</w:t>
            </w:r>
            <w:r>
              <w:rPr>
                <w:rFonts w:hint="eastAsia"/>
                <w:color w:val="auto"/>
              </w:rPr>
              <w:t>项目建成后可形成年产30</w:t>
            </w:r>
            <w:r>
              <w:rPr>
                <w:rFonts w:hint="eastAsia" w:ascii="Times New Roman" w:hAnsi="Times New Roman" w:eastAsia="宋体" w:cs="Times New Roman"/>
                <w:color w:val="auto"/>
              </w:rPr>
              <w:t>0万袋淮南牛肉汤系列产品的生产能力。</w:t>
            </w:r>
          </w:p>
          <w:p w14:paraId="65E1BF57">
            <w:pPr>
              <w:widowControl/>
              <w:spacing w:line="360" w:lineRule="auto"/>
              <w:ind w:firstLine="480" w:firstLineChars="200"/>
              <w:rPr>
                <w:color w:val="auto"/>
              </w:rPr>
            </w:pPr>
            <w:r>
              <w:rPr>
                <w:rFonts w:hint="eastAsia" w:ascii="Times New Roman" w:hAnsi="Times New Roman" w:eastAsia="宋体" w:cs="Times New Roman"/>
                <w:color w:val="auto"/>
              </w:rPr>
              <w:t>2025年9月15日，安徽淮记本食生物科技有限</w:t>
            </w:r>
            <w:r>
              <w:rPr>
                <w:rFonts w:hint="eastAsia"/>
                <w:color w:val="auto"/>
              </w:rPr>
              <w:t>公司</w:t>
            </w:r>
            <w:r>
              <w:rPr>
                <w:color w:val="auto"/>
              </w:rPr>
              <w:t>取得</w:t>
            </w:r>
            <w:r>
              <w:rPr>
                <w:rFonts w:hint="eastAsia"/>
                <w:color w:val="auto"/>
              </w:rPr>
              <w:t>淮南市田家庵安成经济开发区（北区）管委会经济发展局</w:t>
            </w:r>
            <w:r>
              <w:rPr>
                <w:color w:val="auto"/>
              </w:rPr>
              <w:t>关于本项目的</w:t>
            </w:r>
            <w:r>
              <w:rPr>
                <w:rFonts w:hint="eastAsia"/>
                <w:color w:val="auto"/>
              </w:rPr>
              <w:t>备案，</w:t>
            </w:r>
            <w:r>
              <w:rPr>
                <w:color w:val="auto"/>
              </w:rPr>
              <w:t>项目代码：</w:t>
            </w:r>
            <w:r>
              <w:rPr>
                <w:rFonts w:hint="eastAsia"/>
                <w:color w:val="auto"/>
              </w:rPr>
              <w:t>2509-340403-04-01-371227</w:t>
            </w:r>
            <w:r>
              <w:rPr>
                <w:color w:val="auto"/>
              </w:rPr>
              <w:t>。</w:t>
            </w:r>
          </w:p>
          <w:p w14:paraId="6B2A3B88">
            <w:pPr>
              <w:spacing w:line="360" w:lineRule="auto"/>
              <w:ind w:firstLine="480"/>
              <w:rPr>
                <w:color w:val="auto"/>
              </w:rPr>
            </w:pPr>
            <w:r>
              <w:rPr>
                <w:rFonts w:hint="eastAsia"/>
                <w:color w:val="auto"/>
              </w:rPr>
              <w:t>根据《中华人民共和国环境保护法》《中华人民共和国环境影响评价法》《建设项目环境保护管理条例》（国令第682号）、《建设项目环境影响评价分类管理名录》（2021年版）等法规文件。本项目属于“十一、食品制造业14”中的“21、方便食品制造143”中的“除单纯分装外的”，故确定项目环评形式为环境影响评价报告表。</w:t>
            </w:r>
          </w:p>
          <w:p w14:paraId="454B89DE">
            <w:pPr>
              <w:spacing w:line="360" w:lineRule="auto"/>
              <w:ind w:firstLine="480"/>
              <w:rPr>
                <w:color w:val="auto"/>
              </w:rPr>
            </w:pPr>
            <w:r>
              <w:rPr>
                <w:color w:val="auto"/>
              </w:rPr>
              <w:t>为此，</w:t>
            </w:r>
            <w:r>
              <w:rPr>
                <w:rFonts w:hint="eastAsia"/>
                <w:color w:val="auto"/>
              </w:rPr>
              <w:t>安徽淮记本食生物科技有限公司</w:t>
            </w:r>
            <w:r>
              <w:rPr>
                <w:color w:val="auto"/>
              </w:rPr>
              <w:t>委托</w:t>
            </w:r>
            <w:r>
              <w:rPr>
                <w:rFonts w:hint="eastAsia"/>
                <w:color w:val="auto"/>
              </w:rPr>
              <w:t>淮南环顺环境科技有限公司</w:t>
            </w:r>
            <w:r>
              <w:rPr>
                <w:color w:val="auto"/>
              </w:rPr>
              <w:t>承担本项目环境影响评价工作。</w:t>
            </w:r>
            <w:r>
              <w:rPr>
                <w:rFonts w:hint="eastAsia"/>
                <w:color w:val="auto"/>
              </w:rPr>
              <w:t>接受委托后，我公司组织技术人员收集相关资料并进行现场踏勘调查，在了解项目所在地及周围环境概况后，本着客观、公正、科学、规范的原则，编制了本环境影响评价报告表。</w:t>
            </w:r>
          </w:p>
          <w:p w14:paraId="618F97F5">
            <w:pPr>
              <w:pStyle w:val="6"/>
              <w:adjustRightInd w:val="0"/>
              <w:snapToGrid w:val="0"/>
              <w:rPr>
                <w:color w:val="auto"/>
              </w:rPr>
            </w:pPr>
            <w:r>
              <w:rPr>
                <w:color w:val="auto"/>
              </w:rPr>
              <w:t xml:space="preserve">表 </w:t>
            </w:r>
            <w:r>
              <w:rPr>
                <w:rFonts w:hint="eastAsia"/>
                <w:color w:val="auto"/>
              </w:rPr>
              <w:t>2-</w:t>
            </w:r>
            <w:r>
              <w:rPr>
                <w:color w:val="auto"/>
              </w:rPr>
              <w:fldChar w:fldCharType="begin"/>
            </w:r>
            <w:r>
              <w:rPr>
                <w:color w:val="auto"/>
              </w:rPr>
              <w:instrText xml:space="preserve"> SEQ 表 \* ARABIC \s 1 </w:instrText>
            </w:r>
            <w:r>
              <w:rPr>
                <w:color w:val="auto"/>
              </w:rPr>
              <w:fldChar w:fldCharType="separate"/>
            </w:r>
            <w:r>
              <w:rPr>
                <w:color w:val="auto"/>
              </w:rPr>
              <w:t>4</w:t>
            </w:r>
            <w:r>
              <w:rPr>
                <w:color w:val="auto"/>
              </w:rPr>
              <w:fldChar w:fldCharType="end"/>
            </w:r>
            <w:r>
              <w:rPr>
                <w:color w:val="auto"/>
              </w:rPr>
              <w:t>项目环评分类管理类别判定</w:t>
            </w:r>
          </w:p>
          <w:tbl>
            <w:tblPr>
              <w:tblStyle w:val="2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6"/>
              <w:gridCol w:w="2152"/>
              <w:gridCol w:w="1741"/>
              <w:gridCol w:w="1656"/>
              <w:gridCol w:w="1816"/>
            </w:tblGrid>
            <w:tr w14:paraId="51146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2859" w:type="dxa"/>
                  <w:gridSpan w:val="2"/>
                  <w:tcBorders>
                    <w:tl2br w:val="single" w:color="auto" w:sz="4" w:space="0"/>
                  </w:tcBorders>
                  <w:vAlign w:val="center"/>
                </w:tcPr>
                <w:p w14:paraId="0B701A90">
                  <w:pPr>
                    <w:pStyle w:val="30"/>
                    <w:framePr w:hSpace="0" w:wrap="auto" w:vAnchor="margin" w:hAnchor="text" w:xAlign="left" w:yAlign="inline"/>
                    <w:rPr>
                      <w:color w:val="auto"/>
                    </w:rPr>
                  </w:pPr>
                  <w:r>
                    <w:rPr>
                      <w:color w:val="auto"/>
                    </w:rPr>
                    <w:t>环评类别</w:t>
                  </w:r>
                </w:p>
                <w:p w14:paraId="5AD88CB9">
                  <w:pPr>
                    <w:pStyle w:val="30"/>
                    <w:framePr w:hSpace="0" w:wrap="auto" w:vAnchor="margin" w:hAnchor="text" w:xAlign="left" w:yAlign="inline"/>
                    <w:jc w:val="both"/>
                    <w:rPr>
                      <w:color w:val="auto"/>
                    </w:rPr>
                  </w:pPr>
                  <w:r>
                    <w:rPr>
                      <w:color w:val="auto"/>
                    </w:rPr>
                    <w:t>项目类别</w:t>
                  </w:r>
                </w:p>
              </w:tc>
              <w:tc>
                <w:tcPr>
                  <w:tcW w:w="1950" w:type="dxa"/>
                  <w:vAlign w:val="center"/>
                </w:tcPr>
                <w:p w14:paraId="7F329266">
                  <w:pPr>
                    <w:pStyle w:val="30"/>
                    <w:framePr w:hSpace="0" w:wrap="auto" w:vAnchor="margin" w:hAnchor="text" w:xAlign="left" w:yAlign="inline"/>
                    <w:rPr>
                      <w:color w:val="auto"/>
                    </w:rPr>
                  </w:pPr>
                  <w:r>
                    <w:rPr>
                      <w:color w:val="auto"/>
                    </w:rPr>
                    <w:t>报告书</w:t>
                  </w:r>
                </w:p>
              </w:tc>
              <w:tc>
                <w:tcPr>
                  <w:tcW w:w="1852" w:type="dxa"/>
                  <w:vAlign w:val="center"/>
                </w:tcPr>
                <w:p w14:paraId="15260110">
                  <w:pPr>
                    <w:pStyle w:val="30"/>
                    <w:framePr w:hSpace="0" w:wrap="auto" w:vAnchor="margin" w:hAnchor="text" w:xAlign="left" w:yAlign="inline"/>
                    <w:rPr>
                      <w:color w:val="auto"/>
                    </w:rPr>
                  </w:pPr>
                  <w:r>
                    <w:rPr>
                      <w:color w:val="auto"/>
                    </w:rPr>
                    <w:t>报告表</w:t>
                  </w:r>
                </w:p>
              </w:tc>
              <w:tc>
                <w:tcPr>
                  <w:tcW w:w="2037" w:type="dxa"/>
                  <w:vAlign w:val="center"/>
                </w:tcPr>
                <w:p w14:paraId="1F65508C">
                  <w:pPr>
                    <w:pStyle w:val="30"/>
                    <w:framePr w:hSpace="0" w:wrap="auto" w:vAnchor="margin" w:hAnchor="text" w:xAlign="left" w:yAlign="inline"/>
                    <w:rPr>
                      <w:color w:val="auto"/>
                    </w:rPr>
                  </w:pPr>
                  <w:r>
                    <w:rPr>
                      <w:color w:val="auto"/>
                    </w:rPr>
                    <w:t>登记表</w:t>
                  </w:r>
                </w:p>
              </w:tc>
            </w:tr>
            <w:tr w14:paraId="5A1AC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698" w:type="dxa"/>
                  <w:gridSpan w:val="5"/>
                  <w:vAlign w:val="center"/>
                </w:tcPr>
                <w:p w14:paraId="0A0322BC">
                  <w:pPr>
                    <w:pStyle w:val="30"/>
                    <w:framePr w:hSpace="0" w:wrap="auto" w:vAnchor="margin" w:hAnchor="text" w:xAlign="left" w:yAlign="inline"/>
                    <w:rPr>
                      <w:color w:val="auto"/>
                    </w:rPr>
                  </w:pPr>
                  <w:r>
                    <w:rPr>
                      <w:rFonts w:hint="eastAsia"/>
                      <w:color w:val="auto"/>
                    </w:rPr>
                    <w:t>十一、食品制造业14</w:t>
                  </w:r>
                </w:p>
              </w:tc>
            </w:tr>
            <w:tr w14:paraId="44E63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4" w:hRule="atLeast"/>
                <w:jc w:val="center"/>
              </w:trPr>
              <w:tc>
                <w:tcPr>
                  <w:tcW w:w="489" w:type="dxa"/>
                  <w:vAlign w:val="center"/>
                </w:tcPr>
                <w:p w14:paraId="0B092F52">
                  <w:pPr>
                    <w:pStyle w:val="30"/>
                    <w:framePr w:hSpace="0" w:wrap="auto" w:vAnchor="margin" w:hAnchor="text" w:xAlign="left" w:yAlign="inline"/>
                    <w:rPr>
                      <w:color w:val="auto"/>
                      <w:lang w:val="en-US"/>
                    </w:rPr>
                  </w:pPr>
                  <w:r>
                    <w:rPr>
                      <w:rFonts w:hint="eastAsia"/>
                      <w:color w:val="auto"/>
                      <w:lang w:val="en-US"/>
                    </w:rPr>
                    <w:t>21</w:t>
                  </w:r>
                </w:p>
              </w:tc>
              <w:tc>
                <w:tcPr>
                  <w:tcW w:w="2370" w:type="dxa"/>
                  <w:vAlign w:val="center"/>
                </w:tcPr>
                <w:p w14:paraId="7020FD11">
                  <w:pPr>
                    <w:pStyle w:val="30"/>
                    <w:framePr w:hSpace="0" w:wrap="auto" w:vAnchor="margin" w:hAnchor="text" w:xAlign="left" w:yAlign="inline"/>
                    <w:rPr>
                      <w:color w:val="auto"/>
                    </w:rPr>
                  </w:pPr>
                  <w:r>
                    <w:rPr>
                      <w:rFonts w:hint="eastAsia"/>
                      <w:color w:val="auto"/>
                    </w:rPr>
                    <w:t>糖果、巧克力及蜜饯制造142*；方便食品制造143*；罐头食品制造145*</w:t>
                  </w:r>
                </w:p>
              </w:tc>
              <w:tc>
                <w:tcPr>
                  <w:tcW w:w="1950" w:type="dxa"/>
                  <w:vAlign w:val="center"/>
                </w:tcPr>
                <w:p w14:paraId="5CD9A833">
                  <w:pPr>
                    <w:pStyle w:val="30"/>
                    <w:framePr w:hSpace="0" w:wrap="auto" w:vAnchor="margin" w:hAnchor="text" w:xAlign="left" w:yAlign="inline"/>
                    <w:rPr>
                      <w:color w:val="auto"/>
                    </w:rPr>
                  </w:pPr>
                  <w:r>
                    <w:rPr>
                      <w:rFonts w:hint="eastAsia"/>
                      <w:color w:val="auto"/>
                      <w:lang w:val="en-US"/>
                    </w:rPr>
                    <w:t>/</w:t>
                  </w:r>
                </w:p>
              </w:tc>
              <w:tc>
                <w:tcPr>
                  <w:tcW w:w="1852" w:type="dxa"/>
                  <w:vAlign w:val="center"/>
                </w:tcPr>
                <w:p w14:paraId="32A3E343">
                  <w:pPr>
                    <w:pStyle w:val="30"/>
                    <w:framePr w:hSpace="0" w:wrap="auto" w:vAnchor="margin" w:hAnchor="text" w:xAlign="left" w:yAlign="inline"/>
                    <w:rPr>
                      <w:color w:val="auto"/>
                    </w:rPr>
                  </w:pPr>
                  <w:r>
                    <w:rPr>
                      <w:rFonts w:hint="eastAsia"/>
                      <w:color w:val="auto"/>
                    </w:rPr>
                    <w:t>除单纯分装外的</w:t>
                  </w:r>
                </w:p>
              </w:tc>
              <w:tc>
                <w:tcPr>
                  <w:tcW w:w="2037" w:type="dxa"/>
                  <w:vAlign w:val="center"/>
                </w:tcPr>
                <w:p w14:paraId="217F5936">
                  <w:pPr>
                    <w:pStyle w:val="30"/>
                    <w:framePr w:hSpace="0" w:wrap="auto" w:vAnchor="margin" w:hAnchor="text" w:xAlign="left" w:yAlign="inline"/>
                    <w:rPr>
                      <w:color w:val="auto"/>
                    </w:rPr>
                  </w:pPr>
                  <w:r>
                    <w:rPr>
                      <w:color w:val="auto"/>
                    </w:rPr>
                    <w:t>/</w:t>
                  </w:r>
                </w:p>
              </w:tc>
            </w:tr>
          </w:tbl>
          <w:p w14:paraId="0DCF8EF2">
            <w:pPr>
              <w:ind w:firstLine="480" w:firstLineChars="200"/>
              <w:rPr>
                <w:color w:val="auto"/>
              </w:rPr>
            </w:pPr>
            <w:r>
              <w:rPr>
                <w:color w:val="auto"/>
              </w:rPr>
              <w:t>根据安徽省生态环境厅于2021年1月30日发布的《安徽省生态环境厅关于统筹做好固定污染源排污许可日常监管工作的通知》（皖环发〔2021〕7号），属于现行《固定污染源排污许可分类管理名录》内重点管理和简化管理的行业，在环评文件中应明确</w:t>
            </w:r>
            <w:r>
              <w:rPr>
                <w:rFonts w:hint="eastAsia"/>
                <w:color w:val="auto"/>
              </w:rPr>
              <w:t>“</w:t>
            </w:r>
            <w:r>
              <w:rPr>
                <w:color w:val="auto"/>
              </w:rPr>
              <w:t>建设项目环境影响评价与排污许可联动内容</w:t>
            </w:r>
            <w:r>
              <w:rPr>
                <w:rFonts w:hint="eastAsia"/>
                <w:color w:val="auto"/>
              </w:rPr>
              <w:t>”</w:t>
            </w:r>
            <w:r>
              <w:rPr>
                <w:color w:val="auto"/>
              </w:rPr>
              <w:t>。</w:t>
            </w:r>
          </w:p>
          <w:p w14:paraId="5D99E4B8">
            <w:pPr>
              <w:ind w:firstLine="480" w:firstLineChars="200"/>
              <w:rPr>
                <w:color w:val="auto"/>
              </w:rPr>
            </w:pPr>
            <w:r>
              <w:rPr>
                <w:color w:val="auto"/>
              </w:rPr>
              <w:t>根据《国民经济行业分类》（GB4754-2017），本项目行业类别为：</w:t>
            </w:r>
            <w:r>
              <w:rPr>
                <w:rFonts w:hint="eastAsia"/>
                <w:color w:val="auto"/>
              </w:rPr>
              <w:t>C1439其他方便食品制造</w:t>
            </w:r>
            <w:r>
              <w:rPr>
                <w:color w:val="auto"/>
              </w:rPr>
              <w:t>；对照《固定污染源排污许可分类管理名录》（2019年版），本项目属于《名录》中：</w:t>
            </w:r>
            <w:r>
              <w:rPr>
                <w:rFonts w:hint="eastAsia"/>
                <w:color w:val="auto"/>
              </w:rPr>
              <w:t>九、食品制造业14-17、方便食品制造143中“其他方便食品制造1439”，属简化管理。</w:t>
            </w:r>
          </w:p>
          <w:p w14:paraId="454D7CCA">
            <w:pPr>
              <w:pStyle w:val="6"/>
              <w:adjustRightInd w:val="0"/>
              <w:snapToGrid w:val="0"/>
              <w:rPr>
                <w:color w:val="auto"/>
              </w:rPr>
            </w:pPr>
            <w:r>
              <w:rPr>
                <w:color w:val="auto"/>
              </w:rPr>
              <w:t xml:space="preserve">表 </w:t>
            </w:r>
            <w:r>
              <w:rPr>
                <w:rFonts w:hint="eastAsia"/>
                <w:color w:val="auto"/>
              </w:rPr>
              <w:t>2-</w:t>
            </w:r>
            <w:r>
              <w:rPr>
                <w:color w:val="auto"/>
              </w:rPr>
              <w:fldChar w:fldCharType="begin"/>
            </w:r>
            <w:r>
              <w:rPr>
                <w:color w:val="auto"/>
              </w:rPr>
              <w:instrText xml:space="preserve"> SEQ 表 \* ARABIC \s 1 </w:instrText>
            </w:r>
            <w:r>
              <w:rPr>
                <w:color w:val="auto"/>
              </w:rPr>
              <w:fldChar w:fldCharType="separate"/>
            </w:r>
            <w:r>
              <w:rPr>
                <w:color w:val="auto"/>
              </w:rPr>
              <w:t>5</w:t>
            </w:r>
            <w:r>
              <w:rPr>
                <w:color w:val="auto"/>
              </w:rPr>
              <w:fldChar w:fldCharType="end"/>
            </w:r>
            <w:r>
              <w:rPr>
                <w:color w:val="auto"/>
              </w:rPr>
              <w:t>《固定污染源排污许可分类管理名录》（2019年版）</w:t>
            </w:r>
          </w:p>
          <w:tbl>
            <w:tblPr>
              <w:tblStyle w:val="2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7"/>
              <w:gridCol w:w="1587"/>
              <w:gridCol w:w="1031"/>
              <w:gridCol w:w="3559"/>
              <w:gridCol w:w="1017"/>
            </w:tblGrid>
            <w:tr w14:paraId="32DF3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648" w:type="dxa"/>
                  <w:vAlign w:val="center"/>
                </w:tcPr>
                <w:p w14:paraId="31B3D9FF">
                  <w:pPr>
                    <w:pStyle w:val="30"/>
                    <w:framePr w:hSpace="0" w:wrap="auto" w:vAnchor="margin" w:hAnchor="text" w:xAlign="left" w:yAlign="inline"/>
                    <w:rPr>
                      <w:color w:val="auto"/>
                    </w:rPr>
                  </w:pPr>
                  <w:r>
                    <w:rPr>
                      <w:rFonts w:hint="eastAsia"/>
                      <w:color w:val="auto"/>
                    </w:rPr>
                    <w:t>序号</w:t>
                  </w:r>
                </w:p>
              </w:tc>
              <w:tc>
                <w:tcPr>
                  <w:tcW w:w="1587" w:type="dxa"/>
                  <w:vAlign w:val="center"/>
                </w:tcPr>
                <w:p w14:paraId="41F9B987">
                  <w:pPr>
                    <w:pStyle w:val="30"/>
                    <w:framePr w:hSpace="0" w:wrap="auto" w:vAnchor="margin" w:hAnchor="text" w:xAlign="left" w:yAlign="inline"/>
                    <w:rPr>
                      <w:color w:val="auto"/>
                    </w:rPr>
                  </w:pPr>
                  <w:r>
                    <w:rPr>
                      <w:rFonts w:hint="eastAsia"/>
                      <w:color w:val="auto"/>
                    </w:rPr>
                    <w:t>行业类别</w:t>
                  </w:r>
                </w:p>
              </w:tc>
              <w:tc>
                <w:tcPr>
                  <w:tcW w:w="1031" w:type="dxa"/>
                  <w:vAlign w:val="center"/>
                </w:tcPr>
                <w:p w14:paraId="4E8C519B">
                  <w:pPr>
                    <w:pStyle w:val="30"/>
                    <w:framePr w:hSpace="0" w:wrap="auto" w:vAnchor="margin" w:hAnchor="text" w:xAlign="left" w:yAlign="inline"/>
                    <w:rPr>
                      <w:color w:val="auto"/>
                    </w:rPr>
                  </w:pPr>
                  <w:r>
                    <w:rPr>
                      <w:rFonts w:hint="eastAsia"/>
                      <w:color w:val="auto"/>
                    </w:rPr>
                    <w:t>重点管理</w:t>
                  </w:r>
                </w:p>
              </w:tc>
              <w:tc>
                <w:tcPr>
                  <w:tcW w:w="3560" w:type="dxa"/>
                  <w:vAlign w:val="center"/>
                </w:tcPr>
                <w:p w14:paraId="07DC5F2F">
                  <w:pPr>
                    <w:pStyle w:val="30"/>
                    <w:framePr w:hSpace="0" w:wrap="auto" w:vAnchor="margin" w:hAnchor="text" w:xAlign="left" w:yAlign="inline"/>
                    <w:rPr>
                      <w:color w:val="auto"/>
                    </w:rPr>
                  </w:pPr>
                  <w:r>
                    <w:rPr>
                      <w:rFonts w:hint="eastAsia"/>
                      <w:color w:val="auto"/>
                    </w:rPr>
                    <w:t>简化管理</w:t>
                  </w:r>
                </w:p>
              </w:tc>
              <w:tc>
                <w:tcPr>
                  <w:tcW w:w="1017" w:type="dxa"/>
                  <w:vAlign w:val="center"/>
                </w:tcPr>
                <w:p w14:paraId="686C0D51">
                  <w:pPr>
                    <w:pStyle w:val="30"/>
                    <w:framePr w:hSpace="0" w:wrap="auto" w:vAnchor="margin" w:hAnchor="text" w:xAlign="left" w:yAlign="inline"/>
                    <w:rPr>
                      <w:color w:val="auto"/>
                    </w:rPr>
                  </w:pPr>
                  <w:r>
                    <w:rPr>
                      <w:rFonts w:hint="eastAsia"/>
                      <w:color w:val="auto"/>
                    </w:rPr>
                    <w:t>登记管理</w:t>
                  </w:r>
                </w:p>
              </w:tc>
            </w:tr>
            <w:tr w14:paraId="54ABA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7843" w:type="dxa"/>
                  <w:gridSpan w:val="5"/>
                  <w:vAlign w:val="center"/>
                </w:tcPr>
                <w:p w14:paraId="10675EA5">
                  <w:pPr>
                    <w:pStyle w:val="30"/>
                    <w:framePr w:hSpace="0" w:wrap="auto" w:vAnchor="margin" w:hAnchor="text" w:xAlign="left" w:yAlign="inline"/>
                    <w:rPr>
                      <w:color w:val="auto"/>
                    </w:rPr>
                  </w:pPr>
                  <w:r>
                    <w:rPr>
                      <w:rFonts w:hint="eastAsia"/>
                      <w:color w:val="auto"/>
                    </w:rPr>
                    <w:t>九、食品制造业</w:t>
                  </w:r>
                  <w:r>
                    <w:rPr>
                      <w:rFonts w:hint="eastAsia"/>
                      <w:color w:val="auto"/>
                      <w:lang w:val="en-US"/>
                    </w:rPr>
                    <w:t>14</w:t>
                  </w:r>
                </w:p>
              </w:tc>
            </w:tr>
            <w:tr w14:paraId="481E6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648" w:type="dxa"/>
                  <w:vAlign w:val="center"/>
                </w:tcPr>
                <w:p w14:paraId="0E1F9CDF">
                  <w:pPr>
                    <w:pStyle w:val="30"/>
                    <w:framePr w:hSpace="0" w:wrap="auto" w:vAnchor="margin" w:hAnchor="text" w:xAlign="left" w:yAlign="inline"/>
                    <w:rPr>
                      <w:color w:val="auto"/>
                      <w:lang w:val="en-US"/>
                    </w:rPr>
                  </w:pPr>
                  <w:r>
                    <w:rPr>
                      <w:rFonts w:hint="eastAsia"/>
                      <w:color w:val="auto"/>
                      <w:lang w:val="en-US"/>
                    </w:rPr>
                    <w:t>17</w:t>
                  </w:r>
                </w:p>
              </w:tc>
              <w:tc>
                <w:tcPr>
                  <w:tcW w:w="1587" w:type="dxa"/>
                  <w:vAlign w:val="center"/>
                </w:tcPr>
                <w:p w14:paraId="3D98696E">
                  <w:pPr>
                    <w:pStyle w:val="30"/>
                    <w:framePr w:hSpace="0" w:wrap="auto" w:vAnchor="margin" w:hAnchor="text" w:xAlign="left" w:yAlign="inline"/>
                    <w:rPr>
                      <w:color w:val="auto"/>
                      <w:lang w:val="en-US"/>
                    </w:rPr>
                  </w:pPr>
                  <w:r>
                    <w:rPr>
                      <w:rFonts w:hint="eastAsia"/>
                      <w:color w:val="auto"/>
                      <w:lang w:val="en-US"/>
                    </w:rPr>
                    <w:t>方便食品制造143，其他食品制造149</w:t>
                  </w:r>
                </w:p>
              </w:tc>
              <w:tc>
                <w:tcPr>
                  <w:tcW w:w="1031" w:type="dxa"/>
                  <w:vAlign w:val="center"/>
                </w:tcPr>
                <w:p w14:paraId="4482B2E1">
                  <w:pPr>
                    <w:pStyle w:val="30"/>
                    <w:framePr w:hSpace="0" w:wrap="auto" w:vAnchor="margin" w:hAnchor="text" w:xAlign="left" w:yAlign="inline"/>
                    <w:rPr>
                      <w:color w:val="auto"/>
                    </w:rPr>
                  </w:pPr>
                  <w:r>
                    <w:rPr>
                      <w:rFonts w:hint="eastAsia"/>
                      <w:color w:val="auto"/>
                    </w:rPr>
                    <w:t>/</w:t>
                  </w:r>
                </w:p>
              </w:tc>
              <w:tc>
                <w:tcPr>
                  <w:tcW w:w="3560" w:type="dxa"/>
                  <w:vAlign w:val="center"/>
                </w:tcPr>
                <w:p w14:paraId="2E6FC23C">
                  <w:pPr>
                    <w:pStyle w:val="30"/>
                    <w:framePr w:hSpace="0" w:wrap="auto" w:vAnchor="margin" w:hAnchor="text" w:xAlign="left" w:yAlign="inline"/>
                    <w:rPr>
                      <w:color w:val="auto"/>
                    </w:rPr>
                  </w:pPr>
                  <w:r>
                    <w:rPr>
                      <w:rFonts w:hint="eastAsia"/>
                      <w:color w:val="auto"/>
                      <w:lang w:val="en-US"/>
                    </w:rPr>
                    <w:t>米、面制品制造1431，速冻食品制造1432，方便面制造1433，其他方便食品制造1439，食品及饲料添加剂制造1495，以上均不含手工制作、单纯混合或者分装的</w:t>
                  </w:r>
                </w:p>
              </w:tc>
              <w:tc>
                <w:tcPr>
                  <w:tcW w:w="1017" w:type="dxa"/>
                  <w:vAlign w:val="center"/>
                </w:tcPr>
                <w:p w14:paraId="01533B35">
                  <w:pPr>
                    <w:pStyle w:val="30"/>
                    <w:framePr w:hSpace="0" w:wrap="auto" w:vAnchor="margin" w:hAnchor="text" w:xAlign="left" w:yAlign="inline"/>
                    <w:rPr>
                      <w:color w:val="auto"/>
                    </w:rPr>
                  </w:pPr>
                  <w:r>
                    <w:rPr>
                      <w:rFonts w:hint="eastAsia"/>
                      <w:color w:val="auto"/>
                    </w:rPr>
                    <w:t>其他</w:t>
                  </w:r>
                </w:p>
              </w:tc>
            </w:tr>
          </w:tbl>
          <w:p w14:paraId="3F702400">
            <w:pPr>
              <w:pStyle w:val="3"/>
              <w:rPr>
                <w:color w:val="auto"/>
              </w:rPr>
            </w:pPr>
            <w:bookmarkStart w:id="18" w:name="_Toc13308"/>
            <w:r>
              <w:rPr>
                <w:rFonts w:hint="eastAsia"/>
                <w:color w:val="auto"/>
              </w:rPr>
              <w:t>2.2项目组成</w:t>
            </w:r>
            <w:bookmarkEnd w:id="18"/>
          </w:p>
          <w:p w14:paraId="554EABA2">
            <w:pPr>
              <w:ind w:firstLine="482" w:firstLineChars="200"/>
              <w:rPr>
                <w:b/>
                <w:color w:val="auto"/>
                <w:lang w:bidi="en-US"/>
              </w:rPr>
            </w:pPr>
            <w:r>
              <w:rPr>
                <w:rFonts w:hint="eastAsia"/>
                <w:b/>
                <w:color w:val="auto"/>
                <w:lang w:bidi="en-US"/>
              </w:rPr>
              <w:t>2.2.1基本概况</w:t>
            </w:r>
          </w:p>
          <w:p w14:paraId="7BF86BAE">
            <w:pPr>
              <w:ind w:firstLine="480" w:firstLineChars="200"/>
              <w:rPr>
                <w:color w:val="auto"/>
              </w:rPr>
            </w:pPr>
            <w:r>
              <w:rPr>
                <w:rFonts w:hint="eastAsia"/>
                <w:color w:val="auto"/>
              </w:rPr>
              <w:t>1、项目名称：现代智能化食品工厂及电商运营中心项目</w:t>
            </w:r>
          </w:p>
          <w:p w14:paraId="5C7F5821">
            <w:pPr>
              <w:ind w:firstLine="480" w:firstLineChars="200"/>
              <w:rPr>
                <w:color w:val="auto"/>
              </w:rPr>
            </w:pPr>
            <w:r>
              <w:rPr>
                <w:rFonts w:hint="eastAsia"/>
                <w:color w:val="auto"/>
              </w:rPr>
              <w:t>2、建设单位：安徽淮记本食生物科技有限公司</w:t>
            </w:r>
          </w:p>
          <w:p w14:paraId="203A25C6">
            <w:pPr>
              <w:ind w:firstLine="480" w:firstLineChars="200"/>
              <w:rPr>
                <w:color w:val="auto"/>
              </w:rPr>
            </w:pPr>
            <w:r>
              <w:rPr>
                <w:rFonts w:hint="eastAsia"/>
                <w:color w:val="auto"/>
              </w:rPr>
              <w:t>3、建设性质：新建</w:t>
            </w:r>
          </w:p>
          <w:p w14:paraId="7ABF2D75">
            <w:pPr>
              <w:ind w:firstLine="480" w:firstLineChars="200"/>
              <w:rPr>
                <w:color w:val="auto"/>
              </w:rPr>
            </w:pPr>
            <w:r>
              <w:rPr>
                <w:rFonts w:hint="eastAsia"/>
                <w:color w:val="auto"/>
              </w:rPr>
              <w:t>4、建设规模：本项目租用田家庵安成经济开发区（北区）管委会经济发展局经开区北区标准化厂房6号楼西一、二层，建筑面积</w:t>
            </w:r>
            <w:r>
              <w:rPr>
                <w:rFonts w:hint="eastAsia"/>
                <w:color w:val="auto"/>
                <w:lang w:eastAsia="zh-CN"/>
              </w:rPr>
              <w:t>4873.6</w:t>
            </w:r>
            <w:r>
              <w:rPr>
                <w:rFonts w:hint="eastAsia"/>
                <w:color w:val="auto"/>
              </w:rPr>
              <w:t>平方米，主要建设电商运营中心、部分功能</w:t>
            </w:r>
            <w:r>
              <w:rPr>
                <w:color w:val="auto"/>
              </w:rPr>
              <w:t>区以及洁净化车间、全自动智能组装车间，主要用于生产淮南牛肉汤系列产品</w:t>
            </w:r>
            <w:r>
              <w:rPr>
                <w:rFonts w:hint="eastAsia"/>
                <w:color w:val="auto"/>
              </w:rPr>
              <w:t>。项目建成后可形成年产共300万袋牛肉汤系列产品的生产能力。</w:t>
            </w:r>
          </w:p>
          <w:p w14:paraId="1B89651D">
            <w:pPr>
              <w:pStyle w:val="3"/>
              <w:ind w:firstLine="482" w:firstLineChars="200"/>
              <w:rPr>
                <w:color w:val="auto"/>
              </w:rPr>
            </w:pPr>
            <w:bookmarkStart w:id="19" w:name="_Toc1337"/>
            <w:r>
              <w:rPr>
                <w:rFonts w:hint="eastAsia"/>
                <w:color w:val="auto"/>
              </w:rPr>
              <w:t>2.2.2建设地点</w:t>
            </w:r>
            <w:bookmarkEnd w:id="19"/>
          </w:p>
          <w:p w14:paraId="5FB59A77">
            <w:pPr>
              <w:widowControl/>
              <w:ind w:firstLine="480" w:firstLineChars="200"/>
              <w:jc w:val="left"/>
              <w:rPr>
                <w:color w:val="auto"/>
              </w:rPr>
            </w:pPr>
            <w:r>
              <w:rPr>
                <w:rFonts w:hint="eastAsia"/>
                <w:color w:val="auto"/>
              </w:rPr>
              <w:t>本项目位于淮南市田家庵安成经济开发区（北区）标准化厂房6号楼西一、二层，项目用地性质为工业用地</w:t>
            </w:r>
            <w:r>
              <w:rPr>
                <w:color w:val="auto"/>
              </w:rPr>
              <w:t>。本项目在租赁</w:t>
            </w:r>
            <w:r>
              <w:rPr>
                <w:rFonts w:hint="eastAsia"/>
                <w:color w:val="auto"/>
              </w:rPr>
              <w:t>标准化</w:t>
            </w:r>
            <w:r>
              <w:rPr>
                <w:color w:val="auto"/>
              </w:rPr>
              <w:t>厂房内实施建设，</w:t>
            </w:r>
            <w:r>
              <w:rPr>
                <w:rFonts w:hint="eastAsia"/>
                <w:color w:val="auto"/>
              </w:rPr>
              <w:t>项目所在地厂区东侧为标准化厂房（暂无企业入驻）；南侧隔开发区道路为景峰节能玻璃；西侧隔中心沟为安徽嘉润生物科技有限公司；北侧隔园区道路为淮南经纬智能制造有限公司。</w:t>
            </w:r>
          </w:p>
          <w:p w14:paraId="6C04E7AD">
            <w:pPr>
              <w:ind w:firstLine="480" w:firstLineChars="200"/>
              <w:rPr>
                <w:color w:val="auto"/>
              </w:rPr>
            </w:pPr>
            <w:r>
              <w:rPr>
                <w:color w:val="auto"/>
              </w:rPr>
              <w:t>项目周边环境概况详见</w:t>
            </w:r>
            <w:r>
              <w:rPr>
                <w:rFonts w:hint="eastAsia"/>
                <w:color w:val="auto"/>
              </w:rPr>
              <w:t>下图</w:t>
            </w:r>
            <w:r>
              <w:rPr>
                <w:color w:val="auto"/>
              </w:rPr>
              <w:t>。</w:t>
            </w:r>
          </w:p>
          <w:p w14:paraId="6061F118">
            <w:pPr>
              <w:spacing w:line="360" w:lineRule="auto"/>
              <w:rPr>
                <w:color w:val="auto"/>
              </w:rPr>
            </w:pPr>
            <w:r>
              <w:rPr>
                <w:color w:val="auto"/>
              </w:rPr>
              <w:drawing>
                <wp:inline distT="0" distB="0" distL="114300" distR="114300">
                  <wp:extent cx="4980305" cy="3474720"/>
                  <wp:effectExtent l="9525" t="9525" r="20320" b="20955"/>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21"/>
                          <a:stretch>
                            <a:fillRect/>
                          </a:stretch>
                        </pic:blipFill>
                        <pic:spPr>
                          <a:xfrm>
                            <a:off x="0" y="0"/>
                            <a:ext cx="4980305" cy="3474720"/>
                          </a:xfrm>
                          <a:prstGeom prst="rect">
                            <a:avLst/>
                          </a:prstGeom>
                          <a:noFill/>
                          <a:ln>
                            <a:solidFill>
                              <a:schemeClr val="tx1"/>
                            </a:solidFill>
                          </a:ln>
                        </pic:spPr>
                      </pic:pic>
                    </a:graphicData>
                  </a:graphic>
                </wp:inline>
              </w:drawing>
            </w:r>
          </w:p>
          <w:p w14:paraId="2F93837A">
            <w:pPr>
              <w:pStyle w:val="6"/>
              <w:adjustRightInd w:val="0"/>
              <w:snapToGrid w:val="0"/>
              <w:rPr>
                <w:color w:val="auto"/>
              </w:rPr>
            </w:pPr>
            <w:r>
              <w:rPr>
                <w:color w:val="auto"/>
              </w:rPr>
              <w:t xml:space="preserve">图 </w:t>
            </w:r>
            <w:r>
              <w:rPr>
                <w:rFonts w:hint="eastAsia"/>
                <w:color w:val="auto"/>
              </w:rPr>
              <w:t>2-</w:t>
            </w:r>
            <w:r>
              <w:rPr>
                <w:color w:val="auto"/>
              </w:rPr>
              <w:fldChar w:fldCharType="begin"/>
            </w:r>
            <w:r>
              <w:rPr>
                <w:color w:val="auto"/>
              </w:rPr>
              <w:instrText xml:space="preserve"> SEQ 图 \* ARABIC \s 1 </w:instrText>
            </w:r>
            <w:r>
              <w:rPr>
                <w:color w:val="auto"/>
              </w:rPr>
              <w:fldChar w:fldCharType="separate"/>
            </w:r>
            <w:r>
              <w:rPr>
                <w:color w:val="auto"/>
              </w:rPr>
              <w:t>1</w:t>
            </w:r>
            <w:r>
              <w:rPr>
                <w:color w:val="auto"/>
              </w:rPr>
              <w:fldChar w:fldCharType="end"/>
            </w:r>
            <w:r>
              <w:rPr>
                <w:color w:val="auto"/>
              </w:rPr>
              <w:t>项目周边环境概况</w:t>
            </w:r>
            <w:r>
              <w:rPr>
                <w:rFonts w:hint="eastAsia"/>
                <w:color w:val="auto"/>
              </w:rPr>
              <w:t>图</w:t>
            </w:r>
          </w:p>
          <w:p w14:paraId="30BF0480">
            <w:pPr>
              <w:ind w:firstLine="482" w:firstLineChars="200"/>
              <w:rPr>
                <w:b/>
                <w:bCs/>
                <w:color w:val="auto"/>
              </w:rPr>
            </w:pPr>
            <w:r>
              <w:rPr>
                <w:rFonts w:hint="eastAsia"/>
                <w:b/>
                <w:bCs/>
                <w:color w:val="auto"/>
              </w:rPr>
              <w:t>2.2.3工程建设内容</w:t>
            </w:r>
          </w:p>
          <w:p w14:paraId="2C5E8992">
            <w:pPr>
              <w:ind w:firstLine="480"/>
              <w:rPr>
                <w:color w:val="auto"/>
              </w:rPr>
            </w:pPr>
            <w:r>
              <w:rPr>
                <w:rFonts w:hint="eastAsia"/>
                <w:color w:val="auto"/>
              </w:rPr>
              <w:t>淮南市田家庵安成经济开发区（北区）</w:t>
            </w:r>
            <w:r>
              <w:rPr>
                <w:color w:val="auto"/>
              </w:rPr>
              <w:t>标准化厂房</w:t>
            </w:r>
            <w:r>
              <w:rPr>
                <w:rFonts w:hint="eastAsia"/>
                <w:color w:val="auto"/>
              </w:rPr>
              <w:t>6号楼</w:t>
            </w:r>
            <w:r>
              <w:rPr>
                <w:color w:val="auto"/>
              </w:rPr>
              <w:t>总共为三层，</w:t>
            </w:r>
            <w:r>
              <w:rPr>
                <w:rFonts w:hint="eastAsia"/>
                <w:color w:val="auto"/>
              </w:rPr>
              <w:t>安徽淮记本食生物科技有限公司</w:t>
            </w:r>
            <w:r>
              <w:rPr>
                <w:color w:val="auto"/>
              </w:rPr>
              <w:t>租赁该楼一</w:t>
            </w:r>
            <w:r>
              <w:rPr>
                <w:rFonts w:hint="eastAsia"/>
                <w:color w:val="auto"/>
              </w:rPr>
              <w:t>、二层</w:t>
            </w:r>
            <w:r>
              <w:rPr>
                <w:color w:val="auto"/>
              </w:rPr>
              <w:t>厂房进行生产建设。根据现场踏勘，</w:t>
            </w:r>
            <w:r>
              <w:rPr>
                <w:rFonts w:hint="eastAsia"/>
                <w:color w:val="auto"/>
              </w:rPr>
              <w:t>6</w:t>
            </w:r>
            <w:r>
              <w:rPr>
                <w:color w:val="auto"/>
              </w:rPr>
              <w:t>号楼标准化厂房三层暂无企业入驻。</w:t>
            </w:r>
          </w:p>
          <w:p w14:paraId="1E44B902">
            <w:pPr>
              <w:widowControl/>
              <w:adjustRightInd w:val="0"/>
              <w:snapToGrid w:val="0"/>
              <w:spacing w:after="160"/>
              <w:ind w:firstLine="480"/>
              <w:rPr>
                <w:color w:val="auto"/>
              </w:rPr>
            </w:pPr>
            <w:r>
              <w:rPr>
                <w:color w:val="auto"/>
              </w:rPr>
              <w:t>主要建设内容详见</w:t>
            </w:r>
            <w:r>
              <w:rPr>
                <w:rFonts w:hint="eastAsia"/>
                <w:color w:val="auto"/>
              </w:rPr>
              <w:t>下表</w:t>
            </w:r>
            <w:r>
              <w:rPr>
                <w:color w:val="auto"/>
              </w:rPr>
              <w:t>。</w:t>
            </w:r>
          </w:p>
          <w:p w14:paraId="233679A2">
            <w:pPr>
              <w:pStyle w:val="6"/>
              <w:adjustRightInd w:val="0"/>
              <w:snapToGrid w:val="0"/>
              <w:rPr>
                <w:color w:val="auto"/>
              </w:rPr>
            </w:pPr>
            <w:r>
              <w:rPr>
                <w:color w:val="auto"/>
              </w:rPr>
              <w:t xml:space="preserve">表 </w:t>
            </w:r>
            <w:r>
              <w:rPr>
                <w:rFonts w:hint="eastAsia"/>
                <w:color w:val="auto"/>
              </w:rPr>
              <w:t>2-</w:t>
            </w:r>
            <w:r>
              <w:rPr>
                <w:color w:val="auto"/>
              </w:rPr>
              <w:fldChar w:fldCharType="begin"/>
            </w:r>
            <w:r>
              <w:rPr>
                <w:color w:val="auto"/>
              </w:rPr>
              <w:instrText xml:space="preserve"> SEQ 表 \* ARABIC \s 1 </w:instrText>
            </w:r>
            <w:r>
              <w:rPr>
                <w:color w:val="auto"/>
              </w:rPr>
              <w:fldChar w:fldCharType="separate"/>
            </w:r>
            <w:r>
              <w:rPr>
                <w:color w:val="auto"/>
              </w:rPr>
              <w:t>6</w:t>
            </w:r>
            <w:r>
              <w:rPr>
                <w:color w:val="auto"/>
              </w:rPr>
              <w:fldChar w:fldCharType="end"/>
            </w:r>
            <w:r>
              <w:rPr>
                <w:color w:val="auto"/>
              </w:rPr>
              <w:t xml:space="preserve"> 项目建设内容组成一览表</w:t>
            </w:r>
          </w:p>
          <w:tbl>
            <w:tblPr>
              <w:tblStyle w:val="23"/>
              <w:tblpPr w:leftFromText="180" w:rightFromText="180" w:vertAnchor="text" w:tblpXSpec="center" w:tblpY="1"/>
              <w:tblOverlap w:val="never"/>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1187"/>
              <w:gridCol w:w="857"/>
              <w:gridCol w:w="5031"/>
              <w:gridCol w:w="766"/>
            </w:tblGrid>
            <w:tr w14:paraId="3382B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trPr>
              <w:tc>
                <w:tcPr>
                  <w:tcW w:w="757" w:type="pct"/>
                  <w:vAlign w:val="center"/>
                </w:tcPr>
                <w:p w14:paraId="716547E7">
                  <w:pPr>
                    <w:pStyle w:val="30"/>
                    <w:framePr w:hSpace="0" w:wrap="auto" w:vAnchor="margin" w:hAnchor="text" w:xAlign="left" w:yAlign="inline"/>
                    <w:rPr>
                      <w:color w:val="auto"/>
                    </w:rPr>
                  </w:pPr>
                  <w:r>
                    <w:rPr>
                      <w:color w:val="auto"/>
                    </w:rPr>
                    <w:t>工程类别</w:t>
                  </w:r>
                </w:p>
              </w:tc>
              <w:tc>
                <w:tcPr>
                  <w:tcW w:w="546" w:type="pct"/>
                  <w:vAlign w:val="center"/>
                </w:tcPr>
                <w:p w14:paraId="3E7DA9C7">
                  <w:pPr>
                    <w:pStyle w:val="30"/>
                    <w:framePr w:hSpace="0" w:wrap="auto" w:vAnchor="margin" w:hAnchor="text" w:xAlign="left" w:yAlign="inline"/>
                    <w:rPr>
                      <w:color w:val="auto"/>
                    </w:rPr>
                  </w:pPr>
                  <w:r>
                    <w:rPr>
                      <w:color w:val="auto"/>
                    </w:rPr>
                    <w:t>工程名称</w:t>
                  </w:r>
                </w:p>
              </w:tc>
              <w:tc>
                <w:tcPr>
                  <w:tcW w:w="3207" w:type="pct"/>
                  <w:vAlign w:val="center"/>
                </w:tcPr>
                <w:p w14:paraId="211EDA18">
                  <w:pPr>
                    <w:pStyle w:val="30"/>
                    <w:framePr w:hSpace="0" w:wrap="auto" w:vAnchor="margin" w:hAnchor="text" w:xAlign="left" w:yAlign="inline"/>
                    <w:rPr>
                      <w:color w:val="auto"/>
                    </w:rPr>
                  </w:pPr>
                  <w:r>
                    <w:rPr>
                      <w:color w:val="auto"/>
                    </w:rPr>
                    <w:t>工程建设内容</w:t>
                  </w:r>
                </w:p>
              </w:tc>
              <w:tc>
                <w:tcPr>
                  <w:tcW w:w="488" w:type="pct"/>
                  <w:vAlign w:val="center"/>
                </w:tcPr>
                <w:p w14:paraId="4C944343">
                  <w:pPr>
                    <w:pStyle w:val="30"/>
                    <w:framePr w:hSpace="0" w:wrap="auto" w:vAnchor="margin" w:hAnchor="text" w:xAlign="left" w:yAlign="inline"/>
                    <w:rPr>
                      <w:color w:val="auto"/>
                    </w:rPr>
                  </w:pPr>
                  <w:r>
                    <w:rPr>
                      <w:rFonts w:hint="eastAsia"/>
                      <w:color w:val="auto"/>
                    </w:rPr>
                    <w:t>备注</w:t>
                  </w:r>
                </w:p>
              </w:tc>
            </w:tr>
            <w:tr w14:paraId="47BD7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757" w:type="pct"/>
                  <w:vMerge w:val="restart"/>
                  <w:vAlign w:val="center"/>
                </w:tcPr>
                <w:p w14:paraId="1E34A245">
                  <w:pPr>
                    <w:pStyle w:val="30"/>
                    <w:framePr w:hSpace="0" w:wrap="auto" w:vAnchor="margin" w:hAnchor="text" w:xAlign="left" w:yAlign="inline"/>
                    <w:rPr>
                      <w:color w:val="auto"/>
                    </w:rPr>
                  </w:pPr>
                  <w:r>
                    <w:rPr>
                      <w:color w:val="auto"/>
                    </w:rPr>
                    <w:t>主体</w:t>
                  </w:r>
                </w:p>
                <w:p w14:paraId="4499919B">
                  <w:pPr>
                    <w:pStyle w:val="30"/>
                    <w:framePr w:hSpace="0" w:wrap="auto" w:vAnchor="margin" w:hAnchor="text" w:xAlign="left" w:yAlign="inline"/>
                    <w:rPr>
                      <w:color w:val="auto"/>
                    </w:rPr>
                  </w:pPr>
                  <w:r>
                    <w:rPr>
                      <w:color w:val="auto"/>
                    </w:rPr>
                    <w:t>工程</w:t>
                  </w:r>
                </w:p>
              </w:tc>
              <w:tc>
                <w:tcPr>
                  <w:tcW w:w="546" w:type="pct"/>
                  <w:shd w:val="clear" w:color="auto" w:fill="auto"/>
                  <w:vAlign w:val="center"/>
                </w:tcPr>
                <w:p w14:paraId="7B83611A">
                  <w:pPr>
                    <w:pStyle w:val="30"/>
                    <w:framePr w:hSpace="0" w:wrap="auto" w:vAnchor="margin" w:hAnchor="text" w:xAlign="left" w:yAlign="inline"/>
                    <w:rPr>
                      <w:rFonts w:cs="宋体"/>
                      <w:color w:val="auto"/>
                      <w:szCs w:val="22"/>
                      <w:lang w:val="en-US"/>
                    </w:rPr>
                  </w:pPr>
                  <w:r>
                    <w:rPr>
                      <w:rFonts w:hint="eastAsia"/>
                      <w:color w:val="auto"/>
                    </w:rPr>
                    <w:t>牛肉汤料生产车间</w:t>
                  </w:r>
                  <w:r>
                    <w:rPr>
                      <w:rFonts w:hint="eastAsia"/>
                      <w:color w:val="auto"/>
                      <w:lang w:val="en-US"/>
                    </w:rPr>
                    <w:t>1</w:t>
                  </w:r>
                </w:p>
              </w:tc>
              <w:tc>
                <w:tcPr>
                  <w:tcW w:w="3207" w:type="pct"/>
                  <w:shd w:val="clear" w:color="auto" w:fill="auto"/>
                  <w:vAlign w:val="center"/>
                </w:tcPr>
                <w:p w14:paraId="0DFFA19F">
                  <w:pPr>
                    <w:pStyle w:val="30"/>
                    <w:framePr w:hSpace="0" w:wrap="auto" w:vAnchor="margin" w:hAnchor="text" w:xAlign="left" w:yAlign="inline"/>
                    <w:rPr>
                      <w:rFonts w:cs="宋体"/>
                      <w:color w:val="auto"/>
                      <w:szCs w:val="22"/>
                    </w:rPr>
                  </w:pPr>
                  <w:r>
                    <w:rPr>
                      <w:rFonts w:hint="eastAsia"/>
                      <w:color w:val="auto"/>
                    </w:rPr>
                    <w:t>位于二层东南侧，建筑面积</w:t>
                  </w:r>
                  <w:r>
                    <w:rPr>
                      <w:rFonts w:hint="eastAsia"/>
                      <w:color w:val="auto"/>
                      <w:lang w:val="en-US"/>
                    </w:rPr>
                    <w:t>535平方米，</w:t>
                  </w:r>
                  <w:r>
                    <w:rPr>
                      <w:rFonts w:hint="eastAsia"/>
                      <w:color w:val="auto"/>
                    </w:rPr>
                    <w:t>主要布设方形解冻机、夹层锅、灌装机、杀菌锅、冷却水箱等设备，形成1条牛肉汤料生产线</w:t>
                  </w:r>
                  <w:r>
                    <w:rPr>
                      <w:rFonts w:hint="eastAsia"/>
                      <w:color w:val="auto"/>
                      <w:kern w:val="0"/>
                      <w:szCs w:val="20"/>
                    </w:rPr>
                    <w:t>。</w:t>
                  </w:r>
                </w:p>
              </w:tc>
              <w:tc>
                <w:tcPr>
                  <w:tcW w:w="488" w:type="pct"/>
                  <w:vMerge w:val="restart"/>
                  <w:vAlign w:val="center"/>
                </w:tcPr>
                <w:p w14:paraId="4CB3A0A8">
                  <w:pPr>
                    <w:spacing w:line="240" w:lineRule="auto"/>
                    <w:jc w:val="center"/>
                    <w:rPr>
                      <w:rFonts w:cs="宋体"/>
                      <w:color w:val="auto"/>
                      <w:kern w:val="2"/>
                      <w:sz w:val="18"/>
                      <w:szCs w:val="22"/>
                      <w:lang w:val="zh-CN"/>
                    </w:rPr>
                  </w:pPr>
                  <w:r>
                    <w:rPr>
                      <w:rFonts w:hint="eastAsia" w:cs="宋体"/>
                      <w:color w:val="auto"/>
                      <w:kern w:val="2"/>
                      <w:sz w:val="18"/>
                      <w:szCs w:val="22"/>
                      <w:lang w:val="zh-CN"/>
                    </w:rPr>
                    <w:t>依托已建标准化厂房，功能区新建</w:t>
                  </w:r>
                </w:p>
              </w:tc>
            </w:tr>
            <w:tr w14:paraId="56C0B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757" w:type="pct"/>
                  <w:vMerge w:val="continue"/>
                  <w:vAlign w:val="center"/>
                </w:tcPr>
                <w:p w14:paraId="7DC5B351">
                  <w:pPr>
                    <w:pStyle w:val="30"/>
                    <w:framePr w:hSpace="0" w:wrap="auto" w:vAnchor="margin" w:hAnchor="text" w:xAlign="left" w:yAlign="inline"/>
                    <w:rPr>
                      <w:color w:val="auto"/>
                    </w:rPr>
                  </w:pPr>
                </w:p>
              </w:tc>
              <w:tc>
                <w:tcPr>
                  <w:tcW w:w="546" w:type="pct"/>
                  <w:vAlign w:val="center"/>
                </w:tcPr>
                <w:p w14:paraId="0BAE436F">
                  <w:pPr>
                    <w:pStyle w:val="30"/>
                    <w:framePr w:hSpace="0" w:wrap="auto" w:vAnchor="margin" w:hAnchor="text" w:xAlign="left" w:yAlign="inline"/>
                    <w:rPr>
                      <w:color w:val="auto"/>
                      <w:lang w:val="en-US"/>
                    </w:rPr>
                  </w:pPr>
                  <w:r>
                    <w:rPr>
                      <w:rFonts w:hint="eastAsia"/>
                      <w:color w:val="auto"/>
                      <w:lang w:val="en-US"/>
                    </w:rPr>
                    <w:t>半干鲜面生产车间2</w:t>
                  </w:r>
                </w:p>
              </w:tc>
              <w:tc>
                <w:tcPr>
                  <w:tcW w:w="3207" w:type="pct"/>
                  <w:vAlign w:val="center"/>
                </w:tcPr>
                <w:p w14:paraId="21884BE0">
                  <w:pPr>
                    <w:pStyle w:val="30"/>
                    <w:framePr w:hSpace="0" w:wrap="auto" w:vAnchor="margin" w:hAnchor="text" w:xAlign="left" w:yAlign="inline"/>
                    <w:rPr>
                      <w:color w:val="auto"/>
                    </w:rPr>
                  </w:pPr>
                  <w:r>
                    <w:rPr>
                      <w:rFonts w:hint="eastAsia"/>
                      <w:color w:val="auto"/>
                    </w:rPr>
                    <w:t>位于一层，</w:t>
                  </w:r>
                  <w:r>
                    <w:rPr>
                      <w:rFonts w:hint="eastAsia"/>
                      <w:color w:val="auto"/>
                      <w:kern w:val="0"/>
                      <w:szCs w:val="20"/>
                    </w:rPr>
                    <w:t>建筑</w:t>
                  </w:r>
                  <w:r>
                    <w:rPr>
                      <w:color w:val="auto"/>
                      <w:kern w:val="0"/>
                      <w:szCs w:val="20"/>
                    </w:rPr>
                    <w:t>面积</w:t>
                  </w:r>
                  <w:r>
                    <w:rPr>
                      <w:rFonts w:hint="eastAsia"/>
                      <w:color w:val="auto"/>
                      <w:kern w:val="0"/>
                      <w:szCs w:val="20"/>
                    </w:rPr>
                    <w:t>约</w:t>
                  </w:r>
                  <w:r>
                    <w:rPr>
                      <w:rFonts w:hint="eastAsia"/>
                      <w:color w:val="auto"/>
                      <w:kern w:val="0"/>
                      <w:szCs w:val="20"/>
                      <w:lang w:val="en-US"/>
                    </w:rPr>
                    <w:t>1000</w:t>
                  </w:r>
                  <w:r>
                    <w:rPr>
                      <w:color w:val="auto"/>
                      <w:kern w:val="0"/>
                      <w:szCs w:val="20"/>
                    </w:rPr>
                    <w:t>m</w:t>
                  </w:r>
                  <w:r>
                    <w:rPr>
                      <w:color w:val="auto"/>
                      <w:kern w:val="0"/>
                      <w:szCs w:val="20"/>
                      <w:vertAlign w:val="superscript"/>
                    </w:rPr>
                    <w:t>2</w:t>
                  </w:r>
                  <w:r>
                    <w:rPr>
                      <w:rFonts w:hint="eastAsia"/>
                      <w:color w:val="auto"/>
                      <w:kern w:val="0"/>
                      <w:szCs w:val="20"/>
                    </w:rPr>
                    <w:t>。</w:t>
                  </w:r>
                  <w:r>
                    <w:rPr>
                      <w:rFonts w:hint="eastAsia"/>
                      <w:color w:val="auto"/>
                    </w:rPr>
                    <w:t>建设</w:t>
                  </w:r>
                  <w:r>
                    <w:rPr>
                      <w:rFonts w:hint="eastAsia"/>
                      <w:color w:val="auto"/>
                      <w:lang w:val="en-US"/>
                    </w:rPr>
                    <w:t>面条生产车间，为10万级洁净化车间，</w:t>
                  </w:r>
                  <w:r>
                    <w:rPr>
                      <w:rFonts w:hint="eastAsia"/>
                      <w:color w:val="auto"/>
                      <w:kern w:val="0"/>
                      <w:szCs w:val="20"/>
                    </w:rPr>
                    <w:t>设置面条自动化生产线、包装机等，建设</w:t>
                  </w:r>
                  <w:r>
                    <w:rPr>
                      <w:rFonts w:hint="eastAsia"/>
                      <w:color w:val="auto"/>
                      <w:kern w:val="0"/>
                      <w:szCs w:val="20"/>
                      <w:lang w:val="en-US"/>
                    </w:rPr>
                    <w:t>1条</w:t>
                  </w:r>
                  <w:r>
                    <w:rPr>
                      <w:rFonts w:hint="eastAsia"/>
                      <w:color w:val="auto"/>
                      <w:kern w:val="0"/>
                      <w:szCs w:val="20"/>
                    </w:rPr>
                    <w:t>面条生产线。</w:t>
                  </w:r>
                </w:p>
              </w:tc>
              <w:tc>
                <w:tcPr>
                  <w:tcW w:w="488" w:type="pct"/>
                  <w:vMerge w:val="continue"/>
                  <w:vAlign w:val="center"/>
                </w:tcPr>
                <w:p w14:paraId="6ABD001A">
                  <w:pPr>
                    <w:spacing w:line="240" w:lineRule="auto"/>
                    <w:jc w:val="center"/>
                    <w:rPr>
                      <w:rFonts w:cs="宋体"/>
                      <w:color w:val="auto"/>
                      <w:kern w:val="2"/>
                      <w:sz w:val="18"/>
                      <w:szCs w:val="22"/>
                      <w:lang w:val="zh-CN"/>
                    </w:rPr>
                  </w:pPr>
                </w:p>
              </w:tc>
            </w:tr>
            <w:tr w14:paraId="31013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1" w:hRule="atLeast"/>
              </w:trPr>
              <w:tc>
                <w:tcPr>
                  <w:tcW w:w="757" w:type="pct"/>
                  <w:vMerge w:val="restart"/>
                  <w:vAlign w:val="center"/>
                </w:tcPr>
                <w:p w14:paraId="390F7899">
                  <w:pPr>
                    <w:pStyle w:val="30"/>
                    <w:framePr w:hSpace="0" w:wrap="auto" w:vAnchor="margin" w:hAnchor="text" w:xAlign="left" w:yAlign="inline"/>
                    <w:rPr>
                      <w:color w:val="auto"/>
                    </w:rPr>
                  </w:pPr>
                  <w:r>
                    <w:rPr>
                      <w:color w:val="auto"/>
                    </w:rPr>
                    <w:t>辅助</w:t>
                  </w:r>
                </w:p>
                <w:p w14:paraId="230592EF">
                  <w:pPr>
                    <w:pStyle w:val="30"/>
                    <w:framePr w:hSpace="0" w:wrap="auto" w:vAnchor="margin" w:hAnchor="text" w:xAlign="left" w:yAlign="inline"/>
                    <w:rPr>
                      <w:color w:val="auto"/>
                    </w:rPr>
                  </w:pPr>
                  <w:r>
                    <w:rPr>
                      <w:color w:val="auto"/>
                    </w:rPr>
                    <w:t>工程</w:t>
                  </w:r>
                </w:p>
              </w:tc>
              <w:tc>
                <w:tcPr>
                  <w:tcW w:w="546" w:type="pct"/>
                  <w:shd w:val="clear" w:color="auto" w:fill="auto"/>
                  <w:vAlign w:val="center"/>
                </w:tcPr>
                <w:p w14:paraId="0EFC9A63">
                  <w:pPr>
                    <w:pStyle w:val="30"/>
                    <w:framePr w:hSpace="0" w:wrap="auto" w:vAnchor="margin" w:hAnchor="text" w:xAlign="left" w:yAlign="inline"/>
                    <w:rPr>
                      <w:rFonts w:cs="宋体"/>
                      <w:color w:val="auto"/>
                      <w:szCs w:val="22"/>
                      <w:lang w:val="en-US"/>
                    </w:rPr>
                  </w:pPr>
                  <w:r>
                    <w:rPr>
                      <w:rFonts w:hint="eastAsia"/>
                      <w:color w:val="auto"/>
                    </w:rPr>
                    <w:t>脱包间</w:t>
                  </w:r>
                </w:p>
              </w:tc>
              <w:tc>
                <w:tcPr>
                  <w:tcW w:w="3207" w:type="pct"/>
                  <w:shd w:val="clear" w:color="auto" w:fill="auto"/>
                  <w:vAlign w:val="center"/>
                </w:tcPr>
                <w:p w14:paraId="593A8237">
                  <w:pPr>
                    <w:pStyle w:val="30"/>
                    <w:framePr w:hSpace="0" w:wrap="auto" w:vAnchor="margin" w:hAnchor="text" w:xAlign="left" w:yAlign="inline"/>
                    <w:rPr>
                      <w:rFonts w:cs="宋体"/>
                      <w:color w:val="auto"/>
                      <w:szCs w:val="22"/>
                      <w:lang w:val="en-US"/>
                    </w:rPr>
                  </w:pPr>
                  <w:r>
                    <w:rPr>
                      <w:rFonts w:hint="eastAsia"/>
                      <w:color w:val="auto"/>
                      <w:lang w:val="en-US"/>
                    </w:rPr>
                    <w:t>位于</w:t>
                  </w:r>
                  <w:r>
                    <w:rPr>
                      <w:rFonts w:hint="eastAsia"/>
                      <w:color w:val="auto"/>
                    </w:rPr>
                    <w:t>牛肉汤料生产车间北侧</w:t>
                  </w:r>
                  <w:r>
                    <w:rPr>
                      <w:rFonts w:hint="eastAsia"/>
                      <w:color w:val="auto"/>
                      <w:lang w:val="en-US"/>
                    </w:rPr>
                    <w:t>，建筑面积12m</w:t>
                  </w:r>
                  <w:r>
                    <w:rPr>
                      <w:rFonts w:hint="eastAsia"/>
                      <w:color w:val="auto"/>
                      <w:vertAlign w:val="superscript"/>
                      <w:lang w:val="en-US"/>
                    </w:rPr>
                    <w:t>2</w:t>
                  </w:r>
                  <w:r>
                    <w:rPr>
                      <w:rFonts w:hint="eastAsia"/>
                      <w:color w:val="auto"/>
                      <w:lang w:val="en-US"/>
                    </w:rPr>
                    <w:t>，用于外包装材料的脱包。</w:t>
                  </w:r>
                </w:p>
              </w:tc>
              <w:tc>
                <w:tcPr>
                  <w:tcW w:w="488" w:type="pct"/>
                  <w:vMerge w:val="continue"/>
                  <w:vAlign w:val="center"/>
                </w:tcPr>
                <w:p w14:paraId="3E032507">
                  <w:pPr>
                    <w:spacing w:line="240" w:lineRule="auto"/>
                    <w:jc w:val="center"/>
                    <w:rPr>
                      <w:rFonts w:cs="宋体"/>
                      <w:color w:val="auto"/>
                      <w:kern w:val="2"/>
                      <w:sz w:val="18"/>
                      <w:szCs w:val="22"/>
                      <w:lang w:val="zh-CN"/>
                    </w:rPr>
                  </w:pPr>
                </w:p>
              </w:tc>
            </w:tr>
            <w:tr w14:paraId="0A60B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757" w:type="pct"/>
                  <w:vMerge w:val="continue"/>
                  <w:vAlign w:val="center"/>
                </w:tcPr>
                <w:p w14:paraId="7F3FB9D4">
                  <w:pPr>
                    <w:pStyle w:val="30"/>
                    <w:framePr w:hSpace="0" w:wrap="auto" w:vAnchor="margin" w:hAnchor="text" w:xAlign="left" w:yAlign="inline"/>
                    <w:rPr>
                      <w:color w:val="auto"/>
                    </w:rPr>
                  </w:pPr>
                </w:p>
              </w:tc>
              <w:tc>
                <w:tcPr>
                  <w:tcW w:w="546" w:type="pct"/>
                  <w:shd w:val="clear" w:color="auto" w:fill="auto"/>
                  <w:vAlign w:val="center"/>
                </w:tcPr>
                <w:p w14:paraId="60882D03">
                  <w:pPr>
                    <w:pStyle w:val="30"/>
                    <w:framePr w:hSpace="0" w:wrap="auto" w:vAnchor="margin" w:hAnchor="text" w:xAlign="left" w:yAlign="inline"/>
                    <w:rPr>
                      <w:rFonts w:cs="宋体"/>
                      <w:color w:val="auto"/>
                      <w:szCs w:val="22"/>
                    </w:rPr>
                  </w:pPr>
                  <w:r>
                    <w:rPr>
                      <w:rFonts w:hint="eastAsia"/>
                      <w:color w:val="auto"/>
                    </w:rPr>
                    <w:t>内包间</w:t>
                  </w:r>
                </w:p>
              </w:tc>
              <w:tc>
                <w:tcPr>
                  <w:tcW w:w="3207" w:type="pct"/>
                  <w:shd w:val="clear" w:color="auto" w:fill="auto"/>
                  <w:vAlign w:val="center"/>
                </w:tcPr>
                <w:p w14:paraId="3FFD8649">
                  <w:pPr>
                    <w:pStyle w:val="30"/>
                    <w:framePr w:hSpace="0" w:wrap="auto" w:vAnchor="margin" w:hAnchor="text" w:xAlign="left" w:yAlign="inline"/>
                    <w:rPr>
                      <w:rFonts w:cs="宋体"/>
                      <w:color w:val="auto"/>
                      <w:szCs w:val="22"/>
                      <w:lang w:val="en-US"/>
                    </w:rPr>
                  </w:pPr>
                  <w:r>
                    <w:rPr>
                      <w:rFonts w:hint="eastAsia"/>
                      <w:color w:val="auto"/>
                      <w:lang w:val="en-US"/>
                    </w:rPr>
                    <w:t>位于生产车间东侧，建筑面积601.63m</w:t>
                  </w:r>
                  <w:r>
                    <w:rPr>
                      <w:rFonts w:hint="eastAsia"/>
                      <w:color w:val="auto"/>
                      <w:vertAlign w:val="superscript"/>
                      <w:lang w:val="en-US"/>
                    </w:rPr>
                    <w:t>2</w:t>
                  </w:r>
                  <w:r>
                    <w:rPr>
                      <w:rFonts w:hint="eastAsia"/>
                      <w:color w:val="auto"/>
                      <w:lang w:val="en-US"/>
                    </w:rPr>
                    <w:t>，主要用于对产品进行内包装。</w:t>
                  </w:r>
                </w:p>
              </w:tc>
              <w:tc>
                <w:tcPr>
                  <w:tcW w:w="488" w:type="pct"/>
                  <w:vMerge w:val="continue"/>
                  <w:vAlign w:val="center"/>
                </w:tcPr>
                <w:p w14:paraId="00472AFC">
                  <w:pPr>
                    <w:spacing w:line="240" w:lineRule="auto"/>
                    <w:jc w:val="center"/>
                    <w:rPr>
                      <w:rFonts w:cs="宋体"/>
                      <w:color w:val="auto"/>
                      <w:kern w:val="2"/>
                      <w:sz w:val="18"/>
                      <w:szCs w:val="22"/>
                      <w:lang w:val="zh-CN"/>
                    </w:rPr>
                  </w:pPr>
                </w:p>
              </w:tc>
            </w:tr>
            <w:tr w14:paraId="7E12A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trPr>
              <w:tc>
                <w:tcPr>
                  <w:tcW w:w="757" w:type="pct"/>
                  <w:vMerge w:val="continue"/>
                  <w:vAlign w:val="center"/>
                </w:tcPr>
                <w:p w14:paraId="2FD92C0C">
                  <w:pPr>
                    <w:pStyle w:val="30"/>
                    <w:framePr w:hSpace="0" w:wrap="auto" w:vAnchor="margin" w:hAnchor="text" w:xAlign="left" w:yAlign="inline"/>
                    <w:rPr>
                      <w:color w:val="auto"/>
                    </w:rPr>
                  </w:pPr>
                </w:p>
              </w:tc>
              <w:tc>
                <w:tcPr>
                  <w:tcW w:w="546" w:type="pct"/>
                  <w:vAlign w:val="center"/>
                </w:tcPr>
                <w:p w14:paraId="4D05DB6C">
                  <w:pPr>
                    <w:pStyle w:val="30"/>
                    <w:framePr w:hSpace="0" w:wrap="auto" w:vAnchor="margin" w:hAnchor="text" w:xAlign="left" w:yAlign="inline"/>
                    <w:rPr>
                      <w:color w:val="auto"/>
                    </w:rPr>
                  </w:pPr>
                  <w:r>
                    <w:rPr>
                      <w:rFonts w:hint="eastAsia"/>
                      <w:color w:val="auto"/>
                    </w:rPr>
                    <w:t>外包间</w:t>
                  </w:r>
                </w:p>
              </w:tc>
              <w:tc>
                <w:tcPr>
                  <w:tcW w:w="3207" w:type="pct"/>
                  <w:vAlign w:val="center"/>
                </w:tcPr>
                <w:p w14:paraId="72996FBD">
                  <w:pPr>
                    <w:pStyle w:val="30"/>
                    <w:framePr w:hSpace="0" w:wrap="auto" w:vAnchor="margin" w:hAnchor="text" w:xAlign="left" w:yAlign="inline"/>
                    <w:rPr>
                      <w:color w:val="auto"/>
                      <w:lang w:val="en-US"/>
                    </w:rPr>
                  </w:pPr>
                  <w:r>
                    <w:rPr>
                      <w:rFonts w:hint="eastAsia"/>
                      <w:color w:val="auto"/>
                    </w:rPr>
                    <w:t>位于二层西北侧，建筑面积约</w:t>
                  </w:r>
                  <w:r>
                    <w:rPr>
                      <w:rFonts w:hint="eastAsia"/>
                      <w:color w:val="auto"/>
                      <w:lang w:val="en-US"/>
                    </w:rPr>
                    <w:t>464m</w:t>
                  </w:r>
                  <w:r>
                    <w:rPr>
                      <w:rFonts w:hint="eastAsia"/>
                      <w:color w:val="auto"/>
                      <w:vertAlign w:val="superscript"/>
                      <w:lang w:val="en-US"/>
                    </w:rPr>
                    <w:t>2</w:t>
                  </w:r>
                  <w:r>
                    <w:rPr>
                      <w:rFonts w:hint="eastAsia"/>
                      <w:color w:val="auto"/>
                      <w:lang w:val="en-US"/>
                    </w:rPr>
                    <w:t>，主要用于对产品进行外包装。</w:t>
                  </w:r>
                </w:p>
              </w:tc>
              <w:tc>
                <w:tcPr>
                  <w:tcW w:w="488" w:type="pct"/>
                  <w:vMerge w:val="continue"/>
                  <w:vAlign w:val="center"/>
                </w:tcPr>
                <w:p w14:paraId="5F299C42">
                  <w:pPr>
                    <w:spacing w:line="240" w:lineRule="auto"/>
                    <w:jc w:val="center"/>
                    <w:rPr>
                      <w:rFonts w:cs="宋体"/>
                      <w:color w:val="auto"/>
                      <w:kern w:val="2"/>
                      <w:sz w:val="18"/>
                      <w:szCs w:val="22"/>
                      <w:lang w:val="zh-CN"/>
                    </w:rPr>
                  </w:pPr>
                </w:p>
              </w:tc>
            </w:tr>
            <w:tr w14:paraId="6C8A4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757" w:type="pct"/>
                  <w:vMerge w:val="continue"/>
                  <w:vAlign w:val="center"/>
                </w:tcPr>
                <w:p w14:paraId="4F9D2D4F">
                  <w:pPr>
                    <w:pStyle w:val="30"/>
                    <w:framePr w:hSpace="0" w:wrap="auto" w:vAnchor="margin" w:hAnchor="text" w:xAlign="left" w:yAlign="inline"/>
                    <w:rPr>
                      <w:color w:val="auto"/>
                    </w:rPr>
                  </w:pPr>
                </w:p>
              </w:tc>
              <w:tc>
                <w:tcPr>
                  <w:tcW w:w="546" w:type="pct"/>
                  <w:vAlign w:val="center"/>
                </w:tcPr>
                <w:p w14:paraId="64E72F12">
                  <w:pPr>
                    <w:pStyle w:val="30"/>
                    <w:framePr w:hSpace="0" w:wrap="auto" w:vAnchor="margin" w:hAnchor="text" w:xAlign="left" w:yAlign="inline"/>
                    <w:rPr>
                      <w:rFonts w:cs="宋体"/>
                      <w:color w:val="auto"/>
                    </w:rPr>
                  </w:pPr>
                  <w:r>
                    <w:rPr>
                      <w:rFonts w:hint="eastAsia" w:cs="宋体"/>
                      <w:color w:val="auto"/>
                    </w:rPr>
                    <w:t>实验室</w:t>
                  </w:r>
                </w:p>
              </w:tc>
              <w:tc>
                <w:tcPr>
                  <w:tcW w:w="3207" w:type="pct"/>
                  <w:vAlign w:val="center"/>
                </w:tcPr>
                <w:p w14:paraId="4020E3C6">
                  <w:pPr>
                    <w:pStyle w:val="30"/>
                    <w:framePr w:hSpace="0" w:wrap="auto" w:vAnchor="margin" w:hAnchor="text" w:xAlign="left" w:yAlign="inline"/>
                    <w:rPr>
                      <w:rFonts w:cs="宋体"/>
                      <w:color w:val="auto"/>
                      <w:lang w:val="en-US"/>
                    </w:rPr>
                  </w:pPr>
                  <w:r>
                    <w:rPr>
                      <w:rFonts w:hint="eastAsia" w:cs="宋体"/>
                      <w:color w:val="auto"/>
                      <w:lang w:val="en-US"/>
                    </w:rPr>
                    <w:t>位于二层西侧，建筑面积110m</w:t>
                  </w:r>
                  <w:r>
                    <w:rPr>
                      <w:rFonts w:hint="eastAsia" w:cs="宋体"/>
                      <w:color w:val="auto"/>
                      <w:vertAlign w:val="superscript"/>
                      <w:lang w:val="en-US"/>
                    </w:rPr>
                    <w:t>2</w:t>
                  </w:r>
                  <w:r>
                    <w:rPr>
                      <w:rFonts w:hint="eastAsia" w:cs="宋体"/>
                      <w:color w:val="auto"/>
                      <w:lang w:val="en-US"/>
                    </w:rPr>
                    <w:t>，</w:t>
                  </w:r>
                  <w:r>
                    <w:rPr>
                      <w:rFonts w:hint="eastAsia" w:cs="宋体"/>
                      <w:color w:val="auto"/>
                      <w:lang w:val="en-US" w:eastAsia="zh-CN"/>
                    </w:rPr>
                    <w:t>对产品进行常规质量检测，主要包含理化检测和微生物检测</w:t>
                  </w:r>
                  <w:r>
                    <w:rPr>
                      <w:rFonts w:hint="eastAsia" w:cs="宋体"/>
                      <w:color w:val="auto"/>
                      <w:lang w:val="en-US"/>
                    </w:rPr>
                    <w:t>。</w:t>
                  </w:r>
                </w:p>
              </w:tc>
              <w:tc>
                <w:tcPr>
                  <w:tcW w:w="488" w:type="pct"/>
                  <w:vMerge w:val="continue"/>
                  <w:vAlign w:val="center"/>
                </w:tcPr>
                <w:p w14:paraId="6ADDDF5A">
                  <w:pPr>
                    <w:spacing w:line="240" w:lineRule="auto"/>
                    <w:jc w:val="center"/>
                    <w:rPr>
                      <w:rFonts w:cs="宋体"/>
                      <w:color w:val="auto"/>
                      <w:kern w:val="2"/>
                      <w:sz w:val="18"/>
                      <w:szCs w:val="22"/>
                      <w:lang w:val="zh-CN"/>
                    </w:rPr>
                  </w:pPr>
                </w:p>
              </w:tc>
            </w:tr>
            <w:tr w14:paraId="74BE4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757" w:type="pct"/>
                  <w:vMerge w:val="continue"/>
                  <w:vAlign w:val="center"/>
                </w:tcPr>
                <w:p w14:paraId="4C2ACDF1">
                  <w:pPr>
                    <w:pStyle w:val="30"/>
                    <w:framePr w:hSpace="0" w:wrap="auto" w:vAnchor="margin" w:hAnchor="text" w:xAlign="left" w:yAlign="inline"/>
                    <w:rPr>
                      <w:color w:val="auto"/>
                    </w:rPr>
                  </w:pPr>
                </w:p>
              </w:tc>
              <w:tc>
                <w:tcPr>
                  <w:tcW w:w="546" w:type="pct"/>
                  <w:vAlign w:val="center"/>
                </w:tcPr>
                <w:p w14:paraId="4EFAF088">
                  <w:pPr>
                    <w:pStyle w:val="30"/>
                    <w:framePr w:hSpace="0" w:wrap="auto" w:vAnchor="margin" w:hAnchor="text" w:xAlign="left" w:yAlign="inline"/>
                    <w:rPr>
                      <w:color w:val="auto"/>
                    </w:rPr>
                  </w:pPr>
                  <w:r>
                    <w:rPr>
                      <w:rFonts w:hint="eastAsia"/>
                      <w:color w:val="auto"/>
                    </w:rPr>
                    <w:t>研发室</w:t>
                  </w:r>
                </w:p>
              </w:tc>
              <w:tc>
                <w:tcPr>
                  <w:tcW w:w="3207" w:type="pct"/>
                  <w:vAlign w:val="center"/>
                </w:tcPr>
                <w:p w14:paraId="1BED1C5B">
                  <w:pPr>
                    <w:pStyle w:val="30"/>
                    <w:framePr w:hSpace="0" w:wrap="auto" w:vAnchor="margin" w:hAnchor="text" w:xAlign="left" w:yAlign="inline"/>
                    <w:rPr>
                      <w:color w:val="auto"/>
                      <w:lang w:val="en-US"/>
                    </w:rPr>
                  </w:pPr>
                  <w:r>
                    <w:rPr>
                      <w:rFonts w:hint="eastAsia"/>
                      <w:color w:val="auto"/>
                      <w:lang w:val="en-US"/>
                    </w:rPr>
                    <w:t>位于实验室南侧，建筑面积60m</w:t>
                  </w:r>
                  <w:r>
                    <w:rPr>
                      <w:rFonts w:hint="eastAsia"/>
                      <w:color w:val="auto"/>
                      <w:vertAlign w:val="superscript"/>
                      <w:lang w:val="en-US"/>
                    </w:rPr>
                    <w:t>2</w:t>
                  </w:r>
                  <w:r>
                    <w:rPr>
                      <w:rFonts w:hint="eastAsia"/>
                      <w:color w:val="auto"/>
                      <w:lang w:val="en-US"/>
                    </w:rPr>
                    <w:t>，主要用</w:t>
                  </w:r>
                  <w:r>
                    <w:rPr>
                      <w:rFonts w:hint="eastAsia"/>
                      <w:color w:val="auto"/>
                      <w:lang w:val="en-US" w:eastAsia="zh-CN"/>
                    </w:rPr>
                    <w:t>来对</w:t>
                  </w:r>
                  <w:r>
                    <w:rPr>
                      <w:rFonts w:hint="eastAsia" w:ascii="Times New Roman" w:hAnsi="Times New Roman" w:eastAsia="宋体" w:cs="宋体"/>
                      <w:color w:val="auto"/>
                      <w:lang w:val="en-US" w:eastAsia="zh-CN"/>
                    </w:rPr>
                    <w:t>牛肉汤系列产品研</w:t>
                  </w:r>
                  <w:r>
                    <w:rPr>
                      <w:rFonts w:hint="eastAsia"/>
                      <w:color w:val="auto"/>
                      <w:lang w:val="en-US"/>
                    </w:rPr>
                    <w:t>发</w:t>
                  </w:r>
                  <w:r>
                    <w:rPr>
                      <w:rFonts w:hint="eastAsia"/>
                      <w:color w:val="auto"/>
                      <w:lang w:val="en-US" w:eastAsia="zh-CN"/>
                    </w:rPr>
                    <w:t>试验</w:t>
                  </w:r>
                  <w:r>
                    <w:rPr>
                      <w:rFonts w:hint="eastAsia"/>
                      <w:color w:val="auto"/>
                      <w:lang w:val="en-US"/>
                    </w:rPr>
                    <w:t>。</w:t>
                  </w:r>
                </w:p>
              </w:tc>
              <w:tc>
                <w:tcPr>
                  <w:tcW w:w="488" w:type="pct"/>
                  <w:vMerge w:val="continue"/>
                  <w:vAlign w:val="center"/>
                </w:tcPr>
                <w:p w14:paraId="2B01B426">
                  <w:pPr>
                    <w:spacing w:line="240" w:lineRule="auto"/>
                    <w:jc w:val="center"/>
                    <w:rPr>
                      <w:rFonts w:cs="宋体"/>
                      <w:color w:val="auto"/>
                      <w:kern w:val="2"/>
                      <w:sz w:val="18"/>
                      <w:szCs w:val="22"/>
                      <w:lang w:val="zh-CN"/>
                    </w:rPr>
                  </w:pPr>
                </w:p>
              </w:tc>
            </w:tr>
            <w:tr w14:paraId="7B4D7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757" w:type="pct"/>
                  <w:vMerge w:val="restart"/>
                  <w:vAlign w:val="center"/>
                </w:tcPr>
                <w:p w14:paraId="0F812DCF">
                  <w:pPr>
                    <w:pStyle w:val="30"/>
                    <w:framePr w:hSpace="0" w:wrap="auto" w:vAnchor="margin" w:hAnchor="text" w:xAlign="left" w:yAlign="inline"/>
                    <w:rPr>
                      <w:color w:val="auto"/>
                    </w:rPr>
                  </w:pPr>
                  <w:r>
                    <w:rPr>
                      <w:color w:val="auto"/>
                    </w:rPr>
                    <w:t>公用</w:t>
                  </w:r>
                </w:p>
                <w:p w14:paraId="3F43AC36">
                  <w:pPr>
                    <w:pStyle w:val="30"/>
                    <w:framePr w:hSpace="0" w:wrap="auto" w:vAnchor="margin" w:hAnchor="text" w:xAlign="left" w:yAlign="inline"/>
                    <w:rPr>
                      <w:color w:val="auto"/>
                    </w:rPr>
                  </w:pPr>
                  <w:r>
                    <w:rPr>
                      <w:color w:val="auto"/>
                    </w:rPr>
                    <w:t>工程</w:t>
                  </w:r>
                </w:p>
              </w:tc>
              <w:tc>
                <w:tcPr>
                  <w:tcW w:w="546" w:type="pct"/>
                  <w:vAlign w:val="center"/>
                </w:tcPr>
                <w:p w14:paraId="010B91E7">
                  <w:pPr>
                    <w:pStyle w:val="30"/>
                    <w:framePr w:hSpace="0" w:wrap="auto" w:vAnchor="margin" w:hAnchor="text" w:xAlign="left" w:yAlign="inline"/>
                    <w:rPr>
                      <w:color w:val="auto"/>
                    </w:rPr>
                  </w:pPr>
                  <w:r>
                    <w:rPr>
                      <w:color w:val="auto"/>
                    </w:rPr>
                    <w:t>供电</w:t>
                  </w:r>
                </w:p>
              </w:tc>
              <w:tc>
                <w:tcPr>
                  <w:tcW w:w="3207" w:type="pct"/>
                  <w:vAlign w:val="center"/>
                </w:tcPr>
                <w:p w14:paraId="72E22166">
                  <w:pPr>
                    <w:pStyle w:val="30"/>
                    <w:framePr w:hSpace="0" w:wrap="auto" w:vAnchor="margin" w:hAnchor="text" w:xAlign="left" w:yAlign="inline"/>
                    <w:rPr>
                      <w:color w:val="auto"/>
                    </w:rPr>
                  </w:pPr>
                  <w:r>
                    <w:rPr>
                      <w:rFonts w:hint="eastAsia"/>
                      <w:color w:val="auto"/>
                    </w:rPr>
                    <w:t>市政供电系统供电</w:t>
                  </w:r>
                </w:p>
              </w:tc>
              <w:tc>
                <w:tcPr>
                  <w:tcW w:w="488" w:type="pct"/>
                  <w:vAlign w:val="center"/>
                </w:tcPr>
                <w:p w14:paraId="6133BED1">
                  <w:pPr>
                    <w:spacing w:line="240" w:lineRule="auto"/>
                    <w:jc w:val="center"/>
                    <w:rPr>
                      <w:rFonts w:cs="宋体"/>
                      <w:color w:val="auto"/>
                      <w:kern w:val="2"/>
                      <w:sz w:val="18"/>
                      <w:szCs w:val="22"/>
                      <w:lang w:val="zh-CN"/>
                    </w:rPr>
                  </w:pPr>
                  <w:r>
                    <w:rPr>
                      <w:rFonts w:hint="eastAsia" w:cs="宋体"/>
                      <w:color w:val="auto"/>
                      <w:kern w:val="2"/>
                      <w:sz w:val="18"/>
                      <w:szCs w:val="22"/>
                      <w:lang w:val="zh-CN"/>
                    </w:rPr>
                    <w:t>依托市政供电管网</w:t>
                  </w:r>
                </w:p>
              </w:tc>
            </w:tr>
            <w:tr w14:paraId="73FCB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757" w:type="pct"/>
                  <w:vMerge w:val="continue"/>
                  <w:vAlign w:val="center"/>
                </w:tcPr>
                <w:p w14:paraId="5E928002">
                  <w:pPr>
                    <w:pStyle w:val="30"/>
                    <w:framePr w:hSpace="0" w:wrap="auto" w:vAnchor="margin" w:hAnchor="text" w:xAlign="left" w:yAlign="inline"/>
                    <w:rPr>
                      <w:color w:val="auto"/>
                    </w:rPr>
                  </w:pPr>
                </w:p>
              </w:tc>
              <w:tc>
                <w:tcPr>
                  <w:tcW w:w="546" w:type="pct"/>
                  <w:vAlign w:val="center"/>
                </w:tcPr>
                <w:p w14:paraId="77480B59">
                  <w:pPr>
                    <w:pStyle w:val="30"/>
                    <w:framePr w:hSpace="0" w:wrap="auto" w:vAnchor="margin" w:hAnchor="text" w:xAlign="left" w:yAlign="inline"/>
                    <w:rPr>
                      <w:color w:val="auto"/>
                    </w:rPr>
                  </w:pPr>
                  <w:r>
                    <w:rPr>
                      <w:color w:val="auto"/>
                    </w:rPr>
                    <w:t>供水</w:t>
                  </w:r>
                </w:p>
              </w:tc>
              <w:tc>
                <w:tcPr>
                  <w:tcW w:w="3207" w:type="pct"/>
                  <w:vAlign w:val="center"/>
                </w:tcPr>
                <w:p w14:paraId="6A8AF4B0">
                  <w:pPr>
                    <w:pStyle w:val="30"/>
                    <w:framePr w:hSpace="0" w:wrap="auto" w:vAnchor="margin" w:hAnchor="text" w:xAlign="left" w:yAlign="inline"/>
                    <w:rPr>
                      <w:color w:val="auto"/>
                    </w:rPr>
                  </w:pPr>
                  <w:r>
                    <w:rPr>
                      <w:rFonts w:hint="eastAsia"/>
                      <w:color w:val="auto"/>
                    </w:rPr>
                    <w:t>市政供水系统供水</w:t>
                  </w:r>
                </w:p>
              </w:tc>
              <w:tc>
                <w:tcPr>
                  <w:tcW w:w="488" w:type="pct"/>
                  <w:vAlign w:val="center"/>
                </w:tcPr>
                <w:p w14:paraId="6760D1EF">
                  <w:pPr>
                    <w:spacing w:line="240" w:lineRule="auto"/>
                    <w:jc w:val="center"/>
                    <w:rPr>
                      <w:rFonts w:cs="宋体"/>
                      <w:color w:val="auto"/>
                      <w:kern w:val="2"/>
                      <w:sz w:val="18"/>
                      <w:szCs w:val="22"/>
                      <w:lang w:val="zh-CN"/>
                    </w:rPr>
                  </w:pPr>
                  <w:r>
                    <w:rPr>
                      <w:rFonts w:hint="eastAsia" w:cs="宋体"/>
                      <w:color w:val="auto"/>
                      <w:kern w:val="2"/>
                      <w:sz w:val="18"/>
                      <w:szCs w:val="22"/>
                      <w:lang w:val="zh-CN"/>
                    </w:rPr>
                    <w:t>依托市政供水管网</w:t>
                  </w:r>
                </w:p>
              </w:tc>
            </w:tr>
            <w:tr w14:paraId="3212A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757" w:type="pct"/>
                  <w:vMerge w:val="continue"/>
                  <w:vAlign w:val="center"/>
                </w:tcPr>
                <w:p w14:paraId="058ED0D7">
                  <w:pPr>
                    <w:pStyle w:val="30"/>
                    <w:framePr w:hSpace="0" w:wrap="auto" w:vAnchor="margin" w:hAnchor="text" w:xAlign="left" w:yAlign="inline"/>
                    <w:rPr>
                      <w:color w:val="auto"/>
                    </w:rPr>
                  </w:pPr>
                </w:p>
              </w:tc>
              <w:tc>
                <w:tcPr>
                  <w:tcW w:w="546" w:type="pct"/>
                  <w:vAlign w:val="center"/>
                </w:tcPr>
                <w:p w14:paraId="444F0142">
                  <w:pPr>
                    <w:pStyle w:val="30"/>
                    <w:framePr w:hSpace="0" w:wrap="auto" w:vAnchor="margin" w:hAnchor="text" w:xAlign="left" w:yAlign="inline"/>
                    <w:rPr>
                      <w:color w:val="auto"/>
                    </w:rPr>
                  </w:pPr>
                  <w:r>
                    <w:rPr>
                      <w:color w:val="auto"/>
                    </w:rPr>
                    <w:t>排水</w:t>
                  </w:r>
                </w:p>
              </w:tc>
              <w:tc>
                <w:tcPr>
                  <w:tcW w:w="3207" w:type="pct"/>
                  <w:vAlign w:val="center"/>
                </w:tcPr>
                <w:p w14:paraId="31D5A24D">
                  <w:pPr>
                    <w:pStyle w:val="30"/>
                    <w:framePr w:hSpace="0" w:wrap="auto" w:vAnchor="margin" w:hAnchor="text" w:xAlign="left" w:yAlign="inline"/>
                    <w:rPr>
                      <w:color w:val="auto"/>
                    </w:rPr>
                  </w:pPr>
                  <w:r>
                    <w:rPr>
                      <w:color w:val="auto"/>
                    </w:rPr>
                    <w:t>雨污分流，雨水接</w:t>
                  </w:r>
                  <w:r>
                    <w:rPr>
                      <w:rFonts w:hint="eastAsia"/>
                      <w:color w:val="auto"/>
                    </w:rPr>
                    <w:t>园区</w:t>
                  </w:r>
                  <w:r>
                    <w:rPr>
                      <w:color w:val="auto"/>
                    </w:rPr>
                    <w:t>雨水管网，生活污水经</w:t>
                  </w:r>
                  <w:r>
                    <w:rPr>
                      <w:rFonts w:hint="eastAsia"/>
                      <w:color w:val="auto"/>
                    </w:rPr>
                    <w:t>园区</w:t>
                  </w:r>
                  <w:r>
                    <w:rPr>
                      <w:color w:val="auto"/>
                    </w:rPr>
                    <w:t>化粪池</w:t>
                  </w:r>
                  <w:r>
                    <w:rPr>
                      <w:rFonts w:hint="eastAsia"/>
                      <w:color w:val="auto"/>
                    </w:rPr>
                    <w:t>预</w:t>
                  </w:r>
                  <w:r>
                    <w:rPr>
                      <w:color w:val="auto"/>
                    </w:rPr>
                    <w:t>处理</w:t>
                  </w:r>
                  <w:r>
                    <w:rPr>
                      <w:rFonts w:hint="eastAsia"/>
                      <w:color w:val="auto"/>
                    </w:rPr>
                    <w:t>、生产废水经隔油池</w:t>
                  </w:r>
                  <w:r>
                    <w:rPr>
                      <w:rFonts w:hint="eastAsia"/>
                      <w:color w:val="auto"/>
                      <w:lang w:val="en-US"/>
                    </w:rPr>
                    <w:t>+</w:t>
                  </w:r>
                  <w:r>
                    <w:rPr>
                      <w:rFonts w:hint="eastAsia"/>
                      <w:color w:val="auto"/>
                    </w:rPr>
                    <w:t>沉淀池</w:t>
                  </w:r>
                  <w:r>
                    <w:rPr>
                      <w:rFonts w:hint="eastAsia"/>
                      <w:color w:val="auto"/>
                      <w:lang w:val="en-US"/>
                    </w:rPr>
                    <w:t>+SBR废水处理设施</w:t>
                  </w:r>
                  <w:r>
                    <w:rPr>
                      <w:rFonts w:hint="eastAsia"/>
                      <w:color w:val="auto"/>
                    </w:rPr>
                    <w:t>处理达标后汇同生活污水经园区污水管网接管至市政污水管网，排至安成经济开发区污水处理厂</w:t>
                  </w:r>
                  <w:r>
                    <w:rPr>
                      <w:color w:val="auto"/>
                    </w:rPr>
                    <w:t>处理。</w:t>
                  </w:r>
                </w:p>
              </w:tc>
              <w:tc>
                <w:tcPr>
                  <w:tcW w:w="488" w:type="pct"/>
                  <w:vAlign w:val="center"/>
                </w:tcPr>
                <w:p w14:paraId="24603BA8">
                  <w:pPr>
                    <w:spacing w:line="240" w:lineRule="auto"/>
                    <w:jc w:val="center"/>
                    <w:rPr>
                      <w:rFonts w:cs="宋体"/>
                      <w:color w:val="auto"/>
                      <w:kern w:val="2"/>
                      <w:sz w:val="18"/>
                      <w:szCs w:val="22"/>
                      <w:lang w:val="zh-CN"/>
                    </w:rPr>
                  </w:pPr>
                  <w:r>
                    <w:rPr>
                      <w:rFonts w:hint="eastAsia" w:cs="宋体"/>
                      <w:color w:val="auto"/>
                      <w:kern w:val="2"/>
                      <w:sz w:val="18"/>
                      <w:szCs w:val="22"/>
                      <w:lang w:val="zh-CN"/>
                    </w:rPr>
                    <w:t>新建</w:t>
                  </w:r>
                </w:p>
              </w:tc>
            </w:tr>
            <w:tr w14:paraId="31118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757" w:type="pct"/>
                  <w:vMerge w:val="restart"/>
                  <w:vAlign w:val="center"/>
                </w:tcPr>
                <w:p w14:paraId="3D07FF0D">
                  <w:pPr>
                    <w:pStyle w:val="30"/>
                    <w:framePr w:hSpace="0" w:wrap="auto" w:vAnchor="margin" w:hAnchor="text" w:xAlign="left" w:yAlign="inline"/>
                    <w:rPr>
                      <w:color w:val="auto"/>
                    </w:rPr>
                  </w:pPr>
                  <w:r>
                    <w:rPr>
                      <w:color w:val="auto"/>
                    </w:rPr>
                    <w:t>储运</w:t>
                  </w:r>
                </w:p>
                <w:p w14:paraId="6A349EDB">
                  <w:pPr>
                    <w:pStyle w:val="30"/>
                    <w:framePr w:hSpace="0" w:wrap="auto" w:vAnchor="margin" w:hAnchor="text" w:xAlign="left" w:yAlign="inline"/>
                    <w:rPr>
                      <w:color w:val="auto"/>
                    </w:rPr>
                  </w:pPr>
                  <w:r>
                    <w:rPr>
                      <w:color w:val="auto"/>
                    </w:rPr>
                    <w:t>工程</w:t>
                  </w:r>
                </w:p>
              </w:tc>
              <w:tc>
                <w:tcPr>
                  <w:tcW w:w="546" w:type="pct"/>
                  <w:vAlign w:val="center"/>
                </w:tcPr>
                <w:p w14:paraId="0FB3599A">
                  <w:pPr>
                    <w:pStyle w:val="30"/>
                    <w:framePr w:hSpace="0" w:wrap="auto" w:vAnchor="margin" w:hAnchor="text" w:xAlign="left" w:yAlign="inline"/>
                    <w:rPr>
                      <w:color w:val="auto"/>
                      <w:lang w:val="en-US"/>
                    </w:rPr>
                  </w:pPr>
                  <w:r>
                    <w:rPr>
                      <w:rFonts w:hint="eastAsia"/>
                      <w:color w:val="auto"/>
                    </w:rPr>
                    <w:t>原料库</w:t>
                  </w:r>
                  <w:r>
                    <w:rPr>
                      <w:rFonts w:hint="eastAsia"/>
                      <w:color w:val="auto"/>
                      <w:lang w:val="en-US"/>
                    </w:rPr>
                    <w:t>1</w:t>
                  </w:r>
                </w:p>
              </w:tc>
              <w:tc>
                <w:tcPr>
                  <w:tcW w:w="3207" w:type="pct"/>
                  <w:vAlign w:val="center"/>
                </w:tcPr>
                <w:p w14:paraId="4DC861A4">
                  <w:pPr>
                    <w:pStyle w:val="30"/>
                    <w:framePr w:hSpace="0" w:wrap="auto" w:vAnchor="margin" w:hAnchor="text" w:xAlign="left" w:yAlign="inline"/>
                    <w:rPr>
                      <w:color w:val="auto"/>
                      <w:lang w:val="en-US"/>
                    </w:rPr>
                  </w:pPr>
                  <w:r>
                    <w:rPr>
                      <w:rFonts w:hint="eastAsia"/>
                      <w:color w:val="auto"/>
                      <w:lang w:val="en-US"/>
                    </w:rPr>
                    <w:t>位于二层东侧中部，建筑面积约180m</w:t>
                  </w:r>
                  <w:r>
                    <w:rPr>
                      <w:rFonts w:hint="eastAsia"/>
                      <w:color w:val="auto"/>
                      <w:vertAlign w:val="superscript"/>
                      <w:lang w:val="en-US"/>
                    </w:rPr>
                    <w:t>2</w:t>
                  </w:r>
                  <w:r>
                    <w:rPr>
                      <w:rFonts w:hint="eastAsia"/>
                      <w:color w:val="auto"/>
                      <w:lang w:val="en-US"/>
                    </w:rPr>
                    <w:t>，</w:t>
                  </w:r>
                  <w:r>
                    <w:rPr>
                      <w:rFonts w:hint="eastAsia"/>
                      <w:color w:val="auto"/>
                    </w:rPr>
                    <w:t>用于存放千张、豆芽等原料。</w:t>
                  </w:r>
                </w:p>
              </w:tc>
              <w:tc>
                <w:tcPr>
                  <w:tcW w:w="488" w:type="pct"/>
                  <w:vAlign w:val="center"/>
                </w:tcPr>
                <w:p w14:paraId="12900BA4">
                  <w:pPr>
                    <w:spacing w:line="240" w:lineRule="auto"/>
                    <w:jc w:val="center"/>
                    <w:rPr>
                      <w:rFonts w:cs="宋体"/>
                      <w:color w:val="auto"/>
                      <w:kern w:val="2"/>
                      <w:sz w:val="18"/>
                      <w:szCs w:val="22"/>
                      <w:lang w:val="zh-CN"/>
                    </w:rPr>
                  </w:pPr>
                  <w:r>
                    <w:rPr>
                      <w:rFonts w:hint="eastAsia" w:cs="宋体"/>
                      <w:color w:val="auto"/>
                      <w:kern w:val="2"/>
                      <w:sz w:val="18"/>
                      <w:szCs w:val="22"/>
                      <w:lang w:val="zh-CN"/>
                    </w:rPr>
                    <w:t>新建</w:t>
                  </w:r>
                </w:p>
              </w:tc>
            </w:tr>
            <w:tr w14:paraId="49BC2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757" w:type="pct"/>
                  <w:vMerge w:val="continue"/>
                  <w:vAlign w:val="center"/>
                </w:tcPr>
                <w:p w14:paraId="7FA56DE8">
                  <w:pPr>
                    <w:pStyle w:val="30"/>
                    <w:framePr w:hSpace="0" w:wrap="auto" w:vAnchor="margin" w:hAnchor="text" w:xAlign="left" w:yAlign="inline"/>
                    <w:rPr>
                      <w:color w:val="auto"/>
                    </w:rPr>
                  </w:pPr>
                </w:p>
              </w:tc>
              <w:tc>
                <w:tcPr>
                  <w:tcW w:w="546" w:type="pct"/>
                  <w:vAlign w:val="center"/>
                </w:tcPr>
                <w:p w14:paraId="335888C5">
                  <w:pPr>
                    <w:pStyle w:val="30"/>
                    <w:framePr w:hSpace="0" w:wrap="auto" w:vAnchor="margin" w:hAnchor="text" w:xAlign="left" w:yAlign="inline"/>
                    <w:rPr>
                      <w:color w:val="auto"/>
                      <w:lang w:val="en-US"/>
                    </w:rPr>
                  </w:pPr>
                  <w:r>
                    <w:rPr>
                      <w:rFonts w:hint="eastAsia"/>
                      <w:color w:val="auto"/>
                    </w:rPr>
                    <w:t>原料库</w:t>
                  </w:r>
                  <w:r>
                    <w:rPr>
                      <w:rFonts w:hint="eastAsia"/>
                      <w:color w:val="auto"/>
                      <w:lang w:val="en-US"/>
                    </w:rPr>
                    <w:t>2</w:t>
                  </w:r>
                </w:p>
              </w:tc>
              <w:tc>
                <w:tcPr>
                  <w:tcW w:w="3207" w:type="pct"/>
                  <w:vAlign w:val="center"/>
                </w:tcPr>
                <w:p w14:paraId="1C4FD906">
                  <w:pPr>
                    <w:pStyle w:val="30"/>
                    <w:framePr w:hSpace="0" w:wrap="auto" w:vAnchor="margin" w:hAnchor="text" w:xAlign="left" w:yAlign="inline"/>
                    <w:rPr>
                      <w:color w:val="auto"/>
                      <w:lang w:val="en-US"/>
                    </w:rPr>
                  </w:pPr>
                  <w:r>
                    <w:rPr>
                      <w:rFonts w:hint="eastAsia"/>
                      <w:color w:val="auto"/>
                      <w:lang w:val="en-US"/>
                    </w:rPr>
                    <w:t>位于二层东北侧，建筑面积约100m</w:t>
                  </w:r>
                  <w:r>
                    <w:rPr>
                      <w:rFonts w:hint="eastAsia"/>
                      <w:color w:val="auto"/>
                      <w:vertAlign w:val="superscript"/>
                      <w:lang w:val="en-US"/>
                    </w:rPr>
                    <w:t>2</w:t>
                  </w:r>
                  <w:r>
                    <w:rPr>
                      <w:rFonts w:hint="eastAsia"/>
                      <w:color w:val="auto"/>
                      <w:lang w:val="en-US"/>
                    </w:rPr>
                    <w:t>，</w:t>
                  </w:r>
                  <w:r>
                    <w:rPr>
                      <w:rFonts w:hint="eastAsia"/>
                      <w:color w:val="auto"/>
                    </w:rPr>
                    <w:t>用于存放粉丝、酱包、料包等成品原料。</w:t>
                  </w:r>
                </w:p>
              </w:tc>
              <w:tc>
                <w:tcPr>
                  <w:tcW w:w="488" w:type="pct"/>
                  <w:vAlign w:val="center"/>
                </w:tcPr>
                <w:p w14:paraId="7B78E087">
                  <w:pPr>
                    <w:spacing w:line="240" w:lineRule="auto"/>
                    <w:jc w:val="center"/>
                    <w:rPr>
                      <w:rFonts w:cs="宋体"/>
                      <w:color w:val="auto"/>
                      <w:kern w:val="2"/>
                      <w:sz w:val="18"/>
                      <w:szCs w:val="22"/>
                      <w:lang w:val="zh-CN"/>
                    </w:rPr>
                  </w:pPr>
                  <w:r>
                    <w:rPr>
                      <w:rFonts w:hint="eastAsia" w:cs="宋体"/>
                      <w:color w:val="auto"/>
                      <w:kern w:val="2"/>
                      <w:sz w:val="18"/>
                      <w:szCs w:val="22"/>
                      <w:lang w:val="zh-CN"/>
                    </w:rPr>
                    <w:t>新建</w:t>
                  </w:r>
                </w:p>
              </w:tc>
            </w:tr>
            <w:tr w14:paraId="0AE6C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757" w:type="pct"/>
                  <w:vMerge w:val="continue"/>
                  <w:vAlign w:val="center"/>
                </w:tcPr>
                <w:p w14:paraId="2AA8C134">
                  <w:pPr>
                    <w:pStyle w:val="30"/>
                    <w:framePr w:hSpace="0" w:wrap="auto" w:vAnchor="margin" w:hAnchor="text" w:xAlign="left" w:yAlign="inline"/>
                    <w:rPr>
                      <w:color w:val="auto"/>
                    </w:rPr>
                  </w:pPr>
                </w:p>
              </w:tc>
              <w:tc>
                <w:tcPr>
                  <w:tcW w:w="546" w:type="pct"/>
                  <w:vAlign w:val="center"/>
                </w:tcPr>
                <w:p w14:paraId="1CD7107E">
                  <w:pPr>
                    <w:pStyle w:val="30"/>
                    <w:framePr w:hSpace="0" w:wrap="auto" w:vAnchor="margin" w:hAnchor="text" w:xAlign="left" w:yAlign="inline"/>
                    <w:rPr>
                      <w:color w:val="auto"/>
                    </w:rPr>
                  </w:pPr>
                  <w:r>
                    <w:rPr>
                      <w:rFonts w:hint="eastAsia"/>
                      <w:color w:val="auto"/>
                    </w:rPr>
                    <w:t>辅料库</w:t>
                  </w:r>
                </w:p>
              </w:tc>
              <w:tc>
                <w:tcPr>
                  <w:tcW w:w="3207" w:type="pct"/>
                  <w:vAlign w:val="center"/>
                </w:tcPr>
                <w:p w14:paraId="7465E4D2">
                  <w:pPr>
                    <w:pStyle w:val="30"/>
                    <w:framePr w:hSpace="0" w:wrap="auto" w:vAnchor="margin" w:hAnchor="text" w:xAlign="left" w:yAlign="inline"/>
                    <w:rPr>
                      <w:color w:val="auto"/>
                      <w:lang w:val="en-US"/>
                    </w:rPr>
                  </w:pPr>
                  <w:r>
                    <w:rPr>
                      <w:rFonts w:hint="eastAsia"/>
                      <w:color w:val="auto"/>
                      <w:lang w:val="en-US"/>
                    </w:rPr>
                    <w:t>位于原料库1西侧，建筑面积约16m</w:t>
                  </w:r>
                  <w:r>
                    <w:rPr>
                      <w:rFonts w:hint="eastAsia"/>
                      <w:color w:val="auto"/>
                      <w:vertAlign w:val="superscript"/>
                      <w:lang w:val="en-US"/>
                    </w:rPr>
                    <w:t>2</w:t>
                  </w:r>
                  <w:r>
                    <w:rPr>
                      <w:rFonts w:hint="eastAsia"/>
                      <w:color w:val="auto"/>
                      <w:lang w:val="en-US"/>
                    </w:rPr>
                    <w:t>，主要用于食用盐、天然香精料、味精等暂存。</w:t>
                  </w:r>
                </w:p>
              </w:tc>
              <w:tc>
                <w:tcPr>
                  <w:tcW w:w="488" w:type="pct"/>
                  <w:vAlign w:val="center"/>
                </w:tcPr>
                <w:p w14:paraId="201F272A">
                  <w:pPr>
                    <w:spacing w:line="240" w:lineRule="auto"/>
                    <w:jc w:val="center"/>
                    <w:rPr>
                      <w:rFonts w:cs="宋体"/>
                      <w:color w:val="auto"/>
                      <w:kern w:val="2"/>
                      <w:sz w:val="18"/>
                      <w:szCs w:val="22"/>
                      <w:lang w:val="zh-CN"/>
                    </w:rPr>
                  </w:pPr>
                  <w:r>
                    <w:rPr>
                      <w:rFonts w:hint="eastAsia" w:cs="宋体"/>
                      <w:color w:val="auto"/>
                      <w:kern w:val="2"/>
                      <w:sz w:val="18"/>
                      <w:szCs w:val="22"/>
                      <w:lang w:val="zh-CN"/>
                    </w:rPr>
                    <w:t>新建</w:t>
                  </w:r>
                </w:p>
              </w:tc>
            </w:tr>
            <w:tr w14:paraId="75102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73" w:hRule="atLeast"/>
              </w:trPr>
              <w:tc>
                <w:tcPr>
                  <w:tcW w:w="757" w:type="pct"/>
                  <w:vMerge w:val="continue"/>
                  <w:vAlign w:val="center"/>
                </w:tcPr>
                <w:p w14:paraId="07F49B91">
                  <w:pPr>
                    <w:pStyle w:val="30"/>
                    <w:framePr w:hSpace="0" w:wrap="auto" w:vAnchor="margin" w:hAnchor="text" w:xAlign="left" w:yAlign="inline"/>
                    <w:rPr>
                      <w:color w:val="auto"/>
                    </w:rPr>
                  </w:pPr>
                </w:p>
              </w:tc>
              <w:tc>
                <w:tcPr>
                  <w:tcW w:w="546" w:type="pct"/>
                  <w:shd w:val="clear" w:color="auto" w:fill="auto"/>
                  <w:vAlign w:val="center"/>
                </w:tcPr>
                <w:p w14:paraId="7E72E8AE">
                  <w:pPr>
                    <w:pStyle w:val="30"/>
                    <w:framePr w:hSpace="0" w:wrap="auto" w:vAnchor="margin" w:hAnchor="text" w:xAlign="left" w:yAlign="inline"/>
                    <w:rPr>
                      <w:rFonts w:cs="宋体"/>
                      <w:color w:val="auto"/>
                      <w:szCs w:val="22"/>
                    </w:rPr>
                  </w:pPr>
                  <w:r>
                    <w:rPr>
                      <w:rFonts w:hint="eastAsia"/>
                      <w:color w:val="auto"/>
                    </w:rPr>
                    <w:t>内包材库</w:t>
                  </w:r>
                </w:p>
              </w:tc>
              <w:tc>
                <w:tcPr>
                  <w:tcW w:w="3207" w:type="pct"/>
                  <w:shd w:val="clear" w:color="auto" w:fill="auto"/>
                  <w:vAlign w:val="center"/>
                </w:tcPr>
                <w:p w14:paraId="0C8FC91D">
                  <w:pPr>
                    <w:pStyle w:val="30"/>
                    <w:framePr w:hSpace="0" w:wrap="auto" w:vAnchor="margin" w:hAnchor="text" w:xAlign="left" w:yAlign="inline"/>
                    <w:rPr>
                      <w:rFonts w:cs="宋体"/>
                      <w:color w:val="auto"/>
                      <w:szCs w:val="22"/>
                      <w:lang w:val="en-US"/>
                    </w:rPr>
                  </w:pPr>
                  <w:r>
                    <w:rPr>
                      <w:color w:val="auto"/>
                    </w:rPr>
                    <w:t>位于</w:t>
                  </w:r>
                  <w:r>
                    <w:rPr>
                      <w:rFonts w:hint="eastAsia"/>
                      <w:color w:val="auto"/>
                    </w:rPr>
                    <w:t>辅料库北侧</w:t>
                  </w:r>
                  <w:r>
                    <w:rPr>
                      <w:color w:val="auto"/>
                    </w:rPr>
                    <w:t>，</w:t>
                  </w:r>
                  <w:r>
                    <w:rPr>
                      <w:rFonts w:hint="eastAsia"/>
                      <w:color w:val="auto"/>
                    </w:rPr>
                    <w:t>建筑面积</w:t>
                  </w:r>
                  <w:r>
                    <w:rPr>
                      <w:rFonts w:hint="eastAsia"/>
                      <w:color w:val="auto"/>
                      <w:lang w:val="en-US"/>
                    </w:rPr>
                    <w:t>15m</w:t>
                  </w:r>
                  <w:r>
                    <w:rPr>
                      <w:rFonts w:hint="eastAsia"/>
                      <w:color w:val="auto"/>
                      <w:vertAlign w:val="superscript"/>
                      <w:lang w:val="en-US"/>
                    </w:rPr>
                    <w:t>2</w:t>
                  </w:r>
                  <w:r>
                    <w:rPr>
                      <w:rFonts w:hint="eastAsia"/>
                      <w:color w:val="auto"/>
                      <w:lang w:val="en-US"/>
                    </w:rPr>
                    <w:t>，</w:t>
                  </w:r>
                  <w:r>
                    <w:rPr>
                      <w:color w:val="auto"/>
                    </w:rPr>
                    <w:t>主要用</w:t>
                  </w:r>
                  <w:r>
                    <w:rPr>
                      <w:rFonts w:hint="eastAsia"/>
                      <w:color w:val="auto"/>
                    </w:rPr>
                    <w:t>于内包装材料的暂存。</w:t>
                  </w:r>
                </w:p>
              </w:tc>
              <w:tc>
                <w:tcPr>
                  <w:tcW w:w="488" w:type="pct"/>
                  <w:vAlign w:val="center"/>
                </w:tcPr>
                <w:p w14:paraId="076C9B3F">
                  <w:pPr>
                    <w:spacing w:line="240" w:lineRule="auto"/>
                    <w:jc w:val="center"/>
                    <w:rPr>
                      <w:rFonts w:cs="宋体"/>
                      <w:color w:val="auto"/>
                      <w:kern w:val="2"/>
                      <w:sz w:val="18"/>
                      <w:szCs w:val="22"/>
                      <w:lang w:val="zh-CN"/>
                    </w:rPr>
                  </w:pPr>
                  <w:r>
                    <w:rPr>
                      <w:rFonts w:hint="eastAsia" w:cs="宋体"/>
                      <w:color w:val="auto"/>
                      <w:kern w:val="2"/>
                      <w:sz w:val="18"/>
                      <w:szCs w:val="22"/>
                      <w:lang w:val="zh-CN"/>
                    </w:rPr>
                    <w:t>新建</w:t>
                  </w:r>
                </w:p>
              </w:tc>
            </w:tr>
            <w:tr w14:paraId="6414A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757" w:type="pct"/>
                  <w:vMerge w:val="continue"/>
                  <w:vAlign w:val="center"/>
                </w:tcPr>
                <w:p w14:paraId="0782EA37">
                  <w:pPr>
                    <w:pStyle w:val="30"/>
                    <w:framePr w:hSpace="0" w:wrap="auto" w:vAnchor="margin" w:hAnchor="text" w:xAlign="left" w:yAlign="inline"/>
                    <w:rPr>
                      <w:color w:val="auto"/>
                    </w:rPr>
                  </w:pPr>
                </w:p>
              </w:tc>
              <w:tc>
                <w:tcPr>
                  <w:tcW w:w="546" w:type="pct"/>
                  <w:vAlign w:val="center"/>
                </w:tcPr>
                <w:p w14:paraId="56DB5334">
                  <w:pPr>
                    <w:pStyle w:val="30"/>
                    <w:framePr w:hSpace="0" w:wrap="auto" w:vAnchor="margin" w:hAnchor="text" w:xAlign="left" w:yAlign="inline"/>
                    <w:rPr>
                      <w:color w:val="auto"/>
                    </w:rPr>
                  </w:pPr>
                  <w:r>
                    <w:rPr>
                      <w:rFonts w:hint="eastAsia"/>
                      <w:color w:val="auto"/>
                    </w:rPr>
                    <w:t>外包材库</w:t>
                  </w:r>
                </w:p>
              </w:tc>
              <w:tc>
                <w:tcPr>
                  <w:tcW w:w="3207" w:type="pct"/>
                  <w:vAlign w:val="center"/>
                </w:tcPr>
                <w:p w14:paraId="554D8D73">
                  <w:pPr>
                    <w:pStyle w:val="30"/>
                    <w:framePr w:hSpace="0" w:wrap="auto" w:vAnchor="margin" w:hAnchor="text" w:xAlign="left" w:yAlign="inline"/>
                    <w:rPr>
                      <w:color w:val="auto"/>
                    </w:rPr>
                  </w:pPr>
                  <w:r>
                    <w:rPr>
                      <w:color w:val="auto"/>
                    </w:rPr>
                    <w:t>位于</w:t>
                  </w:r>
                  <w:r>
                    <w:rPr>
                      <w:rFonts w:hint="eastAsia"/>
                      <w:color w:val="auto"/>
                    </w:rPr>
                    <w:t>原料库</w:t>
                  </w:r>
                  <w:r>
                    <w:rPr>
                      <w:rFonts w:hint="eastAsia"/>
                      <w:color w:val="auto"/>
                      <w:lang w:val="en-US"/>
                    </w:rPr>
                    <w:t>2南侧</w:t>
                  </w:r>
                  <w:r>
                    <w:rPr>
                      <w:color w:val="auto"/>
                    </w:rPr>
                    <w:t>，</w:t>
                  </w:r>
                  <w:r>
                    <w:rPr>
                      <w:rFonts w:hint="eastAsia"/>
                      <w:color w:val="auto"/>
                    </w:rPr>
                    <w:t>建筑面积</w:t>
                  </w:r>
                  <w:r>
                    <w:rPr>
                      <w:rFonts w:hint="eastAsia"/>
                      <w:color w:val="auto"/>
                      <w:lang w:val="en-US"/>
                    </w:rPr>
                    <w:t>30m</w:t>
                  </w:r>
                  <w:r>
                    <w:rPr>
                      <w:rFonts w:hint="eastAsia"/>
                      <w:color w:val="auto"/>
                      <w:vertAlign w:val="superscript"/>
                      <w:lang w:val="en-US"/>
                    </w:rPr>
                    <w:t>2</w:t>
                  </w:r>
                  <w:r>
                    <w:rPr>
                      <w:rFonts w:hint="eastAsia"/>
                      <w:color w:val="auto"/>
                      <w:lang w:val="en-US"/>
                    </w:rPr>
                    <w:t>，</w:t>
                  </w:r>
                  <w:r>
                    <w:rPr>
                      <w:color w:val="auto"/>
                    </w:rPr>
                    <w:t>主要用</w:t>
                  </w:r>
                  <w:r>
                    <w:rPr>
                      <w:rFonts w:hint="eastAsia"/>
                      <w:color w:val="auto"/>
                    </w:rPr>
                    <w:t>于外包装材料的暂存。</w:t>
                  </w:r>
                </w:p>
              </w:tc>
              <w:tc>
                <w:tcPr>
                  <w:tcW w:w="488" w:type="pct"/>
                  <w:vAlign w:val="center"/>
                </w:tcPr>
                <w:p w14:paraId="0364F81B">
                  <w:pPr>
                    <w:spacing w:line="240" w:lineRule="auto"/>
                    <w:jc w:val="center"/>
                    <w:rPr>
                      <w:rFonts w:cs="宋体"/>
                      <w:color w:val="auto"/>
                      <w:kern w:val="2"/>
                      <w:sz w:val="18"/>
                      <w:szCs w:val="22"/>
                      <w:lang w:val="zh-CN"/>
                    </w:rPr>
                  </w:pPr>
                  <w:r>
                    <w:rPr>
                      <w:rFonts w:hint="eastAsia" w:cs="宋体"/>
                      <w:color w:val="auto"/>
                      <w:kern w:val="2"/>
                      <w:sz w:val="18"/>
                      <w:szCs w:val="22"/>
                      <w:lang w:val="zh-CN"/>
                    </w:rPr>
                    <w:t>新建</w:t>
                  </w:r>
                </w:p>
              </w:tc>
            </w:tr>
            <w:tr w14:paraId="49DE4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757" w:type="pct"/>
                  <w:vMerge w:val="restart"/>
                  <w:vAlign w:val="center"/>
                </w:tcPr>
                <w:p w14:paraId="030E12A5">
                  <w:pPr>
                    <w:pStyle w:val="30"/>
                    <w:framePr w:hSpace="0" w:wrap="auto" w:vAnchor="margin" w:hAnchor="text" w:xAlign="left" w:yAlign="inline"/>
                    <w:rPr>
                      <w:rFonts w:hint="eastAsia" w:eastAsia="宋体"/>
                      <w:color w:val="auto"/>
                      <w:lang w:eastAsia="zh-CN"/>
                    </w:rPr>
                  </w:pPr>
                  <w:r>
                    <w:rPr>
                      <w:rFonts w:hint="eastAsia"/>
                      <w:color w:val="auto"/>
                      <w:lang w:eastAsia="zh-CN"/>
                    </w:rPr>
                    <w:t>环保工程</w:t>
                  </w:r>
                </w:p>
              </w:tc>
              <w:tc>
                <w:tcPr>
                  <w:tcW w:w="546" w:type="pct"/>
                  <w:shd w:val="clear" w:color="auto" w:fill="auto"/>
                  <w:vAlign w:val="center"/>
                </w:tcPr>
                <w:p w14:paraId="2A6E6150">
                  <w:pPr>
                    <w:pStyle w:val="30"/>
                    <w:framePr w:hSpace="0" w:wrap="auto" w:vAnchor="margin" w:hAnchor="text" w:xAlign="left" w:yAlign="inline"/>
                    <w:rPr>
                      <w:rFonts w:hint="eastAsia"/>
                      <w:color w:val="auto"/>
                      <w:lang w:val="en-US" w:eastAsia="zh-CN"/>
                    </w:rPr>
                  </w:pPr>
                  <w:r>
                    <w:rPr>
                      <w:rFonts w:hint="eastAsia"/>
                      <w:color w:val="auto"/>
                    </w:rPr>
                    <w:t>废水处理</w:t>
                  </w:r>
                </w:p>
              </w:tc>
              <w:tc>
                <w:tcPr>
                  <w:tcW w:w="3207" w:type="pct"/>
                  <w:shd w:val="clear" w:color="auto" w:fill="auto"/>
                  <w:vAlign w:val="center"/>
                </w:tcPr>
                <w:p w14:paraId="626487DA">
                  <w:pPr>
                    <w:pStyle w:val="30"/>
                    <w:framePr w:hSpace="0" w:wrap="auto" w:vAnchor="margin" w:hAnchor="text" w:xAlign="left" w:yAlign="inline"/>
                    <w:rPr>
                      <w:rFonts w:hint="eastAsia"/>
                      <w:color w:val="auto"/>
                      <w:lang w:val="en-US" w:eastAsia="zh-CN"/>
                    </w:rPr>
                  </w:pPr>
                  <w:r>
                    <w:rPr>
                      <w:rFonts w:hint="eastAsia"/>
                      <w:color w:val="auto"/>
                      <w:lang w:val="en-US"/>
                    </w:rPr>
                    <w:t>生活污水经化粪池预处理，生产废水经废水处理设施处理达标后汇同生活污水纳管排入产业园内污水管网，然后由市政污水管网排入淮南经开区工业污水处理厂处理。</w:t>
                  </w:r>
                </w:p>
              </w:tc>
              <w:tc>
                <w:tcPr>
                  <w:tcW w:w="488" w:type="pct"/>
                  <w:vAlign w:val="center"/>
                </w:tcPr>
                <w:p w14:paraId="36B00CF6">
                  <w:pPr>
                    <w:spacing w:line="240" w:lineRule="auto"/>
                    <w:jc w:val="center"/>
                    <w:rPr>
                      <w:rFonts w:hint="eastAsia" w:cs="宋体"/>
                      <w:color w:val="auto"/>
                      <w:kern w:val="2"/>
                      <w:sz w:val="18"/>
                      <w:szCs w:val="22"/>
                      <w:lang w:val="zh-CN"/>
                    </w:rPr>
                  </w:pPr>
                  <w:r>
                    <w:rPr>
                      <w:rFonts w:hint="eastAsia" w:cs="宋体"/>
                      <w:color w:val="auto"/>
                      <w:kern w:val="2"/>
                      <w:sz w:val="18"/>
                      <w:szCs w:val="22"/>
                      <w:lang w:val="zh-CN"/>
                    </w:rPr>
                    <w:t>新建</w:t>
                  </w:r>
                </w:p>
              </w:tc>
            </w:tr>
            <w:tr w14:paraId="517A5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757" w:type="pct"/>
                  <w:vMerge w:val="continue"/>
                  <w:vAlign w:val="center"/>
                </w:tcPr>
                <w:p w14:paraId="622485DD">
                  <w:pPr>
                    <w:pStyle w:val="30"/>
                    <w:framePr w:hSpace="0" w:wrap="auto" w:vAnchor="margin" w:hAnchor="text" w:xAlign="left" w:yAlign="inline"/>
                    <w:rPr>
                      <w:color w:val="auto"/>
                    </w:rPr>
                  </w:pPr>
                </w:p>
              </w:tc>
              <w:tc>
                <w:tcPr>
                  <w:tcW w:w="546" w:type="pct"/>
                  <w:shd w:val="clear" w:color="auto" w:fill="auto"/>
                  <w:vAlign w:val="center"/>
                </w:tcPr>
                <w:p w14:paraId="14CD8D6E">
                  <w:pPr>
                    <w:pStyle w:val="30"/>
                    <w:framePr w:hSpace="0" w:wrap="auto" w:vAnchor="margin" w:hAnchor="text" w:xAlign="left" w:yAlign="inline"/>
                    <w:rPr>
                      <w:rFonts w:hint="eastAsia"/>
                      <w:color w:val="auto"/>
                      <w:lang w:val="en-US" w:eastAsia="zh-CN"/>
                    </w:rPr>
                  </w:pPr>
                  <w:r>
                    <w:rPr>
                      <w:rFonts w:hint="eastAsia"/>
                      <w:color w:val="auto"/>
                    </w:rPr>
                    <w:t>废气处理</w:t>
                  </w:r>
                </w:p>
              </w:tc>
              <w:tc>
                <w:tcPr>
                  <w:tcW w:w="3207" w:type="pct"/>
                  <w:shd w:val="clear" w:color="auto" w:fill="auto"/>
                  <w:vAlign w:val="center"/>
                </w:tcPr>
                <w:p w14:paraId="280D9AAB">
                  <w:pPr>
                    <w:pStyle w:val="30"/>
                    <w:framePr w:hSpace="0" w:wrap="auto" w:vAnchor="margin" w:hAnchor="text" w:xAlign="left" w:yAlign="inline"/>
                    <w:rPr>
                      <w:rFonts w:hint="eastAsia" w:eastAsia="宋体"/>
                      <w:color w:val="auto"/>
                      <w:lang w:val="en-US" w:eastAsia="zh-CN"/>
                    </w:rPr>
                  </w:pPr>
                  <w:r>
                    <w:rPr>
                      <w:rFonts w:hint="eastAsia"/>
                      <w:color w:val="auto"/>
                      <w:lang w:val="en-US" w:eastAsia="zh-CN"/>
                    </w:rPr>
                    <w:t>投料粉尘</w:t>
                  </w:r>
                  <w:r>
                    <w:rPr>
                      <w:rFonts w:hint="eastAsia"/>
                      <w:color w:val="auto"/>
                      <w:lang w:val="en-US"/>
                    </w:rPr>
                    <w:t>：</w:t>
                  </w:r>
                  <w:r>
                    <w:rPr>
                      <w:rFonts w:hint="eastAsia"/>
                      <w:color w:val="auto"/>
                      <w:lang w:val="en-US" w:eastAsia="zh-CN"/>
                    </w:rPr>
                    <w:t>设置洁净化车间，布设集气罩收集投料粉尘经布袋除尘器处理后无组织排放</w:t>
                  </w:r>
                </w:p>
              </w:tc>
              <w:tc>
                <w:tcPr>
                  <w:tcW w:w="488" w:type="pct"/>
                  <w:vAlign w:val="center"/>
                </w:tcPr>
                <w:p w14:paraId="58E2E891">
                  <w:pPr>
                    <w:spacing w:line="240" w:lineRule="auto"/>
                    <w:jc w:val="center"/>
                    <w:rPr>
                      <w:rFonts w:hint="eastAsia" w:cs="宋体"/>
                      <w:color w:val="auto"/>
                      <w:kern w:val="2"/>
                      <w:sz w:val="18"/>
                      <w:szCs w:val="22"/>
                      <w:lang w:val="zh-CN"/>
                    </w:rPr>
                  </w:pPr>
                  <w:r>
                    <w:rPr>
                      <w:rFonts w:hint="eastAsia" w:cs="宋体"/>
                      <w:color w:val="auto"/>
                      <w:kern w:val="2"/>
                      <w:sz w:val="18"/>
                      <w:szCs w:val="22"/>
                      <w:lang w:val="zh-CN"/>
                    </w:rPr>
                    <w:t>新建</w:t>
                  </w:r>
                </w:p>
              </w:tc>
            </w:tr>
            <w:tr w14:paraId="25A31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757" w:type="pct"/>
                  <w:vMerge w:val="continue"/>
                  <w:vAlign w:val="center"/>
                </w:tcPr>
                <w:p w14:paraId="2CB1CF80">
                  <w:pPr>
                    <w:pStyle w:val="30"/>
                    <w:framePr w:hSpace="0" w:wrap="auto" w:vAnchor="margin" w:hAnchor="text" w:xAlign="left" w:yAlign="inline"/>
                    <w:rPr>
                      <w:color w:val="auto"/>
                    </w:rPr>
                  </w:pPr>
                </w:p>
              </w:tc>
              <w:tc>
                <w:tcPr>
                  <w:tcW w:w="546" w:type="pct"/>
                  <w:shd w:val="clear" w:color="auto" w:fill="auto"/>
                  <w:vAlign w:val="center"/>
                </w:tcPr>
                <w:p w14:paraId="154A9BD9">
                  <w:pPr>
                    <w:pStyle w:val="30"/>
                    <w:framePr w:hSpace="0" w:wrap="auto" w:vAnchor="margin" w:hAnchor="text" w:xAlign="left" w:yAlign="inline"/>
                    <w:rPr>
                      <w:rFonts w:hint="eastAsia"/>
                      <w:color w:val="auto"/>
                      <w:lang w:val="en-US" w:eastAsia="zh-CN"/>
                    </w:rPr>
                  </w:pPr>
                  <w:r>
                    <w:rPr>
                      <w:rFonts w:hint="eastAsia"/>
                      <w:color w:val="auto"/>
                    </w:rPr>
                    <w:t>噪声治理</w:t>
                  </w:r>
                </w:p>
              </w:tc>
              <w:tc>
                <w:tcPr>
                  <w:tcW w:w="3207" w:type="pct"/>
                  <w:shd w:val="clear" w:color="auto" w:fill="auto"/>
                  <w:vAlign w:val="center"/>
                </w:tcPr>
                <w:p w14:paraId="2D537736">
                  <w:pPr>
                    <w:pStyle w:val="30"/>
                    <w:framePr w:hSpace="0" w:wrap="auto" w:vAnchor="margin" w:hAnchor="text" w:xAlign="left" w:yAlign="inline"/>
                    <w:rPr>
                      <w:rFonts w:hint="eastAsia"/>
                      <w:color w:val="auto"/>
                      <w:lang w:val="en-US" w:eastAsia="zh-CN"/>
                    </w:rPr>
                  </w:pPr>
                  <w:r>
                    <w:rPr>
                      <w:color w:val="auto"/>
                      <w:highlight w:val="none"/>
                    </w:rPr>
                    <w:t>对噪声设备进行合理布局，选用低噪声设备，采取隔声、消声、</w:t>
                  </w:r>
                  <w:r>
                    <w:rPr>
                      <w:rFonts w:hint="eastAsia"/>
                      <w:color w:val="auto"/>
                      <w:highlight w:val="none"/>
                      <w:lang w:eastAsia="zh-CN"/>
                    </w:rPr>
                    <w:t>减振</w:t>
                  </w:r>
                  <w:r>
                    <w:rPr>
                      <w:color w:val="auto"/>
                      <w:highlight w:val="none"/>
                    </w:rPr>
                    <w:t>等措施。</w:t>
                  </w:r>
                </w:p>
              </w:tc>
              <w:tc>
                <w:tcPr>
                  <w:tcW w:w="488" w:type="pct"/>
                  <w:vAlign w:val="center"/>
                </w:tcPr>
                <w:p w14:paraId="3EB9437A">
                  <w:pPr>
                    <w:spacing w:line="240" w:lineRule="auto"/>
                    <w:jc w:val="center"/>
                    <w:rPr>
                      <w:rFonts w:hint="eastAsia" w:cs="宋体"/>
                      <w:color w:val="auto"/>
                      <w:kern w:val="2"/>
                      <w:sz w:val="18"/>
                      <w:szCs w:val="22"/>
                      <w:lang w:val="zh-CN"/>
                    </w:rPr>
                  </w:pPr>
                  <w:r>
                    <w:rPr>
                      <w:rFonts w:hint="eastAsia" w:cs="宋体"/>
                      <w:color w:val="auto"/>
                      <w:kern w:val="2"/>
                      <w:sz w:val="18"/>
                      <w:szCs w:val="22"/>
                      <w:lang w:val="zh-CN"/>
                    </w:rPr>
                    <w:t>新建</w:t>
                  </w:r>
                </w:p>
              </w:tc>
            </w:tr>
            <w:tr w14:paraId="67D49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757" w:type="pct"/>
                  <w:vMerge w:val="continue"/>
                  <w:vAlign w:val="center"/>
                </w:tcPr>
                <w:p w14:paraId="56379AE4">
                  <w:pPr>
                    <w:pStyle w:val="30"/>
                    <w:framePr w:hSpace="0" w:wrap="auto" w:vAnchor="margin" w:hAnchor="text" w:xAlign="left" w:yAlign="inline"/>
                    <w:rPr>
                      <w:color w:val="auto"/>
                    </w:rPr>
                  </w:pPr>
                </w:p>
              </w:tc>
              <w:tc>
                <w:tcPr>
                  <w:tcW w:w="546" w:type="pct"/>
                  <w:shd w:val="clear" w:color="auto" w:fill="auto"/>
                  <w:vAlign w:val="center"/>
                </w:tcPr>
                <w:p w14:paraId="1F0382EF">
                  <w:pPr>
                    <w:pStyle w:val="30"/>
                    <w:framePr w:hSpace="0" w:wrap="auto" w:vAnchor="margin" w:hAnchor="text" w:xAlign="left" w:yAlign="inline"/>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rPr>
                    <w:t>固废处理</w:t>
                  </w:r>
                  <w:r>
                    <w:rPr>
                      <w:rFonts w:hint="eastAsia" w:ascii="Times New Roman" w:hAnsi="Times New Roman" w:eastAsia="宋体" w:cs="Times New Roman"/>
                      <w:color w:val="auto"/>
                      <w:lang w:eastAsia="zh-CN"/>
                    </w:rPr>
                    <w:t>设施</w:t>
                  </w:r>
                </w:p>
              </w:tc>
              <w:tc>
                <w:tcPr>
                  <w:tcW w:w="3207" w:type="pct"/>
                  <w:shd w:val="clear" w:color="auto" w:fill="auto"/>
                  <w:vAlign w:val="center"/>
                </w:tcPr>
                <w:p w14:paraId="300FEA78">
                  <w:pPr>
                    <w:pStyle w:val="30"/>
                    <w:framePr w:hSpace="0" w:wrap="auto" w:vAnchor="margin" w:hAnchor="text" w:xAlign="left" w:yAlign="inline"/>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rPr>
                    <w:t>生活垃圾委托环卫部门清运；</w:t>
                  </w:r>
                  <w:r>
                    <w:rPr>
                      <w:rFonts w:hint="eastAsia" w:ascii="Times New Roman" w:hAnsi="Times New Roman" w:eastAsia="宋体" w:cs="Times New Roman"/>
                      <w:color w:val="auto"/>
                      <w:lang w:eastAsia="zh-CN"/>
                    </w:rPr>
                    <w:t>一般固废委托物资回收公司回收处理；</w:t>
                  </w:r>
                  <w:r>
                    <w:rPr>
                      <w:rFonts w:hint="eastAsia" w:ascii="Times New Roman" w:hAnsi="Times New Roman" w:eastAsia="宋体" w:cs="Times New Roman"/>
                      <w:color w:val="auto"/>
                    </w:rPr>
                    <w:t>危险废物暂存</w:t>
                  </w:r>
                  <w:r>
                    <w:rPr>
                      <w:rFonts w:hint="eastAsia" w:ascii="Times New Roman" w:hAnsi="Times New Roman" w:eastAsia="宋体" w:cs="Times New Roman"/>
                      <w:color w:val="auto"/>
                      <w:lang w:eastAsia="zh-CN"/>
                    </w:rPr>
                    <w:t>在</w:t>
                  </w:r>
                  <w:r>
                    <w:rPr>
                      <w:rFonts w:hint="eastAsia" w:ascii="Times New Roman" w:hAnsi="Times New Roman" w:eastAsia="宋体" w:cs="Times New Roman"/>
                      <w:color w:val="auto"/>
                    </w:rPr>
                    <w:t>危废暂存间</w:t>
                  </w:r>
                  <w:r>
                    <w:rPr>
                      <w:rFonts w:hint="eastAsia" w:ascii="Times New Roman" w:hAnsi="Times New Roman" w:eastAsia="宋体" w:cs="Times New Roman"/>
                      <w:color w:val="auto"/>
                      <w:lang w:eastAsia="zh-CN"/>
                    </w:rPr>
                    <w:t>内</w:t>
                  </w:r>
                  <w:r>
                    <w:rPr>
                      <w:rFonts w:hint="eastAsia" w:ascii="Times New Roman" w:hAnsi="Times New Roman" w:eastAsia="宋体" w:cs="Times New Roman"/>
                      <w:color w:val="auto"/>
                    </w:rPr>
                    <w:t>，并委托有危废处理资质的单位处置。</w:t>
                  </w:r>
                </w:p>
              </w:tc>
              <w:tc>
                <w:tcPr>
                  <w:tcW w:w="488" w:type="pct"/>
                  <w:shd w:val="clear" w:color="auto" w:fill="auto"/>
                  <w:vAlign w:val="center"/>
                </w:tcPr>
                <w:p w14:paraId="08C2015B">
                  <w:pPr>
                    <w:pStyle w:val="30"/>
                    <w:framePr w:hSpace="0" w:wrap="auto" w:vAnchor="margin" w:hAnchor="text" w:xAlign="left" w:yAlign="inline"/>
                    <w:rPr>
                      <w:rFonts w:hint="eastAsia" w:ascii="Times New Roman" w:hAnsi="Times New Roman" w:eastAsia="宋体" w:cs="Times New Roman"/>
                      <w:color w:val="auto"/>
                      <w:lang w:val="zh-CN" w:eastAsia="zh-CN"/>
                    </w:rPr>
                  </w:pPr>
                  <w:r>
                    <w:rPr>
                      <w:rFonts w:hint="eastAsia" w:cs="宋体"/>
                      <w:color w:val="auto"/>
                      <w:kern w:val="2"/>
                      <w:sz w:val="18"/>
                      <w:szCs w:val="22"/>
                      <w:lang w:val="zh-CN"/>
                    </w:rPr>
                    <w:t>新建</w:t>
                  </w:r>
                </w:p>
              </w:tc>
            </w:tr>
            <w:tr w14:paraId="2AB66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757" w:type="pct"/>
                  <w:vMerge w:val="continue"/>
                  <w:vAlign w:val="center"/>
                </w:tcPr>
                <w:p w14:paraId="1B50F031">
                  <w:pPr>
                    <w:pStyle w:val="30"/>
                    <w:framePr w:hSpace="0" w:wrap="auto" w:vAnchor="margin" w:hAnchor="text" w:xAlign="left" w:yAlign="inline"/>
                    <w:rPr>
                      <w:color w:val="auto"/>
                    </w:rPr>
                  </w:pPr>
                </w:p>
              </w:tc>
              <w:tc>
                <w:tcPr>
                  <w:tcW w:w="546" w:type="pct"/>
                  <w:vAlign w:val="center"/>
                </w:tcPr>
                <w:p w14:paraId="56A952B0">
                  <w:pPr>
                    <w:pStyle w:val="30"/>
                    <w:framePr w:hSpace="0" w:wrap="auto" w:vAnchor="margin" w:hAnchor="text" w:xAlign="left" w:yAlign="inline"/>
                    <w:rPr>
                      <w:rFonts w:hint="eastAsia" w:ascii="Times New Roman" w:hAnsi="Times New Roman" w:eastAsia="宋体" w:cs="Times New Roman"/>
                      <w:color w:val="auto"/>
                    </w:rPr>
                  </w:pPr>
                  <w:r>
                    <w:rPr>
                      <w:rFonts w:hint="eastAsia" w:ascii="Times New Roman" w:hAnsi="Times New Roman" w:eastAsia="宋体" w:cs="Times New Roman"/>
                      <w:color w:val="auto"/>
                    </w:rPr>
                    <w:t>地下水环境</w:t>
                  </w:r>
                </w:p>
              </w:tc>
              <w:tc>
                <w:tcPr>
                  <w:tcW w:w="3207" w:type="pct"/>
                  <w:shd w:val="clear" w:color="auto" w:fill="auto"/>
                  <w:vAlign w:val="center"/>
                </w:tcPr>
                <w:p w14:paraId="212770DF">
                  <w:pPr>
                    <w:pStyle w:val="30"/>
                    <w:framePr w:hSpace="0" w:wrap="auto" w:vAnchor="margin" w:hAnchor="text" w:xAlign="left" w:yAlign="inline"/>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危废暂存间采取重点防渗，生产车间采取一般防渗；除重点防渗、一般防渗以外的其他区域采取简单防渗。</w:t>
                  </w:r>
                </w:p>
              </w:tc>
              <w:tc>
                <w:tcPr>
                  <w:tcW w:w="488" w:type="pct"/>
                  <w:shd w:val="clear" w:color="auto" w:fill="auto"/>
                  <w:vAlign w:val="center"/>
                </w:tcPr>
                <w:p w14:paraId="2C25C87F">
                  <w:pPr>
                    <w:pStyle w:val="30"/>
                    <w:framePr w:hSpace="0" w:wrap="auto" w:vAnchor="margin" w:hAnchor="text" w:xAlign="left" w:yAlign="inline"/>
                    <w:rPr>
                      <w:rFonts w:hint="eastAsia" w:ascii="Times New Roman" w:hAnsi="Times New Roman" w:eastAsia="宋体" w:cs="Times New Roman"/>
                      <w:color w:val="auto"/>
                      <w:lang w:val="zh-CN" w:eastAsia="zh-CN"/>
                    </w:rPr>
                  </w:pPr>
                  <w:r>
                    <w:rPr>
                      <w:rFonts w:hint="eastAsia" w:cs="宋体"/>
                      <w:color w:val="auto"/>
                      <w:kern w:val="2"/>
                      <w:sz w:val="18"/>
                      <w:szCs w:val="22"/>
                      <w:lang w:val="zh-CN"/>
                    </w:rPr>
                    <w:t>新建</w:t>
                  </w:r>
                </w:p>
              </w:tc>
            </w:tr>
            <w:tr w14:paraId="12189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757" w:type="pct"/>
                  <w:vMerge w:val="continue"/>
                </w:tcPr>
                <w:p w14:paraId="62ADB4F2">
                  <w:pPr>
                    <w:pStyle w:val="30"/>
                    <w:framePr w:hSpace="0" w:wrap="auto" w:vAnchor="margin" w:hAnchor="text" w:xAlign="left" w:yAlign="inline"/>
                    <w:rPr>
                      <w:color w:val="auto"/>
                    </w:rPr>
                  </w:pPr>
                </w:p>
              </w:tc>
              <w:tc>
                <w:tcPr>
                  <w:tcW w:w="0" w:type="auto"/>
                  <w:shd w:val="clear" w:color="auto" w:fill="auto"/>
                  <w:vAlign w:val="center"/>
                </w:tcPr>
                <w:p w14:paraId="74F708F9">
                  <w:pPr>
                    <w:pStyle w:val="30"/>
                    <w:framePr w:hSpace="0" w:wrap="auto" w:vAnchor="margin" w:hAnchor="text" w:xAlign="left" w:yAlign="inline"/>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rPr>
                    <w:t>环境风险防范措施</w:t>
                  </w:r>
                </w:p>
              </w:tc>
              <w:tc>
                <w:tcPr>
                  <w:tcW w:w="0" w:type="auto"/>
                  <w:shd w:val="clear" w:color="auto" w:fill="auto"/>
                  <w:vAlign w:val="center"/>
                </w:tcPr>
                <w:p w14:paraId="4E5C3D0F">
                  <w:pPr>
                    <w:pStyle w:val="30"/>
                    <w:framePr w:hSpace="0" w:wrap="auto" w:vAnchor="margin" w:hAnchor="text" w:xAlign="left" w:yAlign="inline"/>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rPr>
                    <w:t>设置相应的风险物资，如灭火器等</w:t>
                  </w:r>
                </w:p>
              </w:tc>
              <w:tc>
                <w:tcPr>
                  <w:tcW w:w="0" w:type="auto"/>
                </w:tcPr>
                <w:p w14:paraId="0F0955E9">
                  <w:pPr>
                    <w:spacing w:line="240" w:lineRule="auto"/>
                    <w:jc w:val="center"/>
                    <w:rPr>
                      <w:rFonts w:hint="eastAsia" w:cs="宋体"/>
                      <w:color w:val="auto"/>
                      <w:kern w:val="2"/>
                      <w:sz w:val="18"/>
                      <w:szCs w:val="22"/>
                      <w:lang w:val="zh-CN"/>
                    </w:rPr>
                  </w:pPr>
                  <w:r>
                    <w:rPr>
                      <w:rFonts w:hint="eastAsia" w:cs="宋体"/>
                      <w:color w:val="auto"/>
                      <w:kern w:val="2"/>
                      <w:sz w:val="18"/>
                      <w:szCs w:val="22"/>
                      <w:lang w:val="zh-CN"/>
                    </w:rPr>
                    <w:t>新建</w:t>
                  </w:r>
                </w:p>
              </w:tc>
            </w:tr>
          </w:tbl>
          <w:p w14:paraId="0B4D53B5">
            <w:pPr>
              <w:ind w:firstLine="482"/>
              <w:rPr>
                <w:b/>
                <w:color w:val="auto"/>
              </w:rPr>
            </w:pPr>
            <w:r>
              <w:rPr>
                <w:b/>
                <w:color w:val="auto"/>
              </w:rPr>
              <w:t xml:space="preserve">2.2.4 </w:t>
            </w:r>
            <w:r>
              <w:rPr>
                <w:rFonts w:hint="eastAsia"/>
                <w:b/>
                <w:color w:val="auto"/>
              </w:rPr>
              <w:t>产品方案</w:t>
            </w:r>
          </w:p>
          <w:p w14:paraId="16F1DD75">
            <w:pPr>
              <w:ind w:firstLine="480"/>
              <w:rPr>
                <w:color w:val="auto"/>
              </w:rPr>
            </w:pPr>
            <w:r>
              <w:rPr>
                <w:rFonts w:hint="eastAsia"/>
                <w:color w:val="auto"/>
              </w:rPr>
              <w:t>1、产品方案</w:t>
            </w:r>
          </w:p>
          <w:p w14:paraId="17FA86A7">
            <w:pPr>
              <w:ind w:firstLine="480"/>
              <w:rPr>
                <w:color w:val="auto"/>
              </w:rPr>
            </w:pPr>
            <w:r>
              <w:rPr>
                <w:rFonts w:hint="eastAsia"/>
                <w:color w:val="auto"/>
              </w:rPr>
              <w:t>本项目主要生产淮南牛肉汤系列产品，产品方</w:t>
            </w:r>
            <w:r>
              <w:rPr>
                <w:color w:val="auto"/>
              </w:rPr>
              <w:t>案及生产规模见</w:t>
            </w:r>
            <w:r>
              <w:rPr>
                <w:rFonts w:hint="eastAsia"/>
                <w:color w:val="auto"/>
              </w:rPr>
              <w:t>下表</w:t>
            </w:r>
            <w:r>
              <w:rPr>
                <w:color w:val="auto"/>
              </w:rPr>
              <w:t>。</w:t>
            </w:r>
          </w:p>
          <w:p w14:paraId="2419221D">
            <w:pPr>
              <w:pStyle w:val="6"/>
              <w:adjustRightInd w:val="0"/>
              <w:snapToGrid w:val="0"/>
              <w:rPr>
                <w:color w:val="auto"/>
              </w:rPr>
            </w:pPr>
            <w:r>
              <w:rPr>
                <w:color w:val="auto"/>
              </w:rPr>
              <w:t xml:space="preserve">表 </w:t>
            </w:r>
            <w:r>
              <w:rPr>
                <w:rFonts w:hint="eastAsia"/>
                <w:color w:val="auto"/>
              </w:rPr>
              <w:t>2-</w:t>
            </w:r>
            <w:r>
              <w:rPr>
                <w:color w:val="auto"/>
              </w:rPr>
              <w:fldChar w:fldCharType="begin"/>
            </w:r>
            <w:r>
              <w:rPr>
                <w:color w:val="auto"/>
              </w:rPr>
              <w:instrText xml:space="preserve"> SEQ 表 \* ARABIC \s 1 </w:instrText>
            </w:r>
            <w:r>
              <w:rPr>
                <w:color w:val="auto"/>
              </w:rPr>
              <w:fldChar w:fldCharType="separate"/>
            </w:r>
            <w:r>
              <w:rPr>
                <w:color w:val="auto"/>
              </w:rPr>
              <w:t>7</w:t>
            </w:r>
            <w:r>
              <w:rPr>
                <w:color w:val="auto"/>
              </w:rPr>
              <w:fldChar w:fldCharType="end"/>
            </w:r>
            <w:r>
              <w:rPr>
                <w:color w:val="auto"/>
              </w:rPr>
              <w:t xml:space="preserve"> 项目产品方案及生产规模</w:t>
            </w:r>
          </w:p>
          <w:tbl>
            <w:tblPr>
              <w:tblStyle w:val="24"/>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
              <w:gridCol w:w="509"/>
              <w:gridCol w:w="1064"/>
              <w:gridCol w:w="703"/>
              <w:gridCol w:w="540"/>
              <w:gridCol w:w="798"/>
              <w:gridCol w:w="637"/>
              <w:gridCol w:w="1459"/>
              <w:gridCol w:w="1732"/>
            </w:tblGrid>
            <w:tr w14:paraId="1C5C8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53" w:type="pct"/>
                  <w:vAlign w:val="center"/>
                </w:tcPr>
                <w:p w14:paraId="2B5AD11F">
                  <w:pPr>
                    <w:pStyle w:val="30"/>
                    <w:framePr w:hSpace="0" w:wrap="auto" w:vAnchor="margin" w:hAnchor="text" w:xAlign="left" w:yAlign="inline"/>
                    <w:rPr>
                      <w:color w:val="auto"/>
                    </w:rPr>
                  </w:pPr>
                  <w:r>
                    <w:rPr>
                      <w:color w:val="auto"/>
                    </w:rPr>
                    <w:t>序号</w:t>
                  </w:r>
                </w:p>
              </w:tc>
              <w:tc>
                <w:tcPr>
                  <w:tcW w:w="1002" w:type="pct"/>
                  <w:gridSpan w:val="2"/>
                  <w:vAlign w:val="center"/>
                </w:tcPr>
                <w:p w14:paraId="1F17DBBB">
                  <w:pPr>
                    <w:pStyle w:val="30"/>
                    <w:framePr w:hSpace="0" w:wrap="auto" w:vAnchor="margin" w:hAnchor="text" w:xAlign="left" w:yAlign="inline"/>
                    <w:rPr>
                      <w:color w:val="auto"/>
                    </w:rPr>
                  </w:pPr>
                  <w:r>
                    <w:rPr>
                      <w:color w:val="auto"/>
                    </w:rPr>
                    <w:t>产品名称</w:t>
                  </w:r>
                </w:p>
              </w:tc>
              <w:tc>
                <w:tcPr>
                  <w:tcW w:w="448" w:type="pct"/>
                  <w:vAlign w:val="center"/>
                </w:tcPr>
                <w:p w14:paraId="502386A0">
                  <w:pPr>
                    <w:pStyle w:val="30"/>
                    <w:framePr w:hSpace="0" w:wrap="auto" w:vAnchor="margin" w:hAnchor="text" w:xAlign="left" w:yAlign="inline"/>
                    <w:rPr>
                      <w:color w:val="auto"/>
                    </w:rPr>
                  </w:pPr>
                  <w:r>
                    <w:rPr>
                      <w:color w:val="auto"/>
                    </w:rPr>
                    <w:t>产能</w:t>
                  </w:r>
                </w:p>
              </w:tc>
              <w:tc>
                <w:tcPr>
                  <w:tcW w:w="344" w:type="pct"/>
                  <w:vAlign w:val="center"/>
                </w:tcPr>
                <w:p w14:paraId="1CDD8357">
                  <w:pPr>
                    <w:pStyle w:val="30"/>
                    <w:framePr w:hSpace="0" w:wrap="auto" w:vAnchor="margin" w:hAnchor="text" w:xAlign="left" w:yAlign="inline"/>
                    <w:rPr>
                      <w:color w:val="auto"/>
                    </w:rPr>
                  </w:pPr>
                  <w:r>
                    <w:rPr>
                      <w:color w:val="auto"/>
                    </w:rPr>
                    <w:t>单位</w:t>
                  </w:r>
                </w:p>
              </w:tc>
              <w:tc>
                <w:tcPr>
                  <w:tcW w:w="509" w:type="pct"/>
                  <w:vAlign w:val="center"/>
                </w:tcPr>
                <w:p w14:paraId="64C2A2E5">
                  <w:pPr>
                    <w:pStyle w:val="30"/>
                    <w:framePr w:hSpace="0" w:wrap="auto" w:vAnchor="margin" w:hAnchor="text" w:xAlign="left" w:yAlign="inline"/>
                    <w:rPr>
                      <w:color w:val="auto"/>
                    </w:rPr>
                  </w:pPr>
                  <w:r>
                    <w:rPr>
                      <w:color w:val="auto"/>
                    </w:rPr>
                    <w:t>规格</w:t>
                  </w:r>
                </w:p>
              </w:tc>
              <w:tc>
                <w:tcPr>
                  <w:tcW w:w="1336" w:type="pct"/>
                  <w:gridSpan w:val="2"/>
                  <w:vAlign w:val="center"/>
                </w:tcPr>
                <w:p w14:paraId="1309B9B2">
                  <w:pPr>
                    <w:pStyle w:val="30"/>
                    <w:framePr w:hSpace="0" w:wrap="auto" w:vAnchor="margin" w:hAnchor="text" w:xAlign="left" w:yAlign="inline"/>
                    <w:rPr>
                      <w:color w:val="auto"/>
                    </w:rPr>
                  </w:pPr>
                  <w:r>
                    <w:rPr>
                      <w:rFonts w:hint="eastAsia"/>
                      <w:color w:val="auto"/>
                    </w:rPr>
                    <w:t>备注</w:t>
                  </w:r>
                </w:p>
              </w:tc>
              <w:tc>
                <w:tcPr>
                  <w:tcW w:w="1104" w:type="pct"/>
                  <w:vAlign w:val="center"/>
                </w:tcPr>
                <w:p w14:paraId="4F80EF1C">
                  <w:pPr>
                    <w:pStyle w:val="30"/>
                    <w:framePr w:hSpace="0" w:wrap="auto" w:vAnchor="margin" w:hAnchor="text" w:xAlign="left" w:yAlign="inline"/>
                    <w:rPr>
                      <w:color w:val="auto"/>
                    </w:rPr>
                  </w:pPr>
                  <w:r>
                    <w:rPr>
                      <w:rFonts w:hint="eastAsia"/>
                      <w:color w:val="auto"/>
                    </w:rPr>
                    <w:t>执行标准</w:t>
                  </w:r>
                </w:p>
              </w:tc>
            </w:tr>
            <w:tr w14:paraId="047A1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253" w:type="pct"/>
                  <w:vAlign w:val="center"/>
                </w:tcPr>
                <w:p w14:paraId="2374F5FA">
                  <w:pPr>
                    <w:pStyle w:val="30"/>
                    <w:framePr w:hSpace="0" w:wrap="auto" w:vAnchor="margin" w:hAnchor="text" w:xAlign="left" w:yAlign="inline"/>
                    <w:rPr>
                      <w:color w:val="auto"/>
                      <w:lang w:val="en-US"/>
                    </w:rPr>
                  </w:pPr>
                  <w:r>
                    <w:rPr>
                      <w:color w:val="auto"/>
                      <w:lang w:val="en-US"/>
                    </w:rPr>
                    <w:t>1</w:t>
                  </w:r>
                </w:p>
              </w:tc>
              <w:tc>
                <w:tcPr>
                  <w:tcW w:w="325" w:type="pct"/>
                  <w:vMerge w:val="restart"/>
                  <w:shd w:val="clear" w:color="auto" w:fill="auto"/>
                  <w:vAlign w:val="center"/>
                </w:tcPr>
                <w:p w14:paraId="1D37288B">
                  <w:pPr>
                    <w:pStyle w:val="30"/>
                    <w:framePr w:hSpace="0" w:wrap="auto" w:vAnchor="margin" w:hAnchor="text" w:xAlign="left" w:yAlign="inline"/>
                    <w:rPr>
                      <w:color w:val="auto"/>
                      <w:lang w:val="en-US"/>
                    </w:rPr>
                  </w:pPr>
                  <w:r>
                    <w:rPr>
                      <w:rFonts w:hint="eastAsia"/>
                      <w:color w:val="auto"/>
                    </w:rPr>
                    <w:t>淮南牛肉汤系列产品</w:t>
                  </w:r>
                </w:p>
              </w:tc>
              <w:tc>
                <w:tcPr>
                  <w:tcW w:w="677" w:type="pct"/>
                  <w:shd w:val="clear" w:color="auto" w:fill="auto"/>
                  <w:vAlign w:val="center"/>
                </w:tcPr>
                <w:p w14:paraId="07B93C87">
                  <w:pPr>
                    <w:pStyle w:val="30"/>
                    <w:framePr w:hSpace="0" w:wrap="auto" w:vAnchor="margin" w:hAnchor="text" w:xAlign="left" w:yAlign="inline"/>
                    <w:rPr>
                      <w:color w:val="auto"/>
                    </w:rPr>
                  </w:pPr>
                  <w:r>
                    <w:rPr>
                      <w:rFonts w:hint="eastAsia"/>
                      <w:color w:val="auto"/>
                    </w:rPr>
                    <w:t>淮南牛肉汤粉丝</w:t>
                  </w:r>
                </w:p>
              </w:tc>
              <w:tc>
                <w:tcPr>
                  <w:tcW w:w="448" w:type="pct"/>
                  <w:shd w:val="clear" w:color="auto" w:fill="auto"/>
                  <w:vAlign w:val="center"/>
                </w:tcPr>
                <w:p w14:paraId="415C9F7F">
                  <w:pPr>
                    <w:pStyle w:val="30"/>
                    <w:framePr w:hSpace="0" w:wrap="auto" w:vAnchor="margin" w:hAnchor="text" w:xAlign="left" w:yAlign="inline"/>
                    <w:rPr>
                      <w:color w:val="auto"/>
                      <w:lang w:val="en-US"/>
                    </w:rPr>
                  </w:pPr>
                  <w:r>
                    <w:rPr>
                      <w:rFonts w:hint="eastAsia"/>
                      <w:color w:val="auto"/>
                      <w:lang w:val="en-US"/>
                    </w:rPr>
                    <w:t>100万</w:t>
                  </w:r>
                </w:p>
              </w:tc>
              <w:tc>
                <w:tcPr>
                  <w:tcW w:w="344" w:type="pct"/>
                  <w:vAlign w:val="center"/>
                </w:tcPr>
                <w:p w14:paraId="32E2778E">
                  <w:pPr>
                    <w:pStyle w:val="30"/>
                    <w:framePr w:hSpace="0" w:wrap="auto" w:vAnchor="margin" w:hAnchor="text" w:xAlign="left" w:yAlign="inline"/>
                    <w:rPr>
                      <w:color w:val="auto"/>
                      <w:lang w:val="en-US"/>
                    </w:rPr>
                  </w:pPr>
                  <w:r>
                    <w:rPr>
                      <w:rFonts w:hint="eastAsia"/>
                      <w:color w:val="auto"/>
                      <w:lang w:val="en-US"/>
                    </w:rPr>
                    <w:t>袋</w:t>
                  </w:r>
                </w:p>
              </w:tc>
              <w:tc>
                <w:tcPr>
                  <w:tcW w:w="509" w:type="pct"/>
                  <w:vAlign w:val="center"/>
                </w:tcPr>
                <w:p w14:paraId="1AD9A218">
                  <w:pPr>
                    <w:pStyle w:val="30"/>
                    <w:framePr w:hSpace="0" w:wrap="auto" w:vAnchor="margin" w:hAnchor="text" w:xAlign="left" w:yAlign="inline"/>
                    <w:rPr>
                      <w:color w:val="auto"/>
                      <w:lang w:val="en-US"/>
                    </w:rPr>
                  </w:pPr>
                  <w:r>
                    <w:rPr>
                      <w:rFonts w:hint="eastAsia"/>
                      <w:color w:val="auto"/>
                      <w:lang w:val="en-US"/>
                    </w:rPr>
                    <w:t>173g/袋</w:t>
                  </w:r>
                </w:p>
              </w:tc>
              <w:tc>
                <w:tcPr>
                  <w:tcW w:w="406" w:type="pct"/>
                  <w:vAlign w:val="center"/>
                </w:tcPr>
                <w:p w14:paraId="6C7AC089">
                  <w:pPr>
                    <w:pStyle w:val="30"/>
                    <w:framePr w:hSpace="0" w:wrap="auto" w:vAnchor="margin" w:hAnchor="text" w:xAlign="left" w:yAlign="inline"/>
                    <w:rPr>
                      <w:color w:val="auto"/>
                      <w:lang w:val="en-US"/>
                    </w:rPr>
                  </w:pPr>
                  <w:r>
                    <w:rPr>
                      <w:rFonts w:hint="eastAsia"/>
                      <w:color w:val="auto"/>
                      <w:lang w:val="en-US"/>
                    </w:rPr>
                    <w:t>60g</w:t>
                  </w:r>
                </w:p>
                <w:p w14:paraId="349DC69C">
                  <w:pPr>
                    <w:pStyle w:val="30"/>
                    <w:framePr w:hSpace="0" w:wrap="auto" w:vAnchor="margin" w:hAnchor="text" w:xAlign="left" w:yAlign="inline"/>
                    <w:rPr>
                      <w:color w:val="auto"/>
                      <w:lang w:val="en-US"/>
                    </w:rPr>
                  </w:pPr>
                  <w:r>
                    <w:rPr>
                      <w:rFonts w:hint="eastAsia"/>
                      <w:color w:val="auto"/>
                      <w:lang w:val="en-US"/>
                    </w:rPr>
                    <w:t>粉丝</w:t>
                  </w:r>
                </w:p>
              </w:tc>
              <w:tc>
                <w:tcPr>
                  <w:tcW w:w="929" w:type="pct"/>
                  <w:vAlign w:val="center"/>
                </w:tcPr>
                <w:p w14:paraId="706A09D8">
                  <w:pPr>
                    <w:pStyle w:val="30"/>
                    <w:framePr w:hSpace="0" w:wrap="auto" w:vAnchor="margin" w:hAnchor="text" w:xAlign="left" w:yAlign="inline"/>
                    <w:jc w:val="left"/>
                    <w:rPr>
                      <w:color w:val="auto"/>
                      <w:lang w:val="en-US"/>
                    </w:rPr>
                  </w:pPr>
                  <w:r>
                    <w:rPr>
                      <w:rFonts w:hint="eastAsia"/>
                      <w:color w:val="auto"/>
                      <w:lang w:val="en-US"/>
                    </w:rPr>
                    <w:t>骨汤包34g</w:t>
                  </w:r>
                </w:p>
                <w:p w14:paraId="12C2EA26">
                  <w:pPr>
                    <w:pStyle w:val="30"/>
                    <w:framePr w:hSpace="0" w:wrap="auto" w:vAnchor="margin" w:hAnchor="text" w:xAlign="left" w:yAlign="inline"/>
                    <w:jc w:val="left"/>
                    <w:rPr>
                      <w:color w:val="auto"/>
                      <w:lang w:val="en-US"/>
                    </w:rPr>
                  </w:pPr>
                  <w:r>
                    <w:rPr>
                      <w:rFonts w:hint="eastAsia"/>
                      <w:color w:val="auto"/>
                      <w:lang w:val="en-US"/>
                    </w:rPr>
                    <w:t>酱包26g</w:t>
                  </w:r>
                </w:p>
                <w:p w14:paraId="4745B987">
                  <w:pPr>
                    <w:pStyle w:val="30"/>
                    <w:framePr w:hSpace="0" w:wrap="auto" w:vAnchor="margin" w:hAnchor="text" w:xAlign="left" w:yAlign="inline"/>
                    <w:jc w:val="left"/>
                    <w:rPr>
                      <w:color w:val="auto"/>
                    </w:rPr>
                  </w:pPr>
                  <w:r>
                    <w:rPr>
                      <w:rFonts w:hint="eastAsia"/>
                      <w:color w:val="auto"/>
                    </w:rPr>
                    <w:t>牛肉包</w:t>
                  </w:r>
                  <w:r>
                    <w:rPr>
                      <w:rFonts w:hint="eastAsia"/>
                      <w:color w:val="auto"/>
                      <w:lang w:val="en-US"/>
                    </w:rPr>
                    <w:t>20</w:t>
                  </w:r>
                  <w:r>
                    <w:rPr>
                      <w:rFonts w:hint="eastAsia"/>
                      <w:color w:val="auto"/>
                    </w:rPr>
                    <w:t>g</w:t>
                  </w:r>
                </w:p>
                <w:p w14:paraId="1415CDA9">
                  <w:pPr>
                    <w:pStyle w:val="30"/>
                    <w:framePr w:hSpace="0" w:wrap="auto" w:vAnchor="margin" w:hAnchor="text" w:xAlign="left" w:yAlign="inline"/>
                    <w:jc w:val="left"/>
                    <w:rPr>
                      <w:color w:val="auto"/>
                    </w:rPr>
                  </w:pPr>
                  <w:r>
                    <w:rPr>
                      <w:rFonts w:hint="eastAsia"/>
                      <w:color w:val="auto"/>
                    </w:rPr>
                    <w:t>豆芽</w:t>
                  </w:r>
                  <w:r>
                    <w:rPr>
                      <w:rFonts w:hint="eastAsia"/>
                      <w:color w:val="auto"/>
                      <w:lang w:val="en-US"/>
                    </w:rPr>
                    <w:t>20</w:t>
                  </w:r>
                  <w:r>
                    <w:rPr>
                      <w:rFonts w:hint="eastAsia"/>
                      <w:color w:val="auto"/>
                    </w:rPr>
                    <w:t>g</w:t>
                  </w:r>
                </w:p>
                <w:p w14:paraId="2224C401">
                  <w:pPr>
                    <w:pStyle w:val="30"/>
                    <w:framePr w:hSpace="0" w:wrap="auto" w:vAnchor="margin" w:hAnchor="text" w:xAlign="left" w:yAlign="inline"/>
                    <w:jc w:val="left"/>
                    <w:rPr>
                      <w:color w:val="auto"/>
                      <w:lang w:val="en-US"/>
                    </w:rPr>
                  </w:pPr>
                  <w:r>
                    <w:rPr>
                      <w:rFonts w:hint="eastAsia"/>
                      <w:color w:val="auto"/>
                      <w:lang w:val="en-US"/>
                    </w:rPr>
                    <w:t>千张13g</w:t>
                  </w:r>
                </w:p>
              </w:tc>
              <w:tc>
                <w:tcPr>
                  <w:tcW w:w="1104" w:type="pct"/>
                  <w:vAlign w:val="center"/>
                </w:tcPr>
                <w:p w14:paraId="5B10FA40">
                  <w:pPr>
                    <w:pStyle w:val="30"/>
                    <w:framePr w:hSpace="0" w:wrap="auto" w:vAnchor="margin" w:hAnchor="text" w:xAlign="left" w:yAlign="inline"/>
                    <w:rPr>
                      <w:color w:val="auto"/>
                    </w:rPr>
                  </w:pPr>
                  <w:r>
                    <w:rPr>
                      <w:rFonts w:hint="eastAsia"/>
                      <w:color w:val="auto"/>
                      <w:lang w:val="en-US"/>
                    </w:rPr>
                    <w:t>GB17400-2015</w:t>
                  </w:r>
                </w:p>
              </w:tc>
            </w:tr>
            <w:tr w14:paraId="61046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 w:hRule="atLeast"/>
              </w:trPr>
              <w:tc>
                <w:tcPr>
                  <w:tcW w:w="253" w:type="pct"/>
                  <w:vAlign w:val="center"/>
                </w:tcPr>
                <w:p w14:paraId="4AB7C7CD">
                  <w:pPr>
                    <w:pStyle w:val="30"/>
                    <w:framePr w:hSpace="0" w:wrap="auto" w:vAnchor="margin" w:hAnchor="text" w:xAlign="left" w:yAlign="inline"/>
                    <w:rPr>
                      <w:color w:val="auto"/>
                      <w:lang w:val="en-US"/>
                    </w:rPr>
                  </w:pPr>
                  <w:r>
                    <w:rPr>
                      <w:color w:val="auto"/>
                      <w:lang w:val="en-US"/>
                    </w:rPr>
                    <w:t>2</w:t>
                  </w:r>
                </w:p>
              </w:tc>
              <w:tc>
                <w:tcPr>
                  <w:tcW w:w="325" w:type="pct"/>
                  <w:vMerge w:val="continue"/>
                  <w:shd w:val="clear" w:color="auto" w:fill="auto"/>
                  <w:vAlign w:val="center"/>
                </w:tcPr>
                <w:p w14:paraId="6B75B277">
                  <w:pPr>
                    <w:pStyle w:val="30"/>
                    <w:framePr w:hSpace="0" w:wrap="auto" w:vAnchor="margin" w:hAnchor="text" w:xAlign="left" w:yAlign="inline"/>
                    <w:rPr>
                      <w:color w:val="auto"/>
                      <w:lang w:val="en-US"/>
                    </w:rPr>
                  </w:pPr>
                </w:p>
              </w:tc>
              <w:tc>
                <w:tcPr>
                  <w:tcW w:w="677" w:type="pct"/>
                  <w:shd w:val="clear" w:color="auto" w:fill="auto"/>
                  <w:vAlign w:val="center"/>
                </w:tcPr>
                <w:p w14:paraId="720F64B5">
                  <w:pPr>
                    <w:pStyle w:val="30"/>
                    <w:framePr w:hSpace="0" w:wrap="auto" w:vAnchor="margin" w:hAnchor="text" w:xAlign="left" w:yAlign="inline"/>
                    <w:rPr>
                      <w:color w:val="auto"/>
                    </w:rPr>
                  </w:pPr>
                  <w:r>
                    <w:rPr>
                      <w:rFonts w:hint="eastAsia"/>
                      <w:color w:val="auto"/>
                    </w:rPr>
                    <w:t>淮南牛肉汤拉面</w:t>
                  </w:r>
                </w:p>
              </w:tc>
              <w:tc>
                <w:tcPr>
                  <w:tcW w:w="448" w:type="pct"/>
                  <w:shd w:val="clear" w:color="auto" w:fill="auto"/>
                  <w:vAlign w:val="center"/>
                </w:tcPr>
                <w:p w14:paraId="10C9E4DC">
                  <w:pPr>
                    <w:pStyle w:val="30"/>
                    <w:framePr w:hSpace="0" w:wrap="auto" w:vAnchor="margin" w:hAnchor="text" w:xAlign="left" w:yAlign="inline"/>
                    <w:rPr>
                      <w:color w:val="auto"/>
                      <w:lang w:val="en-US"/>
                    </w:rPr>
                  </w:pPr>
                  <w:r>
                    <w:rPr>
                      <w:rFonts w:hint="eastAsia"/>
                      <w:color w:val="auto"/>
                      <w:lang w:val="en-US"/>
                    </w:rPr>
                    <w:t>100万</w:t>
                  </w:r>
                </w:p>
              </w:tc>
              <w:tc>
                <w:tcPr>
                  <w:tcW w:w="344" w:type="pct"/>
                  <w:vAlign w:val="center"/>
                </w:tcPr>
                <w:p w14:paraId="1D576A4F">
                  <w:pPr>
                    <w:pStyle w:val="30"/>
                    <w:framePr w:hSpace="0" w:wrap="auto" w:vAnchor="margin" w:hAnchor="text" w:xAlign="left" w:yAlign="inline"/>
                    <w:rPr>
                      <w:color w:val="auto"/>
                    </w:rPr>
                  </w:pPr>
                  <w:r>
                    <w:rPr>
                      <w:rFonts w:hint="eastAsia"/>
                      <w:color w:val="auto"/>
                      <w:lang w:val="en-US"/>
                    </w:rPr>
                    <w:t>袋</w:t>
                  </w:r>
                </w:p>
              </w:tc>
              <w:tc>
                <w:tcPr>
                  <w:tcW w:w="509" w:type="pct"/>
                  <w:vAlign w:val="center"/>
                </w:tcPr>
                <w:p w14:paraId="0E5B2ACA">
                  <w:pPr>
                    <w:pStyle w:val="30"/>
                    <w:framePr w:hSpace="0" w:wrap="auto" w:vAnchor="margin" w:hAnchor="text" w:xAlign="left" w:yAlign="inline"/>
                    <w:rPr>
                      <w:color w:val="auto"/>
                    </w:rPr>
                  </w:pPr>
                  <w:r>
                    <w:rPr>
                      <w:rFonts w:hint="eastAsia"/>
                      <w:color w:val="auto"/>
                      <w:lang w:val="en-US"/>
                    </w:rPr>
                    <w:t>233g/袋</w:t>
                  </w:r>
                </w:p>
              </w:tc>
              <w:tc>
                <w:tcPr>
                  <w:tcW w:w="406" w:type="pct"/>
                  <w:vAlign w:val="center"/>
                </w:tcPr>
                <w:p w14:paraId="427847DF">
                  <w:pPr>
                    <w:pStyle w:val="30"/>
                    <w:framePr w:hSpace="0" w:wrap="auto" w:vAnchor="margin" w:hAnchor="text" w:xAlign="left" w:yAlign="inline"/>
                    <w:rPr>
                      <w:color w:val="auto"/>
                      <w:lang w:val="en-US"/>
                    </w:rPr>
                  </w:pPr>
                  <w:r>
                    <w:rPr>
                      <w:rFonts w:hint="eastAsia"/>
                      <w:color w:val="auto"/>
                      <w:lang w:val="en-US"/>
                    </w:rPr>
                    <w:t>120g面条</w:t>
                  </w:r>
                </w:p>
              </w:tc>
              <w:tc>
                <w:tcPr>
                  <w:tcW w:w="929" w:type="pct"/>
                  <w:vAlign w:val="center"/>
                </w:tcPr>
                <w:p w14:paraId="7D0111DF">
                  <w:pPr>
                    <w:pStyle w:val="30"/>
                    <w:framePr w:hSpace="0" w:wrap="auto" w:vAnchor="margin" w:hAnchor="text" w:xAlign="left" w:yAlign="inline"/>
                    <w:jc w:val="left"/>
                    <w:rPr>
                      <w:color w:val="auto"/>
                      <w:lang w:val="en-US"/>
                    </w:rPr>
                  </w:pPr>
                  <w:r>
                    <w:rPr>
                      <w:rFonts w:hint="eastAsia"/>
                      <w:color w:val="auto"/>
                      <w:lang w:val="en-US"/>
                    </w:rPr>
                    <w:t>骨汤包34g</w:t>
                  </w:r>
                </w:p>
                <w:p w14:paraId="28931764">
                  <w:pPr>
                    <w:pStyle w:val="30"/>
                    <w:framePr w:hSpace="0" w:wrap="auto" w:vAnchor="margin" w:hAnchor="text" w:xAlign="left" w:yAlign="inline"/>
                    <w:jc w:val="left"/>
                    <w:rPr>
                      <w:color w:val="auto"/>
                      <w:lang w:val="en-US"/>
                    </w:rPr>
                  </w:pPr>
                  <w:r>
                    <w:rPr>
                      <w:rFonts w:hint="eastAsia"/>
                      <w:color w:val="auto"/>
                      <w:lang w:val="en-US"/>
                    </w:rPr>
                    <w:t>酱包26g</w:t>
                  </w:r>
                </w:p>
                <w:p w14:paraId="7CE528BB">
                  <w:pPr>
                    <w:pStyle w:val="30"/>
                    <w:framePr w:hSpace="0" w:wrap="auto" w:vAnchor="margin" w:hAnchor="text" w:xAlign="left" w:yAlign="inline"/>
                    <w:jc w:val="left"/>
                    <w:rPr>
                      <w:color w:val="auto"/>
                    </w:rPr>
                  </w:pPr>
                  <w:r>
                    <w:rPr>
                      <w:rFonts w:hint="eastAsia"/>
                      <w:color w:val="auto"/>
                    </w:rPr>
                    <w:t>牛肉包</w:t>
                  </w:r>
                  <w:r>
                    <w:rPr>
                      <w:rFonts w:hint="eastAsia"/>
                      <w:color w:val="auto"/>
                      <w:lang w:val="en-US"/>
                    </w:rPr>
                    <w:t>20</w:t>
                  </w:r>
                  <w:r>
                    <w:rPr>
                      <w:rFonts w:hint="eastAsia"/>
                      <w:color w:val="auto"/>
                    </w:rPr>
                    <w:t>g</w:t>
                  </w:r>
                </w:p>
                <w:p w14:paraId="423C5EA6">
                  <w:pPr>
                    <w:pStyle w:val="30"/>
                    <w:framePr w:hSpace="0" w:wrap="auto" w:vAnchor="margin" w:hAnchor="text" w:xAlign="left" w:yAlign="inline"/>
                    <w:jc w:val="left"/>
                    <w:rPr>
                      <w:color w:val="auto"/>
                    </w:rPr>
                  </w:pPr>
                  <w:r>
                    <w:rPr>
                      <w:rFonts w:hint="eastAsia"/>
                      <w:color w:val="auto"/>
                    </w:rPr>
                    <w:t>豆芽</w:t>
                  </w:r>
                  <w:r>
                    <w:rPr>
                      <w:rFonts w:hint="eastAsia"/>
                      <w:color w:val="auto"/>
                      <w:lang w:val="en-US"/>
                    </w:rPr>
                    <w:t>20</w:t>
                  </w:r>
                  <w:r>
                    <w:rPr>
                      <w:rFonts w:hint="eastAsia"/>
                      <w:color w:val="auto"/>
                    </w:rPr>
                    <w:t>g</w:t>
                  </w:r>
                </w:p>
                <w:p w14:paraId="6212A94E">
                  <w:pPr>
                    <w:pStyle w:val="30"/>
                    <w:framePr w:hSpace="0" w:wrap="auto" w:vAnchor="margin" w:hAnchor="text" w:xAlign="left" w:yAlign="inline"/>
                    <w:jc w:val="left"/>
                    <w:rPr>
                      <w:color w:val="auto"/>
                      <w:lang w:val="en-US"/>
                    </w:rPr>
                  </w:pPr>
                  <w:r>
                    <w:rPr>
                      <w:rFonts w:hint="eastAsia"/>
                      <w:color w:val="auto"/>
                      <w:lang w:val="en-US"/>
                    </w:rPr>
                    <w:t>千张13g</w:t>
                  </w:r>
                </w:p>
              </w:tc>
              <w:tc>
                <w:tcPr>
                  <w:tcW w:w="1104" w:type="pct"/>
                  <w:vAlign w:val="center"/>
                </w:tcPr>
                <w:p w14:paraId="39701FD4">
                  <w:pPr>
                    <w:pStyle w:val="30"/>
                    <w:framePr w:hSpace="0" w:wrap="auto" w:vAnchor="margin" w:hAnchor="text" w:xAlign="left" w:yAlign="inline"/>
                    <w:rPr>
                      <w:color w:val="auto"/>
                      <w:lang w:val="en-US"/>
                    </w:rPr>
                  </w:pPr>
                  <w:r>
                    <w:rPr>
                      <w:rFonts w:hint="eastAsia"/>
                      <w:color w:val="auto"/>
                      <w:lang w:val="en-US"/>
                    </w:rPr>
                    <w:t>《方便湿面制品》Q/HJBS 0001S-2026和《拌面》Q/HJBS 0002S-2026</w:t>
                  </w:r>
                </w:p>
              </w:tc>
            </w:tr>
            <w:tr w14:paraId="291EC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53" w:type="pct"/>
                  <w:vAlign w:val="center"/>
                </w:tcPr>
                <w:p w14:paraId="40387022">
                  <w:pPr>
                    <w:pStyle w:val="30"/>
                    <w:framePr w:hSpace="0" w:wrap="auto" w:vAnchor="margin" w:hAnchor="text" w:xAlign="left" w:yAlign="inline"/>
                    <w:rPr>
                      <w:color w:val="auto"/>
                      <w:lang w:val="en-US"/>
                    </w:rPr>
                  </w:pPr>
                  <w:r>
                    <w:rPr>
                      <w:color w:val="auto"/>
                      <w:lang w:val="en-US"/>
                    </w:rPr>
                    <w:t>3</w:t>
                  </w:r>
                </w:p>
              </w:tc>
              <w:tc>
                <w:tcPr>
                  <w:tcW w:w="325" w:type="pct"/>
                  <w:vMerge w:val="continue"/>
                  <w:shd w:val="clear" w:color="auto" w:fill="auto"/>
                  <w:vAlign w:val="center"/>
                </w:tcPr>
                <w:p w14:paraId="4A7D2837">
                  <w:pPr>
                    <w:pStyle w:val="30"/>
                    <w:framePr w:hSpace="0" w:wrap="auto" w:vAnchor="margin" w:hAnchor="text" w:xAlign="left" w:yAlign="inline"/>
                    <w:rPr>
                      <w:color w:val="auto"/>
                      <w:lang w:val="en-US"/>
                    </w:rPr>
                  </w:pPr>
                </w:p>
              </w:tc>
              <w:tc>
                <w:tcPr>
                  <w:tcW w:w="677" w:type="pct"/>
                  <w:shd w:val="clear" w:color="auto" w:fill="auto"/>
                  <w:vAlign w:val="center"/>
                </w:tcPr>
                <w:p w14:paraId="57336BA7">
                  <w:pPr>
                    <w:pStyle w:val="30"/>
                    <w:framePr w:hSpace="0" w:wrap="auto" w:vAnchor="margin" w:hAnchor="text" w:xAlign="left" w:yAlign="inline"/>
                    <w:rPr>
                      <w:color w:val="auto"/>
                    </w:rPr>
                  </w:pPr>
                  <w:r>
                    <w:rPr>
                      <w:rFonts w:hint="eastAsia"/>
                      <w:color w:val="auto"/>
                    </w:rPr>
                    <w:t>淮南牛肉汤米线</w:t>
                  </w:r>
                </w:p>
              </w:tc>
              <w:tc>
                <w:tcPr>
                  <w:tcW w:w="448" w:type="pct"/>
                  <w:shd w:val="clear" w:color="auto" w:fill="auto"/>
                  <w:vAlign w:val="center"/>
                </w:tcPr>
                <w:p w14:paraId="524DFD24">
                  <w:pPr>
                    <w:pStyle w:val="30"/>
                    <w:framePr w:hSpace="0" w:wrap="auto" w:vAnchor="margin" w:hAnchor="text" w:xAlign="left" w:yAlign="inline"/>
                    <w:rPr>
                      <w:color w:val="auto"/>
                      <w:lang w:val="en-US"/>
                    </w:rPr>
                  </w:pPr>
                  <w:r>
                    <w:rPr>
                      <w:rFonts w:hint="eastAsia"/>
                      <w:color w:val="auto"/>
                      <w:lang w:val="en-US"/>
                    </w:rPr>
                    <w:t>100万</w:t>
                  </w:r>
                </w:p>
              </w:tc>
              <w:tc>
                <w:tcPr>
                  <w:tcW w:w="344" w:type="pct"/>
                  <w:vAlign w:val="center"/>
                </w:tcPr>
                <w:p w14:paraId="72090E9B">
                  <w:pPr>
                    <w:pStyle w:val="30"/>
                    <w:framePr w:hSpace="0" w:wrap="auto" w:vAnchor="margin" w:hAnchor="text" w:xAlign="left" w:yAlign="inline"/>
                    <w:rPr>
                      <w:color w:val="auto"/>
                    </w:rPr>
                  </w:pPr>
                  <w:r>
                    <w:rPr>
                      <w:rFonts w:hint="eastAsia"/>
                      <w:color w:val="auto"/>
                      <w:lang w:val="en-US"/>
                    </w:rPr>
                    <w:t>袋</w:t>
                  </w:r>
                </w:p>
              </w:tc>
              <w:tc>
                <w:tcPr>
                  <w:tcW w:w="509" w:type="pct"/>
                  <w:vAlign w:val="center"/>
                </w:tcPr>
                <w:p w14:paraId="7172D850">
                  <w:pPr>
                    <w:pStyle w:val="30"/>
                    <w:framePr w:hSpace="0" w:wrap="auto" w:vAnchor="margin" w:hAnchor="text" w:xAlign="left" w:yAlign="inline"/>
                    <w:rPr>
                      <w:color w:val="auto"/>
                    </w:rPr>
                  </w:pPr>
                  <w:r>
                    <w:rPr>
                      <w:rFonts w:hint="eastAsia"/>
                      <w:color w:val="auto"/>
                      <w:lang w:val="en-US"/>
                    </w:rPr>
                    <w:t>247g/袋</w:t>
                  </w:r>
                </w:p>
              </w:tc>
              <w:tc>
                <w:tcPr>
                  <w:tcW w:w="406" w:type="pct"/>
                  <w:vAlign w:val="center"/>
                </w:tcPr>
                <w:p w14:paraId="7FBE71F5">
                  <w:pPr>
                    <w:pStyle w:val="30"/>
                    <w:framePr w:hSpace="0" w:wrap="auto" w:vAnchor="margin" w:hAnchor="text" w:xAlign="left" w:yAlign="inline"/>
                    <w:rPr>
                      <w:color w:val="auto"/>
                      <w:lang w:val="en-US"/>
                    </w:rPr>
                  </w:pPr>
                  <w:r>
                    <w:rPr>
                      <w:rFonts w:hint="eastAsia"/>
                      <w:color w:val="auto"/>
                      <w:lang w:val="en-US"/>
                    </w:rPr>
                    <w:t>120g米线</w:t>
                  </w:r>
                </w:p>
              </w:tc>
              <w:tc>
                <w:tcPr>
                  <w:tcW w:w="929" w:type="pct"/>
                  <w:vAlign w:val="center"/>
                </w:tcPr>
                <w:p w14:paraId="0E502524">
                  <w:pPr>
                    <w:pStyle w:val="30"/>
                    <w:framePr w:hSpace="0" w:wrap="auto" w:vAnchor="margin" w:hAnchor="text" w:xAlign="left" w:yAlign="inline"/>
                    <w:jc w:val="left"/>
                    <w:rPr>
                      <w:color w:val="auto"/>
                      <w:lang w:val="en-US"/>
                    </w:rPr>
                  </w:pPr>
                  <w:r>
                    <w:rPr>
                      <w:rFonts w:hint="eastAsia"/>
                      <w:color w:val="auto"/>
                      <w:lang w:val="en-US"/>
                    </w:rPr>
                    <w:t>骨汤包34g</w:t>
                  </w:r>
                </w:p>
                <w:p w14:paraId="749698DC">
                  <w:pPr>
                    <w:pStyle w:val="30"/>
                    <w:framePr w:hSpace="0" w:wrap="auto" w:vAnchor="margin" w:hAnchor="text" w:xAlign="left" w:yAlign="inline"/>
                    <w:jc w:val="left"/>
                    <w:rPr>
                      <w:color w:val="auto"/>
                      <w:lang w:val="en-US"/>
                    </w:rPr>
                  </w:pPr>
                  <w:r>
                    <w:rPr>
                      <w:rFonts w:hint="eastAsia"/>
                      <w:color w:val="auto"/>
                      <w:lang w:val="en-US"/>
                    </w:rPr>
                    <w:t>酱包26g</w:t>
                  </w:r>
                </w:p>
                <w:p w14:paraId="708AB87C">
                  <w:pPr>
                    <w:pStyle w:val="30"/>
                    <w:framePr w:hSpace="0" w:wrap="auto" w:vAnchor="margin" w:hAnchor="text" w:xAlign="left" w:yAlign="inline"/>
                    <w:jc w:val="left"/>
                    <w:rPr>
                      <w:color w:val="auto"/>
                      <w:lang w:val="en-US"/>
                    </w:rPr>
                  </w:pPr>
                  <w:r>
                    <w:rPr>
                      <w:rFonts w:hint="eastAsia"/>
                      <w:color w:val="auto"/>
                    </w:rPr>
                    <w:t>牛肉包</w:t>
                  </w:r>
                  <w:r>
                    <w:rPr>
                      <w:rFonts w:hint="eastAsia"/>
                      <w:color w:val="auto"/>
                      <w:lang w:val="en-US"/>
                    </w:rPr>
                    <w:t>20g</w:t>
                  </w:r>
                </w:p>
                <w:p w14:paraId="6A20496E">
                  <w:pPr>
                    <w:pStyle w:val="30"/>
                    <w:framePr w:hSpace="0" w:wrap="auto" w:vAnchor="margin" w:hAnchor="text" w:xAlign="left" w:yAlign="inline"/>
                    <w:jc w:val="left"/>
                    <w:rPr>
                      <w:color w:val="auto"/>
                      <w:lang w:val="en-US"/>
                    </w:rPr>
                  </w:pPr>
                  <w:r>
                    <w:rPr>
                      <w:rFonts w:hint="eastAsia"/>
                      <w:color w:val="auto"/>
                    </w:rPr>
                    <w:t>豆芽</w:t>
                  </w:r>
                  <w:r>
                    <w:rPr>
                      <w:rFonts w:hint="eastAsia"/>
                      <w:color w:val="auto"/>
                      <w:lang w:val="en-US"/>
                    </w:rPr>
                    <w:t>20g</w:t>
                  </w:r>
                </w:p>
                <w:p w14:paraId="36FDE224">
                  <w:pPr>
                    <w:pStyle w:val="30"/>
                    <w:framePr w:hSpace="0" w:wrap="auto" w:vAnchor="margin" w:hAnchor="text" w:xAlign="left" w:yAlign="inline"/>
                    <w:jc w:val="left"/>
                    <w:rPr>
                      <w:color w:val="auto"/>
                      <w:lang w:val="en-US"/>
                    </w:rPr>
                  </w:pPr>
                  <w:r>
                    <w:rPr>
                      <w:rFonts w:hint="eastAsia"/>
                      <w:color w:val="auto"/>
                    </w:rPr>
                    <w:t>醋包</w:t>
                  </w:r>
                  <w:r>
                    <w:rPr>
                      <w:rFonts w:hint="eastAsia"/>
                      <w:color w:val="auto"/>
                      <w:lang w:val="en-US"/>
                    </w:rPr>
                    <w:t>10g</w:t>
                  </w:r>
                </w:p>
                <w:p w14:paraId="0383885E">
                  <w:pPr>
                    <w:pStyle w:val="30"/>
                    <w:framePr w:hSpace="0" w:wrap="auto" w:vAnchor="margin" w:hAnchor="text" w:xAlign="left" w:yAlign="inline"/>
                    <w:jc w:val="left"/>
                    <w:rPr>
                      <w:color w:val="auto"/>
                      <w:lang w:val="en-US"/>
                    </w:rPr>
                  </w:pPr>
                  <w:r>
                    <w:rPr>
                      <w:rFonts w:hint="eastAsia"/>
                      <w:color w:val="auto"/>
                    </w:rPr>
                    <w:t>辣椒粉</w:t>
                  </w:r>
                  <w:r>
                    <w:rPr>
                      <w:rFonts w:hint="eastAsia"/>
                      <w:color w:val="auto"/>
                      <w:lang w:val="en-US"/>
                    </w:rPr>
                    <w:t>3g</w:t>
                  </w:r>
                </w:p>
                <w:p w14:paraId="13849DDA">
                  <w:pPr>
                    <w:pStyle w:val="30"/>
                    <w:framePr w:hSpace="0" w:wrap="auto" w:vAnchor="margin" w:hAnchor="text" w:xAlign="left" w:yAlign="inline"/>
                    <w:jc w:val="left"/>
                    <w:rPr>
                      <w:color w:val="auto"/>
                      <w:lang w:val="en-US"/>
                    </w:rPr>
                  </w:pPr>
                  <w:r>
                    <w:rPr>
                      <w:rFonts w:hint="eastAsia"/>
                      <w:color w:val="auto"/>
                      <w:lang w:val="en-US"/>
                    </w:rPr>
                    <w:t>千张13g</w:t>
                  </w:r>
                </w:p>
                <w:p w14:paraId="65614941">
                  <w:pPr>
                    <w:pStyle w:val="30"/>
                    <w:framePr w:hSpace="0" w:wrap="auto" w:vAnchor="margin" w:hAnchor="text" w:xAlign="left" w:yAlign="inline"/>
                    <w:jc w:val="left"/>
                    <w:rPr>
                      <w:color w:val="auto"/>
                      <w:lang w:val="en-US"/>
                    </w:rPr>
                  </w:pPr>
                  <w:r>
                    <w:rPr>
                      <w:rFonts w:hint="eastAsia"/>
                      <w:color w:val="auto"/>
                    </w:rPr>
                    <w:t>蔬菜包</w:t>
                  </w:r>
                  <w:r>
                    <w:rPr>
                      <w:rFonts w:hint="eastAsia"/>
                      <w:color w:val="auto"/>
                      <w:lang w:val="en-US"/>
                    </w:rPr>
                    <w:t>1g</w:t>
                  </w:r>
                </w:p>
              </w:tc>
              <w:tc>
                <w:tcPr>
                  <w:tcW w:w="1104" w:type="pct"/>
                  <w:vAlign w:val="center"/>
                </w:tcPr>
                <w:p w14:paraId="1CA741D6">
                  <w:pPr>
                    <w:pStyle w:val="30"/>
                    <w:framePr w:hSpace="0" w:wrap="auto" w:vAnchor="margin" w:hAnchor="text" w:xAlign="left" w:yAlign="inline"/>
                    <w:rPr>
                      <w:color w:val="auto"/>
                      <w:lang w:val="en-US"/>
                    </w:rPr>
                  </w:pPr>
                  <w:r>
                    <w:rPr>
                      <w:rFonts w:hint="eastAsia"/>
                      <w:color w:val="auto"/>
                      <w:lang w:val="en-US"/>
                    </w:rPr>
                    <w:t>《淮南牛肉汤米线》Q/HJBS 0003S-2026</w:t>
                  </w:r>
                </w:p>
              </w:tc>
            </w:tr>
            <w:tr w14:paraId="05803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56" w:type="pct"/>
                  <w:gridSpan w:val="3"/>
                  <w:vAlign w:val="center"/>
                </w:tcPr>
                <w:p w14:paraId="6756C7E8">
                  <w:pPr>
                    <w:pStyle w:val="30"/>
                    <w:framePr w:hSpace="0" w:wrap="auto" w:vAnchor="margin" w:hAnchor="text" w:xAlign="left" w:yAlign="inline"/>
                    <w:rPr>
                      <w:color w:val="auto"/>
                    </w:rPr>
                  </w:pPr>
                  <w:r>
                    <w:rPr>
                      <w:rFonts w:hint="eastAsia"/>
                      <w:color w:val="auto"/>
                    </w:rPr>
                    <w:t>合计</w:t>
                  </w:r>
                </w:p>
              </w:tc>
              <w:tc>
                <w:tcPr>
                  <w:tcW w:w="448" w:type="pct"/>
                  <w:shd w:val="clear" w:color="auto" w:fill="auto"/>
                  <w:vAlign w:val="center"/>
                </w:tcPr>
                <w:p w14:paraId="4AF70346">
                  <w:pPr>
                    <w:pStyle w:val="30"/>
                    <w:framePr w:hSpace="0" w:wrap="auto" w:vAnchor="margin" w:hAnchor="text" w:xAlign="left" w:yAlign="inline"/>
                    <w:rPr>
                      <w:color w:val="auto"/>
                      <w:lang w:val="en-US"/>
                    </w:rPr>
                  </w:pPr>
                  <w:r>
                    <w:rPr>
                      <w:rFonts w:hint="eastAsia"/>
                      <w:color w:val="auto"/>
                      <w:lang w:val="en-US"/>
                    </w:rPr>
                    <w:t>300万</w:t>
                  </w:r>
                </w:p>
              </w:tc>
              <w:tc>
                <w:tcPr>
                  <w:tcW w:w="344" w:type="pct"/>
                  <w:vAlign w:val="center"/>
                </w:tcPr>
                <w:p w14:paraId="2F0C3156">
                  <w:pPr>
                    <w:pStyle w:val="30"/>
                    <w:framePr w:hSpace="0" w:wrap="auto" w:vAnchor="margin" w:hAnchor="text" w:xAlign="left" w:yAlign="inline"/>
                    <w:rPr>
                      <w:color w:val="auto"/>
                      <w:lang w:val="en-US"/>
                    </w:rPr>
                  </w:pPr>
                  <w:r>
                    <w:rPr>
                      <w:rFonts w:hint="eastAsia"/>
                      <w:color w:val="auto"/>
                      <w:lang w:val="en-US"/>
                    </w:rPr>
                    <w:t>袋</w:t>
                  </w:r>
                </w:p>
              </w:tc>
              <w:tc>
                <w:tcPr>
                  <w:tcW w:w="509" w:type="pct"/>
                  <w:vAlign w:val="center"/>
                </w:tcPr>
                <w:p w14:paraId="1A2D7779">
                  <w:pPr>
                    <w:pStyle w:val="30"/>
                    <w:framePr w:hSpace="0" w:wrap="auto" w:vAnchor="margin" w:hAnchor="text" w:xAlign="left" w:yAlign="inline"/>
                    <w:rPr>
                      <w:color w:val="auto"/>
                      <w:lang w:val="en-US"/>
                    </w:rPr>
                  </w:pPr>
                  <w:r>
                    <w:rPr>
                      <w:rFonts w:hint="eastAsia"/>
                      <w:color w:val="auto"/>
                      <w:lang w:val="en-US"/>
                    </w:rPr>
                    <w:t>/</w:t>
                  </w:r>
                </w:p>
              </w:tc>
              <w:tc>
                <w:tcPr>
                  <w:tcW w:w="406" w:type="pct"/>
                  <w:vAlign w:val="center"/>
                </w:tcPr>
                <w:p w14:paraId="21576808">
                  <w:pPr>
                    <w:pStyle w:val="30"/>
                    <w:framePr w:hSpace="0" w:wrap="auto" w:vAnchor="margin" w:hAnchor="text" w:xAlign="left" w:yAlign="inline"/>
                    <w:rPr>
                      <w:color w:val="auto"/>
                      <w:lang w:val="en-US"/>
                    </w:rPr>
                  </w:pPr>
                  <w:r>
                    <w:rPr>
                      <w:rFonts w:hint="eastAsia"/>
                      <w:color w:val="auto"/>
                      <w:lang w:val="en-US"/>
                    </w:rPr>
                    <w:t>/</w:t>
                  </w:r>
                </w:p>
              </w:tc>
              <w:tc>
                <w:tcPr>
                  <w:tcW w:w="929" w:type="pct"/>
                  <w:vAlign w:val="center"/>
                </w:tcPr>
                <w:p w14:paraId="40289823">
                  <w:pPr>
                    <w:pStyle w:val="30"/>
                    <w:framePr w:hSpace="0" w:wrap="auto" w:vAnchor="margin" w:hAnchor="text" w:xAlign="left" w:yAlign="inline"/>
                    <w:rPr>
                      <w:color w:val="auto"/>
                      <w:lang w:val="en-US"/>
                    </w:rPr>
                  </w:pPr>
                  <w:r>
                    <w:rPr>
                      <w:rFonts w:hint="eastAsia"/>
                      <w:color w:val="auto"/>
                      <w:lang w:val="en-US"/>
                    </w:rPr>
                    <w:t>/</w:t>
                  </w:r>
                </w:p>
              </w:tc>
              <w:tc>
                <w:tcPr>
                  <w:tcW w:w="1104" w:type="pct"/>
                  <w:vAlign w:val="center"/>
                </w:tcPr>
                <w:p w14:paraId="2BC0DC53">
                  <w:pPr>
                    <w:pStyle w:val="30"/>
                    <w:framePr w:hSpace="0" w:wrap="auto" w:vAnchor="margin" w:hAnchor="text" w:xAlign="left" w:yAlign="inline"/>
                    <w:rPr>
                      <w:color w:val="auto"/>
                      <w:lang w:val="en-US"/>
                    </w:rPr>
                  </w:pPr>
                  <w:r>
                    <w:rPr>
                      <w:rFonts w:hint="eastAsia"/>
                      <w:color w:val="auto"/>
                      <w:lang w:val="en-US"/>
                    </w:rPr>
                    <w:t>/</w:t>
                  </w:r>
                </w:p>
              </w:tc>
            </w:tr>
          </w:tbl>
          <w:p w14:paraId="26ED6275">
            <w:pPr>
              <w:ind w:firstLine="480"/>
              <w:rPr>
                <w:color w:val="auto"/>
              </w:rPr>
            </w:pPr>
            <w:r>
              <w:rPr>
                <w:rFonts w:hint="eastAsia"/>
                <w:color w:val="auto"/>
              </w:rPr>
              <w:t>2、产品质量标准</w:t>
            </w:r>
          </w:p>
          <w:p w14:paraId="4C321529">
            <w:pPr>
              <w:ind w:firstLine="480"/>
              <w:rPr>
                <w:color w:val="auto"/>
              </w:rPr>
            </w:pPr>
            <w:bookmarkStart w:id="20" w:name="c2"/>
            <w:bookmarkStart w:id="21" w:name="CSTD_NAME"/>
            <w:r>
              <w:rPr>
                <w:rFonts w:hint="eastAsia"/>
                <w:color w:val="auto"/>
              </w:rPr>
              <w:t>（1）淮南牛肉汤粉丝产品执行《食品安全国家标准 方便面》（GB17400-2015）；</w:t>
            </w:r>
          </w:p>
          <w:p w14:paraId="7F25FD26">
            <w:pPr>
              <w:ind w:firstLine="480"/>
              <w:rPr>
                <w:color w:val="auto"/>
              </w:rPr>
            </w:pPr>
            <w:r>
              <w:rPr>
                <w:rFonts w:hint="eastAsia"/>
                <w:color w:val="auto"/>
              </w:rPr>
              <w:t>（2）淮南牛肉汤拉面产品执行安徽淮记本食生物科技有限公司企业标准-方便湿面制品（Q/HJBS 0001S-2026）和企业标准-拌面（Q/HJBS 0002S-2026）；</w:t>
            </w:r>
          </w:p>
          <w:p w14:paraId="23B368B8">
            <w:pPr>
              <w:ind w:firstLine="480"/>
              <w:rPr>
                <w:color w:val="auto"/>
              </w:rPr>
            </w:pPr>
            <w:r>
              <w:rPr>
                <w:rFonts w:hint="eastAsia"/>
                <w:color w:val="auto"/>
              </w:rPr>
              <w:t>（3）淮南牛肉汤米线产品执行安徽淮记本食生物科技有限公司</w:t>
            </w:r>
            <w:bookmarkEnd w:id="20"/>
            <w:r>
              <w:rPr>
                <w:rFonts w:hint="eastAsia"/>
                <w:color w:val="auto"/>
              </w:rPr>
              <w:t>企业标准-淮南牛肉汤米线</w:t>
            </w:r>
            <w:bookmarkEnd w:id="21"/>
            <w:r>
              <w:rPr>
                <w:rFonts w:hint="eastAsia"/>
                <w:color w:val="auto"/>
              </w:rPr>
              <w:t>（Q/HJBS 0003S-2026）</w:t>
            </w:r>
            <w:r>
              <w:rPr>
                <w:color w:val="auto"/>
              </w:rPr>
              <w:t>。</w:t>
            </w:r>
          </w:p>
          <w:p w14:paraId="19A4FC7B">
            <w:pPr>
              <w:pStyle w:val="3"/>
              <w:rPr>
                <w:color w:val="auto"/>
              </w:rPr>
            </w:pPr>
            <w:bookmarkStart w:id="22" w:name="_Toc4697"/>
            <w:r>
              <w:rPr>
                <w:rFonts w:hint="eastAsia"/>
                <w:color w:val="auto"/>
              </w:rPr>
              <w:t>2</w:t>
            </w:r>
            <w:r>
              <w:rPr>
                <w:color w:val="auto"/>
              </w:rPr>
              <w:t>.2.5</w:t>
            </w:r>
            <w:r>
              <w:rPr>
                <w:rFonts w:hint="eastAsia"/>
                <w:color w:val="auto"/>
              </w:rPr>
              <w:t>项目原辅材料</w:t>
            </w:r>
            <w:bookmarkEnd w:id="22"/>
          </w:p>
          <w:p w14:paraId="4554DAA0">
            <w:pPr>
              <w:ind w:firstLine="480"/>
              <w:rPr>
                <w:color w:val="auto"/>
              </w:rPr>
            </w:pPr>
            <w:r>
              <w:rPr>
                <w:color w:val="auto"/>
              </w:rPr>
              <w:t>项目主要原辅材料种类及消耗量详见</w:t>
            </w:r>
            <w:r>
              <w:rPr>
                <w:rFonts w:hint="eastAsia"/>
                <w:color w:val="auto"/>
              </w:rPr>
              <w:t>下表。</w:t>
            </w:r>
          </w:p>
          <w:p w14:paraId="3E87A8D7">
            <w:pPr>
              <w:pStyle w:val="6"/>
              <w:adjustRightInd w:val="0"/>
              <w:snapToGrid w:val="0"/>
              <w:rPr>
                <w:color w:val="auto"/>
              </w:rPr>
            </w:pPr>
            <w:r>
              <w:rPr>
                <w:color w:val="auto"/>
              </w:rPr>
              <w:t xml:space="preserve">表 </w:t>
            </w:r>
            <w:r>
              <w:rPr>
                <w:rFonts w:hint="eastAsia"/>
                <w:color w:val="auto"/>
              </w:rPr>
              <w:t>2-</w:t>
            </w:r>
            <w:r>
              <w:rPr>
                <w:color w:val="auto"/>
              </w:rPr>
              <w:fldChar w:fldCharType="begin"/>
            </w:r>
            <w:r>
              <w:rPr>
                <w:color w:val="auto"/>
              </w:rPr>
              <w:instrText xml:space="preserve"> SEQ 表 \* ARABIC \s 1 </w:instrText>
            </w:r>
            <w:r>
              <w:rPr>
                <w:color w:val="auto"/>
              </w:rPr>
              <w:fldChar w:fldCharType="separate"/>
            </w:r>
            <w:r>
              <w:rPr>
                <w:color w:val="auto"/>
              </w:rPr>
              <w:t>8</w:t>
            </w:r>
            <w:r>
              <w:rPr>
                <w:color w:val="auto"/>
              </w:rPr>
              <w:fldChar w:fldCharType="end"/>
            </w:r>
            <w:r>
              <w:rPr>
                <w:color w:val="auto"/>
              </w:rPr>
              <w:t xml:space="preserve"> 主要原辅材料消耗情况一览表</w:t>
            </w:r>
          </w:p>
          <w:tbl>
            <w:tblPr>
              <w:tblStyle w:val="24"/>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7"/>
              <w:gridCol w:w="1118"/>
              <w:gridCol w:w="1119"/>
              <w:gridCol w:w="1119"/>
              <w:gridCol w:w="1120"/>
              <w:gridCol w:w="1121"/>
              <w:gridCol w:w="1121"/>
            </w:tblGrid>
            <w:tr w14:paraId="7441B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18" w:type="dxa"/>
                  <w:vAlign w:val="center"/>
                </w:tcPr>
                <w:p w14:paraId="44D0AD93">
                  <w:pPr>
                    <w:pStyle w:val="30"/>
                    <w:framePr w:hSpace="0" w:wrap="auto" w:vAnchor="margin" w:hAnchor="text" w:xAlign="left" w:yAlign="inline"/>
                    <w:rPr>
                      <w:color w:val="auto"/>
                      <w:lang w:val="en-US"/>
                    </w:rPr>
                  </w:pPr>
                  <w:r>
                    <w:rPr>
                      <w:rFonts w:hint="eastAsia"/>
                      <w:color w:val="auto"/>
                      <w:lang w:val="en-US"/>
                    </w:rPr>
                    <w:t>序号</w:t>
                  </w:r>
                </w:p>
              </w:tc>
              <w:tc>
                <w:tcPr>
                  <w:tcW w:w="1119" w:type="dxa"/>
                  <w:vAlign w:val="center"/>
                </w:tcPr>
                <w:p w14:paraId="7BA1D581">
                  <w:pPr>
                    <w:pStyle w:val="30"/>
                    <w:framePr w:hSpace="0" w:wrap="auto" w:vAnchor="margin" w:hAnchor="text" w:xAlign="left" w:yAlign="inline"/>
                    <w:rPr>
                      <w:color w:val="auto"/>
                      <w:lang w:val="en-US"/>
                    </w:rPr>
                  </w:pPr>
                  <w:r>
                    <w:rPr>
                      <w:rFonts w:hint="eastAsia"/>
                      <w:color w:val="auto"/>
                      <w:lang w:val="en-US"/>
                    </w:rPr>
                    <w:t>名称</w:t>
                  </w:r>
                </w:p>
              </w:tc>
              <w:tc>
                <w:tcPr>
                  <w:tcW w:w="1119" w:type="dxa"/>
                  <w:vAlign w:val="center"/>
                </w:tcPr>
                <w:p w14:paraId="37BDF013">
                  <w:pPr>
                    <w:pStyle w:val="30"/>
                    <w:framePr w:hSpace="0" w:wrap="auto" w:vAnchor="margin" w:hAnchor="text" w:xAlign="left" w:yAlign="inline"/>
                    <w:rPr>
                      <w:color w:val="auto"/>
                      <w:lang w:val="en-US"/>
                    </w:rPr>
                  </w:pPr>
                  <w:r>
                    <w:rPr>
                      <w:rFonts w:hint="eastAsia"/>
                      <w:color w:val="auto"/>
                      <w:lang w:val="en-US"/>
                    </w:rPr>
                    <w:t>年用量</w:t>
                  </w:r>
                </w:p>
              </w:tc>
              <w:tc>
                <w:tcPr>
                  <w:tcW w:w="1119" w:type="dxa"/>
                  <w:vAlign w:val="center"/>
                </w:tcPr>
                <w:p w14:paraId="166F1BDD">
                  <w:pPr>
                    <w:pStyle w:val="30"/>
                    <w:framePr w:hSpace="0" w:wrap="auto" w:vAnchor="margin" w:hAnchor="text" w:xAlign="left" w:yAlign="inline"/>
                    <w:rPr>
                      <w:color w:val="auto"/>
                      <w:lang w:val="en-US"/>
                    </w:rPr>
                  </w:pPr>
                  <w:r>
                    <w:rPr>
                      <w:rFonts w:hint="eastAsia"/>
                      <w:color w:val="auto"/>
                      <w:lang w:val="en-US"/>
                    </w:rPr>
                    <w:t>单位</w:t>
                  </w:r>
                </w:p>
              </w:tc>
              <w:tc>
                <w:tcPr>
                  <w:tcW w:w="1120" w:type="dxa"/>
                  <w:vAlign w:val="center"/>
                </w:tcPr>
                <w:p w14:paraId="337713C9">
                  <w:pPr>
                    <w:pStyle w:val="30"/>
                    <w:framePr w:hSpace="0" w:wrap="auto" w:vAnchor="margin" w:hAnchor="text" w:xAlign="left" w:yAlign="inline"/>
                    <w:rPr>
                      <w:color w:val="auto"/>
                      <w:lang w:val="en-US"/>
                    </w:rPr>
                  </w:pPr>
                  <w:r>
                    <w:rPr>
                      <w:rFonts w:hint="eastAsia"/>
                      <w:color w:val="auto"/>
                      <w:lang w:val="en-US"/>
                    </w:rPr>
                    <w:t>性状</w:t>
                  </w:r>
                </w:p>
              </w:tc>
              <w:tc>
                <w:tcPr>
                  <w:tcW w:w="1121" w:type="dxa"/>
                  <w:vAlign w:val="center"/>
                </w:tcPr>
                <w:p w14:paraId="4549FCCF">
                  <w:pPr>
                    <w:pStyle w:val="30"/>
                    <w:framePr w:hSpace="0" w:wrap="auto" w:vAnchor="margin" w:hAnchor="text" w:xAlign="left" w:yAlign="inline"/>
                    <w:rPr>
                      <w:color w:val="auto"/>
                      <w:lang w:val="en-US"/>
                    </w:rPr>
                  </w:pPr>
                  <w:r>
                    <w:rPr>
                      <w:rFonts w:hint="eastAsia"/>
                      <w:color w:val="auto"/>
                      <w:lang w:val="en-US"/>
                    </w:rPr>
                    <w:t>规格</w:t>
                  </w:r>
                </w:p>
              </w:tc>
              <w:tc>
                <w:tcPr>
                  <w:tcW w:w="1121" w:type="dxa"/>
                  <w:vAlign w:val="center"/>
                </w:tcPr>
                <w:p w14:paraId="22B4D9F4">
                  <w:pPr>
                    <w:pStyle w:val="30"/>
                    <w:framePr w:hSpace="0" w:wrap="auto" w:vAnchor="margin" w:hAnchor="text" w:xAlign="left" w:yAlign="inline"/>
                    <w:rPr>
                      <w:color w:val="auto"/>
                      <w:lang w:val="en-US"/>
                    </w:rPr>
                  </w:pPr>
                  <w:r>
                    <w:rPr>
                      <w:rFonts w:hint="eastAsia"/>
                      <w:color w:val="auto"/>
                      <w:lang w:val="en-US"/>
                    </w:rPr>
                    <w:t>来源</w:t>
                  </w:r>
                </w:p>
              </w:tc>
            </w:tr>
            <w:tr w14:paraId="1F2B2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18" w:type="dxa"/>
                  <w:shd w:val="clear" w:color="auto" w:fill="auto"/>
                  <w:vAlign w:val="center"/>
                </w:tcPr>
                <w:p w14:paraId="59DBCEBB">
                  <w:pPr>
                    <w:pStyle w:val="30"/>
                    <w:framePr w:hSpace="0" w:wrap="auto" w:vAnchor="margin" w:hAnchor="text" w:xAlign="left" w:yAlign="inline"/>
                    <w:numPr>
                      <w:ilvl w:val="0"/>
                      <w:numId w:val="1"/>
                    </w:numPr>
                    <w:rPr>
                      <w:color w:val="auto"/>
                    </w:rPr>
                  </w:pPr>
                </w:p>
              </w:tc>
              <w:tc>
                <w:tcPr>
                  <w:tcW w:w="1119" w:type="dxa"/>
                  <w:shd w:val="clear" w:color="auto" w:fill="auto"/>
                  <w:vAlign w:val="center"/>
                </w:tcPr>
                <w:p w14:paraId="6014974E">
                  <w:pPr>
                    <w:pStyle w:val="30"/>
                    <w:framePr w:hSpace="0" w:wrap="auto" w:vAnchor="margin" w:hAnchor="text" w:xAlign="left" w:yAlign="inline"/>
                    <w:rPr>
                      <w:color w:val="auto"/>
                      <w:lang w:val="en-US"/>
                    </w:rPr>
                  </w:pPr>
                  <w:r>
                    <w:rPr>
                      <w:rFonts w:hint="eastAsia"/>
                      <w:color w:val="auto"/>
                    </w:rPr>
                    <w:t>牛骨</w:t>
                  </w:r>
                </w:p>
              </w:tc>
              <w:tc>
                <w:tcPr>
                  <w:tcW w:w="1119" w:type="dxa"/>
                  <w:vAlign w:val="center"/>
                </w:tcPr>
                <w:p w14:paraId="759A55DC">
                  <w:pPr>
                    <w:pStyle w:val="30"/>
                    <w:framePr w:hSpace="0" w:wrap="auto" w:vAnchor="margin" w:hAnchor="text" w:xAlign="left" w:yAlign="inline"/>
                    <w:rPr>
                      <w:color w:val="auto"/>
                      <w:lang w:val="en-US"/>
                    </w:rPr>
                  </w:pPr>
                  <w:r>
                    <w:rPr>
                      <w:rFonts w:hint="eastAsia"/>
                      <w:color w:val="auto"/>
                      <w:lang w:val="en-US"/>
                    </w:rPr>
                    <w:t>200</w:t>
                  </w:r>
                </w:p>
              </w:tc>
              <w:tc>
                <w:tcPr>
                  <w:tcW w:w="1119" w:type="dxa"/>
                  <w:vAlign w:val="center"/>
                </w:tcPr>
                <w:p w14:paraId="4AE9AE61">
                  <w:pPr>
                    <w:pStyle w:val="30"/>
                    <w:framePr w:hSpace="0" w:wrap="auto" w:vAnchor="margin" w:hAnchor="text" w:xAlign="left" w:yAlign="inline"/>
                    <w:rPr>
                      <w:color w:val="auto"/>
                      <w:lang w:val="en-US"/>
                    </w:rPr>
                  </w:pPr>
                  <w:r>
                    <w:rPr>
                      <w:rFonts w:hint="eastAsia"/>
                      <w:color w:val="auto"/>
                      <w:lang w:val="en-US"/>
                    </w:rPr>
                    <w:t>t/a</w:t>
                  </w:r>
                </w:p>
              </w:tc>
              <w:tc>
                <w:tcPr>
                  <w:tcW w:w="1120" w:type="dxa"/>
                  <w:vAlign w:val="center"/>
                </w:tcPr>
                <w:p w14:paraId="2CCC35BF">
                  <w:pPr>
                    <w:pStyle w:val="30"/>
                    <w:framePr w:hSpace="0" w:wrap="auto" w:vAnchor="margin" w:hAnchor="text" w:xAlign="left" w:yAlign="inline"/>
                    <w:rPr>
                      <w:color w:val="auto"/>
                      <w:lang w:val="en-US"/>
                    </w:rPr>
                  </w:pPr>
                  <w:r>
                    <w:rPr>
                      <w:rFonts w:hint="eastAsia"/>
                      <w:color w:val="auto"/>
                      <w:lang w:val="en-US"/>
                    </w:rPr>
                    <w:t>固态</w:t>
                  </w:r>
                </w:p>
              </w:tc>
              <w:tc>
                <w:tcPr>
                  <w:tcW w:w="1121" w:type="dxa"/>
                  <w:vAlign w:val="center"/>
                </w:tcPr>
                <w:p w14:paraId="2ED007CC">
                  <w:pPr>
                    <w:pStyle w:val="30"/>
                    <w:framePr w:hSpace="0" w:wrap="auto" w:vAnchor="margin" w:hAnchor="text" w:xAlign="left" w:yAlign="inline"/>
                    <w:rPr>
                      <w:color w:val="auto"/>
                      <w:lang w:val="en-US"/>
                    </w:rPr>
                  </w:pPr>
                  <w:r>
                    <w:rPr>
                      <w:rFonts w:hint="eastAsia"/>
                      <w:color w:val="auto"/>
                      <w:lang w:val="en-US"/>
                    </w:rPr>
                    <w:t>50kg/箱</w:t>
                  </w:r>
                </w:p>
              </w:tc>
              <w:tc>
                <w:tcPr>
                  <w:tcW w:w="1121" w:type="dxa"/>
                  <w:vAlign w:val="center"/>
                </w:tcPr>
                <w:p w14:paraId="0F4FB48D">
                  <w:pPr>
                    <w:pStyle w:val="30"/>
                    <w:framePr w:hSpace="0" w:wrap="auto" w:vAnchor="margin" w:hAnchor="text" w:xAlign="left" w:yAlign="inline"/>
                    <w:rPr>
                      <w:color w:val="auto"/>
                      <w:lang w:val="en-US"/>
                    </w:rPr>
                  </w:pPr>
                  <w:r>
                    <w:rPr>
                      <w:rFonts w:hint="eastAsia"/>
                      <w:color w:val="auto"/>
                      <w:lang w:val="en-US"/>
                    </w:rPr>
                    <w:t>外购</w:t>
                  </w:r>
                </w:p>
              </w:tc>
            </w:tr>
            <w:tr w14:paraId="21BC9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18" w:type="dxa"/>
                  <w:shd w:val="clear" w:color="auto" w:fill="auto"/>
                  <w:vAlign w:val="center"/>
                </w:tcPr>
                <w:p w14:paraId="13A17EA9">
                  <w:pPr>
                    <w:pStyle w:val="30"/>
                    <w:framePr w:hSpace="0" w:wrap="auto" w:vAnchor="margin" w:hAnchor="text" w:xAlign="left" w:yAlign="inline"/>
                    <w:numPr>
                      <w:ilvl w:val="0"/>
                      <w:numId w:val="1"/>
                    </w:numPr>
                    <w:rPr>
                      <w:color w:val="auto"/>
                      <w:lang w:val="en-US"/>
                    </w:rPr>
                  </w:pPr>
                </w:p>
              </w:tc>
              <w:tc>
                <w:tcPr>
                  <w:tcW w:w="1119" w:type="dxa"/>
                  <w:shd w:val="clear" w:color="auto" w:fill="auto"/>
                  <w:vAlign w:val="center"/>
                </w:tcPr>
                <w:p w14:paraId="450370F9">
                  <w:pPr>
                    <w:pStyle w:val="30"/>
                    <w:framePr w:hSpace="0" w:wrap="auto" w:vAnchor="margin" w:hAnchor="text" w:xAlign="left" w:yAlign="inline"/>
                    <w:rPr>
                      <w:color w:val="auto"/>
                    </w:rPr>
                  </w:pPr>
                  <w:r>
                    <w:rPr>
                      <w:rFonts w:hint="eastAsia"/>
                      <w:color w:val="auto"/>
                      <w:lang w:val="en-US"/>
                    </w:rPr>
                    <w:t>面粉</w:t>
                  </w:r>
                </w:p>
              </w:tc>
              <w:tc>
                <w:tcPr>
                  <w:tcW w:w="1119" w:type="dxa"/>
                  <w:vAlign w:val="center"/>
                </w:tcPr>
                <w:p w14:paraId="502FE368">
                  <w:pPr>
                    <w:pStyle w:val="30"/>
                    <w:framePr w:hSpace="0" w:wrap="auto" w:vAnchor="margin" w:hAnchor="text" w:xAlign="left" w:yAlign="inline"/>
                    <w:rPr>
                      <w:color w:val="auto"/>
                      <w:lang w:val="en-US"/>
                    </w:rPr>
                  </w:pPr>
                  <w:r>
                    <w:rPr>
                      <w:rFonts w:hint="eastAsia"/>
                      <w:color w:val="auto"/>
                      <w:lang w:val="en-US"/>
                    </w:rPr>
                    <w:t>90</w:t>
                  </w:r>
                </w:p>
              </w:tc>
              <w:tc>
                <w:tcPr>
                  <w:tcW w:w="1119" w:type="dxa"/>
                  <w:vAlign w:val="center"/>
                </w:tcPr>
                <w:p w14:paraId="4D9FCBB6">
                  <w:pPr>
                    <w:pStyle w:val="30"/>
                    <w:framePr w:hSpace="0" w:wrap="auto" w:vAnchor="margin" w:hAnchor="text" w:xAlign="left" w:yAlign="inline"/>
                    <w:rPr>
                      <w:color w:val="auto"/>
                      <w:lang w:val="en-US"/>
                    </w:rPr>
                  </w:pPr>
                  <w:r>
                    <w:rPr>
                      <w:rFonts w:hint="eastAsia"/>
                      <w:color w:val="auto"/>
                      <w:lang w:val="en-US"/>
                    </w:rPr>
                    <w:t>t/a</w:t>
                  </w:r>
                </w:p>
              </w:tc>
              <w:tc>
                <w:tcPr>
                  <w:tcW w:w="1120" w:type="dxa"/>
                  <w:vAlign w:val="center"/>
                </w:tcPr>
                <w:p w14:paraId="61472966">
                  <w:pPr>
                    <w:pStyle w:val="30"/>
                    <w:framePr w:hSpace="0" w:wrap="auto" w:vAnchor="margin" w:hAnchor="text" w:xAlign="left" w:yAlign="inline"/>
                    <w:rPr>
                      <w:color w:val="auto"/>
                      <w:lang w:val="en-US"/>
                    </w:rPr>
                  </w:pPr>
                  <w:r>
                    <w:rPr>
                      <w:rFonts w:hint="eastAsia"/>
                      <w:color w:val="auto"/>
                      <w:lang w:val="en-US"/>
                    </w:rPr>
                    <w:t>固态</w:t>
                  </w:r>
                </w:p>
              </w:tc>
              <w:tc>
                <w:tcPr>
                  <w:tcW w:w="1121" w:type="dxa"/>
                  <w:vAlign w:val="center"/>
                </w:tcPr>
                <w:p w14:paraId="7F0742A5">
                  <w:pPr>
                    <w:pStyle w:val="30"/>
                    <w:framePr w:hSpace="0" w:wrap="auto" w:vAnchor="margin" w:hAnchor="text" w:xAlign="left" w:yAlign="inline"/>
                    <w:rPr>
                      <w:color w:val="auto"/>
                      <w:lang w:val="en-US"/>
                    </w:rPr>
                  </w:pPr>
                  <w:r>
                    <w:rPr>
                      <w:rFonts w:hint="eastAsia"/>
                      <w:color w:val="auto"/>
                      <w:lang w:val="en-US"/>
                    </w:rPr>
                    <w:t>50kg/袋</w:t>
                  </w:r>
                </w:p>
              </w:tc>
              <w:tc>
                <w:tcPr>
                  <w:tcW w:w="1121" w:type="dxa"/>
                  <w:vAlign w:val="center"/>
                </w:tcPr>
                <w:p w14:paraId="0000CCF2">
                  <w:pPr>
                    <w:pStyle w:val="30"/>
                    <w:framePr w:hSpace="0" w:wrap="auto" w:vAnchor="margin" w:hAnchor="text" w:xAlign="left" w:yAlign="inline"/>
                    <w:rPr>
                      <w:color w:val="auto"/>
                      <w:lang w:val="en-US"/>
                    </w:rPr>
                  </w:pPr>
                  <w:r>
                    <w:rPr>
                      <w:rFonts w:hint="eastAsia"/>
                      <w:color w:val="auto"/>
                      <w:lang w:val="en-US"/>
                    </w:rPr>
                    <w:t>外购</w:t>
                  </w:r>
                </w:p>
              </w:tc>
            </w:tr>
            <w:tr w14:paraId="4AB7C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18" w:type="dxa"/>
                  <w:shd w:val="clear" w:color="auto" w:fill="auto"/>
                  <w:vAlign w:val="center"/>
                </w:tcPr>
                <w:p w14:paraId="21AE5CFA">
                  <w:pPr>
                    <w:pStyle w:val="30"/>
                    <w:framePr w:hSpace="0" w:wrap="auto" w:vAnchor="margin" w:hAnchor="text" w:xAlign="left" w:yAlign="inline"/>
                    <w:numPr>
                      <w:ilvl w:val="0"/>
                      <w:numId w:val="1"/>
                    </w:numPr>
                    <w:rPr>
                      <w:color w:val="auto"/>
                    </w:rPr>
                  </w:pPr>
                </w:p>
              </w:tc>
              <w:tc>
                <w:tcPr>
                  <w:tcW w:w="1119" w:type="dxa"/>
                  <w:shd w:val="clear" w:color="auto" w:fill="auto"/>
                  <w:vAlign w:val="center"/>
                </w:tcPr>
                <w:p w14:paraId="1DAAA3C9">
                  <w:pPr>
                    <w:pStyle w:val="30"/>
                    <w:framePr w:hSpace="0" w:wrap="auto" w:vAnchor="margin" w:hAnchor="text" w:xAlign="left" w:yAlign="inline"/>
                    <w:rPr>
                      <w:color w:val="auto"/>
                    </w:rPr>
                  </w:pPr>
                  <w:r>
                    <w:rPr>
                      <w:rFonts w:hint="eastAsia"/>
                      <w:color w:val="auto"/>
                    </w:rPr>
                    <w:t>米线包</w:t>
                  </w:r>
                </w:p>
              </w:tc>
              <w:tc>
                <w:tcPr>
                  <w:tcW w:w="1119" w:type="dxa"/>
                  <w:vAlign w:val="center"/>
                </w:tcPr>
                <w:p w14:paraId="54F52B7F">
                  <w:pPr>
                    <w:pStyle w:val="30"/>
                    <w:framePr w:hSpace="0" w:wrap="auto" w:vAnchor="margin" w:hAnchor="text" w:xAlign="left" w:yAlign="inline"/>
                    <w:rPr>
                      <w:color w:val="auto"/>
                      <w:lang w:val="en-US"/>
                    </w:rPr>
                  </w:pPr>
                  <w:r>
                    <w:rPr>
                      <w:rFonts w:hint="eastAsia"/>
                      <w:color w:val="auto"/>
                      <w:lang w:val="en-US"/>
                    </w:rPr>
                    <w:t>100万</w:t>
                  </w:r>
                </w:p>
              </w:tc>
              <w:tc>
                <w:tcPr>
                  <w:tcW w:w="1119" w:type="dxa"/>
                  <w:vAlign w:val="center"/>
                </w:tcPr>
                <w:p w14:paraId="7F07C304">
                  <w:pPr>
                    <w:pStyle w:val="30"/>
                    <w:framePr w:hSpace="0" w:wrap="auto" w:vAnchor="margin" w:hAnchor="text" w:xAlign="left" w:yAlign="inline"/>
                    <w:rPr>
                      <w:color w:val="auto"/>
                      <w:lang w:val="en-US"/>
                    </w:rPr>
                  </w:pPr>
                  <w:r>
                    <w:rPr>
                      <w:rFonts w:hint="eastAsia"/>
                      <w:color w:val="auto"/>
                      <w:lang w:val="en-US"/>
                    </w:rPr>
                    <w:t>个</w:t>
                  </w:r>
                </w:p>
              </w:tc>
              <w:tc>
                <w:tcPr>
                  <w:tcW w:w="1120" w:type="dxa"/>
                  <w:vAlign w:val="center"/>
                </w:tcPr>
                <w:p w14:paraId="2860B789">
                  <w:pPr>
                    <w:pStyle w:val="30"/>
                    <w:framePr w:hSpace="0" w:wrap="auto" w:vAnchor="margin" w:hAnchor="text" w:xAlign="left" w:yAlign="inline"/>
                    <w:rPr>
                      <w:color w:val="auto"/>
                      <w:lang w:val="en-US"/>
                    </w:rPr>
                  </w:pPr>
                  <w:r>
                    <w:rPr>
                      <w:rFonts w:hint="eastAsia"/>
                      <w:color w:val="auto"/>
                      <w:lang w:val="en-US"/>
                    </w:rPr>
                    <w:t>固态</w:t>
                  </w:r>
                </w:p>
              </w:tc>
              <w:tc>
                <w:tcPr>
                  <w:tcW w:w="1121" w:type="dxa"/>
                  <w:vAlign w:val="center"/>
                </w:tcPr>
                <w:p w14:paraId="2CF8C523">
                  <w:pPr>
                    <w:pStyle w:val="30"/>
                    <w:framePr w:hSpace="0" w:wrap="auto" w:vAnchor="margin" w:hAnchor="text" w:xAlign="left" w:yAlign="inline"/>
                    <w:rPr>
                      <w:color w:val="auto"/>
                      <w:lang w:val="en-US"/>
                    </w:rPr>
                  </w:pPr>
                  <w:r>
                    <w:rPr>
                      <w:rFonts w:hint="eastAsia"/>
                      <w:color w:val="auto"/>
                      <w:lang w:val="en-US"/>
                    </w:rPr>
                    <w:t>120g/个</w:t>
                  </w:r>
                </w:p>
              </w:tc>
              <w:tc>
                <w:tcPr>
                  <w:tcW w:w="1121" w:type="dxa"/>
                  <w:vAlign w:val="center"/>
                </w:tcPr>
                <w:p w14:paraId="57977076">
                  <w:pPr>
                    <w:pStyle w:val="30"/>
                    <w:framePr w:hSpace="0" w:wrap="auto" w:vAnchor="margin" w:hAnchor="text" w:xAlign="left" w:yAlign="inline"/>
                    <w:rPr>
                      <w:color w:val="auto"/>
                    </w:rPr>
                  </w:pPr>
                  <w:r>
                    <w:rPr>
                      <w:rFonts w:hint="eastAsia"/>
                      <w:color w:val="auto"/>
                    </w:rPr>
                    <w:t>外购成品</w:t>
                  </w:r>
                </w:p>
              </w:tc>
            </w:tr>
            <w:tr w14:paraId="23E76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18" w:type="dxa"/>
                  <w:shd w:val="clear" w:color="auto" w:fill="auto"/>
                  <w:vAlign w:val="center"/>
                </w:tcPr>
                <w:p w14:paraId="3127FC54">
                  <w:pPr>
                    <w:pStyle w:val="30"/>
                    <w:framePr w:hSpace="0" w:wrap="auto" w:vAnchor="margin" w:hAnchor="text" w:xAlign="left" w:yAlign="inline"/>
                    <w:numPr>
                      <w:ilvl w:val="0"/>
                      <w:numId w:val="1"/>
                    </w:numPr>
                    <w:rPr>
                      <w:color w:val="auto"/>
                    </w:rPr>
                  </w:pPr>
                </w:p>
              </w:tc>
              <w:tc>
                <w:tcPr>
                  <w:tcW w:w="1119" w:type="dxa"/>
                  <w:shd w:val="clear" w:color="auto" w:fill="auto"/>
                  <w:vAlign w:val="center"/>
                </w:tcPr>
                <w:p w14:paraId="41EFD098">
                  <w:pPr>
                    <w:pStyle w:val="30"/>
                    <w:framePr w:hSpace="0" w:wrap="auto" w:vAnchor="margin" w:hAnchor="text" w:xAlign="left" w:yAlign="inline"/>
                    <w:rPr>
                      <w:color w:val="auto"/>
                      <w:lang w:val="en-US"/>
                    </w:rPr>
                  </w:pPr>
                  <w:r>
                    <w:rPr>
                      <w:rFonts w:hint="eastAsia"/>
                      <w:color w:val="auto"/>
                    </w:rPr>
                    <w:t>粉丝包</w:t>
                  </w:r>
                </w:p>
              </w:tc>
              <w:tc>
                <w:tcPr>
                  <w:tcW w:w="1119" w:type="dxa"/>
                  <w:shd w:val="clear" w:color="auto" w:fill="auto"/>
                  <w:vAlign w:val="center"/>
                </w:tcPr>
                <w:p w14:paraId="08211555">
                  <w:pPr>
                    <w:pStyle w:val="30"/>
                    <w:framePr w:hSpace="0" w:wrap="auto" w:vAnchor="margin" w:hAnchor="text" w:xAlign="left" w:yAlign="inline"/>
                    <w:rPr>
                      <w:color w:val="auto"/>
                      <w:lang w:val="en-US"/>
                    </w:rPr>
                  </w:pPr>
                  <w:r>
                    <w:rPr>
                      <w:rFonts w:hint="eastAsia"/>
                      <w:color w:val="auto"/>
                      <w:lang w:val="en-US"/>
                    </w:rPr>
                    <w:t>100万</w:t>
                  </w:r>
                </w:p>
              </w:tc>
              <w:tc>
                <w:tcPr>
                  <w:tcW w:w="1119" w:type="dxa"/>
                  <w:shd w:val="clear" w:color="auto" w:fill="auto"/>
                  <w:vAlign w:val="center"/>
                </w:tcPr>
                <w:p w14:paraId="4265AC61">
                  <w:pPr>
                    <w:pStyle w:val="30"/>
                    <w:framePr w:hSpace="0" w:wrap="auto" w:vAnchor="margin" w:hAnchor="text" w:xAlign="left" w:yAlign="inline"/>
                    <w:rPr>
                      <w:color w:val="auto"/>
                      <w:lang w:val="en-US"/>
                    </w:rPr>
                  </w:pPr>
                  <w:r>
                    <w:rPr>
                      <w:rFonts w:hint="eastAsia"/>
                      <w:color w:val="auto"/>
                      <w:lang w:val="en-US"/>
                    </w:rPr>
                    <w:t>个</w:t>
                  </w:r>
                </w:p>
              </w:tc>
              <w:tc>
                <w:tcPr>
                  <w:tcW w:w="1120" w:type="dxa"/>
                  <w:shd w:val="clear" w:color="auto" w:fill="auto"/>
                  <w:vAlign w:val="center"/>
                </w:tcPr>
                <w:p w14:paraId="10CC4186">
                  <w:pPr>
                    <w:pStyle w:val="30"/>
                    <w:framePr w:hSpace="0" w:wrap="auto" w:vAnchor="margin" w:hAnchor="text" w:xAlign="left" w:yAlign="inline"/>
                    <w:rPr>
                      <w:color w:val="auto"/>
                      <w:lang w:val="en-US"/>
                    </w:rPr>
                  </w:pPr>
                  <w:r>
                    <w:rPr>
                      <w:rFonts w:hint="eastAsia"/>
                      <w:color w:val="auto"/>
                      <w:lang w:val="en-US"/>
                    </w:rPr>
                    <w:t>固态</w:t>
                  </w:r>
                </w:p>
              </w:tc>
              <w:tc>
                <w:tcPr>
                  <w:tcW w:w="1121" w:type="dxa"/>
                  <w:shd w:val="clear" w:color="auto" w:fill="auto"/>
                  <w:vAlign w:val="center"/>
                </w:tcPr>
                <w:p w14:paraId="3645F14D">
                  <w:pPr>
                    <w:pStyle w:val="30"/>
                    <w:framePr w:hSpace="0" w:wrap="auto" w:vAnchor="margin" w:hAnchor="text" w:xAlign="left" w:yAlign="inline"/>
                    <w:rPr>
                      <w:color w:val="auto"/>
                      <w:lang w:val="en-US"/>
                    </w:rPr>
                  </w:pPr>
                  <w:r>
                    <w:rPr>
                      <w:rFonts w:hint="eastAsia"/>
                      <w:color w:val="auto"/>
                      <w:lang w:val="en-US"/>
                    </w:rPr>
                    <w:t>60g/个</w:t>
                  </w:r>
                </w:p>
              </w:tc>
              <w:tc>
                <w:tcPr>
                  <w:tcW w:w="1121" w:type="dxa"/>
                  <w:shd w:val="clear" w:color="auto" w:fill="auto"/>
                  <w:vAlign w:val="center"/>
                </w:tcPr>
                <w:p w14:paraId="3CD9D353">
                  <w:pPr>
                    <w:pStyle w:val="30"/>
                    <w:framePr w:hSpace="0" w:wrap="auto" w:vAnchor="margin" w:hAnchor="text" w:xAlign="left" w:yAlign="inline"/>
                    <w:rPr>
                      <w:color w:val="auto"/>
                      <w:lang w:val="en-US"/>
                    </w:rPr>
                  </w:pPr>
                  <w:r>
                    <w:rPr>
                      <w:rFonts w:hint="eastAsia"/>
                      <w:color w:val="auto"/>
                      <w:lang w:val="en-US"/>
                    </w:rPr>
                    <w:t>外购成品</w:t>
                  </w:r>
                </w:p>
              </w:tc>
            </w:tr>
            <w:tr w14:paraId="4032C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18" w:type="dxa"/>
                  <w:vAlign w:val="center"/>
                </w:tcPr>
                <w:p w14:paraId="401F18EA">
                  <w:pPr>
                    <w:pStyle w:val="30"/>
                    <w:framePr w:hSpace="0" w:wrap="auto" w:vAnchor="margin" w:hAnchor="text" w:xAlign="left" w:yAlign="inline"/>
                    <w:numPr>
                      <w:ilvl w:val="0"/>
                      <w:numId w:val="1"/>
                    </w:numPr>
                    <w:rPr>
                      <w:color w:val="auto"/>
                      <w:lang w:val="en-US"/>
                    </w:rPr>
                  </w:pPr>
                </w:p>
              </w:tc>
              <w:tc>
                <w:tcPr>
                  <w:tcW w:w="1119" w:type="dxa"/>
                  <w:vAlign w:val="center"/>
                </w:tcPr>
                <w:p w14:paraId="27E168AE">
                  <w:pPr>
                    <w:pStyle w:val="30"/>
                    <w:framePr w:hSpace="0" w:wrap="auto" w:vAnchor="margin" w:hAnchor="text" w:xAlign="left" w:yAlign="inline"/>
                    <w:rPr>
                      <w:color w:val="auto"/>
                    </w:rPr>
                  </w:pPr>
                  <w:r>
                    <w:rPr>
                      <w:rFonts w:hint="eastAsia"/>
                      <w:color w:val="auto"/>
                      <w:lang w:val="en-US"/>
                    </w:rPr>
                    <w:t>酱包</w:t>
                  </w:r>
                </w:p>
              </w:tc>
              <w:tc>
                <w:tcPr>
                  <w:tcW w:w="1119" w:type="dxa"/>
                  <w:vAlign w:val="center"/>
                </w:tcPr>
                <w:p w14:paraId="143C0252">
                  <w:pPr>
                    <w:pStyle w:val="30"/>
                    <w:framePr w:hSpace="0" w:wrap="auto" w:vAnchor="margin" w:hAnchor="text" w:xAlign="left" w:yAlign="inline"/>
                    <w:rPr>
                      <w:color w:val="auto"/>
                      <w:lang w:val="en-US"/>
                    </w:rPr>
                  </w:pPr>
                  <w:r>
                    <w:rPr>
                      <w:rFonts w:hint="eastAsia"/>
                      <w:color w:val="auto"/>
                      <w:lang w:val="en-US"/>
                    </w:rPr>
                    <w:t>300万</w:t>
                  </w:r>
                </w:p>
              </w:tc>
              <w:tc>
                <w:tcPr>
                  <w:tcW w:w="1119" w:type="dxa"/>
                  <w:vAlign w:val="center"/>
                </w:tcPr>
                <w:p w14:paraId="06495E66">
                  <w:pPr>
                    <w:pStyle w:val="30"/>
                    <w:framePr w:hSpace="0" w:wrap="auto" w:vAnchor="margin" w:hAnchor="text" w:xAlign="left" w:yAlign="inline"/>
                    <w:rPr>
                      <w:color w:val="auto"/>
                      <w:lang w:val="en-US"/>
                    </w:rPr>
                  </w:pPr>
                  <w:r>
                    <w:rPr>
                      <w:rFonts w:hint="eastAsia"/>
                      <w:color w:val="auto"/>
                      <w:lang w:val="en-US"/>
                    </w:rPr>
                    <w:t>包</w:t>
                  </w:r>
                </w:p>
              </w:tc>
              <w:tc>
                <w:tcPr>
                  <w:tcW w:w="1120" w:type="dxa"/>
                  <w:vAlign w:val="center"/>
                </w:tcPr>
                <w:p w14:paraId="43938BDA">
                  <w:pPr>
                    <w:pStyle w:val="30"/>
                    <w:framePr w:hSpace="0" w:wrap="auto" w:vAnchor="margin" w:hAnchor="text" w:xAlign="left" w:yAlign="inline"/>
                    <w:rPr>
                      <w:color w:val="auto"/>
                      <w:lang w:val="en-US"/>
                    </w:rPr>
                  </w:pPr>
                  <w:r>
                    <w:rPr>
                      <w:rFonts w:hint="eastAsia"/>
                      <w:color w:val="auto"/>
                      <w:lang w:val="en-US"/>
                    </w:rPr>
                    <w:t>固态</w:t>
                  </w:r>
                </w:p>
              </w:tc>
              <w:tc>
                <w:tcPr>
                  <w:tcW w:w="1121" w:type="dxa"/>
                  <w:vAlign w:val="center"/>
                </w:tcPr>
                <w:p w14:paraId="46671FEF">
                  <w:pPr>
                    <w:pStyle w:val="30"/>
                    <w:framePr w:hSpace="0" w:wrap="auto" w:vAnchor="margin" w:hAnchor="text" w:xAlign="left" w:yAlign="inline"/>
                    <w:rPr>
                      <w:color w:val="auto"/>
                      <w:lang w:val="en-US"/>
                    </w:rPr>
                  </w:pPr>
                  <w:r>
                    <w:rPr>
                      <w:rFonts w:hint="eastAsia"/>
                      <w:color w:val="auto"/>
                      <w:lang w:val="en-US"/>
                    </w:rPr>
                    <w:t>26g/包</w:t>
                  </w:r>
                </w:p>
              </w:tc>
              <w:tc>
                <w:tcPr>
                  <w:tcW w:w="1121" w:type="dxa"/>
                  <w:vAlign w:val="center"/>
                </w:tcPr>
                <w:p w14:paraId="67AE2D81">
                  <w:pPr>
                    <w:pStyle w:val="30"/>
                    <w:framePr w:hSpace="0" w:wrap="auto" w:vAnchor="margin" w:hAnchor="text" w:xAlign="left" w:yAlign="inline"/>
                    <w:rPr>
                      <w:color w:val="auto"/>
                      <w:lang w:val="en-US"/>
                    </w:rPr>
                  </w:pPr>
                  <w:r>
                    <w:rPr>
                      <w:rFonts w:hint="eastAsia"/>
                      <w:color w:val="auto"/>
                      <w:lang w:val="en-US"/>
                    </w:rPr>
                    <w:t>外购成品</w:t>
                  </w:r>
                </w:p>
              </w:tc>
            </w:tr>
            <w:tr w14:paraId="24184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18" w:type="dxa"/>
                  <w:vAlign w:val="center"/>
                </w:tcPr>
                <w:p w14:paraId="71C2A3E8">
                  <w:pPr>
                    <w:pStyle w:val="30"/>
                    <w:framePr w:hSpace="0" w:wrap="auto" w:vAnchor="margin" w:hAnchor="text" w:xAlign="left" w:yAlign="inline"/>
                    <w:numPr>
                      <w:ilvl w:val="0"/>
                      <w:numId w:val="1"/>
                    </w:numPr>
                    <w:rPr>
                      <w:color w:val="auto"/>
                    </w:rPr>
                  </w:pPr>
                </w:p>
              </w:tc>
              <w:tc>
                <w:tcPr>
                  <w:tcW w:w="1119" w:type="dxa"/>
                  <w:vAlign w:val="center"/>
                </w:tcPr>
                <w:p w14:paraId="09522AE3">
                  <w:pPr>
                    <w:pStyle w:val="30"/>
                    <w:framePr w:hSpace="0" w:wrap="auto" w:vAnchor="margin" w:hAnchor="text" w:xAlign="left" w:yAlign="inline"/>
                    <w:rPr>
                      <w:color w:val="auto"/>
                    </w:rPr>
                  </w:pPr>
                  <w:r>
                    <w:rPr>
                      <w:rFonts w:hint="eastAsia"/>
                      <w:color w:val="auto"/>
                    </w:rPr>
                    <w:t>牛肉包</w:t>
                  </w:r>
                </w:p>
              </w:tc>
              <w:tc>
                <w:tcPr>
                  <w:tcW w:w="1119" w:type="dxa"/>
                  <w:vAlign w:val="center"/>
                </w:tcPr>
                <w:p w14:paraId="01735163">
                  <w:pPr>
                    <w:pStyle w:val="30"/>
                    <w:framePr w:hSpace="0" w:wrap="auto" w:vAnchor="margin" w:hAnchor="text" w:xAlign="left" w:yAlign="inline"/>
                    <w:rPr>
                      <w:color w:val="auto"/>
                      <w:lang w:val="en-US"/>
                    </w:rPr>
                  </w:pPr>
                  <w:r>
                    <w:rPr>
                      <w:rFonts w:hint="eastAsia"/>
                      <w:color w:val="auto"/>
                      <w:lang w:val="en-US"/>
                    </w:rPr>
                    <w:t>300万</w:t>
                  </w:r>
                </w:p>
              </w:tc>
              <w:tc>
                <w:tcPr>
                  <w:tcW w:w="1119" w:type="dxa"/>
                  <w:vAlign w:val="center"/>
                </w:tcPr>
                <w:p w14:paraId="44F12C43">
                  <w:pPr>
                    <w:pStyle w:val="30"/>
                    <w:framePr w:hSpace="0" w:wrap="auto" w:vAnchor="margin" w:hAnchor="text" w:xAlign="left" w:yAlign="inline"/>
                    <w:rPr>
                      <w:color w:val="auto"/>
                      <w:lang w:val="en-US"/>
                    </w:rPr>
                  </w:pPr>
                  <w:r>
                    <w:rPr>
                      <w:rFonts w:hint="eastAsia"/>
                      <w:color w:val="auto"/>
                      <w:lang w:val="en-US"/>
                    </w:rPr>
                    <w:t>包</w:t>
                  </w:r>
                </w:p>
              </w:tc>
              <w:tc>
                <w:tcPr>
                  <w:tcW w:w="1120" w:type="dxa"/>
                  <w:vAlign w:val="center"/>
                </w:tcPr>
                <w:p w14:paraId="17A334B2">
                  <w:pPr>
                    <w:pStyle w:val="30"/>
                    <w:framePr w:hSpace="0" w:wrap="auto" w:vAnchor="margin" w:hAnchor="text" w:xAlign="left" w:yAlign="inline"/>
                    <w:rPr>
                      <w:color w:val="auto"/>
                      <w:lang w:val="en-US"/>
                    </w:rPr>
                  </w:pPr>
                  <w:r>
                    <w:rPr>
                      <w:rFonts w:hint="eastAsia"/>
                      <w:color w:val="auto"/>
                      <w:lang w:val="en-US"/>
                    </w:rPr>
                    <w:t>固态</w:t>
                  </w:r>
                </w:p>
              </w:tc>
              <w:tc>
                <w:tcPr>
                  <w:tcW w:w="1121" w:type="dxa"/>
                  <w:vAlign w:val="center"/>
                </w:tcPr>
                <w:p w14:paraId="5FE65F39">
                  <w:pPr>
                    <w:pStyle w:val="30"/>
                    <w:framePr w:hSpace="0" w:wrap="auto" w:vAnchor="margin" w:hAnchor="text" w:xAlign="left" w:yAlign="inline"/>
                    <w:rPr>
                      <w:color w:val="auto"/>
                      <w:lang w:val="en-US"/>
                    </w:rPr>
                  </w:pPr>
                  <w:r>
                    <w:rPr>
                      <w:rFonts w:hint="eastAsia"/>
                      <w:color w:val="auto"/>
                      <w:lang w:val="en-US"/>
                    </w:rPr>
                    <w:t>20g/包</w:t>
                  </w:r>
                </w:p>
              </w:tc>
              <w:tc>
                <w:tcPr>
                  <w:tcW w:w="1121" w:type="dxa"/>
                  <w:vAlign w:val="center"/>
                </w:tcPr>
                <w:p w14:paraId="117844FB">
                  <w:pPr>
                    <w:pStyle w:val="30"/>
                    <w:framePr w:hSpace="0" w:wrap="auto" w:vAnchor="margin" w:hAnchor="text" w:xAlign="left" w:yAlign="inline"/>
                    <w:rPr>
                      <w:color w:val="auto"/>
                      <w:lang w:val="en-US"/>
                    </w:rPr>
                  </w:pPr>
                  <w:r>
                    <w:rPr>
                      <w:rFonts w:hint="eastAsia"/>
                      <w:color w:val="auto"/>
                      <w:lang w:val="en-US"/>
                    </w:rPr>
                    <w:t>外购成品</w:t>
                  </w:r>
                </w:p>
              </w:tc>
            </w:tr>
            <w:tr w14:paraId="01168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18" w:type="dxa"/>
                  <w:vAlign w:val="center"/>
                </w:tcPr>
                <w:p w14:paraId="6F9ACD6F">
                  <w:pPr>
                    <w:pStyle w:val="30"/>
                    <w:framePr w:hSpace="0" w:wrap="auto" w:vAnchor="margin" w:hAnchor="text" w:xAlign="left" w:yAlign="inline"/>
                    <w:numPr>
                      <w:ilvl w:val="0"/>
                      <w:numId w:val="1"/>
                    </w:numPr>
                    <w:rPr>
                      <w:color w:val="auto"/>
                    </w:rPr>
                  </w:pPr>
                </w:p>
              </w:tc>
              <w:tc>
                <w:tcPr>
                  <w:tcW w:w="1119" w:type="dxa"/>
                  <w:vAlign w:val="center"/>
                </w:tcPr>
                <w:p w14:paraId="58378EBD">
                  <w:pPr>
                    <w:pStyle w:val="30"/>
                    <w:framePr w:hSpace="0" w:wrap="auto" w:vAnchor="margin" w:hAnchor="text" w:xAlign="left" w:yAlign="inline"/>
                    <w:rPr>
                      <w:color w:val="auto"/>
                    </w:rPr>
                  </w:pPr>
                  <w:r>
                    <w:rPr>
                      <w:rFonts w:hint="eastAsia"/>
                      <w:color w:val="auto"/>
                    </w:rPr>
                    <w:t>豆芽</w:t>
                  </w:r>
                </w:p>
              </w:tc>
              <w:tc>
                <w:tcPr>
                  <w:tcW w:w="1119" w:type="dxa"/>
                  <w:vAlign w:val="center"/>
                </w:tcPr>
                <w:p w14:paraId="783064A3">
                  <w:pPr>
                    <w:pStyle w:val="30"/>
                    <w:framePr w:hSpace="0" w:wrap="auto" w:vAnchor="margin" w:hAnchor="text" w:xAlign="left" w:yAlign="inline"/>
                    <w:rPr>
                      <w:color w:val="auto"/>
                      <w:lang w:val="en-US"/>
                    </w:rPr>
                  </w:pPr>
                  <w:r>
                    <w:rPr>
                      <w:rFonts w:hint="eastAsia"/>
                      <w:color w:val="auto"/>
                      <w:lang w:val="en-US"/>
                    </w:rPr>
                    <w:t>300万</w:t>
                  </w:r>
                </w:p>
              </w:tc>
              <w:tc>
                <w:tcPr>
                  <w:tcW w:w="1119" w:type="dxa"/>
                  <w:vAlign w:val="center"/>
                </w:tcPr>
                <w:p w14:paraId="660CE068">
                  <w:pPr>
                    <w:pStyle w:val="30"/>
                    <w:framePr w:hSpace="0" w:wrap="auto" w:vAnchor="margin" w:hAnchor="text" w:xAlign="left" w:yAlign="inline"/>
                    <w:rPr>
                      <w:color w:val="auto"/>
                      <w:lang w:val="en-US"/>
                    </w:rPr>
                  </w:pPr>
                  <w:r>
                    <w:rPr>
                      <w:rFonts w:hint="eastAsia"/>
                      <w:color w:val="auto"/>
                      <w:lang w:val="en-US"/>
                    </w:rPr>
                    <w:t>包</w:t>
                  </w:r>
                </w:p>
              </w:tc>
              <w:tc>
                <w:tcPr>
                  <w:tcW w:w="1120" w:type="dxa"/>
                  <w:vAlign w:val="center"/>
                </w:tcPr>
                <w:p w14:paraId="66378E16">
                  <w:pPr>
                    <w:pStyle w:val="30"/>
                    <w:framePr w:hSpace="0" w:wrap="auto" w:vAnchor="margin" w:hAnchor="text" w:xAlign="left" w:yAlign="inline"/>
                    <w:rPr>
                      <w:color w:val="auto"/>
                      <w:lang w:val="en-US"/>
                    </w:rPr>
                  </w:pPr>
                  <w:r>
                    <w:rPr>
                      <w:rFonts w:hint="eastAsia"/>
                      <w:color w:val="auto"/>
                      <w:lang w:val="en-US"/>
                    </w:rPr>
                    <w:t>固态</w:t>
                  </w:r>
                </w:p>
              </w:tc>
              <w:tc>
                <w:tcPr>
                  <w:tcW w:w="1121" w:type="dxa"/>
                  <w:vAlign w:val="center"/>
                </w:tcPr>
                <w:p w14:paraId="1A80CAD4">
                  <w:pPr>
                    <w:pStyle w:val="30"/>
                    <w:framePr w:hSpace="0" w:wrap="auto" w:vAnchor="margin" w:hAnchor="text" w:xAlign="left" w:yAlign="inline"/>
                    <w:rPr>
                      <w:color w:val="auto"/>
                      <w:lang w:val="en-US"/>
                    </w:rPr>
                  </w:pPr>
                  <w:r>
                    <w:rPr>
                      <w:rFonts w:hint="eastAsia"/>
                      <w:color w:val="auto"/>
                      <w:lang w:val="en-US"/>
                    </w:rPr>
                    <w:t>20g/包</w:t>
                  </w:r>
                </w:p>
              </w:tc>
              <w:tc>
                <w:tcPr>
                  <w:tcW w:w="1121" w:type="dxa"/>
                  <w:vAlign w:val="center"/>
                </w:tcPr>
                <w:p w14:paraId="1D07B273">
                  <w:pPr>
                    <w:pStyle w:val="30"/>
                    <w:framePr w:hSpace="0" w:wrap="auto" w:vAnchor="margin" w:hAnchor="text" w:xAlign="left" w:yAlign="inline"/>
                    <w:rPr>
                      <w:color w:val="auto"/>
                      <w:lang w:val="en-US"/>
                    </w:rPr>
                  </w:pPr>
                  <w:r>
                    <w:rPr>
                      <w:rFonts w:hint="eastAsia"/>
                      <w:color w:val="auto"/>
                      <w:lang w:val="en-US"/>
                    </w:rPr>
                    <w:t>外购成品</w:t>
                  </w:r>
                </w:p>
              </w:tc>
            </w:tr>
            <w:tr w14:paraId="4B8EC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18" w:type="dxa"/>
                  <w:vAlign w:val="center"/>
                </w:tcPr>
                <w:p w14:paraId="7779E8EC">
                  <w:pPr>
                    <w:pStyle w:val="30"/>
                    <w:framePr w:hSpace="0" w:wrap="auto" w:vAnchor="margin" w:hAnchor="text" w:xAlign="left" w:yAlign="inline"/>
                    <w:numPr>
                      <w:ilvl w:val="0"/>
                      <w:numId w:val="1"/>
                    </w:numPr>
                    <w:rPr>
                      <w:color w:val="auto"/>
                    </w:rPr>
                  </w:pPr>
                </w:p>
              </w:tc>
              <w:tc>
                <w:tcPr>
                  <w:tcW w:w="1119" w:type="dxa"/>
                  <w:vAlign w:val="center"/>
                </w:tcPr>
                <w:p w14:paraId="69F6F822">
                  <w:pPr>
                    <w:pStyle w:val="30"/>
                    <w:framePr w:hSpace="0" w:wrap="auto" w:vAnchor="margin" w:hAnchor="text" w:xAlign="left" w:yAlign="inline"/>
                    <w:rPr>
                      <w:color w:val="auto"/>
                    </w:rPr>
                  </w:pPr>
                  <w:r>
                    <w:rPr>
                      <w:rFonts w:hint="eastAsia"/>
                      <w:color w:val="auto"/>
                    </w:rPr>
                    <w:t>醋包</w:t>
                  </w:r>
                </w:p>
              </w:tc>
              <w:tc>
                <w:tcPr>
                  <w:tcW w:w="1119" w:type="dxa"/>
                  <w:vAlign w:val="center"/>
                </w:tcPr>
                <w:p w14:paraId="20014A69">
                  <w:pPr>
                    <w:pStyle w:val="30"/>
                    <w:framePr w:hSpace="0" w:wrap="auto" w:vAnchor="margin" w:hAnchor="text" w:xAlign="left" w:yAlign="inline"/>
                    <w:rPr>
                      <w:color w:val="auto"/>
                      <w:lang w:val="en-US"/>
                    </w:rPr>
                  </w:pPr>
                  <w:r>
                    <w:rPr>
                      <w:rFonts w:hint="eastAsia"/>
                      <w:color w:val="auto"/>
                      <w:lang w:val="en-US"/>
                    </w:rPr>
                    <w:t>100万</w:t>
                  </w:r>
                </w:p>
              </w:tc>
              <w:tc>
                <w:tcPr>
                  <w:tcW w:w="1119" w:type="dxa"/>
                  <w:vAlign w:val="center"/>
                </w:tcPr>
                <w:p w14:paraId="55D2723B">
                  <w:pPr>
                    <w:pStyle w:val="30"/>
                    <w:framePr w:hSpace="0" w:wrap="auto" w:vAnchor="margin" w:hAnchor="text" w:xAlign="left" w:yAlign="inline"/>
                    <w:rPr>
                      <w:color w:val="auto"/>
                      <w:lang w:val="en-US"/>
                    </w:rPr>
                  </w:pPr>
                  <w:r>
                    <w:rPr>
                      <w:rFonts w:hint="eastAsia"/>
                      <w:color w:val="auto"/>
                      <w:lang w:val="en-US"/>
                    </w:rPr>
                    <w:t>包</w:t>
                  </w:r>
                </w:p>
              </w:tc>
              <w:tc>
                <w:tcPr>
                  <w:tcW w:w="1120" w:type="dxa"/>
                  <w:vAlign w:val="center"/>
                </w:tcPr>
                <w:p w14:paraId="1E55BBBA">
                  <w:pPr>
                    <w:pStyle w:val="30"/>
                    <w:framePr w:hSpace="0" w:wrap="auto" w:vAnchor="margin" w:hAnchor="text" w:xAlign="left" w:yAlign="inline"/>
                    <w:rPr>
                      <w:color w:val="auto"/>
                      <w:lang w:val="en-US"/>
                    </w:rPr>
                  </w:pPr>
                  <w:r>
                    <w:rPr>
                      <w:rFonts w:hint="eastAsia"/>
                      <w:color w:val="auto"/>
                      <w:lang w:val="en-US"/>
                    </w:rPr>
                    <w:t>固态</w:t>
                  </w:r>
                </w:p>
              </w:tc>
              <w:tc>
                <w:tcPr>
                  <w:tcW w:w="1121" w:type="dxa"/>
                  <w:vAlign w:val="center"/>
                </w:tcPr>
                <w:p w14:paraId="593CF099">
                  <w:pPr>
                    <w:pStyle w:val="30"/>
                    <w:framePr w:hSpace="0" w:wrap="auto" w:vAnchor="margin" w:hAnchor="text" w:xAlign="left" w:yAlign="inline"/>
                    <w:rPr>
                      <w:color w:val="auto"/>
                      <w:lang w:val="en-US"/>
                    </w:rPr>
                  </w:pPr>
                  <w:r>
                    <w:rPr>
                      <w:rFonts w:hint="eastAsia"/>
                      <w:color w:val="auto"/>
                      <w:lang w:val="en-US"/>
                    </w:rPr>
                    <w:t>10g/包</w:t>
                  </w:r>
                </w:p>
              </w:tc>
              <w:tc>
                <w:tcPr>
                  <w:tcW w:w="1121" w:type="dxa"/>
                  <w:vAlign w:val="center"/>
                </w:tcPr>
                <w:p w14:paraId="65261572">
                  <w:pPr>
                    <w:pStyle w:val="30"/>
                    <w:framePr w:hSpace="0" w:wrap="auto" w:vAnchor="margin" w:hAnchor="text" w:xAlign="left" w:yAlign="inline"/>
                    <w:rPr>
                      <w:color w:val="auto"/>
                      <w:lang w:val="en-US"/>
                    </w:rPr>
                  </w:pPr>
                  <w:r>
                    <w:rPr>
                      <w:rFonts w:hint="eastAsia"/>
                      <w:color w:val="auto"/>
                      <w:lang w:val="en-US"/>
                    </w:rPr>
                    <w:t>外购成品</w:t>
                  </w:r>
                </w:p>
              </w:tc>
            </w:tr>
            <w:tr w14:paraId="4D5A0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18" w:type="dxa"/>
                  <w:vAlign w:val="center"/>
                </w:tcPr>
                <w:p w14:paraId="0D20EC42">
                  <w:pPr>
                    <w:pStyle w:val="30"/>
                    <w:framePr w:hSpace="0" w:wrap="auto" w:vAnchor="margin" w:hAnchor="text" w:xAlign="left" w:yAlign="inline"/>
                    <w:numPr>
                      <w:ilvl w:val="0"/>
                      <w:numId w:val="1"/>
                    </w:numPr>
                    <w:rPr>
                      <w:color w:val="auto"/>
                    </w:rPr>
                  </w:pPr>
                </w:p>
              </w:tc>
              <w:tc>
                <w:tcPr>
                  <w:tcW w:w="1119" w:type="dxa"/>
                  <w:vAlign w:val="center"/>
                </w:tcPr>
                <w:p w14:paraId="0E3EC5D6">
                  <w:pPr>
                    <w:pStyle w:val="30"/>
                    <w:framePr w:hSpace="0" w:wrap="auto" w:vAnchor="margin" w:hAnchor="text" w:xAlign="left" w:yAlign="inline"/>
                    <w:rPr>
                      <w:color w:val="auto"/>
                    </w:rPr>
                  </w:pPr>
                  <w:r>
                    <w:rPr>
                      <w:rFonts w:hint="eastAsia"/>
                      <w:color w:val="auto"/>
                    </w:rPr>
                    <w:t>辣椒粉</w:t>
                  </w:r>
                </w:p>
              </w:tc>
              <w:tc>
                <w:tcPr>
                  <w:tcW w:w="1119" w:type="dxa"/>
                  <w:vAlign w:val="center"/>
                </w:tcPr>
                <w:p w14:paraId="5F9D6453">
                  <w:pPr>
                    <w:pStyle w:val="30"/>
                    <w:framePr w:hSpace="0" w:wrap="auto" w:vAnchor="margin" w:hAnchor="text" w:xAlign="left" w:yAlign="inline"/>
                    <w:rPr>
                      <w:color w:val="auto"/>
                      <w:lang w:val="en-US"/>
                    </w:rPr>
                  </w:pPr>
                  <w:r>
                    <w:rPr>
                      <w:rFonts w:hint="eastAsia"/>
                      <w:color w:val="auto"/>
                      <w:lang w:val="en-US"/>
                    </w:rPr>
                    <w:t>100万</w:t>
                  </w:r>
                </w:p>
              </w:tc>
              <w:tc>
                <w:tcPr>
                  <w:tcW w:w="1119" w:type="dxa"/>
                  <w:vAlign w:val="center"/>
                </w:tcPr>
                <w:p w14:paraId="72D6F2F5">
                  <w:pPr>
                    <w:pStyle w:val="30"/>
                    <w:framePr w:hSpace="0" w:wrap="auto" w:vAnchor="margin" w:hAnchor="text" w:xAlign="left" w:yAlign="inline"/>
                    <w:rPr>
                      <w:color w:val="auto"/>
                      <w:lang w:val="en-US"/>
                    </w:rPr>
                  </w:pPr>
                  <w:r>
                    <w:rPr>
                      <w:rFonts w:hint="eastAsia"/>
                      <w:color w:val="auto"/>
                      <w:lang w:val="en-US"/>
                    </w:rPr>
                    <w:t>包</w:t>
                  </w:r>
                </w:p>
              </w:tc>
              <w:tc>
                <w:tcPr>
                  <w:tcW w:w="1120" w:type="dxa"/>
                  <w:vAlign w:val="center"/>
                </w:tcPr>
                <w:p w14:paraId="7324CE78">
                  <w:pPr>
                    <w:pStyle w:val="30"/>
                    <w:framePr w:hSpace="0" w:wrap="auto" w:vAnchor="margin" w:hAnchor="text" w:xAlign="left" w:yAlign="inline"/>
                    <w:rPr>
                      <w:color w:val="auto"/>
                      <w:lang w:val="en-US"/>
                    </w:rPr>
                  </w:pPr>
                  <w:r>
                    <w:rPr>
                      <w:rFonts w:hint="eastAsia"/>
                      <w:color w:val="auto"/>
                      <w:lang w:val="en-US"/>
                    </w:rPr>
                    <w:t>固态</w:t>
                  </w:r>
                </w:p>
              </w:tc>
              <w:tc>
                <w:tcPr>
                  <w:tcW w:w="1121" w:type="dxa"/>
                  <w:vAlign w:val="center"/>
                </w:tcPr>
                <w:p w14:paraId="4AE67A3F">
                  <w:pPr>
                    <w:pStyle w:val="30"/>
                    <w:framePr w:hSpace="0" w:wrap="auto" w:vAnchor="margin" w:hAnchor="text" w:xAlign="left" w:yAlign="inline"/>
                    <w:rPr>
                      <w:color w:val="auto"/>
                      <w:lang w:val="en-US"/>
                    </w:rPr>
                  </w:pPr>
                  <w:r>
                    <w:rPr>
                      <w:rFonts w:hint="eastAsia"/>
                      <w:color w:val="auto"/>
                      <w:lang w:val="en-US"/>
                    </w:rPr>
                    <w:t>2g/包</w:t>
                  </w:r>
                </w:p>
              </w:tc>
              <w:tc>
                <w:tcPr>
                  <w:tcW w:w="1121" w:type="dxa"/>
                  <w:vAlign w:val="center"/>
                </w:tcPr>
                <w:p w14:paraId="116F41B9">
                  <w:pPr>
                    <w:pStyle w:val="30"/>
                    <w:framePr w:hSpace="0" w:wrap="auto" w:vAnchor="margin" w:hAnchor="text" w:xAlign="left" w:yAlign="inline"/>
                    <w:rPr>
                      <w:color w:val="auto"/>
                      <w:lang w:val="en-US"/>
                    </w:rPr>
                  </w:pPr>
                  <w:r>
                    <w:rPr>
                      <w:rFonts w:hint="eastAsia"/>
                      <w:color w:val="auto"/>
                      <w:lang w:val="en-US"/>
                    </w:rPr>
                    <w:t>外购成品</w:t>
                  </w:r>
                </w:p>
              </w:tc>
            </w:tr>
            <w:tr w14:paraId="4AEC8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18" w:type="dxa"/>
                  <w:vAlign w:val="center"/>
                </w:tcPr>
                <w:p w14:paraId="311C47DB">
                  <w:pPr>
                    <w:pStyle w:val="30"/>
                    <w:framePr w:hSpace="0" w:wrap="auto" w:vAnchor="margin" w:hAnchor="text" w:xAlign="left" w:yAlign="inline"/>
                    <w:numPr>
                      <w:ilvl w:val="0"/>
                      <w:numId w:val="1"/>
                    </w:numPr>
                    <w:rPr>
                      <w:color w:val="auto"/>
                      <w:lang w:val="en-US"/>
                    </w:rPr>
                  </w:pPr>
                </w:p>
              </w:tc>
              <w:tc>
                <w:tcPr>
                  <w:tcW w:w="1119" w:type="dxa"/>
                  <w:vAlign w:val="center"/>
                </w:tcPr>
                <w:p w14:paraId="76B58BA6">
                  <w:pPr>
                    <w:pStyle w:val="30"/>
                    <w:framePr w:hSpace="0" w:wrap="auto" w:vAnchor="margin" w:hAnchor="text" w:xAlign="left" w:yAlign="inline"/>
                    <w:rPr>
                      <w:color w:val="auto"/>
                    </w:rPr>
                  </w:pPr>
                  <w:r>
                    <w:rPr>
                      <w:rFonts w:hint="eastAsia"/>
                      <w:color w:val="auto"/>
                      <w:lang w:val="en-US"/>
                    </w:rPr>
                    <w:t>千张</w:t>
                  </w:r>
                </w:p>
              </w:tc>
              <w:tc>
                <w:tcPr>
                  <w:tcW w:w="1119" w:type="dxa"/>
                  <w:vAlign w:val="center"/>
                </w:tcPr>
                <w:p w14:paraId="1ED04FF6">
                  <w:pPr>
                    <w:pStyle w:val="30"/>
                    <w:framePr w:hSpace="0" w:wrap="auto" w:vAnchor="margin" w:hAnchor="text" w:xAlign="left" w:yAlign="inline"/>
                    <w:rPr>
                      <w:color w:val="auto"/>
                      <w:lang w:val="en-US"/>
                    </w:rPr>
                  </w:pPr>
                  <w:r>
                    <w:rPr>
                      <w:rFonts w:hint="eastAsia"/>
                      <w:color w:val="auto"/>
                      <w:lang w:val="en-US"/>
                    </w:rPr>
                    <w:t>300万</w:t>
                  </w:r>
                </w:p>
              </w:tc>
              <w:tc>
                <w:tcPr>
                  <w:tcW w:w="1119" w:type="dxa"/>
                  <w:vAlign w:val="center"/>
                </w:tcPr>
                <w:p w14:paraId="1B3D3007">
                  <w:pPr>
                    <w:pStyle w:val="30"/>
                    <w:framePr w:hSpace="0" w:wrap="auto" w:vAnchor="margin" w:hAnchor="text" w:xAlign="left" w:yAlign="inline"/>
                    <w:rPr>
                      <w:color w:val="auto"/>
                      <w:lang w:val="en-US"/>
                    </w:rPr>
                  </w:pPr>
                  <w:r>
                    <w:rPr>
                      <w:rFonts w:hint="eastAsia"/>
                      <w:color w:val="auto"/>
                      <w:lang w:val="en-US"/>
                    </w:rPr>
                    <w:t>包</w:t>
                  </w:r>
                </w:p>
              </w:tc>
              <w:tc>
                <w:tcPr>
                  <w:tcW w:w="1120" w:type="dxa"/>
                  <w:vAlign w:val="center"/>
                </w:tcPr>
                <w:p w14:paraId="17AB6056">
                  <w:pPr>
                    <w:pStyle w:val="30"/>
                    <w:framePr w:hSpace="0" w:wrap="auto" w:vAnchor="margin" w:hAnchor="text" w:xAlign="left" w:yAlign="inline"/>
                    <w:rPr>
                      <w:color w:val="auto"/>
                      <w:lang w:val="en-US"/>
                    </w:rPr>
                  </w:pPr>
                  <w:r>
                    <w:rPr>
                      <w:rFonts w:hint="eastAsia"/>
                      <w:color w:val="auto"/>
                      <w:lang w:val="en-US"/>
                    </w:rPr>
                    <w:t>固态</w:t>
                  </w:r>
                </w:p>
              </w:tc>
              <w:tc>
                <w:tcPr>
                  <w:tcW w:w="1121" w:type="dxa"/>
                  <w:vAlign w:val="center"/>
                </w:tcPr>
                <w:p w14:paraId="3403DBB4">
                  <w:pPr>
                    <w:pStyle w:val="30"/>
                    <w:framePr w:hSpace="0" w:wrap="auto" w:vAnchor="margin" w:hAnchor="text" w:xAlign="left" w:yAlign="inline"/>
                    <w:rPr>
                      <w:color w:val="auto"/>
                      <w:lang w:val="en-US"/>
                    </w:rPr>
                  </w:pPr>
                  <w:r>
                    <w:rPr>
                      <w:rFonts w:hint="eastAsia"/>
                      <w:color w:val="auto"/>
                      <w:lang w:val="en-US"/>
                    </w:rPr>
                    <w:t>13g/包</w:t>
                  </w:r>
                </w:p>
              </w:tc>
              <w:tc>
                <w:tcPr>
                  <w:tcW w:w="1121" w:type="dxa"/>
                  <w:vAlign w:val="center"/>
                </w:tcPr>
                <w:p w14:paraId="7D338F77">
                  <w:pPr>
                    <w:pStyle w:val="30"/>
                    <w:framePr w:hSpace="0" w:wrap="auto" w:vAnchor="margin" w:hAnchor="text" w:xAlign="left" w:yAlign="inline"/>
                    <w:rPr>
                      <w:color w:val="auto"/>
                      <w:lang w:val="en-US"/>
                    </w:rPr>
                  </w:pPr>
                  <w:r>
                    <w:rPr>
                      <w:rFonts w:hint="eastAsia"/>
                      <w:color w:val="auto"/>
                      <w:lang w:val="en-US"/>
                    </w:rPr>
                    <w:t>外购成品</w:t>
                  </w:r>
                </w:p>
              </w:tc>
            </w:tr>
            <w:tr w14:paraId="031FA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18" w:type="dxa"/>
                  <w:vAlign w:val="center"/>
                </w:tcPr>
                <w:p w14:paraId="0091F242">
                  <w:pPr>
                    <w:pStyle w:val="30"/>
                    <w:framePr w:hSpace="0" w:wrap="auto" w:vAnchor="margin" w:hAnchor="text" w:xAlign="left" w:yAlign="inline"/>
                    <w:numPr>
                      <w:ilvl w:val="0"/>
                      <w:numId w:val="1"/>
                    </w:numPr>
                    <w:rPr>
                      <w:color w:val="auto"/>
                    </w:rPr>
                  </w:pPr>
                </w:p>
              </w:tc>
              <w:tc>
                <w:tcPr>
                  <w:tcW w:w="1119" w:type="dxa"/>
                  <w:vAlign w:val="center"/>
                </w:tcPr>
                <w:p w14:paraId="7D7ECB80">
                  <w:pPr>
                    <w:pStyle w:val="30"/>
                    <w:framePr w:hSpace="0" w:wrap="auto" w:vAnchor="margin" w:hAnchor="text" w:xAlign="left" w:yAlign="inline"/>
                    <w:rPr>
                      <w:color w:val="auto"/>
                    </w:rPr>
                  </w:pPr>
                  <w:r>
                    <w:rPr>
                      <w:rFonts w:hint="eastAsia"/>
                      <w:color w:val="auto"/>
                    </w:rPr>
                    <w:t>蔬菜包</w:t>
                  </w:r>
                </w:p>
              </w:tc>
              <w:tc>
                <w:tcPr>
                  <w:tcW w:w="1119" w:type="dxa"/>
                  <w:vAlign w:val="center"/>
                </w:tcPr>
                <w:p w14:paraId="5F86D70D">
                  <w:pPr>
                    <w:pStyle w:val="30"/>
                    <w:framePr w:hSpace="0" w:wrap="auto" w:vAnchor="margin" w:hAnchor="text" w:xAlign="left" w:yAlign="inline"/>
                    <w:rPr>
                      <w:color w:val="auto"/>
                      <w:lang w:val="en-US"/>
                    </w:rPr>
                  </w:pPr>
                  <w:r>
                    <w:rPr>
                      <w:rFonts w:hint="eastAsia"/>
                      <w:color w:val="auto"/>
                      <w:lang w:val="en-US"/>
                    </w:rPr>
                    <w:t>100万</w:t>
                  </w:r>
                </w:p>
              </w:tc>
              <w:tc>
                <w:tcPr>
                  <w:tcW w:w="1119" w:type="dxa"/>
                  <w:vAlign w:val="center"/>
                </w:tcPr>
                <w:p w14:paraId="4A6A4272">
                  <w:pPr>
                    <w:pStyle w:val="30"/>
                    <w:framePr w:hSpace="0" w:wrap="auto" w:vAnchor="margin" w:hAnchor="text" w:xAlign="left" w:yAlign="inline"/>
                    <w:rPr>
                      <w:color w:val="auto"/>
                      <w:lang w:val="en-US"/>
                    </w:rPr>
                  </w:pPr>
                  <w:r>
                    <w:rPr>
                      <w:rFonts w:hint="eastAsia"/>
                      <w:color w:val="auto"/>
                      <w:lang w:val="en-US"/>
                    </w:rPr>
                    <w:t>包</w:t>
                  </w:r>
                </w:p>
              </w:tc>
              <w:tc>
                <w:tcPr>
                  <w:tcW w:w="1120" w:type="dxa"/>
                  <w:vAlign w:val="center"/>
                </w:tcPr>
                <w:p w14:paraId="0D69419A">
                  <w:pPr>
                    <w:pStyle w:val="30"/>
                    <w:framePr w:hSpace="0" w:wrap="auto" w:vAnchor="margin" w:hAnchor="text" w:xAlign="left" w:yAlign="inline"/>
                    <w:rPr>
                      <w:color w:val="auto"/>
                      <w:lang w:val="en-US"/>
                    </w:rPr>
                  </w:pPr>
                  <w:r>
                    <w:rPr>
                      <w:rFonts w:hint="eastAsia"/>
                      <w:color w:val="auto"/>
                      <w:lang w:val="en-US"/>
                    </w:rPr>
                    <w:t>固态</w:t>
                  </w:r>
                </w:p>
              </w:tc>
              <w:tc>
                <w:tcPr>
                  <w:tcW w:w="1121" w:type="dxa"/>
                  <w:vAlign w:val="center"/>
                </w:tcPr>
                <w:p w14:paraId="4203281C">
                  <w:pPr>
                    <w:pStyle w:val="30"/>
                    <w:framePr w:hSpace="0" w:wrap="auto" w:vAnchor="margin" w:hAnchor="text" w:xAlign="left" w:yAlign="inline"/>
                    <w:rPr>
                      <w:color w:val="auto"/>
                      <w:lang w:val="en-US"/>
                    </w:rPr>
                  </w:pPr>
                  <w:r>
                    <w:rPr>
                      <w:rFonts w:hint="eastAsia"/>
                      <w:color w:val="auto"/>
                      <w:lang w:val="en-US"/>
                    </w:rPr>
                    <w:t>1g/包</w:t>
                  </w:r>
                </w:p>
              </w:tc>
              <w:tc>
                <w:tcPr>
                  <w:tcW w:w="1121" w:type="dxa"/>
                  <w:vAlign w:val="center"/>
                </w:tcPr>
                <w:p w14:paraId="5038BA2A">
                  <w:pPr>
                    <w:pStyle w:val="30"/>
                    <w:framePr w:hSpace="0" w:wrap="auto" w:vAnchor="margin" w:hAnchor="text" w:xAlign="left" w:yAlign="inline"/>
                    <w:rPr>
                      <w:color w:val="auto"/>
                      <w:lang w:val="en-US"/>
                    </w:rPr>
                  </w:pPr>
                  <w:r>
                    <w:rPr>
                      <w:rFonts w:hint="eastAsia"/>
                      <w:color w:val="auto"/>
                      <w:lang w:val="en-US"/>
                    </w:rPr>
                    <w:t>外购成品</w:t>
                  </w:r>
                </w:p>
              </w:tc>
            </w:tr>
            <w:tr w14:paraId="07FFF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18" w:type="dxa"/>
                  <w:vAlign w:val="center"/>
                </w:tcPr>
                <w:p w14:paraId="07E0B0B5">
                  <w:pPr>
                    <w:pStyle w:val="30"/>
                    <w:framePr w:hSpace="0" w:wrap="auto" w:vAnchor="margin" w:hAnchor="text" w:xAlign="left" w:yAlign="inline"/>
                    <w:numPr>
                      <w:ilvl w:val="0"/>
                      <w:numId w:val="1"/>
                    </w:numPr>
                    <w:rPr>
                      <w:color w:val="auto"/>
                    </w:rPr>
                  </w:pPr>
                </w:p>
              </w:tc>
              <w:tc>
                <w:tcPr>
                  <w:tcW w:w="1119" w:type="dxa"/>
                  <w:vAlign w:val="center"/>
                </w:tcPr>
                <w:p w14:paraId="263E3589">
                  <w:pPr>
                    <w:pStyle w:val="30"/>
                    <w:framePr w:hSpace="0" w:wrap="auto" w:vAnchor="margin" w:hAnchor="text" w:xAlign="left" w:yAlign="inline"/>
                    <w:rPr>
                      <w:color w:val="auto"/>
                    </w:rPr>
                  </w:pPr>
                  <w:r>
                    <w:rPr>
                      <w:rFonts w:hint="eastAsia"/>
                      <w:color w:val="auto"/>
                    </w:rPr>
                    <w:t>内包装袋</w:t>
                  </w:r>
                </w:p>
              </w:tc>
              <w:tc>
                <w:tcPr>
                  <w:tcW w:w="1119" w:type="dxa"/>
                  <w:vAlign w:val="center"/>
                </w:tcPr>
                <w:p w14:paraId="2418A226">
                  <w:pPr>
                    <w:pStyle w:val="30"/>
                    <w:framePr w:hSpace="0" w:wrap="auto" w:vAnchor="margin" w:hAnchor="text" w:xAlign="left" w:yAlign="inline"/>
                    <w:rPr>
                      <w:color w:val="auto"/>
                      <w:lang w:val="en-US"/>
                    </w:rPr>
                  </w:pPr>
                  <w:r>
                    <w:rPr>
                      <w:rFonts w:hint="eastAsia"/>
                      <w:color w:val="auto"/>
                      <w:lang w:val="en-US"/>
                    </w:rPr>
                    <w:t>300万</w:t>
                  </w:r>
                </w:p>
              </w:tc>
              <w:tc>
                <w:tcPr>
                  <w:tcW w:w="1119" w:type="dxa"/>
                  <w:shd w:val="clear" w:color="auto" w:fill="auto"/>
                  <w:vAlign w:val="center"/>
                </w:tcPr>
                <w:p w14:paraId="2F6CC674">
                  <w:pPr>
                    <w:pStyle w:val="30"/>
                    <w:framePr w:hSpace="0" w:wrap="auto" w:vAnchor="margin" w:hAnchor="text" w:xAlign="left" w:yAlign="inline"/>
                    <w:rPr>
                      <w:color w:val="auto"/>
                      <w:lang w:val="en-US"/>
                    </w:rPr>
                  </w:pPr>
                  <w:r>
                    <w:rPr>
                      <w:rFonts w:hint="eastAsia"/>
                      <w:color w:val="auto"/>
                      <w:lang w:val="en-US"/>
                    </w:rPr>
                    <w:t>个</w:t>
                  </w:r>
                </w:p>
              </w:tc>
              <w:tc>
                <w:tcPr>
                  <w:tcW w:w="1120" w:type="dxa"/>
                  <w:shd w:val="clear" w:color="auto" w:fill="auto"/>
                  <w:vAlign w:val="center"/>
                </w:tcPr>
                <w:p w14:paraId="44F1DFB4">
                  <w:pPr>
                    <w:pStyle w:val="30"/>
                    <w:framePr w:hSpace="0" w:wrap="auto" w:vAnchor="margin" w:hAnchor="text" w:xAlign="left" w:yAlign="inline"/>
                    <w:rPr>
                      <w:color w:val="auto"/>
                      <w:lang w:val="en-US"/>
                    </w:rPr>
                  </w:pPr>
                  <w:r>
                    <w:rPr>
                      <w:rFonts w:hint="eastAsia"/>
                      <w:color w:val="auto"/>
                      <w:lang w:val="en-US"/>
                    </w:rPr>
                    <w:t>固态</w:t>
                  </w:r>
                </w:p>
              </w:tc>
              <w:tc>
                <w:tcPr>
                  <w:tcW w:w="1121" w:type="dxa"/>
                  <w:shd w:val="clear" w:color="auto" w:fill="auto"/>
                  <w:vAlign w:val="center"/>
                </w:tcPr>
                <w:p w14:paraId="553747C3">
                  <w:pPr>
                    <w:pStyle w:val="30"/>
                    <w:framePr w:hSpace="0" w:wrap="auto" w:vAnchor="margin" w:hAnchor="text" w:xAlign="left" w:yAlign="inline"/>
                    <w:rPr>
                      <w:color w:val="auto"/>
                      <w:lang w:val="en-US"/>
                    </w:rPr>
                  </w:pPr>
                  <w:r>
                    <w:rPr>
                      <w:rFonts w:hint="eastAsia"/>
                      <w:color w:val="auto"/>
                      <w:lang w:val="en-US"/>
                    </w:rPr>
                    <w:t>/</w:t>
                  </w:r>
                </w:p>
              </w:tc>
              <w:tc>
                <w:tcPr>
                  <w:tcW w:w="1121" w:type="dxa"/>
                  <w:shd w:val="clear" w:color="auto" w:fill="auto"/>
                  <w:vAlign w:val="center"/>
                </w:tcPr>
                <w:p w14:paraId="0FFCF469">
                  <w:pPr>
                    <w:pStyle w:val="30"/>
                    <w:framePr w:hSpace="0" w:wrap="auto" w:vAnchor="margin" w:hAnchor="text" w:xAlign="left" w:yAlign="inline"/>
                    <w:rPr>
                      <w:color w:val="auto"/>
                      <w:lang w:val="en-US"/>
                    </w:rPr>
                  </w:pPr>
                  <w:r>
                    <w:rPr>
                      <w:rFonts w:hint="eastAsia"/>
                      <w:color w:val="auto"/>
                      <w:lang w:val="en-US"/>
                    </w:rPr>
                    <w:t>外购</w:t>
                  </w:r>
                </w:p>
              </w:tc>
            </w:tr>
            <w:tr w14:paraId="3A182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18" w:type="dxa"/>
                  <w:vAlign w:val="center"/>
                </w:tcPr>
                <w:p w14:paraId="00EF39B2">
                  <w:pPr>
                    <w:pStyle w:val="30"/>
                    <w:framePr w:hSpace="0" w:wrap="auto" w:vAnchor="margin" w:hAnchor="text" w:xAlign="left" w:yAlign="inline"/>
                    <w:numPr>
                      <w:ilvl w:val="0"/>
                      <w:numId w:val="1"/>
                    </w:numPr>
                    <w:rPr>
                      <w:color w:val="auto"/>
                    </w:rPr>
                  </w:pPr>
                </w:p>
              </w:tc>
              <w:tc>
                <w:tcPr>
                  <w:tcW w:w="1119" w:type="dxa"/>
                  <w:vAlign w:val="center"/>
                </w:tcPr>
                <w:p w14:paraId="6125C9B3">
                  <w:pPr>
                    <w:pStyle w:val="30"/>
                    <w:framePr w:hSpace="0" w:wrap="auto" w:vAnchor="margin" w:hAnchor="text" w:xAlign="left" w:yAlign="inline"/>
                    <w:rPr>
                      <w:color w:val="auto"/>
                      <w:lang w:val="en-US"/>
                    </w:rPr>
                  </w:pPr>
                  <w:r>
                    <w:rPr>
                      <w:rFonts w:hint="eastAsia"/>
                      <w:color w:val="auto"/>
                    </w:rPr>
                    <w:t>外包装袋</w:t>
                  </w:r>
                </w:p>
              </w:tc>
              <w:tc>
                <w:tcPr>
                  <w:tcW w:w="1119" w:type="dxa"/>
                  <w:vAlign w:val="center"/>
                </w:tcPr>
                <w:p w14:paraId="124F4C9F">
                  <w:pPr>
                    <w:pStyle w:val="30"/>
                    <w:framePr w:hSpace="0" w:wrap="auto" w:vAnchor="margin" w:hAnchor="text" w:xAlign="left" w:yAlign="inline"/>
                    <w:rPr>
                      <w:color w:val="auto"/>
                      <w:lang w:val="en-US"/>
                    </w:rPr>
                  </w:pPr>
                  <w:r>
                    <w:rPr>
                      <w:rFonts w:hint="eastAsia"/>
                      <w:color w:val="auto"/>
                      <w:lang w:val="en-US"/>
                    </w:rPr>
                    <w:t>300万</w:t>
                  </w:r>
                </w:p>
              </w:tc>
              <w:tc>
                <w:tcPr>
                  <w:tcW w:w="1119" w:type="dxa"/>
                  <w:vAlign w:val="center"/>
                </w:tcPr>
                <w:p w14:paraId="189BE285">
                  <w:pPr>
                    <w:pStyle w:val="30"/>
                    <w:framePr w:hSpace="0" w:wrap="auto" w:vAnchor="margin" w:hAnchor="text" w:xAlign="left" w:yAlign="inline"/>
                    <w:rPr>
                      <w:color w:val="auto"/>
                      <w:lang w:val="en-US"/>
                    </w:rPr>
                  </w:pPr>
                  <w:r>
                    <w:rPr>
                      <w:rFonts w:hint="eastAsia"/>
                      <w:color w:val="auto"/>
                      <w:lang w:val="en-US"/>
                    </w:rPr>
                    <w:t>个</w:t>
                  </w:r>
                </w:p>
              </w:tc>
              <w:tc>
                <w:tcPr>
                  <w:tcW w:w="1120" w:type="dxa"/>
                  <w:vAlign w:val="center"/>
                </w:tcPr>
                <w:p w14:paraId="3AC37CF2">
                  <w:pPr>
                    <w:pStyle w:val="30"/>
                    <w:framePr w:hSpace="0" w:wrap="auto" w:vAnchor="margin" w:hAnchor="text" w:xAlign="left" w:yAlign="inline"/>
                    <w:rPr>
                      <w:color w:val="auto"/>
                      <w:lang w:val="en-US"/>
                    </w:rPr>
                  </w:pPr>
                  <w:r>
                    <w:rPr>
                      <w:rFonts w:hint="eastAsia"/>
                      <w:color w:val="auto"/>
                      <w:lang w:val="en-US"/>
                    </w:rPr>
                    <w:t>固态</w:t>
                  </w:r>
                </w:p>
              </w:tc>
              <w:tc>
                <w:tcPr>
                  <w:tcW w:w="1121" w:type="dxa"/>
                  <w:vAlign w:val="center"/>
                </w:tcPr>
                <w:p w14:paraId="642EAA9D">
                  <w:pPr>
                    <w:pStyle w:val="30"/>
                    <w:framePr w:hSpace="0" w:wrap="auto" w:vAnchor="margin" w:hAnchor="text" w:xAlign="left" w:yAlign="inline"/>
                    <w:rPr>
                      <w:color w:val="auto"/>
                      <w:lang w:val="en-US"/>
                    </w:rPr>
                  </w:pPr>
                  <w:r>
                    <w:rPr>
                      <w:rFonts w:hint="eastAsia"/>
                      <w:color w:val="auto"/>
                      <w:lang w:val="en-US"/>
                    </w:rPr>
                    <w:t>/</w:t>
                  </w:r>
                </w:p>
              </w:tc>
              <w:tc>
                <w:tcPr>
                  <w:tcW w:w="1121" w:type="dxa"/>
                  <w:vAlign w:val="center"/>
                </w:tcPr>
                <w:p w14:paraId="3DDE1A4C">
                  <w:pPr>
                    <w:pStyle w:val="30"/>
                    <w:framePr w:hSpace="0" w:wrap="auto" w:vAnchor="margin" w:hAnchor="text" w:xAlign="left" w:yAlign="inline"/>
                    <w:rPr>
                      <w:color w:val="auto"/>
                      <w:lang w:val="en-US"/>
                    </w:rPr>
                  </w:pPr>
                  <w:r>
                    <w:rPr>
                      <w:rFonts w:hint="eastAsia"/>
                      <w:color w:val="auto"/>
                      <w:lang w:val="en-US"/>
                    </w:rPr>
                    <w:t>外购</w:t>
                  </w:r>
                </w:p>
              </w:tc>
            </w:tr>
            <w:tr w14:paraId="1ED40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18" w:type="dxa"/>
                  <w:vAlign w:val="center"/>
                </w:tcPr>
                <w:p w14:paraId="4494D383">
                  <w:pPr>
                    <w:pStyle w:val="30"/>
                    <w:framePr w:hSpace="0" w:wrap="auto" w:vAnchor="margin" w:hAnchor="text" w:xAlign="left" w:yAlign="inline"/>
                    <w:numPr>
                      <w:ilvl w:val="0"/>
                      <w:numId w:val="1"/>
                    </w:numPr>
                    <w:rPr>
                      <w:color w:val="auto"/>
                    </w:rPr>
                  </w:pPr>
                </w:p>
              </w:tc>
              <w:tc>
                <w:tcPr>
                  <w:tcW w:w="1119" w:type="dxa"/>
                  <w:vAlign w:val="center"/>
                </w:tcPr>
                <w:p w14:paraId="6DBA65E6">
                  <w:pPr>
                    <w:pStyle w:val="30"/>
                    <w:framePr w:hSpace="0" w:wrap="auto" w:vAnchor="margin" w:hAnchor="text" w:xAlign="left" w:yAlign="inline"/>
                    <w:rPr>
                      <w:color w:val="auto"/>
                    </w:rPr>
                  </w:pPr>
                  <w:r>
                    <w:rPr>
                      <w:rFonts w:hint="eastAsia"/>
                      <w:color w:val="auto"/>
                    </w:rPr>
                    <w:t>盐</w:t>
                  </w:r>
                </w:p>
              </w:tc>
              <w:tc>
                <w:tcPr>
                  <w:tcW w:w="1119" w:type="dxa"/>
                  <w:vAlign w:val="center"/>
                </w:tcPr>
                <w:p w14:paraId="582038E5">
                  <w:pPr>
                    <w:pStyle w:val="30"/>
                    <w:framePr w:hSpace="0" w:wrap="auto" w:vAnchor="margin" w:hAnchor="text" w:xAlign="left" w:yAlign="inline"/>
                    <w:rPr>
                      <w:color w:val="auto"/>
                      <w:lang w:val="en-US"/>
                    </w:rPr>
                  </w:pPr>
                  <w:r>
                    <w:rPr>
                      <w:rFonts w:hint="eastAsia"/>
                      <w:color w:val="auto"/>
                      <w:lang w:val="en-US"/>
                    </w:rPr>
                    <w:t>0.9</w:t>
                  </w:r>
                </w:p>
              </w:tc>
              <w:tc>
                <w:tcPr>
                  <w:tcW w:w="1119" w:type="dxa"/>
                  <w:vAlign w:val="center"/>
                </w:tcPr>
                <w:p w14:paraId="03F0A2C4">
                  <w:pPr>
                    <w:pStyle w:val="30"/>
                    <w:framePr w:hSpace="0" w:wrap="auto" w:vAnchor="margin" w:hAnchor="text" w:xAlign="left" w:yAlign="inline"/>
                    <w:rPr>
                      <w:color w:val="auto"/>
                      <w:lang w:val="en-US"/>
                    </w:rPr>
                  </w:pPr>
                  <w:r>
                    <w:rPr>
                      <w:rFonts w:hint="eastAsia"/>
                      <w:color w:val="auto"/>
                      <w:lang w:val="en-US"/>
                    </w:rPr>
                    <w:t>t/a</w:t>
                  </w:r>
                </w:p>
              </w:tc>
              <w:tc>
                <w:tcPr>
                  <w:tcW w:w="1120" w:type="dxa"/>
                  <w:vAlign w:val="center"/>
                </w:tcPr>
                <w:p w14:paraId="7DBBE679">
                  <w:pPr>
                    <w:pStyle w:val="30"/>
                    <w:framePr w:hSpace="0" w:wrap="auto" w:vAnchor="margin" w:hAnchor="text" w:xAlign="left" w:yAlign="inline"/>
                    <w:rPr>
                      <w:color w:val="auto"/>
                      <w:lang w:val="en-US"/>
                    </w:rPr>
                  </w:pPr>
                  <w:r>
                    <w:rPr>
                      <w:rFonts w:hint="eastAsia"/>
                      <w:color w:val="auto"/>
                      <w:lang w:val="en-US"/>
                    </w:rPr>
                    <w:t>固态</w:t>
                  </w:r>
                </w:p>
              </w:tc>
              <w:tc>
                <w:tcPr>
                  <w:tcW w:w="1121" w:type="dxa"/>
                  <w:vAlign w:val="center"/>
                </w:tcPr>
                <w:p w14:paraId="514C76B1">
                  <w:pPr>
                    <w:pStyle w:val="30"/>
                    <w:framePr w:hSpace="0" w:wrap="auto" w:vAnchor="margin" w:hAnchor="text" w:xAlign="left" w:yAlign="inline"/>
                    <w:rPr>
                      <w:color w:val="auto"/>
                      <w:lang w:val="en-US"/>
                    </w:rPr>
                  </w:pPr>
                  <w:r>
                    <w:rPr>
                      <w:rFonts w:hint="eastAsia"/>
                      <w:color w:val="auto"/>
                      <w:lang w:val="en-US"/>
                    </w:rPr>
                    <w:t>500g/袋</w:t>
                  </w:r>
                </w:p>
              </w:tc>
              <w:tc>
                <w:tcPr>
                  <w:tcW w:w="1121" w:type="dxa"/>
                  <w:vAlign w:val="center"/>
                </w:tcPr>
                <w:p w14:paraId="637A2D49">
                  <w:pPr>
                    <w:pStyle w:val="30"/>
                    <w:framePr w:hSpace="0" w:wrap="auto" w:vAnchor="margin" w:hAnchor="text" w:xAlign="left" w:yAlign="inline"/>
                    <w:rPr>
                      <w:color w:val="auto"/>
                      <w:lang w:val="en-US"/>
                    </w:rPr>
                  </w:pPr>
                  <w:r>
                    <w:rPr>
                      <w:rFonts w:hint="eastAsia"/>
                      <w:color w:val="auto"/>
                      <w:lang w:val="en-US"/>
                    </w:rPr>
                    <w:t>外购</w:t>
                  </w:r>
                </w:p>
              </w:tc>
            </w:tr>
            <w:tr w14:paraId="62C86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18" w:type="dxa"/>
                  <w:vAlign w:val="center"/>
                </w:tcPr>
                <w:p w14:paraId="09FBCF0A">
                  <w:pPr>
                    <w:pStyle w:val="30"/>
                    <w:framePr w:hSpace="0" w:wrap="auto" w:vAnchor="margin" w:hAnchor="text" w:xAlign="left" w:yAlign="inline"/>
                    <w:numPr>
                      <w:ilvl w:val="0"/>
                      <w:numId w:val="1"/>
                    </w:numPr>
                    <w:rPr>
                      <w:color w:val="auto"/>
                    </w:rPr>
                  </w:pPr>
                </w:p>
              </w:tc>
              <w:tc>
                <w:tcPr>
                  <w:tcW w:w="1119" w:type="dxa"/>
                  <w:vAlign w:val="center"/>
                </w:tcPr>
                <w:p w14:paraId="39E4CBF4">
                  <w:pPr>
                    <w:pStyle w:val="30"/>
                    <w:framePr w:hSpace="0" w:wrap="auto" w:vAnchor="margin" w:hAnchor="text" w:xAlign="left" w:yAlign="inline"/>
                    <w:rPr>
                      <w:color w:val="auto"/>
                    </w:rPr>
                  </w:pPr>
                  <w:r>
                    <w:rPr>
                      <w:rFonts w:hint="eastAsia"/>
                      <w:color w:val="auto"/>
                    </w:rPr>
                    <w:t>香料</w:t>
                  </w:r>
                </w:p>
              </w:tc>
              <w:tc>
                <w:tcPr>
                  <w:tcW w:w="1119" w:type="dxa"/>
                  <w:vAlign w:val="center"/>
                </w:tcPr>
                <w:p w14:paraId="6C8C84A4">
                  <w:pPr>
                    <w:pStyle w:val="30"/>
                    <w:framePr w:hSpace="0" w:wrap="auto" w:vAnchor="margin" w:hAnchor="text" w:xAlign="left" w:yAlign="inline"/>
                    <w:rPr>
                      <w:color w:val="auto"/>
                      <w:lang w:val="en-US"/>
                    </w:rPr>
                  </w:pPr>
                  <w:r>
                    <w:rPr>
                      <w:rFonts w:hint="eastAsia"/>
                      <w:color w:val="auto"/>
                      <w:lang w:val="en-US"/>
                    </w:rPr>
                    <w:t>1.5</w:t>
                  </w:r>
                </w:p>
              </w:tc>
              <w:tc>
                <w:tcPr>
                  <w:tcW w:w="1119" w:type="dxa"/>
                  <w:shd w:val="clear" w:color="auto" w:fill="auto"/>
                  <w:vAlign w:val="center"/>
                </w:tcPr>
                <w:p w14:paraId="08ACBC37">
                  <w:pPr>
                    <w:pStyle w:val="30"/>
                    <w:framePr w:hSpace="0" w:wrap="auto" w:vAnchor="margin" w:hAnchor="text" w:xAlign="left" w:yAlign="inline"/>
                    <w:rPr>
                      <w:color w:val="auto"/>
                      <w:lang w:val="en-US"/>
                    </w:rPr>
                  </w:pPr>
                  <w:r>
                    <w:rPr>
                      <w:rFonts w:hint="eastAsia"/>
                      <w:color w:val="auto"/>
                      <w:lang w:val="en-US"/>
                    </w:rPr>
                    <w:t>t/a</w:t>
                  </w:r>
                </w:p>
              </w:tc>
              <w:tc>
                <w:tcPr>
                  <w:tcW w:w="1120" w:type="dxa"/>
                  <w:shd w:val="clear" w:color="auto" w:fill="auto"/>
                  <w:vAlign w:val="center"/>
                </w:tcPr>
                <w:p w14:paraId="033A6913">
                  <w:pPr>
                    <w:pStyle w:val="30"/>
                    <w:framePr w:hSpace="0" w:wrap="auto" w:vAnchor="margin" w:hAnchor="text" w:xAlign="left" w:yAlign="inline"/>
                    <w:rPr>
                      <w:color w:val="auto"/>
                      <w:lang w:val="en-US"/>
                    </w:rPr>
                  </w:pPr>
                  <w:r>
                    <w:rPr>
                      <w:rFonts w:hint="eastAsia"/>
                      <w:color w:val="auto"/>
                      <w:lang w:val="en-US"/>
                    </w:rPr>
                    <w:t>固态</w:t>
                  </w:r>
                </w:p>
              </w:tc>
              <w:tc>
                <w:tcPr>
                  <w:tcW w:w="1121" w:type="dxa"/>
                  <w:vAlign w:val="center"/>
                </w:tcPr>
                <w:p w14:paraId="37E4D606">
                  <w:pPr>
                    <w:pStyle w:val="30"/>
                    <w:framePr w:hSpace="0" w:wrap="auto" w:vAnchor="margin" w:hAnchor="text" w:xAlign="left" w:yAlign="inline"/>
                    <w:rPr>
                      <w:color w:val="auto"/>
                      <w:lang w:val="en-US"/>
                    </w:rPr>
                  </w:pPr>
                  <w:r>
                    <w:rPr>
                      <w:rFonts w:hint="eastAsia"/>
                      <w:color w:val="auto"/>
                      <w:lang w:val="en-US"/>
                    </w:rPr>
                    <w:t>袋装，500g/袋</w:t>
                  </w:r>
                </w:p>
              </w:tc>
              <w:tc>
                <w:tcPr>
                  <w:tcW w:w="1121" w:type="dxa"/>
                  <w:vAlign w:val="center"/>
                </w:tcPr>
                <w:p w14:paraId="75191180">
                  <w:pPr>
                    <w:pStyle w:val="30"/>
                    <w:framePr w:hSpace="0" w:wrap="auto" w:vAnchor="margin" w:hAnchor="text" w:xAlign="left" w:yAlign="inline"/>
                    <w:rPr>
                      <w:color w:val="auto"/>
                      <w:lang w:val="en-US"/>
                    </w:rPr>
                  </w:pPr>
                  <w:r>
                    <w:rPr>
                      <w:rFonts w:hint="eastAsia"/>
                      <w:color w:val="auto"/>
                      <w:lang w:val="en-US"/>
                    </w:rPr>
                    <w:t>外购</w:t>
                  </w:r>
                </w:p>
              </w:tc>
            </w:tr>
            <w:tr w14:paraId="70D82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18" w:type="dxa"/>
                  <w:vAlign w:val="center"/>
                </w:tcPr>
                <w:p w14:paraId="182CBDC8">
                  <w:pPr>
                    <w:pStyle w:val="30"/>
                    <w:framePr w:hSpace="0" w:wrap="auto" w:vAnchor="margin" w:hAnchor="text" w:xAlign="left" w:yAlign="inline"/>
                    <w:numPr>
                      <w:ilvl w:val="0"/>
                      <w:numId w:val="1"/>
                    </w:numPr>
                    <w:rPr>
                      <w:color w:val="auto"/>
                    </w:rPr>
                  </w:pPr>
                </w:p>
              </w:tc>
              <w:tc>
                <w:tcPr>
                  <w:tcW w:w="1119" w:type="dxa"/>
                  <w:vAlign w:val="center"/>
                </w:tcPr>
                <w:p w14:paraId="5B6C2EB2">
                  <w:pPr>
                    <w:pStyle w:val="30"/>
                    <w:framePr w:hSpace="0" w:wrap="auto" w:vAnchor="margin" w:hAnchor="text" w:xAlign="left" w:yAlign="inline"/>
                    <w:rPr>
                      <w:color w:val="auto"/>
                    </w:rPr>
                  </w:pPr>
                  <w:r>
                    <w:rPr>
                      <w:rFonts w:hint="eastAsia"/>
                      <w:color w:val="auto"/>
                    </w:rPr>
                    <w:t>葱</w:t>
                  </w:r>
                </w:p>
              </w:tc>
              <w:tc>
                <w:tcPr>
                  <w:tcW w:w="1119" w:type="dxa"/>
                  <w:vAlign w:val="center"/>
                </w:tcPr>
                <w:p w14:paraId="78DF334E">
                  <w:pPr>
                    <w:pStyle w:val="30"/>
                    <w:framePr w:hSpace="0" w:wrap="auto" w:vAnchor="margin" w:hAnchor="text" w:xAlign="left" w:yAlign="inline"/>
                    <w:rPr>
                      <w:color w:val="auto"/>
                      <w:lang w:val="en-US"/>
                    </w:rPr>
                  </w:pPr>
                  <w:r>
                    <w:rPr>
                      <w:rFonts w:hint="eastAsia"/>
                      <w:color w:val="auto"/>
                      <w:lang w:val="en-US"/>
                    </w:rPr>
                    <w:t>4</w:t>
                  </w:r>
                </w:p>
              </w:tc>
              <w:tc>
                <w:tcPr>
                  <w:tcW w:w="1119" w:type="dxa"/>
                  <w:shd w:val="clear" w:color="auto" w:fill="auto"/>
                  <w:vAlign w:val="center"/>
                </w:tcPr>
                <w:p w14:paraId="64CC160F">
                  <w:pPr>
                    <w:pStyle w:val="30"/>
                    <w:framePr w:hSpace="0" w:wrap="auto" w:vAnchor="margin" w:hAnchor="text" w:xAlign="left" w:yAlign="inline"/>
                    <w:rPr>
                      <w:color w:val="auto"/>
                      <w:lang w:val="en-US"/>
                    </w:rPr>
                  </w:pPr>
                  <w:r>
                    <w:rPr>
                      <w:rFonts w:hint="eastAsia"/>
                      <w:color w:val="auto"/>
                      <w:lang w:val="en-US"/>
                    </w:rPr>
                    <w:t>t/a</w:t>
                  </w:r>
                </w:p>
              </w:tc>
              <w:tc>
                <w:tcPr>
                  <w:tcW w:w="1120" w:type="dxa"/>
                  <w:shd w:val="clear" w:color="auto" w:fill="auto"/>
                  <w:vAlign w:val="center"/>
                </w:tcPr>
                <w:p w14:paraId="203215F0">
                  <w:pPr>
                    <w:pStyle w:val="30"/>
                    <w:framePr w:hSpace="0" w:wrap="auto" w:vAnchor="margin" w:hAnchor="text" w:xAlign="left" w:yAlign="inline"/>
                    <w:rPr>
                      <w:color w:val="auto"/>
                      <w:lang w:val="en-US"/>
                    </w:rPr>
                  </w:pPr>
                  <w:r>
                    <w:rPr>
                      <w:rFonts w:hint="eastAsia"/>
                      <w:color w:val="auto"/>
                      <w:lang w:val="en-US"/>
                    </w:rPr>
                    <w:t>固态</w:t>
                  </w:r>
                </w:p>
              </w:tc>
              <w:tc>
                <w:tcPr>
                  <w:tcW w:w="1121" w:type="dxa"/>
                  <w:vAlign w:val="center"/>
                </w:tcPr>
                <w:p w14:paraId="39BB0BC3">
                  <w:pPr>
                    <w:pStyle w:val="30"/>
                    <w:framePr w:hSpace="0" w:wrap="auto" w:vAnchor="margin" w:hAnchor="text" w:xAlign="left" w:yAlign="inline"/>
                    <w:rPr>
                      <w:color w:val="auto"/>
                      <w:lang w:val="en-US"/>
                    </w:rPr>
                  </w:pPr>
                  <w:r>
                    <w:rPr>
                      <w:rFonts w:hint="eastAsia"/>
                      <w:color w:val="auto"/>
                      <w:lang w:val="en-US"/>
                    </w:rPr>
                    <w:t>袋装，500g/袋</w:t>
                  </w:r>
                </w:p>
              </w:tc>
              <w:tc>
                <w:tcPr>
                  <w:tcW w:w="1121" w:type="dxa"/>
                  <w:vAlign w:val="center"/>
                </w:tcPr>
                <w:p w14:paraId="6C9B15F6">
                  <w:pPr>
                    <w:pStyle w:val="30"/>
                    <w:framePr w:hSpace="0" w:wrap="auto" w:vAnchor="margin" w:hAnchor="text" w:xAlign="left" w:yAlign="inline"/>
                    <w:rPr>
                      <w:color w:val="auto"/>
                      <w:lang w:val="en-US"/>
                    </w:rPr>
                  </w:pPr>
                  <w:r>
                    <w:rPr>
                      <w:rFonts w:hint="eastAsia"/>
                      <w:color w:val="auto"/>
                      <w:lang w:val="en-US"/>
                    </w:rPr>
                    <w:t>外购</w:t>
                  </w:r>
                </w:p>
              </w:tc>
            </w:tr>
            <w:tr w14:paraId="26127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18" w:type="dxa"/>
                  <w:vAlign w:val="center"/>
                </w:tcPr>
                <w:p w14:paraId="4D2E9401">
                  <w:pPr>
                    <w:pStyle w:val="30"/>
                    <w:framePr w:hSpace="0" w:wrap="auto" w:vAnchor="margin" w:hAnchor="text" w:xAlign="left" w:yAlign="inline"/>
                    <w:numPr>
                      <w:ilvl w:val="0"/>
                      <w:numId w:val="1"/>
                    </w:numPr>
                    <w:rPr>
                      <w:color w:val="auto"/>
                    </w:rPr>
                  </w:pPr>
                </w:p>
              </w:tc>
              <w:tc>
                <w:tcPr>
                  <w:tcW w:w="1119" w:type="dxa"/>
                  <w:vAlign w:val="center"/>
                </w:tcPr>
                <w:p w14:paraId="2A736558">
                  <w:pPr>
                    <w:pStyle w:val="30"/>
                    <w:framePr w:hSpace="0" w:wrap="auto" w:vAnchor="margin" w:hAnchor="text" w:xAlign="left" w:yAlign="inline"/>
                    <w:rPr>
                      <w:color w:val="auto"/>
                    </w:rPr>
                  </w:pPr>
                  <w:r>
                    <w:rPr>
                      <w:rFonts w:hint="eastAsia"/>
                      <w:color w:val="auto"/>
                    </w:rPr>
                    <w:t>生姜</w:t>
                  </w:r>
                </w:p>
              </w:tc>
              <w:tc>
                <w:tcPr>
                  <w:tcW w:w="1119" w:type="dxa"/>
                  <w:vAlign w:val="center"/>
                </w:tcPr>
                <w:p w14:paraId="1486B8BD">
                  <w:pPr>
                    <w:pStyle w:val="30"/>
                    <w:framePr w:hSpace="0" w:wrap="auto" w:vAnchor="margin" w:hAnchor="text" w:xAlign="left" w:yAlign="inline"/>
                    <w:rPr>
                      <w:color w:val="auto"/>
                      <w:lang w:val="en-US"/>
                    </w:rPr>
                  </w:pPr>
                  <w:r>
                    <w:rPr>
                      <w:rFonts w:hint="eastAsia"/>
                      <w:color w:val="auto"/>
                      <w:lang w:val="en-US"/>
                    </w:rPr>
                    <w:t>4</w:t>
                  </w:r>
                </w:p>
              </w:tc>
              <w:tc>
                <w:tcPr>
                  <w:tcW w:w="1119" w:type="dxa"/>
                  <w:shd w:val="clear" w:color="auto" w:fill="auto"/>
                  <w:vAlign w:val="center"/>
                </w:tcPr>
                <w:p w14:paraId="4E6B669C">
                  <w:pPr>
                    <w:pStyle w:val="30"/>
                    <w:framePr w:hSpace="0" w:wrap="auto" w:vAnchor="margin" w:hAnchor="text" w:xAlign="left" w:yAlign="inline"/>
                    <w:rPr>
                      <w:color w:val="auto"/>
                      <w:lang w:val="en-US"/>
                    </w:rPr>
                  </w:pPr>
                  <w:r>
                    <w:rPr>
                      <w:rFonts w:hint="eastAsia"/>
                      <w:color w:val="auto"/>
                      <w:lang w:val="en-US"/>
                    </w:rPr>
                    <w:t>t/a</w:t>
                  </w:r>
                </w:p>
              </w:tc>
              <w:tc>
                <w:tcPr>
                  <w:tcW w:w="1120" w:type="dxa"/>
                  <w:shd w:val="clear" w:color="auto" w:fill="auto"/>
                  <w:vAlign w:val="center"/>
                </w:tcPr>
                <w:p w14:paraId="6E4E88C1">
                  <w:pPr>
                    <w:pStyle w:val="30"/>
                    <w:framePr w:hSpace="0" w:wrap="auto" w:vAnchor="margin" w:hAnchor="text" w:xAlign="left" w:yAlign="inline"/>
                    <w:rPr>
                      <w:color w:val="auto"/>
                      <w:lang w:val="en-US"/>
                    </w:rPr>
                  </w:pPr>
                  <w:r>
                    <w:rPr>
                      <w:rFonts w:hint="eastAsia"/>
                      <w:color w:val="auto"/>
                      <w:lang w:val="en-US"/>
                    </w:rPr>
                    <w:t>固态</w:t>
                  </w:r>
                </w:p>
              </w:tc>
              <w:tc>
                <w:tcPr>
                  <w:tcW w:w="1121" w:type="dxa"/>
                  <w:vAlign w:val="center"/>
                </w:tcPr>
                <w:p w14:paraId="08AFBEFD">
                  <w:pPr>
                    <w:pStyle w:val="30"/>
                    <w:framePr w:hSpace="0" w:wrap="auto" w:vAnchor="margin" w:hAnchor="text" w:xAlign="left" w:yAlign="inline"/>
                    <w:rPr>
                      <w:color w:val="auto"/>
                      <w:lang w:val="en-US"/>
                    </w:rPr>
                  </w:pPr>
                  <w:r>
                    <w:rPr>
                      <w:rFonts w:hint="eastAsia"/>
                      <w:color w:val="auto"/>
                      <w:lang w:val="en-US"/>
                    </w:rPr>
                    <w:t>袋装，500g/袋</w:t>
                  </w:r>
                </w:p>
              </w:tc>
              <w:tc>
                <w:tcPr>
                  <w:tcW w:w="1121" w:type="dxa"/>
                  <w:vAlign w:val="center"/>
                </w:tcPr>
                <w:p w14:paraId="01D94D76">
                  <w:pPr>
                    <w:pStyle w:val="30"/>
                    <w:framePr w:hSpace="0" w:wrap="auto" w:vAnchor="margin" w:hAnchor="text" w:xAlign="left" w:yAlign="inline"/>
                    <w:rPr>
                      <w:color w:val="auto"/>
                      <w:lang w:val="en-US"/>
                    </w:rPr>
                  </w:pPr>
                  <w:r>
                    <w:rPr>
                      <w:rFonts w:hint="eastAsia"/>
                      <w:color w:val="auto"/>
                      <w:lang w:val="en-US"/>
                    </w:rPr>
                    <w:t>外购</w:t>
                  </w:r>
                </w:p>
              </w:tc>
            </w:tr>
            <w:tr w14:paraId="6F8F4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18" w:type="dxa"/>
                  <w:vAlign w:val="center"/>
                </w:tcPr>
                <w:p w14:paraId="6B268884">
                  <w:pPr>
                    <w:pStyle w:val="30"/>
                    <w:framePr w:hSpace="0" w:wrap="auto" w:vAnchor="margin" w:hAnchor="text" w:xAlign="left" w:yAlign="inline"/>
                    <w:numPr>
                      <w:ilvl w:val="0"/>
                      <w:numId w:val="1"/>
                    </w:numPr>
                    <w:rPr>
                      <w:color w:val="auto"/>
                    </w:rPr>
                  </w:pPr>
                </w:p>
              </w:tc>
              <w:tc>
                <w:tcPr>
                  <w:tcW w:w="1119" w:type="dxa"/>
                  <w:vAlign w:val="center"/>
                </w:tcPr>
                <w:p w14:paraId="3D5AE76B">
                  <w:pPr>
                    <w:pStyle w:val="30"/>
                    <w:framePr w:hSpace="0" w:wrap="auto" w:vAnchor="margin" w:hAnchor="text" w:xAlign="left" w:yAlign="inline"/>
                    <w:rPr>
                      <w:color w:val="auto"/>
                    </w:rPr>
                  </w:pPr>
                  <w:r>
                    <w:rPr>
                      <w:rFonts w:hint="eastAsia"/>
                      <w:color w:val="auto"/>
                    </w:rPr>
                    <w:t>味精</w:t>
                  </w:r>
                </w:p>
              </w:tc>
              <w:tc>
                <w:tcPr>
                  <w:tcW w:w="1119" w:type="dxa"/>
                  <w:vAlign w:val="center"/>
                </w:tcPr>
                <w:p w14:paraId="6E35BF06">
                  <w:pPr>
                    <w:pStyle w:val="30"/>
                    <w:framePr w:hSpace="0" w:wrap="auto" w:vAnchor="margin" w:hAnchor="text" w:xAlign="left" w:yAlign="inline"/>
                    <w:rPr>
                      <w:color w:val="auto"/>
                      <w:lang w:val="en-US"/>
                    </w:rPr>
                  </w:pPr>
                  <w:r>
                    <w:rPr>
                      <w:rFonts w:hint="eastAsia"/>
                      <w:color w:val="auto"/>
                      <w:lang w:val="en-US"/>
                    </w:rPr>
                    <w:t>3</w:t>
                  </w:r>
                </w:p>
              </w:tc>
              <w:tc>
                <w:tcPr>
                  <w:tcW w:w="1119" w:type="dxa"/>
                  <w:shd w:val="clear" w:color="auto" w:fill="auto"/>
                  <w:vAlign w:val="center"/>
                </w:tcPr>
                <w:p w14:paraId="5BCBFF94">
                  <w:pPr>
                    <w:pStyle w:val="30"/>
                    <w:framePr w:hSpace="0" w:wrap="auto" w:vAnchor="margin" w:hAnchor="text" w:xAlign="left" w:yAlign="inline"/>
                    <w:rPr>
                      <w:color w:val="auto"/>
                      <w:lang w:val="en-US"/>
                    </w:rPr>
                  </w:pPr>
                  <w:r>
                    <w:rPr>
                      <w:rFonts w:hint="eastAsia"/>
                      <w:color w:val="auto"/>
                      <w:lang w:val="en-US"/>
                    </w:rPr>
                    <w:t>t/a</w:t>
                  </w:r>
                </w:p>
              </w:tc>
              <w:tc>
                <w:tcPr>
                  <w:tcW w:w="1120" w:type="dxa"/>
                  <w:shd w:val="clear" w:color="auto" w:fill="auto"/>
                  <w:vAlign w:val="center"/>
                </w:tcPr>
                <w:p w14:paraId="70B4DD1F">
                  <w:pPr>
                    <w:pStyle w:val="30"/>
                    <w:framePr w:hSpace="0" w:wrap="auto" w:vAnchor="margin" w:hAnchor="text" w:xAlign="left" w:yAlign="inline"/>
                    <w:rPr>
                      <w:color w:val="auto"/>
                      <w:lang w:val="en-US"/>
                    </w:rPr>
                  </w:pPr>
                  <w:r>
                    <w:rPr>
                      <w:rFonts w:hint="eastAsia"/>
                      <w:color w:val="auto"/>
                      <w:lang w:val="en-US"/>
                    </w:rPr>
                    <w:t>固态</w:t>
                  </w:r>
                </w:p>
              </w:tc>
              <w:tc>
                <w:tcPr>
                  <w:tcW w:w="1121" w:type="dxa"/>
                  <w:vAlign w:val="center"/>
                </w:tcPr>
                <w:p w14:paraId="6662EC52">
                  <w:pPr>
                    <w:pStyle w:val="30"/>
                    <w:framePr w:hSpace="0" w:wrap="auto" w:vAnchor="margin" w:hAnchor="text" w:xAlign="left" w:yAlign="inline"/>
                    <w:rPr>
                      <w:color w:val="auto"/>
                      <w:lang w:val="en-US"/>
                    </w:rPr>
                  </w:pPr>
                  <w:r>
                    <w:rPr>
                      <w:rFonts w:hint="eastAsia"/>
                      <w:color w:val="auto"/>
                      <w:lang w:val="en-US"/>
                    </w:rPr>
                    <w:t>袋装，500g/袋</w:t>
                  </w:r>
                </w:p>
              </w:tc>
              <w:tc>
                <w:tcPr>
                  <w:tcW w:w="1121" w:type="dxa"/>
                  <w:vAlign w:val="center"/>
                </w:tcPr>
                <w:p w14:paraId="446AAAC3">
                  <w:pPr>
                    <w:pStyle w:val="30"/>
                    <w:framePr w:hSpace="0" w:wrap="auto" w:vAnchor="margin" w:hAnchor="text" w:xAlign="left" w:yAlign="inline"/>
                    <w:rPr>
                      <w:color w:val="auto"/>
                      <w:lang w:val="en-US"/>
                    </w:rPr>
                  </w:pPr>
                  <w:r>
                    <w:rPr>
                      <w:rFonts w:hint="eastAsia"/>
                      <w:color w:val="auto"/>
                      <w:lang w:val="en-US"/>
                    </w:rPr>
                    <w:t>外购</w:t>
                  </w:r>
                </w:p>
              </w:tc>
            </w:tr>
            <w:tr w14:paraId="45E68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18" w:type="dxa"/>
                  <w:vAlign w:val="center"/>
                </w:tcPr>
                <w:p w14:paraId="743B3809">
                  <w:pPr>
                    <w:pStyle w:val="30"/>
                    <w:framePr w:hSpace="0" w:wrap="auto" w:vAnchor="margin" w:hAnchor="text" w:xAlign="left" w:yAlign="inline"/>
                    <w:numPr>
                      <w:ilvl w:val="0"/>
                      <w:numId w:val="1"/>
                    </w:numPr>
                    <w:rPr>
                      <w:color w:val="auto"/>
                    </w:rPr>
                  </w:pPr>
                </w:p>
              </w:tc>
              <w:tc>
                <w:tcPr>
                  <w:tcW w:w="1119" w:type="dxa"/>
                  <w:vAlign w:val="center"/>
                </w:tcPr>
                <w:p w14:paraId="1D771343">
                  <w:pPr>
                    <w:pStyle w:val="30"/>
                    <w:framePr w:hSpace="0" w:wrap="auto" w:vAnchor="margin" w:hAnchor="text" w:xAlign="left" w:yAlign="inline"/>
                    <w:rPr>
                      <w:color w:val="auto"/>
                    </w:rPr>
                  </w:pPr>
                  <w:r>
                    <w:rPr>
                      <w:rFonts w:hint="eastAsia"/>
                      <w:color w:val="auto"/>
                    </w:rPr>
                    <w:t>制冷剂</w:t>
                  </w:r>
                </w:p>
              </w:tc>
              <w:tc>
                <w:tcPr>
                  <w:tcW w:w="1119" w:type="dxa"/>
                  <w:vAlign w:val="center"/>
                </w:tcPr>
                <w:p w14:paraId="1121F335">
                  <w:pPr>
                    <w:pStyle w:val="30"/>
                    <w:framePr w:hSpace="0" w:wrap="auto" w:vAnchor="margin" w:hAnchor="text" w:xAlign="left" w:yAlign="inline"/>
                    <w:rPr>
                      <w:color w:val="auto"/>
                      <w:lang w:val="en-US"/>
                    </w:rPr>
                  </w:pPr>
                  <w:r>
                    <w:rPr>
                      <w:rFonts w:hint="eastAsia"/>
                      <w:color w:val="auto"/>
                      <w:lang w:val="en-US"/>
                    </w:rPr>
                    <w:t>0.5</w:t>
                  </w:r>
                </w:p>
              </w:tc>
              <w:tc>
                <w:tcPr>
                  <w:tcW w:w="1119" w:type="dxa"/>
                  <w:shd w:val="clear" w:color="auto" w:fill="auto"/>
                  <w:vAlign w:val="center"/>
                </w:tcPr>
                <w:p w14:paraId="1A8FB4A9">
                  <w:pPr>
                    <w:pStyle w:val="30"/>
                    <w:framePr w:hSpace="0" w:wrap="auto" w:vAnchor="margin" w:hAnchor="text" w:xAlign="left" w:yAlign="inline"/>
                    <w:rPr>
                      <w:color w:val="auto"/>
                      <w:lang w:val="en-US"/>
                    </w:rPr>
                  </w:pPr>
                  <w:r>
                    <w:rPr>
                      <w:rFonts w:hint="eastAsia"/>
                      <w:color w:val="auto"/>
                      <w:lang w:val="en-US"/>
                    </w:rPr>
                    <w:t>t/a</w:t>
                  </w:r>
                </w:p>
              </w:tc>
              <w:tc>
                <w:tcPr>
                  <w:tcW w:w="1120" w:type="dxa"/>
                  <w:shd w:val="clear" w:color="auto" w:fill="auto"/>
                  <w:vAlign w:val="center"/>
                </w:tcPr>
                <w:p w14:paraId="248864D8">
                  <w:pPr>
                    <w:pStyle w:val="30"/>
                    <w:framePr w:hSpace="0" w:wrap="auto" w:vAnchor="margin" w:hAnchor="text" w:xAlign="left" w:yAlign="inline"/>
                    <w:rPr>
                      <w:color w:val="auto"/>
                      <w:lang w:val="en-US"/>
                    </w:rPr>
                  </w:pPr>
                  <w:r>
                    <w:rPr>
                      <w:rFonts w:hint="eastAsia"/>
                      <w:color w:val="auto"/>
                      <w:lang w:val="en-US"/>
                    </w:rPr>
                    <w:t>/</w:t>
                  </w:r>
                </w:p>
              </w:tc>
              <w:tc>
                <w:tcPr>
                  <w:tcW w:w="1121" w:type="dxa"/>
                  <w:vAlign w:val="center"/>
                </w:tcPr>
                <w:p w14:paraId="1182AF38">
                  <w:pPr>
                    <w:pStyle w:val="30"/>
                    <w:framePr w:hSpace="0" w:wrap="auto" w:vAnchor="margin" w:hAnchor="text" w:xAlign="left" w:yAlign="inline"/>
                    <w:rPr>
                      <w:color w:val="auto"/>
                      <w:lang w:val="en-US"/>
                    </w:rPr>
                  </w:pPr>
                  <w:r>
                    <w:rPr>
                      <w:rFonts w:hint="eastAsia"/>
                      <w:color w:val="auto"/>
                      <w:lang w:val="en-US"/>
                    </w:rPr>
                    <w:t>罐装，40L/罐装</w:t>
                  </w:r>
                </w:p>
              </w:tc>
              <w:tc>
                <w:tcPr>
                  <w:tcW w:w="1121" w:type="dxa"/>
                  <w:vAlign w:val="center"/>
                </w:tcPr>
                <w:p w14:paraId="2040BE27">
                  <w:pPr>
                    <w:pStyle w:val="30"/>
                    <w:framePr w:hSpace="0" w:wrap="auto" w:vAnchor="margin" w:hAnchor="text" w:xAlign="left" w:yAlign="inline"/>
                    <w:rPr>
                      <w:color w:val="auto"/>
                      <w:lang w:val="en-US"/>
                    </w:rPr>
                  </w:pPr>
                  <w:r>
                    <w:rPr>
                      <w:rFonts w:hint="eastAsia"/>
                      <w:color w:val="auto"/>
                      <w:lang w:val="en-US"/>
                    </w:rPr>
                    <w:t>外购</w:t>
                  </w:r>
                </w:p>
              </w:tc>
            </w:tr>
          </w:tbl>
          <w:p w14:paraId="1B389E41">
            <w:pPr>
              <w:spacing w:line="240" w:lineRule="auto"/>
              <w:ind w:firstLine="360" w:firstLineChars="200"/>
              <w:rPr>
                <w:color w:val="auto"/>
                <w:sz w:val="21"/>
                <w:szCs w:val="21"/>
              </w:rPr>
            </w:pPr>
            <w:r>
              <w:rPr>
                <w:rFonts w:hint="eastAsia"/>
                <w:color w:val="auto"/>
                <w:sz w:val="18"/>
                <w:szCs w:val="18"/>
              </w:rPr>
              <w:t>注：a制冷剂R404a密度为1.045g/cm</w:t>
            </w:r>
            <w:r>
              <w:rPr>
                <w:rFonts w:hint="eastAsia"/>
                <w:color w:val="auto"/>
                <w:sz w:val="18"/>
                <w:szCs w:val="18"/>
                <w:vertAlign w:val="superscript"/>
              </w:rPr>
              <w:t>3</w:t>
            </w:r>
            <w:r>
              <w:rPr>
                <w:rFonts w:hint="eastAsia"/>
                <w:color w:val="auto"/>
                <w:sz w:val="18"/>
                <w:szCs w:val="18"/>
              </w:rPr>
              <w:t>，本项目制冷剂为0.04m</w:t>
            </w:r>
            <w:r>
              <w:rPr>
                <w:rFonts w:hint="eastAsia"/>
                <w:color w:val="auto"/>
                <w:sz w:val="18"/>
                <w:szCs w:val="18"/>
                <w:vertAlign w:val="superscript"/>
              </w:rPr>
              <w:t>3</w:t>
            </w:r>
            <w:r>
              <w:rPr>
                <w:rFonts w:hint="eastAsia"/>
                <w:color w:val="auto"/>
                <w:sz w:val="18"/>
                <w:szCs w:val="18"/>
              </w:rPr>
              <w:t>/罐，一次性添加，不在厂区内暂存多余储罐，因此最大暂存量为0.0418t。</w:t>
            </w:r>
          </w:p>
          <w:p w14:paraId="46AE8279">
            <w:pPr>
              <w:ind w:firstLine="480" w:firstLineChars="200"/>
              <w:rPr>
                <w:color w:val="auto"/>
              </w:rPr>
            </w:pPr>
            <w:r>
              <w:rPr>
                <w:rFonts w:hint="eastAsia"/>
                <w:color w:val="auto"/>
              </w:rPr>
              <w:t>原辅材料理化性质：</w:t>
            </w:r>
          </w:p>
          <w:p w14:paraId="7C7CC58C">
            <w:pPr>
              <w:ind w:firstLine="480" w:firstLineChars="200"/>
              <w:rPr>
                <w:color w:val="auto"/>
                <w:highlight w:val="red"/>
              </w:rPr>
            </w:pPr>
            <w:r>
              <w:rPr>
                <w:color w:val="auto"/>
              </w:rPr>
              <w:t>（</w:t>
            </w:r>
            <w:r>
              <w:rPr>
                <w:rFonts w:hint="eastAsia"/>
                <w:color w:val="auto"/>
              </w:rPr>
              <w:t>1</w:t>
            </w:r>
            <w:r>
              <w:rPr>
                <w:color w:val="auto"/>
              </w:rPr>
              <w:t>）</w:t>
            </w:r>
            <w:r>
              <w:rPr>
                <w:rFonts w:hint="eastAsia"/>
                <w:color w:val="auto"/>
              </w:rPr>
              <w:t>制冷剂（</w:t>
            </w:r>
            <w:r>
              <w:rPr>
                <w:color w:val="auto"/>
              </w:rPr>
              <w:t>R4</w:t>
            </w:r>
            <w:r>
              <w:rPr>
                <w:rFonts w:hint="eastAsia"/>
                <w:color w:val="auto"/>
              </w:rPr>
              <w:t>04</w:t>
            </w:r>
            <w:r>
              <w:rPr>
                <w:color w:val="auto"/>
              </w:rPr>
              <w:t>A</w:t>
            </w:r>
            <w:r>
              <w:rPr>
                <w:rFonts w:hint="eastAsia"/>
                <w:color w:val="auto"/>
              </w:rPr>
              <w:t>）：</w:t>
            </w:r>
            <w:r>
              <w:rPr>
                <w:rFonts w:hint="eastAsia"/>
                <w:color w:val="auto"/>
                <w:lang w:eastAsia="zh-CN"/>
              </w:rPr>
              <w:t>化学成分</w:t>
            </w:r>
            <w:r>
              <w:rPr>
                <w:color w:val="auto"/>
              </w:rPr>
              <w:t>为</w:t>
            </w:r>
            <w:r>
              <w:rPr>
                <w:color w:val="auto"/>
              </w:rPr>
              <w:fldChar w:fldCharType="begin"/>
            </w:r>
            <w:r>
              <w:rPr>
                <w:color w:val="auto"/>
              </w:rPr>
              <w:instrText xml:space="preserve"> HYPERLINK "https://baike.baidu.com/item/%E4%BA%94%E6%B0%9F%E4%B9%99%E7%83%B7/5526494?fromModule=lemma_inlink" \t "_blank" </w:instrText>
            </w:r>
            <w:r>
              <w:rPr>
                <w:color w:val="auto"/>
              </w:rPr>
              <w:fldChar w:fldCharType="separate"/>
            </w:r>
            <w:r>
              <w:rPr>
                <w:color w:val="auto"/>
              </w:rPr>
              <w:t>五氟乙烷</w:t>
            </w:r>
            <w:r>
              <w:rPr>
                <w:color w:val="auto"/>
              </w:rPr>
              <w:fldChar w:fldCharType="end"/>
            </w:r>
            <w:r>
              <w:rPr>
                <w:color w:val="auto"/>
              </w:rPr>
              <w:t>/三氟乙烷/</w:t>
            </w:r>
            <w:r>
              <w:rPr>
                <w:color w:val="auto"/>
              </w:rPr>
              <w:fldChar w:fldCharType="begin"/>
            </w:r>
            <w:r>
              <w:rPr>
                <w:color w:val="auto"/>
              </w:rPr>
              <w:instrText xml:space="preserve"> HYPERLINK "https://baike.baidu.com/item/%E5%9B%9B%E6%B0%9F%E4%B9%99%E7%83%B7/6902883?fromModule=lemma_inlink" \t "_blank" </w:instrText>
            </w:r>
            <w:r>
              <w:rPr>
                <w:color w:val="auto"/>
              </w:rPr>
              <w:fldChar w:fldCharType="separate"/>
            </w:r>
            <w:r>
              <w:rPr>
                <w:color w:val="auto"/>
              </w:rPr>
              <w:t>四氟乙烷</w:t>
            </w:r>
            <w:r>
              <w:rPr>
                <w:color w:val="auto"/>
              </w:rPr>
              <w:fldChar w:fldCharType="end"/>
            </w:r>
            <w:r>
              <w:rPr>
                <w:color w:val="auto"/>
              </w:rPr>
              <w:t>混合物。由于R404A属于HFC型非共沸环保制冷剂（完全不含破坏臭氧层的CFC、HCFC），得到世界绝大多数国家的认可并推荐的主流低温环保制冷剂，广泛用于新冷冻设备上的初装和维修过程中的再添加。符合美国</w:t>
            </w:r>
            <w:r>
              <w:rPr>
                <w:color w:val="auto"/>
              </w:rPr>
              <w:fldChar w:fldCharType="begin"/>
            </w:r>
            <w:r>
              <w:rPr>
                <w:color w:val="auto"/>
              </w:rPr>
              <w:instrText xml:space="preserve"> HYPERLINK "https://baike.baidu.com/item/%E7%8E%AF%E4%BF%9D%E7%BB%84%E7%BB%87/1315717?fromModule=lemma_inlink" \t "_blank" </w:instrText>
            </w:r>
            <w:r>
              <w:rPr>
                <w:color w:val="auto"/>
              </w:rPr>
              <w:fldChar w:fldCharType="separate"/>
            </w:r>
            <w:r>
              <w:rPr>
                <w:color w:val="auto"/>
              </w:rPr>
              <w:t>环保组织</w:t>
            </w:r>
            <w:r>
              <w:rPr>
                <w:color w:val="auto"/>
              </w:rPr>
              <w:fldChar w:fldCharType="end"/>
            </w:r>
            <w:r>
              <w:rPr>
                <w:color w:val="auto"/>
              </w:rPr>
              <w:t>EPA、SNAP和UL的标准，符合美国采暖、制冷</w:t>
            </w:r>
            <w:r>
              <w:rPr>
                <w:color w:val="auto"/>
              </w:rPr>
              <w:fldChar w:fldCharType="begin"/>
            </w:r>
            <w:r>
              <w:rPr>
                <w:color w:val="auto"/>
              </w:rPr>
              <w:instrText xml:space="preserve"> HYPERLINK "https://baike.baidu.com/item/%E7%A9%BA%E8%B0%83%E5%B7%A5%E7%A8%8B%E5%B8%88/8086305?fromModule=lemma_inlink" \t "_blank" </w:instrText>
            </w:r>
            <w:r>
              <w:rPr>
                <w:color w:val="auto"/>
              </w:rPr>
              <w:fldChar w:fldCharType="separate"/>
            </w:r>
            <w:r>
              <w:rPr>
                <w:color w:val="auto"/>
              </w:rPr>
              <w:t>空调工程师</w:t>
            </w:r>
            <w:r>
              <w:rPr>
                <w:color w:val="auto"/>
              </w:rPr>
              <w:fldChar w:fldCharType="end"/>
            </w:r>
            <w:r>
              <w:rPr>
                <w:color w:val="auto"/>
              </w:rPr>
              <w:t>协会（</w:t>
            </w:r>
            <w:r>
              <w:rPr>
                <w:color w:val="auto"/>
              </w:rPr>
              <w:fldChar w:fldCharType="begin"/>
            </w:r>
            <w:r>
              <w:rPr>
                <w:color w:val="auto"/>
              </w:rPr>
              <w:instrText xml:space="preserve"> HYPERLINK "https://baike.baidu.com/item/ASHRAE/3832485?fromModule=lemma_inlink" \t "_blank" </w:instrText>
            </w:r>
            <w:r>
              <w:rPr>
                <w:color w:val="auto"/>
              </w:rPr>
              <w:fldChar w:fldCharType="separate"/>
            </w:r>
            <w:r>
              <w:rPr>
                <w:color w:val="auto"/>
              </w:rPr>
              <w:t>ASHRAE</w:t>
            </w:r>
            <w:r>
              <w:rPr>
                <w:color w:val="auto"/>
              </w:rPr>
              <w:fldChar w:fldCharType="end"/>
            </w:r>
            <w:r>
              <w:rPr>
                <w:color w:val="auto"/>
              </w:rPr>
              <w:t>）的A1</w:t>
            </w:r>
            <w:r>
              <w:rPr>
                <w:color w:val="auto"/>
              </w:rPr>
              <w:fldChar w:fldCharType="begin"/>
            </w:r>
            <w:r>
              <w:rPr>
                <w:color w:val="auto"/>
              </w:rPr>
              <w:instrText xml:space="preserve"> HYPERLINK "https://baike.baidu.com/item/%E5%AE%89%E5%85%A8%E7%AD%89%E7%BA%A7/2661929?fromModule=lemma_inlink" \t "_blank" </w:instrText>
            </w:r>
            <w:r>
              <w:rPr>
                <w:color w:val="auto"/>
              </w:rPr>
              <w:fldChar w:fldCharType="separate"/>
            </w:r>
            <w:r>
              <w:rPr>
                <w:color w:val="auto"/>
              </w:rPr>
              <w:t>安全等级</w:t>
            </w:r>
            <w:r>
              <w:rPr>
                <w:color w:val="auto"/>
              </w:rPr>
              <w:fldChar w:fldCharType="end"/>
            </w:r>
            <w:r>
              <w:rPr>
                <w:color w:val="auto"/>
              </w:rPr>
              <w:t>类别（这是最高的级别，对人身体无害）。</w:t>
            </w:r>
          </w:p>
          <w:p w14:paraId="73031A86">
            <w:pPr>
              <w:pStyle w:val="3"/>
              <w:ind w:firstLine="482" w:firstLineChars="200"/>
              <w:rPr>
                <w:color w:val="auto"/>
              </w:rPr>
            </w:pPr>
            <w:bookmarkStart w:id="23" w:name="_Toc14502"/>
            <w:r>
              <w:rPr>
                <w:color w:val="auto"/>
              </w:rPr>
              <w:t>2.2.7</w:t>
            </w:r>
            <w:r>
              <w:rPr>
                <w:rFonts w:hint="eastAsia"/>
                <w:color w:val="auto"/>
              </w:rPr>
              <w:t>主要生产设备</w:t>
            </w:r>
            <w:bookmarkEnd w:id="23"/>
          </w:p>
          <w:p w14:paraId="6CFB12DA">
            <w:pPr>
              <w:ind w:firstLine="480"/>
              <w:rPr>
                <w:color w:val="auto"/>
              </w:rPr>
            </w:pPr>
            <w:r>
              <w:rPr>
                <w:color w:val="auto"/>
              </w:rPr>
              <w:t>主要生产设备详见下表。</w:t>
            </w:r>
          </w:p>
          <w:p w14:paraId="0CC9D527">
            <w:pPr>
              <w:pStyle w:val="6"/>
              <w:adjustRightInd w:val="0"/>
              <w:snapToGrid w:val="0"/>
              <w:rPr>
                <w:color w:val="auto"/>
              </w:rPr>
            </w:pPr>
            <w:r>
              <w:rPr>
                <w:color w:val="auto"/>
              </w:rPr>
              <w:t xml:space="preserve">表 </w:t>
            </w:r>
            <w:r>
              <w:rPr>
                <w:rFonts w:hint="eastAsia"/>
                <w:color w:val="auto"/>
              </w:rPr>
              <w:t>2-</w:t>
            </w:r>
            <w:r>
              <w:rPr>
                <w:color w:val="auto"/>
              </w:rPr>
              <w:fldChar w:fldCharType="begin"/>
            </w:r>
            <w:r>
              <w:rPr>
                <w:color w:val="auto"/>
              </w:rPr>
              <w:instrText xml:space="preserve"> SEQ 表 \* ARABIC \s 1 </w:instrText>
            </w:r>
            <w:r>
              <w:rPr>
                <w:color w:val="auto"/>
              </w:rPr>
              <w:fldChar w:fldCharType="separate"/>
            </w:r>
            <w:r>
              <w:rPr>
                <w:color w:val="auto"/>
              </w:rPr>
              <w:t>9</w:t>
            </w:r>
            <w:r>
              <w:rPr>
                <w:color w:val="auto"/>
              </w:rPr>
              <w:fldChar w:fldCharType="end"/>
            </w:r>
            <w:r>
              <w:rPr>
                <w:color w:val="auto"/>
              </w:rPr>
              <w:t>项目主要生产设备一览表</w:t>
            </w:r>
          </w:p>
          <w:tbl>
            <w:tblPr>
              <w:tblStyle w:val="23"/>
              <w:tblW w:w="4998"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1630"/>
              <w:gridCol w:w="1393"/>
              <w:gridCol w:w="2481"/>
              <w:gridCol w:w="1585"/>
              <w:gridCol w:w="749"/>
            </w:tblGrid>
            <w:tr w14:paraId="413FA0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1126" w:type="pct"/>
                  <w:noWrap/>
                  <w:vAlign w:val="center"/>
                </w:tcPr>
                <w:p w14:paraId="09DD658F">
                  <w:pPr>
                    <w:pStyle w:val="30"/>
                    <w:framePr w:hSpace="0" w:wrap="auto" w:vAnchor="margin" w:hAnchor="text" w:xAlign="left" w:yAlign="inline"/>
                    <w:rPr>
                      <w:color w:val="auto"/>
                    </w:rPr>
                  </w:pPr>
                  <w:r>
                    <w:rPr>
                      <w:rFonts w:hint="eastAsia"/>
                      <w:color w:val="auto"/>
                    </w:rPr>
                    <w:t>生产线</w:t>
                  </w:r>
                </w:p>
              </w:tc>
              <w:tc>
                <w:tcPr>
                  <w:tcW w:w="1045" w:type="pct"/>
                  <w:noWrap/>
                  <w:vAlign w:val="center"/>
                </w:tcPr>
                <w:p w14:paraId="0ABA7FC3">
                  <w:pPr>
                    <w:pStyle w:val="30"/>
                    <w:framePr w:hSpace="0" w:wrap="auto" w:vAnchor="margin" w:hAnchor="text" w:xAlign="left" w:yAlign="inline"/>
                    <w:rPr>
                      <w:color w:val="auto"/>
                    </w:rPr>
                  </w:pPr>
                  <w:r>
                    <w:rPr>
                      <w:color w:val="auto"/>
                    </w:rPr>
                    <w:t>设备名称</w:t>
                  </w:r>
                </w:p>
              </w:tc>
              <w:tc>
                <w:tcPr>
                  <w:tcW w:w="1095" w:type="pct"/>
                  <w:noWrap/>
                  <w:vAlign w:val="center"/>
                </w:tcPr>
                <w:p w14:paraId="0C753316">
                  <w:pPr>
                    <w:pStyle w:val="30"/>
                    <w:framePr w:hSpace="0" w:wrap="auto" w:vAnchor="margin" w:hAnchor="text" w:xAlign="left" w:yAlign="inline"/>
                    <w:rPr>
                      <w:color w:val="auto"/>
                    </w:rPr>
                  </w:pPr>
                  <w:r>
                    <w:rPr>
                      <w:color w:val="auto"/>
                    </w:rPr>
                    <w:t>型号参数</w:t>
                  </w:r>
                </w:p>
              </w:tc>
              <w:tc>
                <w:tcPr>
                  <w:tcW w:w="1051" w:type="pct"/>
                  <w:noWrap/>
                  <w:vAlign w:val="center"/>
                </w:tcPr>
                <w:p w14:paraId="2D1C4F93">
                  <w:pPr>
                    <w:pStyle w:val="30"/>
                    <w:framePr w:hSpace="0" w:wrap="auto" w:vAnchor="margin" w:hAnchor="text" w:xAlign="left" w:yAlign="inline"/>
                    <w:rPr>
                      <w:color w:val="auto"/>
                    </w:rPr>
                  </w:pPr>
                  <w:r>
                    <w:rPr>
                      <w:color w:val="auto"/>
                    </w:rPr>
                    <w:t>数量(台、套)</w:t>
                  </w:r>
                </w:p>
              </w:tc>
              <w:tc>
                <w:tcPr>
                  <w:tcW w:w="681" w:type="pct"/>
                  <w:noWrap/>
                  <w:vAlign w:val="center"/>
                </w:tcPr>
                <w:p w14:paraId="319A3839">
                  <w:pPr>
                    <w:pStyle w:val="30"/>
                    <w:framePr w:hSpace="0" w:wrap="auto" w:vAnchor="margin" w:hAnchor="text" w:xAlign="left" w:yAlign="inline"/>
                    <w:rPr>
                      <w:color w:val="auto"/>
                    </w:rPr>
                  </w:pPr>
                  <w:r>
                    <w:rPr>
                      <w:rFonts w:hint="eastAsia"/>
                      <w:color w:val="auto"/>
                    </w:rPr>
                    <w:t>备注</w:t>
                  </w:r>
                </w:p>
              </w:tc>
            </w:tr>
            <w:tr w14:paraId="6CC82B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1126" w:type="pct"/>
                  <w:vMerge w:val="restart"/>
                  <w:noWrap/>
                  <w:vAlign w:val="center"/>
                </w:tcPr>
                <w:p w14:paraId="2E4ED848">
                  <w:pPr>
                    <w:pStyle w:val="30"/>
                    <w:framePr w:hSpace="0" w:wrap="auto" w:vAnchor="margin" w:hAnchor="text" w:xAlign="left" w:yAlign="inline"/>
                    <w:rPr>
                      <w:color w:val="auto"/>
                    </w:rPr>
                  </w:pPr>
                  <w:r>
                    <w:rPr>
                      <w:rFonts w:hint="eastAsia"/>
                      <w:color w:val="auto"/>
                    </w:rPr>
                    <w:t>淮南牛肉汤（二层）</w:t>
                  </w:r>
                </w:p>
              </w:tc>
              <w:tc>
                <w:tcPr>
                  <w:tcW w:w="1045" w:type="pct"/>
                  <w:noWrap/>
                  <w:vAlign w:val="center"/>
                </w:tcPr>
                <w:p w14:paraId="6B45CC4D">
                  <w:pPr>
                    <w:pStyle w:val="30"/>
                    <w:framePr w:hSpace="0" w:wrap="auto" w:vAnchor="margin" w:hAnchor="text" w:xAlign="left" w:yAlign="inline"/>
                    <w:rPr>
                      <w:color w:val="auto"/>
                      <w:lang w:val="en-US"/>
                    </w:rPr>
                  </w:pPr>
                  <w:r>
                    <w:rPr>
                      <w:rFonts w:hint="eastAsia"/>
                      <w:color w:val="auto"/>
                      <w:lang w:val="en-US"/>
                    </w:rPr>
                    <w:t>熬煮锅</w:t>
                  </w:r>
                </w:p>
              </w:tc>
              <w:tc>
                <w:tcPr>
                  <w:tcW w:w="1095" w:type="pct"/>
                  <w:tcBorders>
                    <w:bottom w:val="single" w:color="auto" w:sz="4" w:space="0"/>
                  </w:tcBorders>
                  <w:noWrap/>
                  <w:vAlign w:val="center"/>
                </w:tcPr>
                <w:p w14:paraId="190C6CF7">
                  <w:pPr>
                    <w:pStyle w:val="30"/>
                    <w:framePr w:hSpace="0" w:wrap="auto" w:vAnchor="margin" w:hAnchor="text" w:xAlign="left" w:yAlign="inline"/>
                    <w:rPr>
                      <w:color w:val="auto"/>
                      <w:lang w:val="en-US"/>
                    </w:rPr>
                  </w:pPr>
                  <w:r>
                    <w:rPr>
                      <w:rFonts w:hint="eastAsia"/>
                      <w:color w:val="auto"/>
                      <w:lang w:val="en-US"/>
                    </w:rPr>
                    <w:t>500L电加热夹层锅JYL-500</w:t>
                  </w:r>
                </w:p>
              </w:tc>
              <w:tc>
                <w:tcPr>
                  <w:tcW w:w="1051" w:type="pct"/>
                  <w:tcBorders>
                    <w:bottom w:val="single" w:color="auto" w:sz="4" w:space="0"/>
                  </w:tcBorders>
                  <w:noWrap/>
                  <w:vAlign w:val="center"/>
                </w:tcPr>
                <w:p w14:paraId="301A7BE4">
                  <w:pPr>
                    <w:pStyle w:val="30"/>
                    <w:framePr w:hSpace="0" w:wrap="auto" w:vAnchor="margin" w:hAnchor="text" w:xAlign="left" w:yAlign="inline"/>
                    <w:rPr>
                      <w:color w:val="auto"/>
                      <w:lang w:val="en-US"/>
                    </w:rPr>
                  </w:pPr>
                  <w:r>
                    <w:rPr>
                      <w:rFonts w:hint="eastAsia"/>
                      <w:color w:val="auto"/>
                      <w:lang w:val="en-US"/>
                    </w:rPr>
                    <w:t>3台</w:t>
                  </w:r>
                </w:p>
              </w:tc>
              <w:tc>
                <w:tcPr>
                  <w:tcW w:w="681" w:type="pct"/>
                  <w:noWrap/>
                  <w:vAlign w:val="center"/>
                </w:tcPr>
                <w:p w14:paraId="381A018A">
                  <w:pPr>
                    <w:pStyle w:val="30"/>
                    <w:framePr w:hSpace="0" w:wrap="auto" w:vAnchor="margin" w:hAnchor="text" w:xAlign="left" w:yAlign="inline"/>
                    <w:rPr>
                      <w:color w:val="auto"/>
                    </w:rPr>
                  </w:pPr>
                </w:p>
              </w:tc>
            </w:tr>
            <w:tr w14:paraId="66D429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1126" w:type="pct"/>
                  <w:vMerge w:val="continue"/>
                  <w:noWrap/>
                  <w:vAlign w:val="center"/>
                </w:tcPr>
                <w:p w14:paraId="0A33689B">
                  <w:pPr>
                    <w:pStyle w:val="30"/>
                    <w:framePr w:hSpace="0" w:wrap="auto" w:vAnchor="margin" w:hAnchor="text" w:xAlign="left" w:yAlign="inline"/>
                    <w:rPr>
                      <w:color w:val="auto"/>
                    </w:rPr>
                  </w:pPr>
                </w:p>
              </w:tc>
              <w:tc>
                <w:tcPr>
                  <w:tcW w:w="1045" w:type="pct"/>
                  <w:shd w:val="clear" w:color="auto" w:fill="auto"/>
                  <w:noWrap/>
                  <w:vAlign w:val="center"/>
                </w:tcPr>
                <w:p w14:paraId="6E25B441">
                  <w:pPr>
                    <w:pStyle w:val="30"/>
                    <w:framePr w:hSpace="0" w:wrap="auto" w:vAnchor="margin" w:hAnchor="text" w:xAlign="left" w:yAlign="inline"/>
                    <w:rPr>
                      <w:color w:val="auto"/>
                      <w:lang w:val="en-US"/>
                    </w:rPr>
                  </w:pPr>
                  <w:r>
                    <w:rPr>
                      <w:rFonts w:hint="eastAsia"/>
                      <w:color w:val="auto"/>
                      <w:lang w:val="en-US"/>
                    </w:rPr>
                    <w:t>搅拌锅</w:t>
                  </w:r>
                </w:p>
              </w:tc>
              <w:tc>
                <w:tcPr>
                  <w:tcW w:w="1095" w:type="pct"/>
                  <w:tcBorders>
                    <w:top w:val="single" w:color="auto" w:sz="4" w:space="0"/>
                    <w:bottom w:val="single" w:color="auto" w:sz="4" w:space="0"/>
                  </w:tcBorders>
                  <w:shd w:val="clear" w:color="auto" w:fill="auto"/>
                  <w:noWrap/>
                  <w:vAlign w:val="center"/>
                </w:tcPr>
                <w:p w14:paraId="615B1ACD">
                  <w:pPr>
                    <w:pStyle w:val="30"/>
                    <w:framePr w:hSpace="0" w:wrap="auto" w:vAnchor="margin" w:hAnchor="text" w:xAlign="left" w:yAlign="inline"/>
                    <w:rPr>
                      <w:color w:val="auto"/>
                      <w:lang w:val="en-US"/>
                    </w:rPr>
                  </w:pPr>
                  <w:r>
                    <w:rPr>
                      <w:rFonts w:hint="eastAsia"/>
                      <w:color w:val="auto"/>
                      <w:lang w:val="en-US"/>
                    </w:rPr>
                    <w:t>500型电加热搅拌锅QJCG500-J</w:t>
                  </w:r>
                </w:p>
              </w:tc>
              <w:tc>
                <w:tcPr>
                  <w:tcW w:w="1051" w:type="pct"/>
                  <w:tcBorders>
                    <w:top w:val="single" w:color="auto" w:sz="4" w:space="0"/>
                    <w:bottom w:val="single" w:color="auto" w:sz="4" w:space="0"/>
                  </w:tcBorders>
                  <w:noWrap/>
                  <w:vAlign w:val="center"/>
                </w:tcPr>
                <w:p w14:paraId="611E338E">
                  <w:pPr>
                    <w:pStyle w:val="30"/>
                    <w:framePr w:hSpace="0" w:wrap="auto" w:vAnchor="margin" w:hAnchor="text" w:xAlign="left" w:yAlign="inline"/>
                    <w:rPr>
                      <w:color w:val="auto"/>
                      <w:lang w:val="en-US"/>
                    </w:rPr>
                  </w:pPr>
                  <w:r>
                    <w:rPr>
                      <w:rFonts w:hint="eastAsia"/>
                      <w:color w:val="auto"/>
                      <w:lang w:val="en-US"/>
                    </w:rPr>
                    <w:t>1台</w:t>
                  </w:r>
                </w:p>
              </w:tc>
              <w:tc>
                <w:tcPr>
                  <w:tcW w:w="681" w:type="pct"/>
                  <w:noWrap/>
                  <w:vAlign w:val="center"/>
                </w:tcPr>
                <w:p w14:paraId="45565CE4">
                  <w:pPr>
                    <w:pStyle w:val="30"/>
                    <w:framePr w:hSpace="0" w:wrap="auto" w:vAnchor="margin" w:hAnchor="text" w:xAlign="left" w:yAlign="inline"/>
                    <w:rPr>
                      <w:color w:val="auto"/>
                    </w:rPr>
                  </w:pPr>
                </w:p>
              </w:tc>
            </w:tr>
            <w:tr w14:paraId="23E8DE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1126" w:type="pct"/>
                  <w:vMerge w:val="continue"/>
                  <w:noWrap/>
                  <w:vAlign w:val="center"/>
                </w:tcPr>
                <w:p w14:paraId="60488A98">
                  <w:pPr>
                    <w:pStyle w:val="30"/>
                    <w:framePr w:hSpace="0" w:wrap="auto" w:vAnchor="margin" w:hAnchor="text" w:xAlign="left" w:yAlign="inline"/>
                    <w:rPr>
                      <w:color w:val="auto"/>
                    </w:rPr>
                  </w:pPr>
                </w:p>
              </w:tc>
              <w:tc>
                <w:tcPr>
                  <w:tcW w:w="1045" w:type="pct"/>
                  <w:shd w:val="clear" w:color="auto" w:fill="auto"/>
                  <w:noWrap/>
                  <w:vAlign w:val="center"/>
                </w:tcPr>
                <w:p w14:paraId="14191C80">
                  <w:pPr>
                    <w:pStyle w:val="30"/>
                    <w:framePr w:hSpace="0" w:wrap="auto" w:vAnchor="margin" w:hAnchor="text" w:xAlign="left" w:yAlign="inline"/>
                    <w:rPr>
                      <w:color w:val="auto"/>
                      <w:lang w:val="en-US"/>
                    </w:rPr>
                  </w:pPr>
                  <w:r>
                    <w:rPr>
                      <w:rFonts w:hint="eastAsia"/>
                      <w:color w:val="auto"/>
                      <w:lang w:val="en-US"/>
                    </w:rPr>
                    <w:t>杀菌锅</w:t>
                  </w:r>
                </w:p>
              </w:tc>
              <w:tc>
                <w:tcPr>
                  <w:tcW w:w="1095" w:type="pct"/>
                  <w:tcBorders>
                    <w:top w:val="single" w:color="auto" w:sz="4" w:space="0"/>
                    <w:bottom w:val="single" w:color="auto" w:sz="4" w:space="0"/>
                  </w:tcBorders>
                  <w:shd w:val="clear" w:color="auto" w:fill="auto"/>
                  <w:noWrap/>
                  <w:vAlign w:val="center"/>
                </w:tcPr>
                <w:p w14:paraId="7100C44D">
                  <w:pPr>
                    <w:pStyle w:val="30"/>
                    <w:framePr w:hSpace="0" w:wrap="auto" w:vAnchor="margin" w:hAnchor="text" w:xAlign="left" w:yAlign="inline"/>
                    <w:rPr>
                      <w:color w:val="auto"/>
                      <w:lang w:val="en-US"/>
                    </w:rPr>
                  </w:pPr>
                  <w:r>
                    <w:rPr>
                      <w:rFonts w:hint="eastAsia"/>
                      <w:color w:val="auto"/>
                      <w:lang w:val="en-US"/>
                    </w:rPr>
                    <w:t>700-1200</w:t>
                  </w:r>
                </w:p>
              </w:tc>
              <w:tc>
                <w:tcPr>
                  <w:tcW w:w="1051" w:type="pct"/>
                  <w:tcBorders>
                    <w:top w:val="single" w:color="auto" w:sz="4" w:space="0"/>
                    <w:bottom w:val="single" w:color="auto" w:sz="4" w:space="0"/>
                  </w:tcBorders>
                  <w:noWrap/>
                  <w:vAlign w:val="center"/>
                </w:tcPr>
                <w:p w14:paraId="2B4A5AE9">
                  <w:pPr>
                    <w:pStyle w:val="30"/>
                    <w:framePr w:hSpace="0" w:wrap="auto" w:vAnchor="margin" w:hAnchor="text" w:xAlign="left" w:yAlign="inline"/>
                    <w:rPr>
                      <w:color w:val="auto"/>
                      <w:lang w:val="en-US"/>
                    </w:rPr>
                  </w:pPr>
                  <w:r>
                    <w:rPr>
                      <w:rFonts w:hint="eastAsia"/>
                      <w:color w:val="auto"/>
                      <w:lang w:val="en-US"/>
                    </w:rPr>
                    <w:t>1台</w:t>
                  </w:r>
                </w:p>
              </w:tc>
              <w:tc>
                <w:tcPr>
                  <w:tcW w:w="681" w:type="pct"/>
                  <w:noWrap/>
                  <w:vAlign w:val="center"/>
                </w:tcPr>
                <w:p w14:paraId="2B529C2B">
                  <w:pPr>
                    <w:pStyle w:val="30"/>
                    <w:framePr w:hSpace="0" w:wrap="auto" w:vAnchor="margin" w:hAnchor="text" w:xAlign="left" w:yAlign="inline"/>
                    <w:rPr>
                      <w:color w:val="auto"/>
                    </w:rPr>
                  </w:pPr>
                </w:p>
              </w:tc>
            </w:tr>
            <w:tr w14:paraId="20BFE8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1126" w:type="pct"/>
                  <w:vMerge w:val="continue"/>
                  <w:noWrap/>
                  <w:vAlign w:val="center"/>
                </w:tcPr>
                <w:p w14:paraId="6A42792B">
                  <w:pPr>
                    <w:pStyle w:val="30"/>
                    <w:framePr w:hSpace="0" w:wrap="auto" w:vAnchor="margin" w:hAnchor="text" w:xAlign="left" w:yAlign="inline"/>
                    <w:rPr>
                      <w:color w:val="auto"/>
                    </w:rPr>
                  </w:pPr>
                </w:p>
              </w:tc>
              <w:tc>
                <w:tcPr>
                  <w:tcW w:w="1045" w:type="pct"/>
                  <w:shd w:val="clear" w:color="auto" w:fill="auto"/>
                  <w:noWrap/>
                  <w:vAlign w:val="center"/>
                </w:tcPr>
                <w:p w14:paraId="4B0147CB">
                  <w:pPr>
                    <w:pStyle w:val="30"/>
                    <w:framePr w:hSpace="0" w:wrap="auto" w:vAnchor="margin" w:hAnchor="text" w:xAlign="left" w:yAlign="inline"/>
                    <w:rPr>
                      <w:color w:val="auto"/>
                      <w:lang w:val="en-US"/>
                    </w:rPr>
                  </w:pPr>
                  <w:r>
                    <w:rPr>
                      <w:rFonts w:hint="eastAsia"/>
                      <w:color w:val="auto"/>
                      <w:lang w:val="en-US"/>
                    </w:rPr>
                    <w:t>风干线</w:t>
                  </w:r>
                </w:p>
              </w:tc>
              <w:tc>
                <w:tcPr>
                  <w:tcW w:w="1095" w:type="pct"/>
                  <w:tcBorders>
                    <w:top w:val="single" w:color="auto" w:sz="4" w:space="0"/>
                    <w:bottom w:val="single" w:color="auto" w:sz="4" w:space="0"/>
                  </w:tcBorders>
                  <w:shd w:val="clear" w:color="auto" w:fill="auto"/>
                  <w:noWrap/>
                  <w:vAlign w:val="center"/>
                </w:tcPr>
                <w:p w14:paraId="64E96D0D">
                  <w:pPr>
                    <w:pStyle w:val="30"/>
                    <w:framePr w:hSpace="0" w:wrap="auto" w:vAnchor="margin" w:hAnchor="text" w:xAlign="left" w:yAlign="inline"/>
                    <w:rPr>
                      <w:color w:val="auto"/>
                      <w:lang w:val="en-US"/>
                    </w:rPr>
                  </w:pPr>
                  <w:r>
                    <w:rPr>
                      <w:rFonts w:hint="eastAsia"/>
                      <w:color w:val="auto"/>
                      <w:lang w:val="en-US"/>
                    </w:rPr>
                    <w:t>6米风干机型号 FG-6000-FZ</w:t>
                  </w:r>
                </w:p>
              </w:tc>
              <w:tc>
                <w:tcPr>
                  <w:tcW w:w="1051" w:type="pct"/>
                  <w:tcBorders>
                    <w:top w:val="single" w:color="auto" w:sz="4" w:space="0"/>
                    <w:bottom w:val="single" w:color="auto" w:sz="4" w:space="0"/>
                  </w:tcBorders>
                  <w:noWrap/>
                  <w:vAlign w:val="center"/>
                </w:tcPr>
                <w:p w14:paraId="531072A2">
                  <w:pPr>
                    <w:pStyle w:val="30"/>
                    <w:framePr w:hSpace="0" w:wrap="auto" w:vAnchor="margin" w:hAnchor="text" w:xAlign="left" w:yAlign="inline"/>
                    <w:rPr>
                      <w:color w:val="auto"/>
                      <w:lang w:val="en-US"/>
                    </w:rPr>
                  </w:pPr>
                  <w:r>
                    <w:rPr>
                      <w:rFonts w:hint="eastAsia"/>
                      <w:color w:val="auto"/>
                      <w:lang w:val="en-US"/>
                    </w:rPr>
                    <w:t>1条</w:t>
                  </w:r>
                </w:p>
              </w:tc>
              <w:tc>
                <w:tcPr>
                  <w:tcW w:w="681" w:type="pct"/>
                  <w:noWrap/>
                  <w:vAlign w:val="center"/>
                </w:tcPr>
                <w:p w14:paraId="62482FDE">
                  <w:pPr>
                    <w:pStyle w:val="30"/>
                    <w:framePr w:hSpace="0" w:wrap="auto" w:vAnchor="margin" w:hAnchor="text" w:xAlign="left" w:yAlign="inline"/>
                    <w:rPr>
                      <w:color w:val="auto"/>
                    </w:rPr>
                  </w:pPr>
                </w:p>
              </w:tc>
            </w:tr>
            <w:tr w14:paraId="639797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1126" w:type="pct"/>
                  <w:vMerge w:val="continue"/>
                  <w:noWrap/>
                  <w:vAlign w:val="center"/>
                </w:tcPr>
                <w:p w14:paraId="01CA3A54">
                  <w:pPr>
                    <w:pStyle w:val="30"/>
                    <w:framePr w:hSpace="0" w:wrap="auto" w:vAnchor="margin" w:hAnchor="text" w:xAlign="left" w:yAlign="inline"/>
                    <w:rPr>
                      <w:color w:val="auto"/>
                    </w:rPr>
                  </w:pPr>
                </w:p>
              </w:tc>
              <w:tc>
                <w:tcPr>
                  <w:tcW w:w="1045" w:type="pct"/>
                  <w:shd w:val="clear" w:color="auto" w:fill="auto"/>
                  <w:noWrap/>
                  <w:vAlign w:val="center"/>
                </w:tcPr>
                <w:p w14:paraId="26DBDB77">
                  <w:pPr>
                    <w:pStyle w:val="30"/>
                    <w:framePr w:hSpace="0" w:wrap="auto" w:vAnchor="margin" w:hAnchor="text" w:xAlign="left" w:yAlign="inline"/>
                    <w:rPr>
                      <w:color w:val="auto"/>
                      <w:lang w:val="en-US"/>
                    </w:rPr>
                  </w:pPr>
                  <w:r>
                    <w:rPr>
                      <w:rFonts w:hint="eastAsia"/>
                      <w:color w:val="auto"/>
                      <w:lang w:val="en-US"/>
                    </w:rPr>
                    <w:t>清洗线</w:t>
                  </w:r>
                </w:p>
              </w:tc>
              <w:tc>
                <w:tcPr>
                  <w:tcW w:w="1095" w:type="pct"/>
                  <w:tcBorders>
                    <w:top w:val="single" w:color="auto" w:sz="4" w:space="0"/>
                    <w:bottom w:val="single" w:color="auto" w:sz="4" w:space="0"/>
                  </w:tcBorders>
                  <w:shd w:val="clear" w:color="auto" w:fill="auto"/>
                  <w:noWrap/>
                  <w:vAlign w:val="center"/>
                </w:tcPr>
                <w:p w14:paraId="059BF8DF">
                  <w:pPr>
                    <w:pStyle w:val="30"/>
                    <w:framePr w:hSpace="0" w:wrap="auto" w:vAnchor="margin" w:hAnchor="text" w:xAlign="left" w:yAlign="inline"/>
                    <w:rPr>
                      <w:color w:val="auto"/>
                      <w:lang w:val="en-US"/>
                    </w:rPr>
                  </w:pPr>
                  <w:r>
                    <w:rPr>
                      <w:rFonts w:hint="eastAsia"/>
                      <w:color w:val="auto"/>
                      <w:lang w:val="en-US"/>
                    </w:rPr>
                    <w:t>3米气泡清洗机型号 QP-3000</w:t>
                  </w:r>
                </w:p>
                <w:p w14:paraId="3194C7FF">
                  <w:pPr>
                    <w:pStyle w:val="30"/>
                    <w:framePr w:hSpace="0" w:wrap="auto" w:vAnchor="margin" w:hAnchor="text" w:xAlign="left" w:yAlign="inline"/>
                    <w:rPr>
                      <w:color w:val="auto"/>
                      <w:lang w:val="en-US"/>
                    </w:rPr>
                  </w:pPr>
                </w:p>
              </w:tc>
              <w:tc>
                <w:tcPr>
                  <w:tcW w:w="1051" w:type="pct"/>
                  <w:tcBorders>
                    <w:top w:val="single" w:color="auto" w:sz="4" w:space="0"/>
                    <w:bottom w:val="single" w:color="auto" w:sz="4" w:space="0"/>
                  </w:tcBorders>
                  <w:noWrap/>
                  <w:vAlign w:val="center"/>
                </w:tcPr>
                <w:p w14:paraId="6E117CA7">
                  <w:pPr>
                    <w:pStyle w:val="30"/>
                    <w:framePr w:hSpace="0" w:wrap="auto" w:vAnchor="margin" w:hAnchor="text" w:xAlign="left" w:yAlign="inline"/>
                    <w:rPr>
                      <w:color w:val="auto"/>
                      <w:lang w:val="en-US"/>
                    </w:rPr>
                  </w:pPr>
                  <w:r>
                    <w:rPr>
                      <w:rFonts w:hint="eastAsia"/>
                      <w:color w:val="auto"/>
                      <w:lang w:val="en-US"/>
                    </w:rPr>
                    <w:t>1条</w:t>
                  </w:r>
                </w:p>
              </w:tc>
              <w:tc>
                <w:tcPr>
                  <w:tcW w:w="681" w:type="pct"/>
                  <w:noWrap/>
                  <w:vAlign w:val="center"/>
                </w:tcPr>
                <w:p w14:paraId="22EDE944">
                  <w:pPr>
                    <w:pStyle w:val="30"/>
                    <w:framePr w:hSpace="0" w:wrap="auto" w:vAnchor="margin" w:hAnchor="text" w:xAlign="left" w:yAlign="inline"/>
                    <w:rPr>
                      <w:color w:val="auto"/>
                    </w:rPr>
                  </w:pPr>
                </w:p>
              </w:tc>
            </w:tr>
            <w:tr w14:paraId="753AC8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1126" w:type="pct"/>
                  <w:vMerge w:val="continue"/>
                  <w:noWrap/>
                  <w:vAlign w:val="center"/>
                </w:tcPr>
                <w:p w14:paraId="4D771EDF">
                  <w:pPr>
                    <w:pStyle w:val="30"/>
                    <w:framePr w:hSpace="0" w:wrap="auto" w:vAnchor="margin" w:hAnchor="text" w:xAlign="left" w:yAlign="inline"/>
                    <w:rPr>
                      <w:color w:val="auto"/>
                    </w:rPr>
                  </w:pPr>
                </w:p>
              </w:tc>
              <w:tc>
                <w:tcPr>
                  <w:tcW w:w="1045" w:type="pct"/>
                  <w:shd w:val="clear" w:color="auto" w:fill="auto"/>
                  <w:noWrap/>
                  <w:vAlign w:val="center"/>
                </w:tcPr>
                <w:p w14:paraId="47AE7888">
                  <w:pPr>
                    <w:pStyle w:val="30"/>
                    <w:framePr w:hSpace="0" w:wrap="auto" w:vAnchor="margin" w:hAnchor="text" w:xAlign="left" w:yAlign="inline"/>
                    <w:rPr>
                      <w:color w:val="auto"/>
                      <w:lang w:val="en-US"/>
                    </w:rPr>
                  </w:pPr>
                  <w:r>
                    <w:rPr>
                      <w:rFonts w:hint="eastAsia"/>
                      <w:color w:val="auto"/>
                      <w:lang w:val="en-US"/>
                    </w:rPr>
                    <w:t>气泡解冻池</w:t>
                  </w:r>
                </w:p>
              </w:tc>
              <w:tc>
                <w:tcPr>
                  <w:tcW w:w="1095" w:type="pct"/>
                  <w:tcBorders>
                    <w:top w:val="single" w:color="auto" w:sz="4" w:space="0"/>
                    <w:bottom w:val="single" w:color="auto" w:sz="4" w:space="0"/>
                  </w:tcBorders>
                  <w:shd w:val="clear" w:color="auto" w:fill="auto"/>
                  <w:noWrap/>
                  <w:vAlign w:val="center"/>
                </w:tcPr>
                <w:p w14:paraId="70A2398C">
                  <w:pPr>
                    <w:pStyle w:val="30"/>
                    <w:framePr w:hSpace="0" w:wrap="auto" w:vAnchor="margin" w:hAnchor="text" w:xAlign="left" w:yAlign="inline"/>
                    <w:rPr>
                      <w:color w:val="auto"/>
                    </w:rPr>
                  </w:pPr>
                  <w:r>
                    <w:rPr>
                      <w:rFonts w:hint="eastAsia"/>
                      <w:color w:val="auto"/>
                    </w:rPr>
                    <w:t>气泡解冻池 QPJD-2000</w:t>
                  </w:r>
                </w:p>
              </w:tc>
              <w:tc>
                <w:tcPr>
                  <w:tcW w:w="1051" w:type="pct"/>
                  <w:tcBorders>
                    <w:top w:val="single" w:color="auto" w:sz="4" w:space="0"/>
                    <w:bottom w:val="single" w:color="auto" w:sz="4" w:space="0"/>
                  </w:tcBorders>
                  <w:noWrap/>
                  <w:vAlign w:val="center"/>
                </w:tcPr>
                <w:p w14:paraId="0712C33B">
                  <w:pPr>
                    <w:pStyle w:val="30"/>
                    <w:framePr w:hSpace="0" w:wrap="auto" w:vAnchor="margin" w:hAnchor="text" w:xAlign="left" w:yAlign="inline"/>
                    <w:rPr>
                      <w:color w:val="auto"/>
                      <w:lang w:val="en-US"/>
                    </w:rPr>
                  </w:pPr>
                  <w:r>
                    <w:rPr>
                      <w:rFonts w:hint="eastAsia"/>
                      <w:color w:val="auto"/>
                      <w:lang w:val="en-US"/>
                    </w:rPr>
                    <w:t>1台</w:t>
                  </w:r>
                </w:p>
              </w:tc>
              <w:tc>
                <w:tcPr>
                  <w:tcW w:w="681" w:type="pct"/>
                  <w:noWrap/>
                  <w:vAlign w:val="center"/>
                </w:tcPr>
                <w:p w14:paraId="19563D78">
                  <w:pPr>
                    <w:pStyle w:val="30"/>
                    <w:framePr w:hSpace="0" w:wrap="auto" w:vAnchor="margin" w:hAnchor="text" w:xAlign="left" w:yAlign="inline"/>
                    <w:rPr>
                      <w:color w:val="auto"/>
                    </w:rPr>
                  </w:pPr>
                </w:p>
              </w:tc>
            </w:tr>
            <w:tr w14:paraId="1FDD4B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1126" w:type="pct"/>
                  <w:vMerge w:val="continue"/>
                  <w:noWrap/>
                  <w:vAlign w:val="center"/>
                </w:tcPr>
                <w:p w14:paraId="57C3CB4E">
                  <w:pPr>
                    <w:pStyle w:val="30"/>
                    <w:framePr w:hSpace="0" w:wrap="auto" w:vAnchor="margin" w:hAnchor="text" w:xAlign="left" w:yAlign="inline"/>
                    <w:rPr>
                      <w:color w:val="auto"/>
                    </w:rPr>
                  </w:pPr>
                </w:p>
              </w:tc>
              <w:tc>
                <w:tcPr>
                  <w:tcW w:w="1045" w:type="pct"/>
                  <w:shd w:val="clear" w:color="auto" w:fill="auto"/>
                  <w:noWrap/>
                  <w:vAlign w:val="center"/>
                </w:tcPr>
                <w:p w14:paraId="26EA1DA2">
                  <w:pPr>
                    <w:pStyle w:val="30"/>
                    <w:framePr w:hSpace="0" w:wrap="auto" w:vAnchor="margin" w:hAnchor="text" w:xAlign="left" w:yAlign="inline"/>
                    <w:rPr>
                      <w:color w:val="auto"/>
                      <w:lang w:val="en-US"/>
                    </w:rPr>
                  </w:pPr>
                  <w:r>
                    <w:rPr>
                      <w:rFonts w:hint="eastAsia"/>
                      <w:color w:val="auto"/>
                      <w:lang w:val="en-US"/>
                    </w:rPr>
                    <w:t>包装机</w:t>
                  </w:r>
                </w:p>
              </w:tc>
              <w:tc>
                <w:tcPr>
                  <w:tcW w:w="1095" w:type="pct"/>
                  <w:tcBorders>
                    <w:top w:val="single" w:color="auto" w:sz="4" w:space="0"/>
                    <w:bottom w:val="single" w:color="auto" w:sz="4" w:space="0"/>
                  </w:tcBorders>
                  <w:shd w:val="clear" w:color="auto" w:fill="auto"/>
                  <w:noWrap/>
                  <w:vAlign w:val="center"/>
                </w:tcPr>
                <w:p w14:paraId="1C2B2EC3">
                  <w:pPr>
                    <w:pStyle w:val="30"/>
                    <w:framePr w:hSpace="0" w:wrap="auto" w:vAnchor="margin" w:hAnchor="text" w:xAlign="left" w:yAlign="inline"/>
                    <w:rPr>
                      <w:color w:val="auto"/>
                    </w:rPr>
                  </w:pPr>
                  <w:r>
                    <w:rPr>
                      <w:rFonts w:hint="eastAsia"/>
                      <w:color w:val="auto"/>
                      <w:lang w:val="en-US"/>
                    </w:rPr>
                    <w:t>YDGDM8-230 M</w:t>
                  </w:r>
                </w:p>
              </w:tc>
              <w:tc>
                <w:tcPr>
                  <w:tcW w:w="1051" w:type="pct"/>
                  <w:tcBorders>
                    <w:top w:val="single" w:color="auto" w:sz="4" w:space="0"/>
                    <w:bottom w:val="single" w:color="auto" w:sz="4" w:space="0"/>
                  </w:tcBorders>
                  <w:noWrap/>
                  <w:vAlign w:val="center"/>
                </w:tcPr>
                <w:p w14:paraId="541F33D2">
                  <w:pPr>
                    <w:pStyle w:val="30"/>
                    <w:framePr w:hSpace="0" w:wrap="auto" w:vAnchor="margin" w:hAnchor="text" w:xAlign="left" w:yAlign="inline"/>
                    <w:rPr>
                      <w:color w:val="auto"/>
                      <w:lang w:val="en-US"/>
                    </w:rPr>
                  </w:pPr>
                  <w:r>
                    <w:rPr>
                      <w:rFonts w:hint="eastAsia"/>
                      <w:color w:val="auto"/>
                      <w:lang w:val="en-US"/>
                    </w:rPr>
                    <w:t>1台</w:t>
                  </w:r>
                </w:p>
              </w:tc>
              <w:tc>
                <w:tcPr>
                  <w:tcW w:w="681" w:type="pct"/>
                  <w:noWrap/>
                  <w:vAlign w:val="center"/>
                </w:tcPr>
                <w:p w14:paraId="6A8A289D">
                  <w:pPr>
                    <w:pStyle w:val="30"/>
                    <w:framePr w:hSpace="0" w:wrap="auto" w:vAnchor="margin" w:hAnchor="text" w:xAlign="left" w:yAlign="inline"/>
                    <w:rPr>
                      <w:color w:val="auto"/>
                    </w:rPr>
                  </w:pPr>
                  <w:r>
                    <w:rPr>
                      <w:rFonts w:hint="eastAsia"/>
                      <w:color w:val="auto"/>
                    </w:rPr>
                    <w:t>内</w:t>
                  </w:r>
                  <w:r>
                    <w:rPr>
                      <w:rFonts w:hint="eastAsia"/>
                      <w:color w:val="auto"/>
                      <w:lang w:val="en-US"/>
                    </w:rPr>
                    <w:t>包装</w:t>
                  </w:r>
                </w:p>
              </w:tc>
            </w:tr>
            <w:tr w14:paraId="28C0D9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1126" w:type="pct"/>
                  <w:vMerge w:val="restart"/>
                  <w:noWrap/>
                  <w:vAlign w:val="center"/>
                </w:tcPr>
                <w:p w14:paraId="3145AC8E">
                  <w:pPr>
                    <w:pStyle w:val="30"/>
                    <w:framePr w:hSpace="0" w:wrap="auto" w:vAnchor="margin" w:hAnchor="text" w:xAlign="left" w:yAlign="inline"/>
                    <w:rPr>
                      <w:color w:val="auto"/>
                    </w:rPr>
                  </w:pPr>
                  <w:r>
                    <w:rPr>
                      <w:rFonts w:hint="eastAsia"/>
                      <w:color w:val="auto"/>
                    </w:rPr>
                    <w:t>半干拉面（一层）</w:t>
                  </w:r>
                </w:p>
              </w:tc>
              <w:tc>
                <w:tcPr>
                  <w:tcW w:w="1045" w:type="pct"/>
                  <w:shd w:val="clear" w:color="auto" w:fill="auto"/>
                  <w:noWrap/>
                  <w:vAlign w:val="center"/>
                </w:tcPr>
                <w:p w14:paraId="222C5C50">
                  <w:pPr>
                    <w:pStyle w:val="30"/>
                    <w:framePr w:hSpace="0" w:wrap="auto" w:vAnchor="margin" w:hAnchor="text" w:xAlign="left" w:yAlign="inline"/>
                    <w:rPr>
                      <w:color w:val="auto"/>
                      <w:lang w:val="en-US"/>
                    </w:rPr>
                  </w:pPr>
                  <w:r>
                    <w:rPr>
                      <w:rFonts w:hint="eastAsia"/>
                      <w:color w:val="auto"/>
                      <w:lang w:val="en-US"/>
                    </w:rPr>
                    <w:t>真空</w:t>
                  </w:r>
                  <w:r>
                    <w:rPr>
                      <w:rFonts w:hint="eastAsia"/>
                      <w:color w:val="auto"/>
                    </w:rPr>
                    <w:t>和面机</w:t>
                  </w:r>
                </w:p>
              </w:tc>
              <w:tc>
                <w:tcPr>
                  <w:tcW w:w="1095" w:type="pct"/>
                  <w:tcBorders>
                    <w:top w:val="single" w:color="auto" w:sz="4" w:space="0"/>
                    <w:bottom w:val="single" w:color="auto" w:sz="4" w:space="0"/>
                  </w:tcBorders>
                  <w:shd w:val="clear" w:color="auto" w:fill="auto"/>
                  <w:noWrap/>
                  <w:vAlign w:val="center"/>
                </w:tcPr>
                <w:p w14:paraId="4CE10390">
                  <w:pPr>
                    <w:pStyle w:val="30"/>
                    <w:framePr w:hSpace="0" w:wrap="auto" w:vAnchor="margin" w:hAnchor="text" w:xAlign="left" w:yAlign="inline"/>
                    <w:rPr>
                      <w:color w:val="auto"/>
                      <w:lang w:val="en-US"/>
                    </w:rPr>
                  </w:pPr>
                  <w:r>
                    <w:rPr>
                      <w:rFonts w:hint="eastAsia"/>
                      <w:color w:val="auto"/>
                      <w:lang w:val="en-US"/>
                    </w:rPr>
                    <w:t>HWJZ-75</w:t>
                  </w:r>
                </w:p>
              </w:tc>
              <w:tc>
                <w:tcPr>
                  <w:tcW w:w="1051" w:type="pct"/>
                  <w:vMerge w:val="restart"/>
                  <w:tcBorders>
                    <w:top w:val="single" w:color="auto" w:sz="4" w:space="0"/>
                  </w:tcBorders>
                  <w:noWrap/>
                  <w:vAlign w:val="center"/>
                </w:tcPr>
                <w:p w14:paraId="478F379A">
                  <w:pPr>
                    <w:pStyle w:val="30"/>
                    <w:framePr w:hSpace="0" w:wrap="auto" w:vAnchor="margin" w:hAnchor="text" w:xAlign="left" w:yAlign="inline"/>
                    <w:rPr>
                      <w:color w:val="auto"/>
                      <w:lang w:val="en-US"/>
                    </w:rPr>
                  </w:pPr>
                  <w:r>
                    <w:rPr>
                      <w:rFonts w:hint="eastAsia"/>
                      <w:color w:val="auto"/>
                      <w:lang w:val="en-US"/>
                    </w:rPr>
                    <w:t>1条全自动化生产线</w:t>
                  </w:r>
                </w:p>
              </w:tc>
              <w:tc>
                <w:tcPr>
                  <w:tcW w:w="681" w:type="pct"/>
                  <w:noWrap/>
                  <w:vAlign w:val="center"/>
                </w:tcPr>
                <w:p w14:paraId="20F4FFC2">
                  <w:pPr>
                    <w:pStyle w:val="30"/>
                    <w:framePr w:hSpace="0" w:wrap="auto" w:vAnchor="margin" w:hAnchor="text" w:xAlign="left" w:yAlign="inline"/>
                    <w:rPr>
                      <w:color w:val="auto"/>
                    </w:rPr>
                  </w:pPr>
                </w:p>
              </w:tc>
            </w:tr>
            <w:tr w14:paraId="7644DC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1126" w:type="pct"/>
                  <w:vMerge w:val="continue"/>
                  <w:noWrap/>
                  <w:vAlign w:val="center"/>
                </w:tcPr>
                <w:p w14:paraId="3A3544A3">
                  <w:pPr>
                    <w:pStyle w:val="30"/>
                    <w:framePr w:hSpace="0" w:wrap="auto" w:vAnchor="margin" w:hAnchor="text" w:xAlign="left" w:yAlign="inline"/>
                    <w:rPr>
                      <w:color w:val="auto"/>
                    </w:rPr>
                  </w:pPr>
                </w:p>
              </w:tc>
              <w:tc>
                <w:tcPr>
                  <w:tcW w:w="1045" w:type="pct"/>
                  <w:shd w:val="clear" w:color="auto" w:fill="auto"/>
                  <w:noWrap/>
                  <w:vAlign w:val="center"/>
                </w:tcPr>
                <w:p w14:paraId="777B8113">
                  <w:pPr>
                    <w:pStyle w:val="30"/>
                    <w:framePr w:hSpace="0" w:wrap="auto" w:vAnchor="margin" w:hAnchor="text" w:xAlign="left" w:yAlign="inline"/>
                    <w:rPr>
                      <w:color w:val="auto"/>
                      <w:lang w:val="en-US"/>
                    </w:rPr>
                  </w:pPr>
                  <w:r>
                    <w:rPr>
                      <w:rFonts w:hint="eastAsia"/>
                      <w:color w:val="auto"/>
                    </w:rPr>
                    <w:t>挤压机</w:t>
                  </w:r>
                </w:p>
              </w:tc>
              <w:tc>
                <w:tcPr>
                  <w:tcW w:w="1095" w:type="pct"/>
                  <w:tcBorders>
                    <w:top w:val="single" w:color="auto" w:sz="4" w:space="0"/>
                    <w:bottom w:val="single" w:color="auto" w:sz="4" w:space="0"/>
                  </w:tcBorders>
                  <w:shd w:val="clear" w:color="auto" w:fill="auto"/>
                  <w:noWrap/>
                  <w:vAlign w:val="center"/>
                </w:tcPr>
                <w:p w14:paraId="42DCB8F1">
                  <w:pPr>
                    <w:pStyle w:val="30"/>
                    <w:framePr w:hSpace="0" w:wrap="auto" w:vAnchor="margin" w:hAnchor="text" w:xAlign="left" w:yAlign="inline"/>
                    <w:rPr>
                      <w:color w:val="auto"/>
                      <w:lang w:val="en-US"/>
                    </w:rPr>
                  </w:pPr>
                  <w:r>
                    <w:rPr>
                      <w:rFonts w:hint="eastAsia"/>
                      <w:color w:val="auto"/>
                      <w:lang w:val="en-US"/>
                    </w:rPr>
                    <w:t>MT8-21b</w:t>
                  </w:r>
                </w:p>
              </w:tc>
              <w:tc>
                <w:tcPr>
                  <w:tcW w:w="1051" w:type="pct"/>
                  <w:vMerge w:val="continue"/>
                  <w:noWrap/>
                  <w:vAlign w:val="center"/>
                </w:tcPr>
                <w:p w14:paraId="6EFCF761">
                  <w:pPr>
                    <w:pStyle w:val="30"/>
                    <w:framePr w:hSpace="0" w:wrap="auto" w:vAnchor="margin" w:hAnchor="text" w:xAlign="left" w:yAlign="inline"/>
                    <w:rPr>
                      <w:color w:val="auto"/>
                      <w:lang w:val="en-US"/>
                    </w:rPr>
                  </w:pPr>
                </w:p>
              </w:tc>
              <w:tc>
                <w:tcPr>
                  <w:tcW w:w="681" w:type="pct"/>
                  <w:noWrap/>
                  <w:vAlign w:val="center"/>
                </w:tcPr>
                <w:p w14:paraId="3FB8A5D8">
                  <w:pPr>
                    <w:pStyle w:val="30"/>
                    <w:framePr w:hSpace="0" w:wrap="auto" w:vAnchor="margin" w:hAnchor="text" w:xAlign="left" w:yAlign="inline"/>
                    <w:rPr>
                      <w:color w:val="auto"/>
                    </w:rPr>
                  </w:pPr>
                </w:p>
              </w:tc>
            </w:tr>
            <w:tr w14:paraId="7016EE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1126" w:type="pct"/>
                  <w:vMerge w:val="continue"/>
                  <w:noWrap/>
                  <w:vAlign w:val="center"/>
                </w:tcPr>
                <w:p w14:paraId="06B18ED9">
                  <w:pPr>
                    <w:pStyle w:val="30"/>
                    <w:framePr w:hSpace="0" w:wrap="auto" w:vAnchor="margin" w:hAnchor="text" w:xAlign="left" w:yAlign="inline"/>
                    <w:rPr>
                      <w:color w:val="auto"/>
                    </w:rPr>
                  </w:pPr>
                </w:p>
              </w:tc>
              <w:tc>
                <w:tcPr>
                  <w:tcW w:w="1045" w:type="pct"/>
                  <w:shd w:val="clear" w:color="auto" w:fill="auto"/>
                  <w:noWrap/>
                  <w:vAlign w:val="center"/>
                </w:tcPr>
                <w:p w14:paraId="0CD9933A">
                  <w:pPr>
                    <w:pStyle w:val="30"/>
                    <w:framePr w:hSpace="0" w:wrap="auto" w:vAnchor="margin" w:hAnchor="text" w:xAlign="left" w:yAlign="inline"/>
                    <w:rPr>
                      <w:color w:val="auto"/>
                      <w:lang w:val="en-US"/>
                    </w:rPr>
                  </w:pPr>
                  <w:r>
                    <w:rPr>
                      <w:rFonts w:hint="eastAsia"/>
                      <w:color w:val="auto"/>
                      <w:lang w:val="en-US"/>
                    </w:rPr>
                    <w:t>切断机</w:t>
                  </w:r>
                </w:p>
              </w:tc>
              <w:tc>
                <w:tcPr>
                  <w:tcW w:w="1095" w:type="pct"/>
                  <w:tcBorders>
                    <w:top w:val="single" w:color="auto" w:sz="4" w:space="0"/>
                    <w:bottom w:val="single" w:color="auto" w:sz="4" w:space="0"/>
                  </w:tcBorders>
                  <w:shd w:val="clear" w:color="auto" w:fill="auto"/>
                  <w:noWrap/>
                  <w:vAlign w:val="center"/>
                </w:tcPr>
                <w:p w14:paraId="316FE61B">
                  <w:pPr>
                    <w:pStyle w:val="30"/>
                    <w:framePr w:hSpace="0" w:wrap="auto" w:vAnchor="margin" w:hAnchor="text" w:xAlign="left" w:yAlign="inline"/>
                    <w:rPr>
                      <w:color w:val="auto"/>
                      <w:lang w:val="en-US"/>
                    </w:rPr>
                  </w:pPr>
                  <w:r>
                    <w:rPr>
                      <w:rFonts w:hint="eastAsia"/>
                      <w:color w:val="auto"/>
                      <w:lang w:val="en-US"/>
                    </w:rPr>
                    <w:t xml:space="preserve">QDK-850 </w:t>
                  </w:r>
                </w:p>
              </w:tc>
              <w:tc>
                <w:tcPr>
                  <w:tcW w:w="1051" w:type="pct"/>
                  <w:vMerge w:val="continue"/>
                  <w:noWrap/>
                  <w:vAlign w:val="center"/>
                </w:tcPr>
                <w:p w14:paraId="7ABAE7EC">
                  <w:pPr>
                    <w:pStyle w:val="30"/>
                    <w:framePr w:hSpace="0" w:wrap="auto" w:vAnchor="margin" w:hAnchor="text" w:xAlign="left" w:yAlign="inline"/>
                    <w:rPr>
                      <w:color w:val="auto"/>
                      <w:lang w:val="en-US"/>
                    </w:rPr>
                  </w:pPr>
                </w:p>
              </w:tc>
              <w:tc>
                <w:tcPr>
                  <w:tcW w:w="681" w:type="pct"/>
                  <w:noWrap/>
                  <w:vAlign w:val="center"/>
                </w:tcPr>
                <w:p w14:paraId="67B0BC4D">
                  <w:pPr>
                    <w:pStyle w:val="30"/>
                    <w:framePr w:hSpace="0" w:wrap="auto" w:vAnchor="margin" w:hAnchor="text" w:xAlign="left" w:yAlign="inline"/>
                    <w:rPr>
                      <w:color w:val="auto"/>
                    </w:rPr>
                  </w:pPr>
                </w:p>
              </w:tc>
            </w:tr>
            <w:tr w14:paraId="3A6079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1126" w:type="pct"/>
                  <w:vMerge w:val="continue"/>
                  <w:noWrap/>
                  <w:vAlign w:val="center"/>
                </w:tcPr>
                <w:p w14:paraId="4E592786">
                  <w:pPr>
                    <w:pStyle w:val="30"/>
                    <w:framePr w:hSpace="0" w:wrap="auto" w:vAnchor="margin" w:hAnchor="text" w:xAlign="left" w:yAlign="inline"/>
                    <w:rPr>
                      <w:color w:val="auto"/>
                    </w:rPr>
                  </w:pPr>
                </w:p>
              </w:tc>
              <w:tc>
                <w:tcPr>
                  <w:tcW w:w="1045" w:type="pct"/>
                  <w:shd w:val="clear" w:color="auto" w:fill="auto"/>
                  <w:noWrap/>
                  <w:vAlign w:val="center"/>
                </w:tcPr>
                <w:p w14:paraId="1D976EB3">
                  <w:pPr>
                    <w:pStyle w:val="30"/>
                    <w:framePr w:hSpace="0" w:wrap="auto" w:vAnchor="margin" w:hAnchor="text" w:xAlign="left" w:yAlign="inline"/>
                    <w:rPr>
                      <w:color w:val="auto"/>
                      <w:lang w:val="en-US"/>
                    </w:rPr>
                  </w:pPr>
                  <w:r>
                    <w:rPr>
                      <w:rFonts w:hint="eastAsia"/>
                      <w:color w:val="auto"/>
                      <w:lang w:val="en-US"/>
                    </w:rPr>
                    <w:t>干燥机</w:t>
                  </w:r>
                </w:p>
              </w:tc>
              <w:tc>
                <w:tcPr>
                  <w:tcW w:w="1095" w:type="pct"/>
                  <w:tcBorders>
                    <w:top w:val="single" w:color="auto" w:sz="4" w:space="0"/>
                    <w:bottom w:val="single" w:color="auto" w:sz="4" w:space="0"/>
                  </w:tcBorders>
                  <w:shd w:val="clear" w:color="auto" w:fill="auto"/>
                  <w:noWrap/>
                  <w:vAlign w:val="center"/>
                </w:tcPr>
                <w:p w14:paraId="36AA546B">
                  <w:pPr>
                    <w:pStyle w:val="30"/>
                    <w:framePr w:hSpace="0" w:wrap="auto" w:vAnchor="margin" w:hAnchor="text" w:xAlign="left" w:yAlign="inline"/>
                    <w:rPr>
                      <w:color w:val="auto"/>
                      <w:lang w:val="en-US"/>
                    </w:rPr>
                  </w:pPr>
                  <w:r>
                    <w:rPr>
                      <w:rFonts w:hint="eastAsia"/>
                      <w:color w:val="auto"/>
                      <w:lang w:val="en-US"/>
                    </w:rPr>
                    <w:t>QS-215</w:t>
                  </w:r>
                </w:p>
              </w:tc>
              <w:tc>
                <w:tcPr>
                  <w:tcW w:w="1051" w:type="pct"/>
                  <w:vMerge w:val="continue"/>
                  <w:noWrap/>
                  <w:vAlign w:val="center"/>
                </w:tcPr>
                <w:p w14:paraId="7C44775D">
                  <w:pPr>
                    <w:pStyle w:val="30"/>
                    <w:framePr w:hSpace="0" w:wrap="auto" w:vAnchor="margin" w:hAnchor="text" w:xAlign="left" w:yAlign="inline"/>
                    <w:rPr>
                      <w:color w:val="auto"/>
                      <w:lang w:val="en-US"/>
                    </w:rPr>
                  </w:pPr>
                </w:p>
              </w:tc>
              <w:tc>
                <w:tcPr>
                  <w:tcW w:w="681" w:type="pct"/>
                  <w:noWrap/>
                  <w:vAlign w:val="center"/>
                </w:tcPr>
                <w:p w14:paraId="1CA69060">
                  <w:pPr>
                    <w:pStyle w:val="30"/>
                    <w:framePr w:hSpace="0" w:wrap="auto" w:vAnchor="margin" w:hAnchor="text" w:xAlign="left" w:yAlign="inline"/>
                    <w:rPr>
                      <w:color w:val="auto"/>
                    </w:rPr>
                  </w:pPr>
                </w:p>
              </w:tc>
            </w:tr>
            <w:tr w14:paraId="34A437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1126" w:type="pct"/>
                  <w:vMerge w:val="continue"/>
                  <w:noWrap/>
                  <w:vAlign w:val="center"/>
                </w:tcPr>
                <w:p w14:paraId="678D1B36">
                  <w:pPr>
                    <w:pStyle w:val="30"/>
                    <w:framePr w:hSpace="0" w:wrap="auto" w:vAnchor="margin" w:hAnchor="text" w:xAlign="left" w:yAlign="inline"/>
                    <w:rPr>
                      <w:color w:val="auto"/>
                    </w:rPr>
                  </w:pPr>
                </w:p>
              </w:tc>
              <w:tc>
                <w:tcPr>
                  <w:tcW w:w="1045" w:type="pct"/>
                  <w:shd w:val="clear" w:color="auto" w:fill="auto"/>
                  <w:noWrap/>
                  <w:vAlign w:val="center"/>
                </w:tcPr>
                <w:p w14:paraId="33250770">
                  <w:pPr>
                    <w:pStyle w:val="30"/>
                    <w:framePr w:hSpace="0" w:wrap="auto" w:vAnchor="margin" w:hAnchor="text" w:xAlign="left" w:yAlign="inline"/>
                    <w:rPr>
                      <w:color w:val="auto"/>
                      <w:lang w:val="en-US"/>
                    </w:rPr>
                  </w:pPr>
                  <w:r>
                    <w:rPr>
                      <w:rFonts w:hint="eastAsia"/>
                      <w:color w:val="auto"/>
                      <w:lang w:val="en-US"/>
                    </w:rPr>
                    <w:t>自动包装机</w:t>
                  </w:r>
                </w:p>
              </w:tc>
              <w:tc>
                <w:tcPr>
                  <w:tcW w:w="1095" w:type="pct"/>
                  <w:tcBorders>
                    <w:top w:val="single" w:color="auto" w:sz="4" w:space="0"/>
                  </w:tcBorders>
                  <w:shd w:val="clear" w:color="auto" w:fill="auto"/>
                  <w:noWrap/>
                  <w:vAlign w:val="center"/>
                </w:tcPr>
                <w:p w14:paraId="2AEA980A">
                  <w:pPr>
                    <w:pStyle w:val="30"/>
                    <w:framePr w:hSpace="0" w:wrap="auto" w:vAnchor="margin" w:hAnchor="text" w:xAlign="left" w:yAlign="inline"/>
                    <w:rPr>
                      <w:color w:val="auto"/>
                      <w:lang w:val="en-US"/>
                    </w:rPr>
                  </w:pPr>
                  <w:r>
                    <w:rPr>
                      <w:rFonts w:hint="eastAsia"/>
                      <w:color w:val="auto"/>
                      <w:lang w:val="en-US"/>
                    </w:rPr>
                    <w:t>/</w:t>
                  </w:r>
                </w:p>
              </w:tc>
              <w:tc>
                <w:tcPr>
                  <w:tcW w:w="1051" w:type="pct"/>
                  <w:tcBorders>
                    <w:top w:val="single" w:color="auto" w:sz="4" w:space="0"/>
                  </w:tcBorders>
                  <w:noWrap/>
                  <w:vAlign w:val="center"/>
                </w:tcPr>
                <w:p w14:paraId="3E6AC6A3">
                  <w:pPr>
                    <w:pStyle w:val="30"/>
                    <w:framePr w:hSpace="0" w:wrap="auto" w:vAnchor="margin" w:hAnchor="text" w:xAlign="left" w:yAlign="inline"/>
                    <w:rPr>
                      <w:color w:val="auto"/>
                      <w:lang w:val="en-US"/>
                    </w:rPr>
                  </w:pPr>
                  <w:r>
                    <w:rPr>
                      <w:rFonts w:hint="eastAsia"/>
                      <w:color w:val="auto"/>
                      <w:lang w:val="en-US"/>
                    </w:rPr>
                    <w:t>1台</w:t>
                  </w:r>
                </w:p>
              </w:tc>
              <w:tc>
                <w:tcPr>
                  <w:tcW w:w="681" w:type="pct"/>
                  <w:noWrap/>
                  <w:vAlign w:val="center"/>
                </w:tcPr>
                <w:p w14:paraId="7073F15A">
                  <w:pPr>
                    <w:pStyle w:val="30"/>
                    <w:framePr w:hSpace="0" w:wrap="auto" w:vAnchor="margin" w:hAnchor="text" w:xAlign="left" w:yAlign="inline"/>
                    <w:rPr>
                      <w:color w:val="auto"/>
                    </w:rPr>
                  </w:pPr>
                  <w:r>
                    <w:rPr>
                      <w:rFonts w:hint="eastAsia"/>
                      <w:color w:val="auto"/>
                      <w:lang w:val="en-US"/>
                    </w:rPr>
                    <w:t>外</w:t>
                  </w:r>
                  <w:r>
                    <w:rPr>
                      <w:rFonts w:hint="eastAsia"/>
                      <w:color w:val="auto"/>
                    </w:rPr>
                    <w:t>包装</w:t>
                  </w:r>
                </w:p>
              </w:tc>
            </w:tr>
            <w:tr w14:paraId="18574F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1126" w:type="pct"/>
                  <w:noWrap/>
                  <w:vAlign w:val="center"/>
                </w:tcPr>
                <w:p w14:paraId="4C79C234">
                  <w:pPr>
                    <w:pStyle w:val="30"/>
                    <w:framePr w:hSpace="0" w:wrap="auto" w:vAnchor="margin" w:hAnchor="text" w:xAlign="left" w:yAlign="inline"/>
                    <w:rPr>
                      <w:color w:val="auto"/>
                      <w:lang w:val="en-US"/>
                    </w:rPr>
                  </w:pPr>
                  <w:r>
                    <w:rPr>
                      <w:rFonts w:hint="eastAsia"/>
                      <w:color w:val="auto"/>
                      <w:lang w:val="en-US"/>
                    </w:rPr>
                    <w:t>公用工程</w:t>
                  </w:r>
                </w:p>
              </w:tc>
              <w:tc>
                <w:tcPr>
                  <w:tcW w:w="1045" w:type="pct"/>
                  <w:shd w:val="clear" w:color="auto" w:fill="auto"/>
                  <w:noWrap/>
                  <w:vAlign w:val="center"/>
                </w:tcPr>
                <w:p w14:paraId="2FA80EB8">
                  <w:pPr>
                    <w:pStyle w:val="30"/>
                    <w:framePr w:hSpace="0" w:wrap="auto" w:vAnchor="margin" w:hAnchor="text" w:xAlign="left" w:yAlign="inline"/>
                    <w:rPr>
                      <w:color w:val="auto"/>
                    </w:rPr>
                  </w:pPr>
                  <w:r>
                    <w:rPr>
                      <w:rFonts w:hint="eastAsia"/>
                      <w:color w:val="auto"/>
                    </w:rPr>
                    <w:t>空压机</w:t>
                  </w:r>
                </w:p>
              </w:tc>
              <w:tc>
                <w:tcPr>
                  <w:tcW w:w="1095" w:type="pct"/>
                  <w:shd w:val="clear" w:color="auto" w:fill="auto"/>
                  <w:noWrap/>
                  <w:vAlign w:val="center"/>
                </w:tcPr>
                <w:p w14:paraId="3FA2F7D0">
                  <w:pPr>
                    <w:pStyle w:val="30"/>
                    <w:framePr w:hSpace="0" w:wrap="auto" w:vAnchor="margin" w:hAnchor="text" w:xAlign="left" w:yAlign="inline"/>
                    <w:rPr>
                      <w:color w:val="auto"/>
                      <w:lang w:val="en-US"/>
                    </w:rPr>
                  </w:pPr>
                  <w:r>
                    <w:rPr>
                      <w:rFonts w:hint="eastAsia"/>
                      <w:color w:val="auto"/>
                    </w:rPr>
                    <w:t>螺杆式空压机</w:t>
                  </w:r>
                </w:p>
              </w:tc>
              <w:tc>
                <w:tcPr>
                  <w:tcW w:w="1051" w:type="pct"/>
                  <w:shd w:val="clear" w:color="auto" w:fill="auto"/>
                  <w:noWrap/>
                  <w:vAlign w:val="center"/>
                </w:tcPr>
                <w:p w14:paraId="3B524265">
                  <w:pPr>
                    <w:pStyle w:val="30"/>
                    <w:framePr w:hSpace="0" w:wrap="auto" w:vAnchor="margin" w:hAnchor="text" w:xAlign="left" w:yAlign="inline"/>
                    <w:rPr>
                      <w:color w:val="auto"/>
                      <w:lang w:val="en-US"/>
                    </w:rPr>
                  </w:pPr>
                  <w:r>
                    <w:rPr>
                      <w:rFonts w:hint="eastAsia"/>
                      <w:color w:val="auto"/>
                      <w:lang w:val="en-US"/>
                    </w:rPr>
                    <w:t>1台</w:t>
                  </w:r>
                </w:p>
              </w:tc>
              <w:tc>
                <w:tcPr>
                  <w:tcW w:w="681" w:type="pct"/>
                  <w:shd w:val="clear" w:color="auto" w:fill="auto"/>
                  <w:noWrap/>
                  <w:vAlign w:val="center"/>
                </w:tcPr>
                <w:p w14:paraId="10890751">
                  <w:pPr>
                    <w:pStyle w:val="30"/>
                    <w:framePr w:hSpace="0" w:wrap="auto" w:vAnchor="margin" w:hAnchor="text" w:xAlign="left" w:yAlign="inline"/>
                    <w:rPr>
                      <w:color w:val="auto"/>
                      <w:lang w:val="en-US"/>
                    </w:rPr>
                  </w:pPr>
                  <w:r>
                    <w:rPr>
                      <w:rFonts w:hint="eastAsia"/>
                      <w:color w:val="auto"/>
                      <w:lang w:val="en-US"/>
                    </w:rPr>
                    <w:t>/</w:t>
                  </w:r>
                </w:p>
              </w:tc>
            </w:tr>
          </w:tbl>
          <w:p w14:paraId="4EC2F47B">
            <w:pPr>
              <w:rPr>
                <w:b/>
                <w:bCs/>
                <w:color w:val="auto"/>
              </w:rPr>
            </w:pPr>
            <w:r>
              <w:rPr>
                <w:rFonts w:hint="eastAsia"/>
                <w:b/>
                <w:bCs/>
                <w:color w:val="auto"/>
              </w:rPr>
              <w:t>产能的匹配性分析：</w:t>
            </w:r>
          </w:p>
          <w:p w14:paraId="2334D173">
            <w:pPr>
              <w:ind w:firstLine="480" w:firstLineChars="200"/>
              <w:rPr>
                <w:b/>
                <w:bCs/>
                <w:color w:val="auto"/>
              </w:rPr>
            </w:pPr>
            <w:r>
              <w:rPr>
                <w:rFonts w:hint="eastAsia"/>
                <w:color w:val="auto"/>
              </w:rPr>
              <w:t>根据建设单位提供资料，本项目年产拉面100万袋，包装规格为120g/包，则年需拉面120t，生产制度为8h/d，每年工作300天，面条设备生产线生产能力为0.1t/h，年生产量约为240t/a；可满足本项目产能需求。自动包装机生产能力为2000包/h，则年生产量为480万袋，能够满足本项目年产300万袋牛肉汤系列产品的需求。</w:t>
            </w:r>
          </w:p>
          <w:p w14:paraId="66EB007E">
            <w:pPr>
              <w:ind w:firstLine="482" w:firstLineChars="200"/>
              <w:rPr>
                <w:b/>
                <w:bCs/>
                <w:color w:val="auto"/>
              </w:rPr>
            </w:pPr>
            <w:r>
              <w:rPr>
                <w:b/>
                <w:bCs/>
                <w:color w:val="auto"/>
              </w:rPr>
              <w:t>2.2.8</w:t>
            </w:r>
            <w:r>
              <w:rPr>
                <w:rFonts w:hint="eastAsia"/>
                <w:b/>
                <w:bCs/>
                <w:color w:val="auto"/>
              </w:rPr>
              <w:t>劳动定员及工作制度</w:t>
            </w:r>
          </w:p>
          <w:p w14:paraId="13ED6861">
            <w:pPr>
              <w:ind w:firstLine="480" w:firstLineChars="200"/>
              <w:rPr>
                <w:color w:val="auto"/>
              </w:rPr>
            </w:pPr>
            <w:r>
              <w:rPr>
                <w:color w:val="auto"/>
              </w:rPr>
              <w:t>本项目劳动定员为</w:t>
            </w:r>
            <w:r>
              <w:rPr>
                <w:rFonts w:hint="eastAsia"/>
                <w:color w:val="auto"/>
              </w:rPr>
              <w:t>6名，公司生产实行单班制生产，每班工作时间8h（夜间不生产），年均生产时间为300d，项目内部不设置员工食堂及宿舍。</w:t>
            </w:r>
          </w:p>
          <w:p w14:paraId="3CA3A0E8">
            <w:pPr>
              <w:ind w:firstLine="482" w:firstLineChars="200"/>
              <w:rPr>
                <w:b/>
                <w:bCs/>
                <w:color w:val="auto"/>
              </w:rPr>
            </w:pPr>
            <w:r>
              <w:rPr>
                <w:b/>
                <w:bCs/>
                <w:color w:val="auto"/>
              </w:rPr>
              <w:t>2.2.9总平面布置合理性分析总体布局</w:t>
            </w:r>
          </w:p>
          <w:p w14:paraId="52869427">
            <w:pPr>
              <w:ind w:firstLine="480" w:firstLineChars="200"/>
              <w:rPr>
                <w:color w:val="auto"/>
              </w:rPr>
            </w:pPr>
            <w:r>
              <w:rPr>
                <w:rFonts w:hint="eastAsia"/>
                <w:color w:val="auto"/>
              </w:rPr>
              <w:t>本项目位于淮南市田家庵安成经济开发区（北区）标准化厂房6号楼西一层、二层，建筑面积4873.6</w:t>
            </w:r>
            <w:r>
              <w:rPr>
                <w:color w:val="auto"/>
              </w:rPr>
              <w:t>m</w:t>
            </w:r>
            <w:r>
              <w:rPr>
                <w:rFonts w:hint="eastAsia"/>
                <w:color w:val="auto"/>
                <w:vertAlign w:val="superscript"/>
              </w:rPr>
              <w:t>2</w:t>
            </w:r>
            <w:r>
              <w:rPr>
                <w:rFonts w:hint="eastAsia"/>
                <w:color w:val="auto"/>
              </w:rPr>
              <w:t>，建设单位对厂房内部进行装修改造。一层主要为面条生产车间、二层主要为淮南牛肉汤生产车间、原料库、包装间等，车间内分区明确，按照工艺流程合理布设。项目总体生产区域和办公生活区相互隔开，相互之间不影响，降低生产区噪声、废气等对员工的不良影响，在满足生产工艺、安全防火、卫生采光等要求前提下，适当划分厂区，各区既有明确分区，又保持一定联系，将废气、</w:t>
            </w:r>
            <w:r>
              <w:rPr>
                <w:rFonts w:hint="eastAsia"/>
                <w:color w:val="auto"/>
                <w:lang w:eastAsia="zh-CN"/>
              </w:rPr>
              <w:t>噪声</w:t>
            </w:r>
            <w:r>
              <w:rPr>
                <w:rFonts w:hint="eastAsia"/>
                <w:color w:val="auto"/>
              </w:rPr>
              <w:t>等污染源影响限制在局部，并在局部合理解决。该项目平面布置充分利用厂房条件布置各功能区，物料运送通畅，符合工艺流程要求和环保要求，且本项目的平面布局与卫生设施均满足《食品企业通用卫生规范》（</w:t>
            </w:r>
            <w:r>
              <w:rPr>
                <w:color w:val="auto"/>
              </w:rPr>
              <w:t>GB14881-2013</w:t>
            </w:r>
            <w:r>
              <w:rPr>
                <w:rFonts w:hint="eastAsia"/>
                <w:color w:val="auto"/>
              </w:rPr>
              <w:t>）的相关要求，从环境保护角度分析，本项目平面布置合理。具体平面布置详见附图2。</w:t>
            </w:r>
          </w:p>
          <w:p w14:paraId="28248594">
            <w:pPr>
              <w:ind w:firstLine="482"/>
              <w:rPr>
                <w:b/>
                <w:bCs/>
                <w:color w:val="auto"/>
              </w:rPr>
            </w:pPr>
            <w:r>
              <w:rPr>
                <w:b/>
                <w:bCs/>
                <w:color w:val="auto"/>
              </w:rPr>
              <w:t>2.2.10水平衡分析</w:t>
            </w:r>
          </w:p>
          <w:p w14:paraId="7CA53A8B">
            <w:pPr>
              <w:ind w:firstLine="480"/>
              <w:rPr>
                <w:color w:val="auto"/>
              </w:rPr>
            </w:pPr>
            <w:r>
              <w:rPr>
                <w:rFonts w:hint="eastAsia"/>
                <w:color w:val="auto"/>
              </w:rPr>
              <w:t>本项目营运期用水主要为生活用水与生产用水。</w:t>
            </w:r>
          </w:p>
          <w:p w14:paraId="53800501">
            <w:pPr>
              <w:ind w:firstLine="482"/>
              <w:rPr>
                <w:b/>
                <w:bCs/>
                <w:color w:val="auto"/>
              </w:rPr>
            </w:pPr>
            <w:r>
              <w:rPr>
                <w:rFonts w:hint="eastAsia"/>
                <w:b/>
                <w:bCs/>
                <w:color w:val="auto"/>
              </w:rPr>
              <w:t>1、本项目用排水情况</w:t>
            </w:r>
          </w:p>
          <w:p w14:paraId="14F89E60">
            <w:pPr>
              <w:ind w:firstLine="480"/>
              <w:rPr>
                <w:color w:val="auto"/>
              </w:rPr>
            </w:pPr>
            <w:r>
              <w:rPr>
                <w:rFonts w:hint="eastAsia"/>
                <w:color w:val="auto"/>
              </w:rPr>
              <w:t>（1）生活用水</w:t>
            </w:r>
          </w:p>
          <w:p w14:paraId="25B6A53B">
            <w:pPr>
              <w:ind w:firstLine="480"/>
              <w:rPr>
                <w:color w:val="auto"/>
              </w:rPr>
            </w:pPr>
            <w:r>
              <w:rPr>
                <w:color w:val="auto"/>
              </w:rPr>
              <w:t>本项目劳动定员为</w:t>
            </w:r>
            <w:r>
              <w:rPr>
                <w:rFonts w:hint="eastAsia"/>
                <w:color w:val="auto"/>
              </w:rPr>
              <w:t>6名，年工作300天，均不在厂区食宿，参照《安徽省行业用水定额》（DB34/T679-2025），本项目生活用水量以38m</w:t>
            </w:r>
            <w:r>
              <w:rPr>
                <w:rFonts w:hint="eastAsia"/>
                <w:color w:val="auto"/>
                <w:vertAlign w:val="superscript"/>
              </w:rPr>
              <w:t>3</w:t>
            </w:r>
            <w:r>
              <w:rPr>
                <w:rFonts w:hint="eastAsia"/>
                <w:color w:val="auto"/>
              </w:rPr>
              <w:t>/人·a计。则生活用水量约为228t/a（0.76t/d）；污水产生系数按照80%计，则生活污水产生量为182.4t/a（0.61t/d）。</w:t>
            </w:r>
          </w:p>
          <w:p w14:paraId="3C4AF96E">
            <w:pPr>
              <w:ind w:firstLine="480" w:firstLineChars="200"/>
              <w:rPr>
                <w:color w:val="auto"/>
              </w:rPr>
            </w:pPr>
            <w:r>
              <w:rPr>
                <w:rFonts w:hint="eastAsia"/>
                <w:color w:val="auto"/>
              </w:rPr>
              <w:t>（2）生产用水</w:t>
            </w:r>
          </w:p>
          <w:p w14:paraId="17F9BFA3">
            <w:pPr>
              <w:ind w:firstLine="480" w:firstLineChars="200"/>
              <w:rPr>
                <w:color w:val="auto"/>
              </w:rPr>
            </w:pPr>
            <w:r>
              <w:rPr>
                <w:rFonts w:hint="eastAsia"/>
                <w:color w:val="auto"/>
              </w:rPr>
              <w:t>①和面用水</w:t>
            </w:r>
          </w:p>
          <w:p w14:paraId="2598DB5C">
            <w:pPr>
              <w:ind w:firstLine="480" w:firstLineChars="200"/>
              <w:rPr>
                <w:color w:val="auto"/>
              </w:rPr>
            </w:pPr>
            <w:r>
              <w:rPr>
                <w:rFonts w:hint="eastAsia"/>
                <w:color w:val="auto"/>
              </w:rPr>
              <w:t>项目生产过程需要根据生产产品将面粉和新鲜水按照约3：1的比例进行和面，面粉总用量为90t/a，则计算出和面用水量约为30m³/a，此过程新鲜水全部进入产品。</w:t>
            </w:r>
          </w:p>
          <w:p w14:paraId="4A111E14">
            <w:pPr>
              <w:ind w:firstLine="480" w:firstLineChars="200"/>
              <w:rPr>
                <w:color w:val="auto"/>
              </w:rPr>
            </w:pPr>
            <w:r>
              <w:rPr>
                <w:rFonts w:hint="eastAsia"/>
                <w:color w:val="auto"/>
              </w:rPr>
              <w:t>②解冻用水</w:t>
            </w:r>
          </w:p>
          <w:p w14:paraId="4859CD3E">
            <w:pPr>
              <w:ind w:firstLine="480" w:firstLineChars="200"/>
              <w:rPr>
                <w:color w:val="auto"/>
              </w:rPr>
            </w:pPr>
            <w:r>
              <w:rPr>
                <w:rFonts w:hint="eastAsia"/>
                <w:color w:val="auto"/>
              </w:rPr>
              <w:t>本项目设置容积0.96m³气泡解冻池用于牛骨解冻，设备内水体循环回用，每日整体更换。生产过程中池水受气泡扰动蒸发、牛骨表面附着携带、池边溅洒造成水量损耗，</w:t>
            </w:r>
            <w:r>
              <w:rPr>
                <w:rFonts w:ascii="Segoe UI Symbol" w:hAnsi="Segoe UI Symbol" w:eastAsia="Segoe UI Symbol" w:cs="Segoe UI Symbol"/>
                <w:color w:val="auto"/>
              </w:rPr>
              <w:t>损耗经验</w:t>
            </w:r>
            <w:r>
              <w:rPr>
                <w:rFonts w:hint="eastAsia" w:ascii="Times New Roman" w:hAnsi="Times New Roman" w:eastAsia="宋体" w:cs="Times New Roman"/>
                <w:color w:val="auto"/>
              </w:rPr>
              <w:t>系数取60%~70%池</w:t>
            </w:r>
            <w:r>
              <w:rPr>
                <w:rFonts w:ascii="Segoe UI Symbol" w:hAnsi="Segoe UI Symbol" w:eastAsia="Segoe UI Symbol" w:cs="Segoe UI Symbol"/>
                <w:color w:val="auto"/>
              </w:rPr>
              <w:t>容/天</w:t>
            </w:r>
            <w:r>
              <w:rPr>
                <w:rFonts w:hint="eastAsia" w:ascii="Segoe UI Symbol" w:hAnsi="Segoe UI Symbol" w:cs="Segoe UI Symbol"/>
                <w:color w:val="auto"/>
              </w:rPr>
              <w:t>，本项目取</w:t>
            </w:r>
            <w:r>
              <w:rPr>
                <w:rFonts w:hint="eastAsia"/>
                <w:color w:val="auto"/>
              </w:rPr>
              <w:t>65%，则每日需补充新鲜水约0.63m³；项目年工作300d，年解冻补水量187.2m³/a。解冻废水产生量按补水量80%计，则解冻废水产生量约为0.5m³/d，149.76m³/a。</w:t>
            </w:r>
          </w:p>
          <w:p w14:paraId="55CA5260">
            <w:pPr>
              <w:spacing w:line="360" w:lineRule="auto"/>
              <w:ind w:firstLine="480" w:firstLineChars="200"/>
              <w:rPr>
                <w:color w:val="auto"/>
              </w:rPr>
            </w:pPr>
            <w:r>
              <w:rPr>
                <w:rFonts w:hint="eastAsia"/>
                <w:color w:val="auto"/>
              </w:rPr>
              <w:t>③清洗用水</w:t>
            </w:r>
          </w:p>
          <w:p w14:paraId="7E938C95">
            <w:pPr>
              <w:ind w:firstLine="480" w:firstLineChars="200"/>
              <w:rPr>
                <w:rFonts w:eastAsiaTheme="minorEastAsia"/>
                <w:snapToGrid w:val="0"/>
                <w:color w:val="auto"/>
                <w:kern w:val="2"/>
                <w:szCs w:val="22"/>
                <w:highlight w:val="yellow"/>
              </w:rPr>
            </w:pPr>
            <w:r>
              <w:rPr>
                <w:rFonts w:hint="eastAsia" w:eastAsiaTheme="minorEastAsia"/>
                <w:snapToGrid w:val="0"/>
                <w:color w:val="auto"/>
                <w:kern w:val="2"/>
                <w:szCs w:val="22"/>
              </w:rPr>
              <w:t>本项目清洗用水主要来源于清洗牛骨，根据企业提供数据及同类型企业运营经验，清洗牛骨用水为1.5m</w:t>
            </w:r>
            <w:r>
              <w:rPr>
                <w:rFonts w:hint="eastAsia" w:eastAsiaTheme="minorEastAsia"/>
                <w:snapToGrid w:val="0"/>
                <w:color w:val="auto"/>
                <w:kern w:val="2"/>
                <w:szCs w:val="22"/>
                <w:vertAlign w:val="superscript"/>
              </w:rPr>
              <w:t>3</w:t>
            </w:r>
            <w:r>
              <w:rPr>
                <w:rFonts w:hint="eastAsia" w:eastAsiaTheme="minorEastAsia"/>
                <w:snapToGrid w:val="0"/>
                <w:color w:val="auto"/>
                <w:kern w:val="2"/>
                <w:szCs w:val="22"/>
              </w:rPr>
              <w:t>/t，项目牛骨用量约为200t/a，则清洗用水量为</w:t>
            </w:r>
            <w:bookmarkStart w:id="24" w:name="OLE_LINK34"/>
            <w:bookmarkStart w:id="25" w:name="OLE_LINK33"/>
            <w:r>
              <w:rPr>
                <w:rFonts w:hint="eastAsia" w:eastAsiaTheme="minorEastAsia"/>
                <w:bCs/>
                <w:color w:val="auto"/>
              </w:rPr>
              <w:t>1</w:t>
            </w:r>
            <w:r>
              <w:rPr>
                <w:rFonts w:hint="eastAsia"/>
                <w:color w:val="auto"/>
              </w:rPr>
              <w:t>m</w:t>
            </w:r>
            <w:r>
              <w:rPr>
                <w:rFonts w:hint="eastAsia"/>
                <w:color w:val="auto"/>
                <w:vertAlign w:val="superscript"/>
              </w:rPr>
              <w:t>3</w:t>
            </w:r>
            <w:r>
              <w:rPr>
                <w:rFonts w:hint="eastAsia"/>
                <w:color w:val="auto"/>
              </w:rPr>
              <w:t>/d（300m</w:t>
            </w:r>
            <w:r>
              <w:rPr>
                <w:rFonts w:hint="eastAsia"/>
                <w:color w:val="auto"/>
                <w:vertAlign w:val="superscript"/>
              </w:rPr>
              <w:t>3</w:t>
            </w:r>
            <w:r>
              <w:rPr>
                <w:rFonts w:hint="eastAsia"/>
                <w:color w:val="auto"/>
              </w:rPr>
              <w:t>/a）</w:t>
            </w:r>
            <w:bookmarkEnd w:id="24"/>
            <w:bookmarkEnd w:id="25"/>
            <w:r>
              <w:rPr>
                <w:rFonts w:hint="eastAsia"/>
                <w:color w:val="auto"/>
              </w:rPr>
              <w:t>，</w:t>
            </w:r>
            <w:r>
              <w:rPr>
                <w:color w:val="auto"/>
              </w:rPr>
              <w:t>排水量以用水量的</w:t>
            </w:r>
            <w:r>
              <w:rPr>
                <w:rFonts w:hint="eastAsia"/>
                <w:color w:val="auto"/>
              </w:rPr>
              <w:t>8</w:t>
            </w:r>
            <w:r>
              <w:rPr>
                <w:color w:val="auto"/>
              </w:rPr>
              <w:t>0%计，则</w:t>
            </w:r>
            <w:r>
              <w:rPr>
                <w:rFonts w:hint="eastAsia"/>
                <w:color w:val="auto"/>
                <w:szCs w:val="28"/>
              </w:rPr>
              <w:t>清洗废水</w:t>
            </w:r>
            <w:r>
              <w:rPr>
                <w:color w:val="auto"/>
              </w:rPr>
              <w:t>产生量为</w:t>
            </w:r>
            <w:r>
              <w:rPr>
                <w:rFonts w:hint="eastAsia"/>
                <w:color w:val="auto"/>
              </w:rPr>
              <w:t>0.8</w:t>
            </w:r>
            <w:r>
              <w:rPr>
                <w:color w:val="auto"/>
              </w:rPr>
              <w:t>m</w:t>
            </w:r>
            <w:r>
              <w:rPr>
                <w:color w:val="auto"/>
                <w:vertAlign w:val="superscript"/>
              </w:rPr>
              <w:t>3</w:t>
            </w:r>
            <w:r>
              <w:rPr>
                <w:color w:val="auto"/>
                <w:szCs w:val="28"/>
              </w:rPr>
              <w:t>/</w:t>
            </w:r>
            <w:r>
              <w:rPr>
                <w:color w:val="auto"/>
              </w:rPr>
              <w:t>d（</w:t>
            </w:r>
            <w:r>
              <w:rPr>
                <w:rFonts w:hint="eastAsia"/>
                <w:color w:val="auto"/>
              </w:rPr>
              <w:t>240</w:t>
            </w:r>
            <w:r>
              <w:rPr>
                <w:color w:val="auto"/>
              </w:rPr>
              <w:t>m</w:t>
            </w:r>
            <w:r>
              <w:rPr>
                <w:color w:val="auto"/>
                <w:vertAlign w:val="superscript"/>
              </w:rPr>
              <w:t>3</w:t>
            </w:r>
            <w:r>
              <w:rPr>
                <w:color w:val="auto"/>
              </w:rPr>
              <w:t>/a）</w:t>
            </w:r>
            <w:r>
              <w:rPr>
                <w:rFonts w:hint="eastAsia" w:eastAsiaTheme="minorEastAsia"/>
                <w:snapToGrid w:val="0"/>
                <w:color w:val="auto"/>
                <w:kern w:val="2"/>
                <w:szCs w:val="22"/>
              </w:rPr>
              <w:t>。</w:t>
            </w:r>
          </w:p>
          <w:p w14:paraId="28BD8D30">
            <w:pPr>
              <w:ind w:firstLine="480" w:firstLineChars="200"/>
              <w:rPr>
                <w:rFonts w:eastAsiaTheme="minorEastAsia"/>
                <w:snapToGrid w:val="0"/>
                <w:color w:val="auto"/>
                <w:kern w:val="2"/>
                <w:szCs w:val="22"/>
              </w:rPr>
            </w:pPr>
            <w:r>
              <w:rPr>
                <w:rFonts w:hint="eastAsia" w:eastAsiaTheme="minorEastAsia"/>
                <w:snapToGrid w:val="0"/>
                <w:color w:val="auto"/>
                <w:kern w:val="2"/>
                <w:szCs w:val="22"/>
              </w:rPr>
              <w:t>④熬煮用水</w:t>
            </w:r>
          </w:p>
          <w:p w14:paraId="2D7EC965">
            <w:pPr>
              <w:spacing w:line="360" w:lineRule="auto"/>
              <w:ind w:firstLine="470" w:firstLineChars="196"/>
              <w:rPr>
                <w:color w:val="auto"/>
              </w:rPr>
            </w:pPr>
            <w:r>
              <w:rPr>
                <w:rFonts w:hint="eastAsia"/>
                <w:color w:val="auto"/>
                <w:kern w:val="2"/>
              </w:rPr>
              <w:t>本项目设置3台500L熬煮夹层锅，采用电加热，熬煮过程中需要对夹层锅添加水，容积共计1.5</w:t>
            </w:r>
            <w:r>
              <w:rPr>
                <w:color w:val="auto"/>
                <w:kern w:val="2"/>
              </w:rPr>
              <w:t>m</w:t>
            </w:r>
            <w:r>
              <w:rPr>
                <w:color w:val="auto"/>
                <w:kern w:val="2"/>
                <w:vertAlign w:val="superscript"/>
              </w:rPr>
              <w:t>3</w:t>
            </w:r>
            <w:r>
              <w:rPr>
                <w:rFonts w:hint="eastAsia"/>
                <w:color w:val="auto"/>
                <w:kern w:val="2"/>
              </w:rPr>
              <w:t>，正常运行水量约为容积的6</w:t>
            </w:r>
            <w:r>
              <w:rPr>
                <w:color w:val="auto"/>
                <w:kern w:val="2"/>
              </w:rPr>
              <w:t>0%</w:t>
            </w:r>
            <w:bookmarkStart w:id="26" w:name="OLE_LINK142"/>
            <w:r>
              <w:rPr>
                <w:rFonts w:hint="eastAsia"/>
                <w:color w:val="auto"/>
                <w:kern w:val="2"/>
              </w:rPr>
              <w:t>，正常运行水量</w:t>
            </w:r>
            <w:bookmarkEnd w:id="26"/>
            <w:r>
              <w:rPr>
                <w:rFonts w:hint="eastAsia"/>
                <w:color w:val="auto"/>
                <w:kern w:val="2"/>
              </w:rPr>
              <w:t>为0.9</w:t>
            </w:r>
            <w:r>
              <w:rPr>
                <w:color w:val="auto"/>
                <w:kern w:val="2"/>
              </w:rPr>
              <w:t>m</w:t>
            </w:r>
            <w:r>
              <w:rPr>
                <w:color w:val="auto"/>
                <w:kern w:val="2"/>
                <w:vertAlign w:val="superscript"/>
              </w:rPr>
              <w:t>3</w:t>
            </w:r>
            <w:r>
              <w:rPr>
                <w:rFonts w:hint="eastAsia"/>
                <w:color w:val="auto"/>
                <w:kern w:val="2"/>
              </w:rPr>
              <w:t>。</w:t>
            </w:r>
            <w:bookmarkStart w:id="27" w:name="OLE_LINK141"/>
            <w:bookmarkStart w:id="28" w:name="OLE_LINK140"/>
            <w:r>
              <w:rPr>
                <w:rFonts w:hint="eastAsia"/>
                <w:color w:val="auto"/>
                <w:kern w:val="2"/>
              </w:rPr>
              <w:t>沸水蒸发量按照每小时蒸发</w:t>
            </w:r>
            <w:r>
              <w:rPr>
                <w:color w:val="auto"/>
                <w:kern w:val="2"/>
              </w:rPr>
              <w:t>20%</w:t>
            </w:r>
            <w:r>
              <w:rPr>
                <w:rFonts w:hint="eastAsia"/>
                <w:color w:val="auto"/>
                <w:kern w:val="2"/>
              </w:rPr>
              <w:t>计，共运行8h，则蒸发水为1.44m</w:t>
            </w:r>
            <w:r>
              <w:rPr>
                <w:rFonts w:hint="eastAsia"/>
                <w:color w:val="auto"/>
                <w:kern w:val="2"/>
                <w:vertAlign w:val="superscript"/>
              </w:rPr>
              <w:t>3</w:t>
            </w:r>
            <w:r>
              <w:rPr>
                <w:rFonts w:hint="eastAsia"/>
                <w:color w:val="auto"/>
                <w:kern w:val="2"/>
              </w:rPr>
              <w:t>/d（432m</w:t>
            </w:r>
            <w:r>
              <w:rPr>
                <w:rFonts w:hint="eastAsia"/>
                <w:color w:val="auto"/>
                <w:kern w:val="2"/>
                <w:vertAlign w:val="superscript"/>
              </w:rPr>
              <w:t>3</w:t>
            </w:r>
            <w:r>
              <w:rPr>
                <w:rFonts w:hint="eastAsia"/>
                <w:color w:val="auto"/>
                <w:kern w:val="2"/>
              </w:rPr>
              <w:t>/a）</w:t>
            </w:r>
            <w:bookmarkEnd w:id="27"/>
            <w:bookmarkEnd w:id="28"/>
            <w:r>
              <w:rPr>
                <w:rFonts w:hint="eastAsia"/>
                <w:color w:val="auto"/>
                <w:kern w:val="2"/>
              </w:rPr>
              <w:t>。夹层锅中的汤灌装成34g/包后进入产品中，骨汤包年用量0.34</w:t>
            </w:r>
            <w:r>
              <w:rPr>
                <w:color w:val="auto"/>
                <w:kern w:val="2"/>
              </w:rPr>
              <w:t>m</w:t>
            </w:r>
            <w:r>
              <w:rPr>
                <w:color w:val="auto"/>
                <w:kern w:val="2"/>
                <w:vertAlign w:val="superscript"/>
              </w:rPr>
              <w:t>3</w:t>
            </w:r>
            <w:r>
              <w:rPr>
                <w:color w:val="auto"/>
                <w:kern w:val="2"/>
              </w:rPr>
              <w:t>/d（</w:t>
            </w:r>
            <w:r>
              <w:rPr>
                <w:rFonts w:hint="eastAsia"/>
                <w:color w:val="auto"/>
                <w:kern w:val="2"/>
              </w:rPr>
              <w:t>102</w:t>
            </w:r>
            <w:r>
              <w:rPr>
                <w:color w:val="auto"/>
                <w:kern w:val="2"/>
              </w:rPr>
              <w:t>m</w:t>
            </w:r>
            <w:r>
              <w:rPr>
                <w:color w:val="auto"/>
                <w:kern w:val="2"/>
                <w:vertAlign w:val="superscript"/>
              </w:rPr>
              <w:t>3</w:t>
            </w:r>
            <w:r>
              <w:rPr>
                <w:color w:val="auto"/>
                <w:kern w:val="2"/>
              </w:rPr>
              <w:t>/a）</w:t>
            </w:r>
            <w:r>
              <w:rPr>
                <w:rFonts w:hint="eastAsia"/>
                <w:color w:val="auto"/>
                <w:kern w:val="2"/>
              </w:rPr>
              <w:t>，因此汤底用水和蒸发用水共1.78</w:t>
            </w:r>
            <w:r>
              <w:rPr>
                <w:color w:val="auto"/>
                <w:kern w:val="2"/>
              </w:rPr>
              <w:t>m</w:t>
            </w:r>
            <w:r>
              <w:rPr>
                <w:color w:val="auto"/>
                <w:kern w:val="2"/>
                <w:vertAlign w:val="superscript"/>
              </w:rPr>
              <w:t>3</w:t>
            </w:r>
            <w:r>
              <w:rPr>
                <w:color w:val="auto"/>
                <w:kern w:val="2"/>
              </w:rPr>
              <w:t>/d（</w:t>
            </w:r>
            <w:r>
              <w:rPr>
                <w:rFonts w:hint="eastAsia"/>
                <w:color w:val="auto"/>
                <w:kern w:val="2"/>
              </w:rPr>
              <w:t>534</w:t>
            </w:r>
            <w:r>
              <w:rPr>
                <w:color w:val="auto"/>
                <w:kern w:val="2"/>
              </w:rPr>
              <w:t>m</w:t>
            </w:r>
            <w:r>
              <w:rPr>
                <w:color w:val="auto"/>
                <w:kern w:val="2"/>
                <w:vertAlign w:val="superscript"/>
              </w:rPr>
              <w:t>3</w:t>
            </w:r>
            <w:r>
              <w:rPr>
                <w:color w:val="auto"/>
                <w:kern w:val="2"/>
              </w:rPr>
              <w:t>/a）</w:t>
            </w:r>
            <w:r>
              <w:rPr>
                <w:rFonts w:hint="eastAsia"/>
                <w:color w:val="auto"/>
                <w:kern w:val="2"/>
              </w:rPr>
              <w:t>，其中本次蒸煮过程中投加3t味精，按照其进入汤底中核算，因此蒸煮用水量为1.77</w:t>
            </w:r>
            <w:r>
              <w:rPr>
                <w:color w:val="auto"/>
                <w:kern w:val="2"/>
              </w:rPr>
              <w:t>m</w:t>
            </w:r>
            <w:r>
              <w:rPr>
                <w:color w:val="auto"/>
                <w:kern w:val="2"/>
                <w:vertAlign w:val="superscript"/>
              </w:rPr>
              <w:t>3</w:t>
            </w:r>
            <w:r>
              <w:rPr>
                <w:color w:val="auto"/>
                <w:kern w:val="2"/>
              </w:rPr>
              <w:t>/d（</w:t>
            </w:r>
            <w:r>
              <w:rPr>
                <w:rFonts w:hint="eastAsia"/>
                <w:color w:val="auto"/>
                <w:kern w:val="2"/>
              </w:rPr>
              <w:t>531</w:t>
            </w:r>
            <w:r>
              <w:rPr>
                <w:color w:val="auto"/>
                <w:kern w:val="2"/>
              </w:rPr>
              <w:t>m</w:t>
            </w:r>
            <w:r>
              <w:rPr>
                <w:color w:val="auto"/>
                <w:kern w:val="2"/>
                <w:vertAlign w:val="superscript"/>
              </w:rPr>
              <w:t>3</w:t>
            </w:r>
            <w:r>
              <w:rPr>
                <w:color w:val="auto"/>
                <w:kern w:val="2"/>
              </w:rPr>
              <w:t>/a）</w:t>
            </w:r>
            <w:r>
              <w:rPr>
                <w:rFonts w:hint="eastAsia"/>
                <w:color w:val="auto"/>
                <w:kern w:val="2"/>
              </w:rPr>
              <w:t>。</w:t>
            </w:r>
          </w:p>
          <w:p w14:paraId="51873368">
            <w:pPr>
              <w:pStyle w:val="6"/>
              <w:rPr>
                <w:color w:val="auto"/>
              </w:rPr>
            </w:pPr>
            <w:r>
              <w:rPr>
                <w:color w:val="auto"/>
              </w:rPr>
              <w:t xml:space="preserve">表 </w:t>
            </w:r>
            <w:r>
              <w:rPr>
                <w:color w:val="auto"/>
              </w:rPr>
              <w:fldChar w:fldCharType="begin"/>
            </w:r>
            <w:r>
              <w:rPr>
                <w:color w:val="auto"/>
              </w:rPr>
              <w:instrText xml:space="preserve"> STYLEREF 1 \s \* ARABIC </w:instrText>
            </w:r>
            <w:r>
              <w:rPr>
                <w:color w:val="auto"/>
              </w:rPr>
              <w:fldChar w:fldCharType="separate"/>
            </w:r>
            <w:r>
              <w:rPr>
                <w:rFonts w:hint="eastAsia"/>
                <w:color w:val="auto"/>
              </w:rPr>
              <w:t>2</w:t>
            </w:r>
            <w:r>
              <w:rPr>
                <w:color w:val="auto"/>
              </w:rPr>
              <w:fldChar w:fldCharType="end"/>
            </w:r>
            <w:r>
              <w:rPr>
                <w:rFonts w:hint="eastAsia"/>
                <w:color w:val="auto"/>
              </w:rPr>
              <w:t>-</w:t>
            </w:r>
            <w:r>
              <w:rPr>
                <w:color w:val="auto"/>
              </w:rPr>
              <w:fldChar w:fldCharType="begin"/>
            </w:r>
            <w:r>
              <w:rPr>
                <w:color w:val="auto"/>
              </w:rPr>
              <w:instrText xml:space="preserve"> SEQ 表 \* ARABIC \s 1 </w:instrText>
            </w:r>
            <w:r>
              <w:rPr>
                <w:color w:val="auto"/>
              </w:rPr>
              <w:fldChar w:fldCharType="separate"/>
            </w:r>
            <w:r>
              <w:rPr>
                <w:color w:val="auto"/>
              </w:rPr>
              <w:t>10</w:t>
            </w:r>
            <w:r>
              <w:rPr>
                <w:color w:val="auto"/>
              </w:rPr>
              <w:fldChar w:fldCharType="end"/>
            </w:r>
            <w:r>
              <w:rPr>
                <w:rFonts w:hint="eastAsia"/>
                <w:color w:val="auto"/>
              </w:rPr>
              <w:t>熬煮过程中物料平衡表</w:t>
            </w:r>
          </w:p>
          <w:tbl>
            <w:tblPr>
              <w:tblStyle w:val="24"/>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3241"/>
              <w:gridCol w:w="2304"/>
              <w:gridCol w:w="2306"/>
            </w:tblGrid>
            <w:tr w14:paraId="4BEB443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064" w:type="pct"/>
                  <w:vAlign w:val="center"/>
                </w:tcPr>
                <w:p w14:paraId="7537A0B0">
                  <w:pPr>
                    <w:pStyle w:val="30"/>
                    <w:framePr w:hSpace="0" w:wrap="auto" w:vAnchor="margin" w:hAnchor="text" w:xAlign="left" w:yAlign="inline"/>
                    <w:rPr>
                      <w:color w:val="auto"/>
                    </w:rPr>
                  </w:pPr>
                  <w:r>
                    <w:rPr>
                      <w:color w:val="auto"/>
                    </w:rPr>
                    <w:t>物料名称</w:t>
                  </w:r>
                </w:p>
              </w:tc>
              <w:tc>
                <w:tcPr>
                  <w:tcW w:w="1467" w:type="pct"/>
                  <w:shd w:val="clear" w:color="auto" w:fill="auto"/>
                  <w:vAlign w:val="center"/>
                </w:tcPr>
                <w:p w14:paraId="67D3DF39">
                  <w:pPr>
                    <w:pStyle w:val="30"/>
                    <w:framePr w:hSpace="0" w:wrap="auto" w:vAnchor="margin" w:hAnchor="text" w:xAlign="left" w:yAlign="inline"/>
                    <w:rPr>
                      <w:color w:val="auto"/>
                    </w:rPr>
                  </w:pPr>
                  <w:r>
                    <w:rPr>
                      <w:rFonts w:hint="eastAsia"/>
                      <w:color w:val="auto"/>
                    </w:rPr>
                    <w:t>投入</w:t>
                  </w:r>
                </w:p>
              </w:tc>
              <w:tc>
                <w:tcPr>
                  <w:tcW w:w="1468" w:type="pct"/>
                  <w:shd w:val="clear" w:color="auto" w:fill="auto"/>
                  <w:vAlign w:val="center"/>
                </w:tcPr>
                <w:p w14:paraId="06F2AE4D">
                  <w:pPr>
                    <w:pStyle w:val="30"/>
                    <w:framePr w:hSpace="0" w:wrap="auto" w:vAnchor="margin" w:hAnchor="text" w:xAlign="left" w:yAlign="inline"/>
                    <w:rPr>
                      <w:color w:val="auto"/>
                    </w:rPr>
                  </w:pPr>
                  <w:r>
                    <w:rPr>
                      <w:rFonts w:hint="eastAsia"/>
                      <w:color w:val="auto"/>
                    </w:rPr>
                    <w:t>产出</w:t>
                  </w:r>
                </w:p>
              </w:tc>
            </w:tr>
            <w:tr w14:paraId="3186C51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064" w:type="pct"/>
                  <w:vAlign w:val="center"/>
                </w:tcPr>
                <w:p w14:paraId="7EFEC743">
                  <w:pPr>
                    <w:pStyle w:val="30"/>
                    <w:framePr w:hSpace="0" w:wrap="auto" w:vAnchor="margin" w:hAnchor="text" w:xAlign="left" w:yAlign="inline"/>
                    <w:rPr>
                      <w:color w:val="auto"/>
                    </w:rPr>
                  </w:pPr>
                  <w:r>
                    <w:rPr>
                      <w:rFonts w:hint="eastAsia"/>
                      <w:color w:val="auto"/>
                    </w:rPr>
                    <w:t>水</w:t>
                  </w:r>
                </w:p>
              </w:tc>
              <w:tc>
                <w:tcPr>
                  <w:tcW w:w="1467" w:type="pct"/>
                  <w:vAlign w:val="center"/>
                </w:tcPr>
                <w:p w14:paraId="5027E688">
                  <w:pPr>
                    <w:pStyle w:val="30"/>
                    <w:framePr w:hSpace="0" w:wrap="auto" w:vAnchor="margin" w:hAnchor="text" w:xAlign="left" w:yAlign="inline"/>
                    <w:rPr>
                      <w:color w:val="auto"/>
                    </w:rPr>
                  </w:pPr>
                  <w:r>
                    <w:rPr>
                      <w:rFonts w:hint="eastAsia"/>
                      <w:color w:val="auto"/>
                      <w:lang w:val="en-US"/>
                    </w:rPr>
                    <w:t>531</w:t>
                  </w:r>
                  <w:r>
                    <w:rPr>
                      <w:color w:val="auto"/>
                    </w:rPr>
                    <w:t>t</w:t>
                  </w:r>
                </w:p>
              </w:tc>
              <w:tc>
                <w:tcPr>
                  <w:tcW w:w="1468" w:type="pct"/>
                  <w:vAlign w:val="center"/>
                </w:tcPr>
                <w:p w14:paraId="30C80EED">
                  <w:pPr>
                    <w:pStyle w:val="30"/>
                    <w:framePr w:hSpace="0" w:wrap="auto" w:vAnchor="margin" w:hAnchor="text" w:xAlign="left" w:yAlign="inline"/>
                    <w:rPr>
                      <w:color w:val="auto"/>
                    </w:rPr>
                  </w:pPr>
                  <w:r>
                    <w:rPr>
                      <w:rFonts w:hint="eastAsia"/>
                      <w:color w:val="auto"/>
                    </w:rPr>
                    <w:t>/</w:t>
                  </w:r>
                </w:p>
              </w:tc>
            </w:tr>
            <w:tr w14:paraId="508D62E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064" w:type="pct"/>
                  <w:vAlign w:val="center"/>
                </w:tcPr>
                <w:p w14:paraId="62819073">
                  <w:pPr>
                    <w:pStyle w:val="30"/>
                    <w:framePr w:hSpace="0" w:wrap="auto" w:vAnchor="margin" w:hAnchor="text" w:xAlign="left" w:yAlign="inline"/>
                    <w:rPr>
                      <w:color w:val="auto"/>
                    </w:rPr>
                  </w:pPr>
                  <w:r>
                    <w:rPr>
                      <w:rFonts w:hint="eastAsia"/>
                      <w:color w:val="auto"/>
                    </w:rPr>
                    <w:t>味精</w:t>
                  </w:r>
                </w:p>
              </w:tc>
              <w:tc>
                <w:tcPr>
                  <w:tcW w:w="1467" w:type="pct"/>
                  <w:vAlign w:val="center"/>
                </w:tcPr>
                <w:p w14:paraId="59EA9A82">
                  <w:pPr>
                    <w:pStyle w:val="30"/>
                    <w:framePr w:hSpace="0" w:wrap="auto" w:vAnchor="margin" w:hAnchor="text" w:xAlign="left" w:yAlign="inline"/>
                    <w:rPr>
                      <w:color w:val="auto"/>
                    </w:rPr>
                  </w:pPr>
                  <w:r>
                    <w:rPr>
                      <w:rFonts w:hint="eastAsia"/>
                      <w:color w:val="auto"/>
                      <w:lang w:val="en-US"/>
                    </w:rPr>
                    <w:t>3</w:t>
                  </w:r>
                  <w:r>
                    <w:rPr>
                      <w:color w:val="auto"/>
                    </w:rPr>
                    <w:t>t</w:t>
                  </w:r>
                </w:p>
              </w:tc>
              <w:tc>
                <w:tcPr>
                  <w:tcW w:w="1468" w:type="pct"/>
                  <w:vAlign w:val="center"/>
                </w:tcPr>
                <w:p w14:paraId="778A2152">
                  <w:pPr>
                    <w:pStyle w:val="30"/>
                    <w:framePr w:hSpace="0" w:wrap="auto" w:vAnchor="margin" w:hAnchor="text" w:xAlign="left" w:yAlign="inline"/>
                    <w:rPr>
                      <w:color w:val="auto"/>
                    </w:rPr>
                  </w:pPr>
                  <w:r>
                    <w:rPr>
                      <w:rFonts w:hint="eastAsia"/>
                      <w:color w:val="auto"/>
                    </w:rPr>
                    <w:t>/</w:t>
                  </w:r>
                </w:p>
              </w:tc>
            </w:tr>
            <w:tr w14:paraId="2BC82C9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064" w:type="pct"/>
                  <w:vAlign w:val="center"/>
                </w:tcPr>
                <w:p w14:paraId="4A5E6F89">
                  <w:pPr>
                    <w:pStyle w:val="30"/>
                    <w:framePr w:hSpace="0" w:wrap="auto" w:vAnchor="margin" w:hAnchor="text" w:xAlign="left" w:yAlign="inline"/>
                    <w:rPr>
                      <w:color w:val="auto"/>
                    </w:rPr>
                  </w:pPr>
                  <w:r>
                    <w:rPr>
                      <w:rFonts w:hint="eastAsia"/>
                      <w:color w:val="auto"/>
                    </w:rPr>
                    <w:t>葱（不进入产品）</w:t>
                  </w:r>
                </w:p>
              </w:tc>
              <w:tc>
                <w:tcPr>
                  <w:tcW w:w="1467" w:type="pct"/>
                  <w:vAlign w:val="center"/>
                </w:tcPr>
                <w:p w14:paraId="5F8927A0">
                  <w:pPr>
                    <w:pStyle w:val="30"/>
                    <w:framePr w:hSpace="0" w:wrap="auto" w:vAnchor="margin" w:hAnchor="text" w:xAlign="left" w:yAlign="inline"/>
                    <w:rPr>
                      <w:color w:val="auto"/>
                      <w:lang w:val="en-US"/>
                    </w:rPr>
                  </w:pPr>
                  <w:r>
                    <w:rPr>
                      <w:rFonts w:hint="eastAsia"/>
                      <w:color w:val="auto"/>
                      <w:lang w:val="en-US"/>
                    </w:rPr>
                    <w:t>4t</w:t>
                  </w:r>
                </w:p>
              </w:tc>
              <w:tc>
                <w:tcPr>
                  <w:tcW w:w="1468" w:type="pct"/>
                  <w:shd w:val="clear" w:color="auto" w:fill="auto"/>
                  <w:vAlign w:val="center"/>
                </w:tcPr>
                <w:p w14:paraId="4341C978">
                  <w:pPr>
                    <w:pStyle w:val="30"/>
                    <w:framePr w:hSpace="0" w:wrap="auto" w:vAnchor="margin" w:hAnchor="text" w:xAlign="left" w:yAlign="inline"/>
                    <w:rPr>
                      <w:color w:val="auto"/>
                      <w:lang w:val="en-US"/>
                    </w:rPr>
                  </w:pPr>
                  <w:r>
                    <w:rPr>
                      <w:rFonts w:hint="eastAsia"/>
                      <w:color w:val="auto"/>
                      <w:lang w:val="en-US"/>
                    </w:rPr>
                    <w:t>4t</w:t>
                  </w:r>
                </w:p>
              </w:tc>
            </w:tr>
            <w:tr w14:paraId="24C6027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064" w:type="pct"/>
                  <w:vAlign w:val="center"/>
                </w:tcPr>
                <w:p w14:paraId="790712AA">
                  <w:pPr>
                    <w:pStyle w:val="30"/>
                    <w:framePr w:hSpace="0" w:wrap="auto" w:vAnchor="margin" w:hAnchor="text" w:xAlign="left" w:yAlign="inline"/>
                    <w:rPr>
                      <w:color w:val="auto"/>
                    </w:rPr>
                  </w:pPr>
                  <w:r>
                    <w:rPr>
                      <w:rFonts w:hint="eastAsia"/>
                      <w:color w:val="auto"/>
                    </w:rPr>
                    <w:t>姜（不进入产品）</w:t>
                  </w:r>
                </w:p>
              </w:tc>
              <w:tc>
                <w:tcPr>
                  <w:tcW w:w="1467" w:type="pct"/>
                  <w:vAlign w:val="center"/>
                </w:tcPr>
                <w:p w14:paraId="458E9735">
                  <w:pPr>
                    <w:pStyle w:val="30"/>
                    <w:framePr w:hSpace="0" w:wrap="auto" w:vAnchor="margin" w:hAnchor="text" w:xAlign="left" w:yAlign="inline"/>
                    <w:rPr>
                      <w:color w:val="auto"/>
                      <w:lang w:val="en-US"/>
                    </w:rPr>
                  </w:pPr>
                  <w:r>
                    <w:rPr>
                      <w:rFonts w:hint="eastAsia"/>
                      <w:color w:val="auto"/>
                      <w:lang w:val="en-US"/>
                    </w:rPr>
                    <w:t>4t</w:t>
                  </w:r>
                </w:p>
              </w:tc>
              <w:tc>
                <w:tcPr>
                  <w:tcW w:w="1468" w:type="pct"/>
                  <w:shd w:val="clear" w:color="auto" w:fill="auto"/>
                  <w:vAlign w:val="center"/>
                </w:tcPr>
                <w:p w14:paraId="0A48F352">
                  <w:pPr>
                    <w:pStyle w:val="30"/>
                    <w:framePr w:hSpace="0" w:wrap="auto" w:vAnchor="margin" w:hAnchor="text" w:xAlign="left" w:yAlign="inline"/>
                    <w:rPr>
                      <w:color w:val="auto"/>
                      <w:lang w:val="en-US"/>
                    </w:rPr>
                  </w:pPr>
                  <w:r>
                    <w:rPr>
                      <w:rFonts w:hint="eastAsia"/>
                      <w:color w:val="auto"/>
                      <w:lang w:val="en-US"/>
                    </w:rPr>
                    <w:t>4t</w:t>
                  </w:r>
                </w:p>
              </w:tc>
            </w:tr>
            <w:tr w14:paraId="2A23FC0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064" w:type="pct"/>
                  <w:vAlign w:val="center"/>
                </w:tcPr>
                <w:p w14:paraId="06CE56BB">
                  <w:pPr>
                    <w:pStyle w:val="30"/>
                    <w:framePr w:hSpace="0" w:wrap="auto" w:vAnchor="margin" w:hAnchor="text" w:xAlign="left" w:yAlign="inline"/>
                    <w:rPr>
                      <w:color w:val="auto"/>
                    </w:rPr>
                  </w:pPr>
                  <w:r>
                    <w:rPr>
                      <w:rFonts w:hint="eastAsia"/>
                      <w:color w:val="auto"/>
                    </w:rPr>
                    <w:t>香料（不进入产品）</w:t>
                  </w:r>
                </w:p>
              </w:tc>
              <w:tc>
                <w:tcPr>
                  <w:tcW w:w="1467" w:type="pct"/>
                  <w:vAlign w:val="center"/>
                </w:tcPr>
                <w:p w14:paraId="54C0578E">
                  <w:pPr>
                    <w:pStyle w:val="30"/>
                    <w:framePr w:hSpace="0" w:wrap="auto" w:vAnchor="margin" w:hAnchor="text" w:xAlign="left" w:yAlign="inline"/>
                    <w:rPr>
                      <w:color w:val="auto"/>
                      <w:lang w:val="en-US"/>
                    </w:rPr>
                  </w:pPr>
                  <w:r>
                    <w:rPr>
                      <w:rFonts w:hint="eastAsia"/>
                      <w:color w:val="auto"/>
                      <w:lang w:val="en-US"/>
                    </w:rPr>
                    <w:t>1.5t</w:t>
                  </w:r>
                </w:p>
              </w:tc>
              <w:tc>
                <w:tcPr>
                  <w:tcW w:w="1468" w:type="pct"/>
                  <w:shd w:val="clear" w:color="auto" w:fill="auto"/>
                  <w:vAlign w:val="center"/>
                </w:tcPr>
                <w:p w14:paraId="06F1FB55">
                  <w:pPr>
                    <w:pStyle w:val="30"/>
                    <w:framePr w:hSpace="0" w:wrap="auto" w:vAnchor="margin" w:hAnchor="text" w:xAlign="left" w:yAlign="inline"/>
                    <w:rPr>
                      <w:color w:val="auto"/>
                      <w:lang w:val="en-US"/>
                    </w:rPr>
                  </w:pPr>
                  <w:r>
                    <w:rPr>
                      <w:rFonts w:hint="eastAsia"/>
                      <w:color w:val="auto"/>
                      <w:lang w:val="en-US"/>
                    </w:rPr>
                    <w:t>1.5t</w:t>
                  </w:r>
                </w:p>
              </w:tc>
            </w:tr>
            <w:tr w14:paraId="0BFFBB1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064" w:type="pct"/>
                  <w:vAlign w:val="center"/>
                </w:tcPr>
                <w:p w14:paraId="6F78D152">
                  <w:pPr>
                    <w:pStyle w:val="30"/>
                    <w:framePr w:hSpace="0" w:wrap="auto" w:vAnchor="margin" w:hAnchor="text" w:xAlign="left" w:yAlign="inline"/>
                    <w:rPr>
                      <w:color w:val="auto"/>
                    </w:rPr>
                  </w:pPr>
                  <w:r>
                    <w:rPr>
                      <w:color w:val="auto"/>
                    </w:rPr>
                    <w:t>汤底</w:t>
                  </w:r>
                </w:p>
              </w:tc>
              <w:tc>
                <w:tcPr>
                  <w:tcW w:w="1467" w:type="pct"/>
                  <w:vAlign w:val="center"/>
                </w:tcPr>
                <w:p w14:paraId="56E75E2C">
                  <w:pPr>
                    <w:pStyle w:val="30"/>
                    <w:framePr w:hSpace="0" w:wrap="auto" w:vAnchor="margin" w:hAnchor="text" w:xAlign="left" w:yAlign="inline"/>
                    <w:rPr>
                      <w:color w:val="auto"/>
                    </w:rPr>
                  </w:pPr>
                  <w:r>
                    <w:rPr>
                      <w:rFonts w:hint="eastAsia"/>
                      <w:color w:val="auto"/>
                    </w:rPr>
                    <w:t>/</w:t>
                  </w:r>
                </w:p>
              </w:tc>
              <w:tc>
                <w:tcPr>
                  <w:tcW w:w="1468" w:type="pct"/>
                  <w:vAlign w:val="center"/>
                </w:tcPr>
                <w:p w14:paraId="65A4420E">
                  <w:pPr>
                    <w:pStyle w:val="30"/>
                    <w:framePr w:hSpace="0" w:wrap="auto" w:vAnchor="margin" w:hAnchor="text" w:xAlign="left" w:yAlign="inline"/>
                    <w:rPr>
                      <w:color w:val="auto"/>
                    </w:rPr>
                  </w:pPr>
                  <w:r>
                    <w:rPr>
                      <w:rFonts w:hint="eastAsia"/>
                      <w:color w:val="auto"/>
                      <w:lang w:val="en-US"/>
                    </w:rPr>
                    <w:t>102</w:t>
                  </w:r>
                  <w:r>
                    <w:rPr>
                      <w:color w:val="auto"/>
                    </w:rPr>
                    <w:t>t</w:t>
                  </w:r>
                </w:p>
              </w:tc>
            </w:tr>
            <w:tr w14:paraId="4415E43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064" w:type="pct"/>
                  <w:vAlign w:val="center"/>
                </w:tcPr>
                <w:p w14:paraId="51AFD891">
                  <w:pPr>
                    <w:pStyle w:val="30"/>
                    <w:framePr w:hSpace="0" w:wrap="auto" w:vAnchor="margin" w:hAnchor="text" w:xAlign="left" w:yAlign="inline"/>
                    <w:rPr>
                      <w:color w:val="auto"/>
                    </w:rPr>
                  </w:pPr>
                  <w:r>
                    <w:rPr>
                      <w:color w:val="auto"/>
                    </w:rPr>
                    <w:t>蒸发</w:t>
                  </w:r>
                </w:p>
              </w:tc>
              <w:tc>
                <w:tcPr>
                  <w:tcW w:w="1467" w:type="pct"/>
                  <w:vAlign w:val="center"/>
                </w:tcPr>
                <w:p w14:paraId="0827626A">
                  <w:pPr>
                    <w:pStyle w:val="30"/>
                    <w:framePr w:hSpace="0" w:wrap="auto" w:vAnchor="margin" w:hAnchor="text" w:xAlign="left" w:yAlign="inline"/>
                    <w:rPr>
                      <w:color w:val="auto"/>
                    </w:rPr>
                  </w:pPr>
                  <w:r>
                    <w:rPr>
                      <w:rFonts w:hint="eastAsia"/>
                      <w:color w:val="auto"/>
                    </w:rPr>
                    <w:t>/</w:t>
                  </w:r>
                </w:p>
              </w:tc>
              <w:tc>
                <w:tcPr>
                  <w:tcW w:w="1468" w:type="pct"/>
                  <w:vAlign w:val="center"/>
                </w:tcPr>
                <w:p w14:paraId="3372B533">
                  <w:pPr>
                    <w:pStyle w:val="30"/>
                    <w:framePr w:hSpace="0" w:wrap="auto" w:vAnchor="margin" w:hAnchor="text" w:xAlign="left" w:yAlign="inline"/>
                    <w:rPr>
                      <w:color w:val="auto"/>
                    </w:rPr>
                  </w:pPr>
                  <w:r>
                    <w:rPr>
                      <w:rFonts w:hint="eastAsia"/>
                      <w:color w:val="auto"/>
                      <w:lang w:val="en-US"/>
                    </w:rPr>
                    <w:t>432</w:t>
                  </w:r>
                  <w:r>
                    <w:rPr>
                      <w:color w:val="auto"/>
                    </w:rPr>
                    <w:t>t</w:t>
                  </w:r>
                </w:p>
              </w:tc>
            </w:tr>
            <w:tr w14:paraId="4464903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064" w:type="pct"/>
                  <w:vAlign w:val="center"/>
                </w:tcPr>
                <w:p w14:paraId="4AAC49EE">
                  <w:pPr>
                    <w:pStyle w:val="30"/>
                    <w:framePr w:hSpace="0" w:wrap="auto" w:vAnchor="margin" w:hAnchor="text" w:xAlign="left" w:yAlign="inline"/>
                    <w:rPr>
                      <w:color w:val="auto"/>
                    </w:rPr>
                  </w:pPr>
                  <w:r>
                    <w:rPr>
                      <w:color w:val="auto"/>
                    </w:rPr>
                    <w:t>合计</w:t>
                  </w:r>
                </w:p>
              </w:tc>
              <w:tc>
                <w:tcPr>
                  <w:tcW w:w="2935" w:type="pct"/>
                  <w:gridSpan w:val="2"/>
                  <w:vAlign w:val="center"/>
                </w:tcPr>
                <w:p w14:paraId="16735D27">
                  <w:pPr>
                    <w:pStyle w:val="30"/>
                    <w:framePr w:hSpace="0" w:wrap="auto" w:vAnchor="margin" w:hAnchor="text" w:xAlign="left" w:yAlign="inline"/>
                    <w:rPr>
                      <w:color w:val="auto"/>
                      <w:lang w:val="en-US"/>
                    </w:rPr>
                  </w:pPr>
                  <w:r>
                    <w:rPr>
                      <w:rFonts w:hint="eastAsia"/>
                      <w:color w:val="auto"/>
                      <w:lang w:val="en-US"/>
                    </w:rPr>
                    <w:t>543.5t</w:t>
                  </w:r>
                </w:p>
              </w:tc>
            </w:tr>
          </w:tbl>
          <w:p w14:paraId="757246C1">
            <w:pPr>
              <w:spacing w:line="360" w:lineRule="auto"/>
              <w:ind w:firstLine="480" w:firstLineChars="200"/>
              <w:rPr>
                <w:color w:val="auto"/>
              </w:rPr>
            </w:pPr>
            <w:r>
              <w:rPr>
                <w:rFonts w:hint="eastAsia"/>
                <w:color w:val="auto"/>
              </w:rPr>
              <w:t>⑥杀菌用水</w:t>
            </w:r>
          </w:p>
          <w:p w14:paraId="3E806A13">
            <w:pPr>
              <w:spacing w:line="360" w:lineRule="auto"/>
              <w:ind w:firstLine="480" w:firstLineChars="200"/>
              <w:rPr>
                <w:color w:val="auto"/>
                <w:highlight w:val="yellow"/>
              </w:rPr>
            </w:pPr>
            <w:r>
              <w:rPr>
                <w:rFonts w:hint="eastAsia"/>
                <w:color w:val="auto"/>
              </w:rPr>
              <w:t>本项目杀菌使用的为全自动杀菌锅，共1台，总容积约1.2m</w:t>
            </w:r>
            <w:r>
              <w:rPr>
                <w:rFonts w:hint="eastAsia"/>
                <w:color w:val="auto"/>
                <w:vertAlign w:val="superscript"/>
              </w:rPr>
              <w:t>3</w:t>
            </w:r>
            <w:r>
              <w:rPr>
                <w:rFonts w:hint="eastAsia"/>
                <w:color w:val="auto"/>
              </w:rPr>
              <w:t>，使用电加热杀菌完成后，进入冷却水箱进行降温，整个过程循环2h，每天工作4次，每日首次工作时通入水约占总容积的30%，即0.36m</w:t>
            </w:r>
            <w:r>
              <w:rPr>
                <w:rFonts w:hint="eastAsia"/>
                <w:color w:val="auto"/>
                <w:vertAlign w:val="superscript"/>
              </w:rPr>
              <w:t>3</w:t>
            </w:r>
            <w:r>
              <w:rPr>
                <w:rFonts w:hint="eastAsia"/>
                <w:color w:val="auto"/>
              </w:rPr>
              <w:t>，其中挥发损耗约20%，即0.072</w:t>
            </w:r>
            <w:r>
              <w:rPr>
                <w:color w:val="auto"/>
                <w:kern w:val="2"/>
              </w:rPr>
              <w:t>m</w:t>
            </w:r>
            <w:r>
              <w:rPr>
                <w:color w:val="auto"/>
                <w:kern w:val="2"/>
                <w:vertAlign w:val="superscript"/>
              </w:rPr>
              <w:t>3</w:t>
            </w:r>
            <w:r>
              <w:rPr>
                <w:color w:val="auto"/>
                <w:kern w:val="2"/>
              </w:rPr>
              <w:t>/d</w:t>
            </w:r>
            <w:r>
              <w:rPr>
                <w:rFonts w:hint="eastAsia"/>
                <w:color w:val="auto"/>
              </w:rPr>
              <w:t>；骨汤包装袋表面沾染10%，为0.036</w:t>
            </w:r>
            <w:r>
              <w:rPr>
                <w:color w:val="auto"/>
                <w:kern w:val="2"/>
              </w:rPr>
              <w:t>m</w:t>
            </w:r>
            <w:r>
              <w:rPr>
                <w:color w:val="auto"/>
                <w:kern w:val="2"/>
                <w:vertAlign w:val="superscript"/>
              </w:rPr>
              <w:t>3</w:t>
            </w:r>
            <w:r>
              <w:rPr>
                <w:color w:val="auto"/>
                <w:kern w:val="2"/>
              </w:rPr>
              <w:t>/d</w:t>
            </w:r>
            <w:r>
              <w:rPr>
                <w:rFonts w:hint="eastAsia"/>
                <w:color w:val="auto"/>
              </w:rPr>
              <w:t>；剩余70%循环使用。综上计算得杀菌用水为0.684</w:t>
            </w:r>
            <w:r>
              <w:rPr>
                <w:color w:val="auto"/>
                <w:kern w:val="2"/>
              </w:rPr>
              <w:t>m</w:t>
            </w:r>
            <w:r>
              <w:rPr>
                <w:color w:val="auto"/>
                <w:kern w:val="2"/>
                <w:vertAlign w:val="superscript"/>
              </w:rPr>
              <w:t>3</w:t>
            </w:r>
            <w:r>
              <w:rPr>
                <w:color w:val="auto"/>
                <w:kern w:val="2"/>
              </w:rPr>
              <w:t>/d</w:t>
            </w:r>
            <w:r>
              <w:rPr>
                <w:rFonts w:hint="eastAsia"/>
                <w:color w:val="auto"/>
                <w:kern w:val="2"/>
              </w:rPr>
              <w:t>（205.2</w:t>
            </w:r>
            <w:r>
              <w:rPr>
                <w:color w:val="auto"/>
                <w:kern w:val="2"/>
              </w:rPr>
              <w:t>m</w:t>
            </w:r>
            <w:r>
              <w:rPr>
                <w:color w:val="auto"/>
                <w:kern w:val="2"/>
                <w:vertAlign w:val="superscript"/>
              </w:rPr>
              <w:t>3</w:t>
            </w:r>
            <w:r>
              <w:rPr>
                <w:color w:val="auto"/>
                <w:kern w:val="2"/>
              </w:rPr>
              <w:t>/a</w:t>
            </w:r>
            <w:r>
              <w:rPr>
                <w:rFonts w:hint="eastAsia"/>
                <w:color w:val="auto"/>
                <w:kern w:val="2"/>
              </w:rPr>
              <w:t>），</w:t>
            </w:r>
            <w:r>
              <w:rPr>
                <w:rFonts w:hint="eastAsia"/>
                <w:color w:val="auto"/>
              </w:rPr>
              <w:t>杀菌锅用水每日更换一次，则排水量为0.252</w:t>
            </w:r>
            <w:r>
              <w:rPr>
                <w:color w:val="auto"/>
                <w:kern w:val="2"/>
              </w:rPr>
              <w:t>m</w:t>
            </w:r>
            <w:r>
              <w:rPr>
                <w:color w:val="auto"/>
                <w:kern w:val="2"/>
                <w:vertAlign w:val="superscript"/>
              </w:rPr>
              <w:t>3</w:t>
            </w:r>
            <w:r>
              <w:rPr>
                <w:color w:val="auto"/>
                <w:kern w:val="2"/>
              </w:rPr>
              <w:t>/d</w:t>
            </w:r>
            <w:r>
              <w:rPr>
                <w:rFonts w:hint="eastAsia"/>
                <w:color w:val="auto"/>
              </w:rPr>
              <w:t>（75.6</w:t>
            </w:r>
            <w:r>
              <w:rPr>
                <w:color w:val="auto"/>
                <w:kern w:val="2"/>
              </w:rPr>
              <w:t>m</w:t>
            </w:r>
            <w:r>
              <w:rPr>
                <w:color w:val="auto"/>
                <w:kern w:val="2"/>
                <w:vertAlign w:val="superscript"/>
              </w:rPr>
              <w:t>3</w:t>
            </w:r>
            <w:r>
              <w:rPr>
                <w:color w:val="auto"/>
                <w:kern w:val="2"/>
              </w:rPr>
              <w:t>/a</w:t>
            </w:r>
            <w:r>
              <w:rPr>
                <w:rFonts w:hint="eastAsia"/>
                <w:color w:val="auto"/>
              </w:rPr>
              <w:t>）</w:t>
            </w:r>
            <w:r>
              <w:rPr>
                <w:rFonts w:hint="eastAsia"/>
                <w:color w:val="auto"/>
                <w:kern w:val="2"/>
              </w:rPr>
              <w:t>。</w:t>
            </w:r>
          </w:p>
          <w:p w14:paraId="165DF4A5">
            <w:pPr>
              <w:spacing w:line="360" w:lineRule="auto"/>
              <w:ind w:firstLine="480" w:firstLineChars="200"/>
              <w:rPr>
                <w:color w:val="auto"/>
              </w:rPr>
            </w:pPr>
            <w:r>
              <w:rPr>
                <w:rFonts w:hint="eastAsia"/>
                <w:color w:val="auto"/>
              </w:rPr>
              <w:t>④设备清洗用水</w:t>
            </w:r>
          </w:p>
          <w:p w14:paraId="2E7CD2AE">
            <w:pPr>
              <w:spacing w:line="360" w:lineRule="auto"/>
              <w:ind w:firstLine="480" w:firstLineChars="200"/>
              <w:rPr>
                <w:color w:val="auto"/>
                <w:kern w:val="2"/>
              </w:rPr>
            </w:pPr>
            <w:r>
              <w:rPr>
                <w:rFonts w:hint="eastAsia"/>
                <w:color w:val="auto"/>
                <w:kern w:val="2"/>
              </w:rPr>
              <w:t>为保证设备清洁，每天生产结束时需对解冻池、清洗池、夹层锅、灌装机、风干机等设备进行清洗，根据企业设计资料，每次设备清洗约需要3</w:t>
            </w:r>
            <w:r>
              <w:rPr>
                <w:color w:val="auto"/>
                <w:kern w:val="2"/>
              </w:rPr>
              <w:t>m</w:t>
            </w:r>
            <w:r>
              <w:rPr>
                <w:color w:val="auto"/>
                <w:kern w:val="2"/>
                <w:vertAlign w:val="superscript"/>
              </w:rPr>
              <w:t>3</w:t>
            </w:r>
            <w:r>
              <w:rPr>
                <w:rFonts w:hint="eastAsia"/>
                <w:color w:val="auto"/>
                <w:kern w:val="2"/>
              </w:rPr>
              <w:t>的水，每天生产结束清洗一次，则设备清洗用水为3</w:t>
            </w:r>
            <w:r>
              <w:rPr>
                <w:color w:val="auto"/>
                <w:kern w:val="2"/>
              </w:rPr>
              <w:t>m</w:t>
            </w:r>
            <w:r>
              <w:rPr>
                <w:color w:val="auto"/>
                <w:kern w:val="2"/>
                <w:vertAlign w:val="superscript"/>
              </w:rPr>
              <w:t>3</w:t>
            </w:r>
            <w:r>
              <w:rPr>
                <w:color w:val="auto"/>
                <w:kern w:val="2"/>
              </w:rPr>
              <w:t>/d</w:t>
            </w:r>
            <w:r>
              <w:rPr>
                <w:rFonts w:hint="eastAsia"/>
                <w:color w:val="auto"/>
                <w:kern w:val="2"/>
              </w:rPr>
              <w:t>（900</w:t>
            </w:r>
            <w:r>
              <w:rPr>
                <w:color w:val="auto"/>
                <w:kern w:val="2"/>
              </w:rPr>
              <w:t>m</w:t>
            </w:r>
            <w:r>
              <w:rPr>
                <w:color w:val="auto"/>
                <w:kern w:val="2"/>
                <w:vertAlign w:val="superscript"/>
              </w:rPr>
              <w:t>3</w:t>
            </w:r>
            <w:r>
              <w:rPr>
                <w:color w:val="auto"/>
                <w:kern w:val="2"/>
              </w:rPr>
              <w:t>/a</w:t>
            </w:r>
            <w:r>
              <w:rPr>
                <w:rFonts w:hint="eastAsia"/>
                <w:color w:val="auto"/>
                <w:kern w:val="2"/>
              </w:rPr>
              <w:t>）</w:t>
            </w:r>
            <w:r>
              <w:rPr>
                <w:rFonts w:hint="eastAsia"/>
                <w:color w:val="auto"/>
              </w:rPr>
              <w:t>，</w:t>
            </w:r>
            <w:r>
              <w:rPr>
                <w:color w:val="auto"/>
              </w:rPr>
              <w:t>排水量以用水量的80%计，则</w:t>
            </w:r>
            <w:r>
              <w:rPr>
                <w:rFonts w:hint="eastAsia"/>
                <w:color w:val="auto"/>
                <w:szCs w:val="28"/>
              </w:rPr>
              <w:t>清洗废水</w:t>
            </w:r>
            <w:r>
              <w:rPr>
                <w:color w:val="auto"/>
              </w:rPr>
              <w:t>产生量为</w:t>
            </w:r>
            <w:r>
              <w:rPr>
                <w:rFonts w:hint="eastAsia"/>
                <w:color w:val="auto"/>
              </w:rPr>
              <w:t>2.4</w:t>
            </w:r>
            <w:r>
              <w:rPr>
                <w:color w:val="auto"/>
              </w:rPr>
              <w:t>m</w:t>
            </w:r>
            <w:r>
              <w:rPr>
                <w:color w:val="auto"/>
                <w:vertAlign w:val="superscript"/>
              </w:rPr>
              <w:t>3</w:t>
            </w:r>
            <w:r>
              <w:rPr>
                <w:color w:val="auto"/>
                <w:szCs w:val="28"/>
              </w:rPr>
              <w:t>/</w:t>
            </w:r>
            <w:r>
              <w:rPr>
                <w:color w:val="auto"/>
              </w:rPr>
              <w:t>d（</w:t>
            </w:r>
            <w:r>
              <w:rPr>
                <w:rFonts w:hint="eastAsia"/>
                <w:color w:val="auto"/>
              </w:rPr>
              <w:t>720</w:t>
            </w:r>
            <w:r>
              <w:rPr>
                <w:color w:val="auto"/>
              </w:rPr>
              <w:t>m</w:t>
            </w:r>
            <w:r>
              <w:rPr>
                <w:color w:val="auto"/>
                <w:vertAlign w:val="superscript"/>
              </w:rPr>
              <w:t>3</w:t>
            </w:r>
            <w:r>
              <w:rPr>
                <w:color w:val="auto"/>
              </w:rPr>
              <w:t>/a）</w:t>
            </w:r>
            <w:r>
              <w:rPr>
                <w:rFonts w:hint="eastAsia"/>
                <w:color w:val="auto"/>
                <w:kern w:val="2"/>
              </w:rPr>
              <w:t>。</w:t>
            </w:r>
          </w:p>
          <w:p w14:paraId="7AAE83E8">
            <w:pPr>
              <w:spacing w:line="360" w:lineRule="auto"/>
              <w:ind w:firstLine="480" w:firstLineChars="200"/>
              <w:rPr>
                <w:color w:val="auto"/>
              </w:rPr>
            </w:pPr>
            <w:r>
              <w:rPr>
                <w:rFonts w:hint="eastAsia"/>
                <w:color w:val="auto"/>
              </w:rPr>
              <w:t>⑤地面清洗用水</w:t>
            </w:r>
          </w:p>
          <w:p w14:paraId="7220A9EA">
            <w:pPr>
              <w:ind w:firstLine="480" w:firstLineChars="200"/>
              <w:rPr>
                <w:rFonts w:hint="eastAsia"/>
                <w:color w:val="auto"/>
                <w:kern w:val="2"/>
              </w:rPr>
            </w:pPr>
            <w:r>
              <w:rPr>
                <w:rFonts w:hint="eastAsia"/>
                <w:color w:val="auto"/>
                <w:kern w:val="2"/>
              </w:rPr>
              <w:t>项目生产车间地面需保持清洁，每天清洗一次，清洗方式采用拖洗，本项目建筑面积为4873.6m</w:t>
            </w:r>
            <w:r>
              <w:rPr>
                <w:rFonts w:hint="eastAsia"/>
                <w:color w:val="auto"/>
                <w:kern w:val="2"/>
                <w:vertAlign w:val="superscript"/>
              </w:rPr>
              <w:t>2</w:t>
            </w:r>
            <w:r>
              <w:rPr>
                <w:rFonts w:hint="eastAsia"/>
                <w:color w:val="auto"/>
                <w:kern w:val="2"/>
              </w:rPr>
              <w:t>。参照《安徽省行业用水定额》（DB34/T679-2025）表5中浇洒地面用水先进定额，地面清洗用水按</w:t>
            </w:r>
            <w:r>
              <w:rPr>
                <w:color w:val="auto"/>
                <w:kern w:val="2"/>
              </w:rPr>
              <w:t>1.5L/m</w:t>
            </w:r>
            <w:r>
              <w:rPr>
                <w:color w:val="auto"/>
                <w:kern w:val="2"/>
                <w:vertAlign w:val="superscript"/>
              </w:rPr>
              <w:t>2</w:t>
            </w:r>
            <w:r>
              <w:rPr>
                <w:rFonts w:hint="eastAsia"/>
                <w:color w:val="auto"/>
                <w:kern w:val="2"/>
              </w:rPr>
              <w:t>计算，则地面清洗用水为7.31</w:t>
            </w:r>
            <w:r>
              <w:rPr>
                <w:color w:val="auto"/>
                <w:kern w:val="2"/>
              </w:rPr>
              <w:t>m</w:t>
            </w:r>
            <w:r>
              <w:rPr>
                <w:color w:val="auto"/>
                <w:kern w:val="2"/>
                <w:vertAlign w:val="superscript"/>
              </w:rPr>
              <w:t>3</w:t>
            </w:r>
            <w:r>
              <w:rPr>
                <w:color w:val="auto"/>
                <w:kern w:val="2"/>
              </w:rPr>
              <w:t>/d</w:t>
            </w:r>
            <w:r>
              <w:rPr>
                <w:rFonts w:hint="eastAsia"/>
                <w:color w:val="auto"/>
                <w:kern w:val="2"/>
              </w:rPr>
              <w:t>（2193</w:t>
            </w:r>
            <w:r>
              <w:rPr>
                <w:color w:val="auto"/>
                <w:kern w:val="2"/>
              </w:rPr>
              <w:t>m</w:t>
            </w:r>
            <w:r>
              <w:rPr>
                <w:color w:val="auto"/>
                <w:kern w:val="2"/>
                <w:vertAlign w:val="superscript"/>
              </w:rPr>
              <w:t>3</w:t>
            </w:r>
            <w:r>
              <w:rPr>
                <w:color w:val="auto"/>
                <w:kern w:val="2"/>
              </w:rPr>
              <w:t>/a</w:t>
            </w:r>
            <w:r>
              <w:rPr>
                <w:rFonts w:hint="eastAsia"/>
                <w:color w:val="auto"/>
                <w:kern w:val="2"/>
              </w:rPr>
              <w:t>）</w:t>
            </w:r>
            <w:r>
              <w:rPr>
                <w:rFonts w:hint="eastAsia"/>
                <w:color w:val="auto"/>
              </w:rPr>
              <w:t>，</w:t>
            </w:r>
            <w:r>
              <w:rPr>
                <w:color w:val="auto"/>
              </w:rPr>
              <w:t>排水量以用水量的80%计，则</w:t>
            </w:r>
            <w:r>
              <w:rPr>
                <w:rFonts w:hint="eastAsia"/>
                <w:color w:val="auto"/>
                <w:szCs w:val="28"/>
              </w:rPr>
              <w:t>清洗废水</w:t>
            </w:r>
            <w:r>
              <w:rPr>
                <w:color w:val="auto"/>
              </w:rPr>
              <w:t>产生量为</w:t>
            </w:r>
            <w:r>
              <w:rPr>
                <w:rFonts w:hint="eastAsia"/>
                <w:color w:val="auto"/>
              </w:rPr>
              <w:t>5.85</w:t>
            </w:r>
            <w:r>
              <w:rPr>
                <w:color w:val="auto"/>
              </w:rPr>
              <w:t>m</w:t>
            </w:r>
            <w:r>
              <w:rPr>
                <w:color w:val="auto"/>
                <w:vertAlign w:val="superscript"/>
              </w:rPr>
              <w:t>3</w:t>
            </w:r>
            <w:r>
              <w:rPr>
                <w:color w:val="auto"/>
                <w:szCs w:val="28"/>
              </w:rPr>
              <w:t>/</w:t>
            </w:r>
            <w:r>
              <w:rPr>
                <w:color w:val="auto"/>
              </w:rPr>
              <w:t>d（</w:t>
            </w:r>
            <w:r>
              <w:rPr>
                <w:rFonts w:hint="eastAsia"/>
                <w:color w:val="auto"/>
              </w:rPr>
              <w:t>1754.5</w:t>
            </w:r>
            <w:r>
              <w:rPr>
                <w:color w:val="auto"/>
              </w:rPr>
              <w:t>m</w:t>
            </w:r>
            <w:r>
              <w:rPr>
                <w:color w:val="auto"/>
                <w:vertAlign w:val="superscript"/>
              </w:rPr>
              <w:t>3</w:t>
            </w:r>
            <w:r>
              <w:rPr>
                <w:color w:val="auto"/>
              </w:rPr>
              <w:t>/a）</w:t>
            </w:r>
            <w:r>
              <w:rPr>
                <w:rFonts w:hint="eastAsia"/>
                <w:color w:val="auto"/>
                <w:kern w:val="2"/>
              </w:rPr>
              <w:t>。</w:t>
            </w:r>
          </w:p>
          <w:p w14:paraId="4C205DCE">
            <w:pPr>
              <w:spacing w:line="360" w:lineRule="auto"/>
              <w:ind w:firstLine="480" w:firstLineChars="200"/>
              <w:rPr>
                <w:rFonts w:hint="eastAsia" w:ascii="Times New Roman" w:hAnsi="Times New Roman" w:eastAsia="宋体" w:cs="Times New Roman"/>
                <w:color w:val="auto"/>
              </w:rPr>
            </w:pPr>
            <w:r>
              <w:rPr>
                <w:rFonts w:hint="eastAsia" w:ascii="Times New Roman" w:hAnsi="Times New Roman" w:eastAsia="宋体" w:cs="Times New Roman"/>
                <w:color w:val="auto"/>
              </w:rPr>
              <w:t>综上，本项目</w:t>
            </w:r>
            <w:r>
              <w:rPr>
                <w:rFonts w:hint="eastAsia" w:ascii="Times New Roman" w:hAnsi="Times New Roman" w:eastAsia="宋体" w:cs="Times New Roman"/>
                <w:color w:val="auto"/>
                <w:lang w:eastAsia="zh-CN"/>
              </w:rPr>
              <w:t>主要</w:t>
            </w:r>
            <w:r>
              <w:rPr>
                <w:rFonts w:hint="eastAsia" w:ascii="Times New Roman" w:hAnsi="Times New Roman" w:eastAsia="宋体" w:cs="Times New Roman"/>
                <w:color w:val="auto"/>
              </w:rPr>
              <w:t>原料加工年</w:t>
            </w:r>
            <w:r>
              <w:rPr>
                <w:rFonts w:hint="eastAsia" w:ascii="Times New Roman" w:hAnsi="Times New Roman" w:eastAsia="宋体" w:cs="Times New Roman"/>
                <w:color w:val="auto"/>
                <w:lang w:eastAsia="zh-CN"/>
              </w:rPr>
              <w:t>用水量为</w:t>
            </w:r>
            <w:r>
              <w:rPr>
                <w:rFonts w:hint="eastAsia" w:ascii="Times New Roman" w:hAnsi="Times New Roman" w:eastAsia="宋体" w:cs="Times New Roman"/>
                <w:color w:val="auto"/>
                <w:lang w:val="en-US" w:eastAsia="zh-CN"/>
              </w:rPr>
              <w:t>1223.4</w:t>
            </w:r>
            <w:r>
              <w:rPr>
                <w:rFonts w:hint="eastAsia" w:ascii="Times New Roman" w:hAnsi="Times New Roman" w:eastAsia="宋体" w:cs="Times New Roman"/>
                <w:color w:val="auto"/>
              </w:rPr>
              <w:t>m</w:t>
            </w:r>
            <w:r>
              <w:rPr>
                <w:rFonts w:hint="eastAsia" w:ascii="Times New Roman" w:hAnsi="Times New Roman" w:eastAsia="宋体" w:cs="Times New Roman"/>
                <w:color w:val="auto"/>
                <w:vertAlign w:val="superscript"/>
              </w:rPr>
              <w:t>3</w:t>
            </w:r>
            <w:r>
              <w:rPr>
                <w:rFonts w:hint="eastAsia" w:ascii="Times New Roman" w:hAnsi="Times New Roman" w:eastAsia="宋体" w:cs="Times New Roman"/>
                <w:color w:val="auto"/>
              </w:rPr>
              <w:t>/a（解冻187.2+清洗300+熬煮531</w:t>
            </w:r>
            <w:r>
              <w:rPr>
                <w:rFonts w:hint="eastAsia" w:ascii="Times New Roman" w:hAnsi="Times New Roman" w:eastAsia="宋体" w:cs="Times New Roman"/>
                <w:color w:val="auto"/>
                <w:lang w:val="en-US" w:eastAsia="zh-CN"/>
              </w:rPr>
              <w:t>+杀菌205.2</w:t>
            </w:r>
            <w:r>
              <w:rPr>
                <w:rFonts w:hint="eastAsia" w:ascii="Times New Roman" w:hAnsi="Times New Roman" w:eastAsia="宋体" w:cs="Times New Roman"/>
                <w:color w:val="auto"/>
              </w:rPr>
              <w:t>=</w:t>
            </w:r>
            <w:r>
              <w:rPr>
                <w:rFonts w:hint="eastAsia" w:ascii="Times New Roman" w:hAnsi="Times New Roman" w:eastAsia="宋体" w:cs="Times New Roman"/>
                <w:color w:val="auto"/>
                <w:lang w:val="en-US" w:eastAsia="zh-CN"/>
              </w:rPr>
              <w:t>1223.4</w:t>
            </w:r>
            <w:r>
              <w:rPr>
                <w:rFonts w:hint="eastAsia" w:ascii="Times New Roman" w:hAnsi="Times New Roman" w:eastAsia="宋体" w:cs="Times New Roman"/>
                <w:color w:val="auto"/>
              </w:rPr>
              <w:t>m³/a），对应200t/a牛骨原料综合取水单耗</w:t>
            </w:r>
            <w:r>
              <w:rPr>
                <w:rFonts w:hint="eastAsia" w:ascii="Times New Roman" w:hAnsi="Times New Roman" w:eastAsia="宋体" w:cs="Times New Roman"/>
                <w:color w:val="auto"/>
                <w:lang w:val="en-US" w:eastAsia="zh-CN"/>
              </w:rPr>
              <w:t>6.117</w:t>
            </w:r>
            <w:r>
              <w:rPr>
                <w:rFonts w:hint="eastAsia" w:ascii="Times New Roman" w:hAnsi="Times New Roman" w:eastAsia="宋体" w:cs="Times New Roman"/>
                <w:color w:val="auto"/>
              </w:rPr>
              <w:t>m³/t，低于《安徽省行业用水定额》（DB34/T 679-2025）肉制品加工通用定额10m³/t。</w:t>
            </w:r>
            <w:r>
              <w:rPr>
                <w:rFonts w:hint="eastAsia" w:ascii="Times New Roman" w:hAnsi="Times New Roman" w:eastAsia="宋体" w:cs="Times New Roman"/>
                <w:color w:val="auto"/>
                <w:lang w:eastAsia="zh-CN"/>
              </w:rPr>
              <w:t>项目</w:t>
            </w:r>
            <w:r>
              <w:rPr>
                <w:rFonts w:hint="eastAsia" w:ascii="Times New Roman" w:hAnsi="Times New Roman" w:eastAsia="宋体" w:cs="Times New Roman"/>
                <w:color w:val="auto"/>
              </w:rPr>
              <w:t>建成后水平衡如下所示。</w:t>
            </w:r>
          </w:p>
          <w:p w14:paraId="3874C99E">
            <w:pPr>
              <w:spacing w:line="240" w:lineRule="auto"/>
              <w:rPr>
                <w:color w:val="auto"/>
                <w:szCs w:val="20"/>
              </w:rPr>
            </w:pPr>
            <w:r>
              <w:rPr>
                <w:rFonts w:hint="eastAsia"/>
                <w:color w:val="auto"/>
                <w:szCs w:val="20"/>
              </w:rPr>
              <w:drawing>
                <wp:inline distT="0" distB="0" distL="114300" distR="114300">
                  <wp:extent cx="4818380" cy="4135120"/>
                  <wp:effectExtent l="0" t="0" r="0" b="0"/>
                  <wp:docPr id="13" name="E657119C-6982-421D-8BA7-E74DEB70A7D9-1" descr="C:/Users/Administrator/AppData/Local/Temp/wps.ATDGer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E657119C-6982-421D-8BA7-E74DEB70A7D9-1" descr="C:/Users/Administrator/AppData/Local/Temp/wps.ATDGerwps"/>
                          <pic:cNvPicPr>
                            <a:picLocks noChangeAspect="1"/>
                          </pic:cNvPicPr>
                        </pic:nvPicPr>
                        <pic:blipFill>
                          <a:blip r:embed="rId22"/>
                          <a:stretch>
                            <a:fillRect/>
                          </a:stretch>
                        </pic:blipFill>
                        <pic:spPr>
                          <a:xfrm>
                            <a:off x="0" y="0"/>
                            <a:ext cx="4818380" cy="4135120"/>
                          </a:xfrm>
                          <a:prstGeom prst="rect">
                            <a:avLst/>
                          </a:prstGeom>
                        </pic:spPr>
                      </pic:pic>
                    </a:graphicData>
                  </a:graphic>
                </wp:inline>
              </w:drawing>
            </w:r>
          </w:p>
          <w:p w14:paraId="4B08007A">
            <w:pPr>
              <w:pStyle w:val="6"/>
              <w:adjustRightInd w:val="0"/>
              <w:snapToGrid w:val="0"/>
              <w:rPr>
                <w:color w:val="auto"/>
              </w:rPr>
            </w:pPr>
            <w:r>
              <w:rPr>
                <w:color w:val="auto"/>
              </w:rPr>
              <w:t xml:space="preserve">图 </w:t>
            </w:r>
            <w:r>
              <w:rPr>
                <w:rFonts w:hint="eastAsia"/>
                <w:color w:val="auto"/>
              </w:rPr>
              <w:t>2-</w:t>
            </w:r>
            <w:r>
              <w:rPr>
                <w:color w:val="auto"/>
              </w:rPr>
              <w:fldChar w:fldCharType="begin"/>
            </w:r>
            <w:r>
              <w:rPr>
                <w:color w:val="auto"/>
              </w:rPr>
              <w:instrText xml:space="preserve"> SEQ 图 \* ARABIC \s 1 </w:instrText>
            </w:r>
            <w:r>
              <w:rPr>
                <w:color w:val="auto"/>
              </w:rPr>
              <w:fldChar w:fldCharType="separate"/>
            </w:r>
            <w:r>
              <w:rPr>
                <w:color w:val="auto"/>
              </w:rPr>
              <w:t>2</w:t>
            </w:r>
            <w:r>
              <w:rPr>
                <w:color w:val="auto"/>
              </w:rPr>
              <w:fldChar w:fldCharType="end"/>
            </w:r>
            <w:r>
              <w:rPr>
                <w:color w:val="auto"/>
                <w:lang w:val="zh-CN"/>
              </w:rPr>
              <w:t>本项目建成后水平衡图（单位：t/</w:t>
            </w:r>
            <w:r>
              <w:rPr>
                <w:rFonts w:hint="eastAsia"/>
                <w:color w:val="auto"/>
              </w:rPr>
              <w:t>d</w:t>
            </w:r>
            <w:r>
              <w:rPr>
                <w:color w:val="auto"/>
                <w:lang w:val="zh-CN"/>
              </w:rPr>
              <w:t>）</w:t>
            </w:r>
          </w:p>
          <w:p w14:paraId="38CE2515">
            <w:pPr>
              <w:keepNext w:val="0"/>
              <w:keepLines w:val="0"/>
              <w:pageBreakBefore w:val="0"/>
              <w:widowControl w:val="0"/>
              <w:kinsoku/>
              <w:wordWrap/>
              <w:overflowPunct/>
              <w:topLinePunct w:val="0"/>
              <w:autoSpaceDE/>
              <w:autoSpaceDN/>
              <w:bidi w:val="0"/>
              <w:adjustRightInd/>
              <w:snapToGrid/>
              <w:ind w:firstLine="480" w:firstLineChars="200"/>
              <w:textAlignment w:val="auto"/>
              <w:rPr>
                <w:color w:val="auto"/>
              </w:rPr>
            </w:pPr>
            <w:bookmarkStart w:id="29" w:name="_Toc11303"/>
            <w:r>
              <w:rPr>
                <w:rFonts w:hint="eastAsia"/>
                <w:color w:val="auto"/>
              </w:rPr>
              <w:t>2.2.11物料平衡</w:t>
            </w:r>
            <w:bookmarkEnd w:id="29"/>
          </w:p>
          <w:p w14:paraId="33895F7D">
            <w:pPr>
              <w:keepNext w:val="0"/>
              <w:keepLines w:val="0"/>
              <w:pageBreakBefore w:val="0"/>
              <w:widowControl w:val="0"/>
              <w:kinsoku/>
              <w:wordWrap/>
              <w:overflowPunct/>
              <w:topLinePunct w:val="0"/>
              <w:autoSpaceDE/>
              <w:autoSpaceDN/>
              <w:bidi w:val="0"/>
              <w:adjustRightInd/>
              <w:snapToGrid/>
              <w:ind w:firstLine="480" w:firstLineChars="200"/>
              <w:textAlignment w:val="auto"/>
              <w:rPr>
                <w:color w:val="auto"/>
              </w:rPr>
            </w:pPr>
            <w:bookmarkStart w:id="30" w:name="_Toc28698"/>
            <w:r>
              <w:rPr>
                <w:rFonts w:hint="eastAsia"/>
                <w:color w:val="auto"/>
              </w:rPr>
              <w:t>本项目原辅料消耗情况、物料平衡如下表。</w:t>
            </w:r>
            <w:bookmarkEnd w:id="30"/>
          </w:p>
          <w:p w14:paraId="060090E9">
            <w:pPr>
              <w:pStyle w:val="6"/>
              <w:rPr>
                <w:color w:val="auto"/>
              </w:rPr>
            </w:pPr>
            <w:r>
              <w:rPr>
                <w:color w:val="auto"/>
              </w:rPr>
              <w:t xml:space="preserve">表 </w:t>
            </w:r>
            <w:r>
              <w:rPr>
                <w:rFonts w:hint="eastAsia"/>
                <w:color w:val="auto"/>
              </w:rPr>
              <w:t>2-</w:t>
            </w:r>
            <w:r>
              <w:rPr>
                <w:color w:val="auto"/>
              </w:rPr>
              <w:fldChar w:fldCharType="begin"/>
            </w:r>
            <w:r>
              <w:rPr>
                <w:color w:val="auto"/>
              </w:rPr>
              <w:instrText xml:space="preserve"> SEQ 表 \* ARABIC \s 1 </w:instrText>
            </w:r>
            <w:r>
              <w:rPr>
                <w:color w:val="auto"/>
              </w:rPr>
              <w:fldChar w:fldCharType="separate"/>
            </w:r>
            <w:r>
              <w:rPr>
                <w:color w:val="auto"/>
              </w:rPr>
              <w:t>11</w:t>
            </w:r>
            <w:r>
              <w:rPr>
                <w:color w:val="auto"/>
              </w:rPr>
              <w:fldChar w:fldCharType="end"/>
            </w:r>
            <w:r>
              <w:rPr>
                <w:rFonts w:hint="eastAsia"/>
                <w:color w:val="auto"/>
              </w:rPr>
              <w:t xml:space="preserve"> 项目面条线物料平衡一览表</w:t>
            </w:r>
          </w:p>
          <w:tbl>
            <w:tblPr>
              <w:tblStyle w:val="23"/>
              <w:tblW w:w="7850" w:type="dxa"/>
              <w:tblInd w:w="0" w:type="dxa"/>
              <w:tblLayout w:type="autofit"/>
              <w:tblCellMar>
                <w:top w:w="0" w:type="dxa"/>
                <w:left w:w="108" w:type="dxa"/>
                <w:bottom w:w="0" w:type="dxa"/>
                <w:right w:w="108" w:type="dxa"/>
              </w:tblCellMar>
            </w:tblPr>
            <w:tblGrid>
              <w:gridCol w:w="1746"/>
              <w:gridCol w:w="1811"/>
              <w:gridCol w:w="1616"/>
              <w:gridCol w:w="1626"/>
              <w:gridCol w:w="1051"/>
            </w:tblGrid>
            <w:tr w14:paraId="7385055C">
              <w:tblPrEx>
                <w:tblCellMar>
                  <w:top w:w="0" w:type="dxa"/>
                  <w:left w:w="108" w:type="dxa"/>
                  <w:bottom w:w="0" w:type="dxa"/>
                  <w:right w:w="108" w:type="dxa"/>
                </w:tblCellMar>
              </w:tblPrEx>
              <w:trPr>
                <w:trHeight w:val="283" w:hRule="atLeast"/>
              </w:trPr>
              <w:tc>
                <w:tcPr>
                  <w:tcW w:w="226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6B827D">
                  <w:pPr>
                    <w:pStyle w:val="30"/>
                    <w:framePr w:hSpace="0" w:wrap="auto" w:vAnchor="margin" w:hAnchor="text" w:xAlign="left" w:yAlign="inline"/>
                    <w:rPr>
                      <w:color w:val="auto"/>
                      <w:lang w:val="en-US"/>
                    </w:rPr>
                  </w:pPr>
                  <w:r>
                    <w:rPr>
                      <w:color w:val="auto"/>
                      <w:lang w:val="en-US"/>
                    </w:rPr>
                    <w:t>投入</w:t>
                  </w:r>
                </w:p>
              </w:tc>
              <w:tc>
                <w:tcPr>
                  <w:tcW w:w="206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1B52F5">
                  <w:pPr>
                    <w:pStyle w:val="30"/>
                    <w:framePr w:hSpace="0" w:wrap="auto" w:vAnchor="margin" w:hAnchor="text" w:xAlign="left" w:yAlign="inline"/>
                    <w:rPr>
                      <w:color w:val="auto"/>
                    </w:rPr>
                  </w:pPr>
                  <w:r>
                    <w:rPr>
                      <w:color w:val="auto"/>
                      <w:lang w:val="en-US"/>
                    </w:rPr>
                    <w:t>产出</w:t>
                  </w: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5BEEE0">
                  <w:pPr>
                    <w:pStyle w:val="30"/>
                    <w:framePr w:hSpace="0" w:wrap="auto" w:vAnchor="margin" w:hAnchor="text" w:xAlign="left" w:yAlign="inline"/>
                    <w:rPr>
                      <w:color w:val="auto"/>
                    </w:rPr>
                  </w:pPr>
                  <w:r>
                    <w:rPr>
                      <w:color w:val="auto"/>
                      <w:lang w:val="en-US"/>
                    </w:rPr>
                    <w:t>备注</w:t>
                  </w:r>
                </w:p>
              </w:tc>
            </w:tr>
            <w:tr w14:paraId="133D7235">
              <w:tblPrEx>
                <w:tblCellMar>
                  <w:top w:w="0" w:type="dxa"/>
                  <w:left w:w="108" w:type="dxa"/>
                  <w:bottom w:w="0" w:type="dxa"/>
                  <w:right w:w="108" w:type="dxa"/>
                </w:tblCellMar>
              </w:tblPrEx>
              <w:trPr>
                <w:trHeight w:val="283" w:hRule="atLeast"/>
              </w:trPr>
              <w:tc>
                <w:tcPr>
                  <w:tcW w:w="11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B0D6B0">
                  <w:pPr>
                    <w:pStyle w:val="30"/>
                    <w:framePr w:hSpace="0" w:wrap="auto" w:vAnchor="margin" w:hAnchor="text" w:xAlign="left" w:yAlign="inline"/>
                    <w:rPr>
                      <w:color w:val="auto"/>
                    </w:rPr>
                  </w:pPr>
                  <w:r>
                    <w:rPr>
                      <w:color w:val="auto"/>
                      <w:lang w:val="en-US"/>
                    </w:rPr>
                    <w:t>名称</w:t>
                  </w:r>
                </w:p>
              </w:tc>
              <w:tc>
                <w:tcPr>
                  <w:tcW w:w="11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F1FB9A">
                  <w:pPr>
                    <w:pStyle w:val="30"/>
                    <w:framePr w:hSpace="0" w:wrap="auto" w:vAnchor="margin" w:hAnchor="text" w:xAlign="left" w:yAlign="inline"/>
                    <w:rPr>
                      <w:color w:val="auto"/>
                    </w:rPr>
                  </w:pPr>
                  <w:r>
                    <w:rPr>
                      <w:color w:val="auto"/>
                      <w:lang w:val="en-US"/>
                    </w:rPr>
                    <w:t>数量(t/a)</w:t>
                  </w:r>
                </w:p>
              </w:tc>
              <w:tc>
                <w:tcPr>
                  <w:tcW w:w="10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F87059">
                  <w:pPr>
                    <w:pStyle w:val="30"/>
                    <w:framePr w:hSpace="0" w:wrap="auto" w:vAnchor="margin" w:hAnchor="text" w:xAlign="left" w:yAlign="inline"/>
                    <w:rPr>
                      <w:color w:val="auto"/>
                    </w:rPr>
                  </w:pPr>
                  <w:r>
                    <w:rPr>
                      <w:color w:val="auto"/>
                      <w:lang w:val="en-US"/>
                    </w:rPr>
                    <w:t>名称</w:t>
                  </w:r>
                </w:p>
              </w:tc>
              <w:tc>
                <w:tcPr>
                  <w:tcW w:w="10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A4ABBB">
                  <w:pPr>
                    <w:pStyle w:val="30"/>
                    <w:framePr w:hSpace="0" w:wrap="auto" w:vAnchor="margin" w:hAnchor="text" w:xAlign="left" w:yAlign="inline"/>
                    <w:rPr>
                      <w:color w:val="auto"/>
                    </w:rPr>
                  </w:pPr>
                  <w:r>
                    <w:rPr>
                      <w:color w:val="auto"/>
                      <w:lang w:val="en-US"/>
                    </w:rPr>
                    <w:t>数量(t/a)</w:t>
                  </w: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BBD210">
                  <w:pPr>
                    <w:pStyle w:val="30"/>
                    <w:framePr w:hSpace="0" w:wrap="auto" w:vAnchor="margin" w:hAnchor="text" w:xAlign="left" w:yAlign="inline"/>
                    <w:rPr>
                      <w:color w:val="auto"/>
                    </w:rPr>
                  </w:pPr>
                </w:p>
              </w:tc>
            </w:tr>
            <w:tr w14:paraId="19C53DFD">
              <w:tblPrEx>
                <w:tblCellMar>
                  <w:top w:w="0" w:type="dxa"/>
                  <w:left w:w="108" w:type="dxa"/>
                  <w:bottom w:w="0" w:type="dxa"/>
                  <w:right w:w="108" w:type="dxa"/>
                </w:tblCellMar>
              </w:tblPrEx>
              <w:trPr>
                <w:trHeight w:val="283" w:hRule="atLeast"/>
              </w:trPr>
              <w:tc>
                <w:tcPr>
                  <w:tcW w:w="1112" w:type="pct"/>
                  <w:tcBorders>
                    <w:top w:val="single" w:color="000000" w:sz="4" w:space="0"/>
                    <w:left w:val="single" w:color="000000" w:sz="4" w:space="0"/>
                    <w:bottom w:val="single" w:color="auto" w:sz="4" w:space="0"/>
                    <w:right w:val="single" w:color="000000" w:sz="4" w:space="0"/>
                  </w:tcBorders>
                  <w:shd w:val="clear" w:color="auto" w:fill="auto"/>
                  <w:vAlign w:val="center"/>
                </w:tcPr>
                <w:p w14:paraId="45CF5135">
                  <w:pPr>
                    <w:pStyle w:val="30"/>
                    <w:framePr w:hSpace="0" w:wrap="auto" w:vAnchor="margin" w:hAnchor="text" w:xAlign="left" w:yAlign="inline"/>
                    <w:rPr>
                      <w:color w:val="auto"/>
                    </w:rPr>
                  </w:pPr>
                  <w:r>
                    <w:rPr>
                      <w:color w:val="auto"/>
                      <w:lang w:val="en-US"/>
                    </w:rPr>
                    <w:t>面粉</w:t>
                  </w:r>
                </w:p>
              </w:tc>
              <w:tc>
                <w:tcPr>
                  <w:tcW w:w="1152" w:type="pct"/>
                  <w:tcBorders>
                    <w:top w:val="single" w:color="000000" w:sz="4" w:space="0"/>
                    <w:left w:val="single" w:color="000000" w:sz="4" w:space="0"/>
                    <w:bottom w:val="single" w:color="auto" w:sz="4" w:space="0"/>
                    <w:right w:val="single" w:color="000000" w:sz="4" w:space="0"/>
                  </w:tcBorders>
                  <w:shd w:val="clear" w:color="auto" w:fill="auto"/>
                  <w:vAlign w:val="center"/>
                </w:tcPr>
                <w:p w14:paraId="3069E266">
                  <w:pPr>
                    <w:pStyle w:val="30"/>
                    <w:framePr w:hSpace="0" w:wrap="auto" w:vAnchor="margin" w:hAnchor="text" w:xAlign="left" w:yAlign="inline"/>
                    <w:rPr>
                      <w:color w:val="auto"/>
                      <w:lang w:val="en-US"/>
                    </w:rPr>
                  </w:pPr>
                  <w:r>
                    <w:rPr>
                      <w:rFonts w:hint="eastAsia"/>
                      <w:color w:val="auto"/>
                      <w:lang w:val="en-US"/>
                    </w:rPr>
                    <w:t>90</w:t>
                  </w:r>
                </w:p>
              </w:tc>
              <w:tc>
                <w:tcPr>
                  <w:tcW w:w="10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6843D1">
                  <w:pPr>
                    <w:pStyle w:val="30"/>
                    <w:framePr w:hSpace="0" w:wrap="auto" w:vAnchor="margin" w:hAnchor="text" w:xAlign="left" w:yAlign="inline"/>
                    <w:rPr>
                      <w:color w:val="auto"/>
                    </w:rPr>
                  </w:pPr>
                  <w:r>
                    <w:rPr>
                      <w:rFonts w:hint="eastAsia"/>
                      <w:color w:val="auto"/>
                      <w:lang w:val="en-US"/>
                    </w:rPr>
                    <w:t>拉面</w:t>
                  </w:r>
                </w:p>
              </w:tc>
              <w:tc>
                <w:tcPr>
                  <w:tcW w:w="10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18F93B">
                  <w:pPr>
                    <w:pStyle w:val="30"/>
                    <w:framePr w:hSpace="0" w:wrap="auto" w:vAnchor="margin" w:hAnchor="text" w:xAlign="left" w:yAlign="inline"/>
                    <w:rPr>
                      <w:color w:val="auto"/>
                      <w:lang w:val="en-US"/>
                    </w:rPr>
                  </w:pPr>
                  <w:r>
                    <w:rPr>
                      <w:color w:val="auto"/>
                      <w:lang w:val="en-US"/>
                    </w:rPr>
                    <w:t>120</w:t>
                  </w: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599A5F">
                  <w:pPr>
                    <w:pStyle w:val="30"/>
                    <w:framePr w:hSpace="0" w:wrap="auto" w:vAnchor="margin" w:hAnchor="text" w:xAlign="left" w:yAlign="inline"/>
                    <w:rPr>
                      <w:color w:val="auto"/>
                    </w:rPr>
                  </w:pPr>
                </w:p>
              </w:tc>
            </w:tr>
            <w:tr w14:paraId="7ACE1CBF">
              <w:tblPrEx>
                <w:tblCellMar>
                  <w:top w:w="0" w:type="dxa"/>
                  <w:left w:w="108" w:type="dxa"/>
                  <w:bottom w:w="0" w:type="dxa"/>
                  <w:right w:w="108" w:type="dxa"/>
                </w:tblCellMar>
              </w:tblPrEx>
              <w:trPr>
                <w:trHeight w:val="90" w:hRule="atLeast"/>
              </w:trPr>
              <w:tc>
                <w:tcPr>
                  <w:tcW w:w="1112" w:type="pct"/>
                  <w:tcBorders>
                    <w:top w:val="single" w:color="auto" w:sz="4" w:space="0"/>
                    <w:left w:val="single" w:color="000000" w:sz="4" w:space="0"/>
                    <w:right w:val="single" w:color="000000" w:sz="4" w:space="0"/>
                  </w:tcBorders>
                  <w:shd w:val="clear" w:color="auto" w:fill="auto"/>
                  <w:vAlign w:val="center"/>
                </w:tcPr>
                <w:p w14:paraId="773FF45B">
                  <w:pPr>
                    <w:pStyle w:val="30"/>
                    <w:framePr w:hSpace="0" w:wrap="auto" w:vAnchor="margin" w:hAnchor="text" w:xAlign="left" w:yAlign="inline"/>
                    <w:rPr>
                      <w:color w:val="auto"/>
                      <w:lang w:val="en-US"/>
                    </w:rPr>
                  </w:pPr>
                  <w:r>
                    <w:rPr>
                      <w:rFonts w:hint="eastAsia"/>
                      <w:color w:val="auto"/>
                      <w:lang w:val="en-US"/>
                    </w:rPr>
                    <w:t>盐</w:t>
                  </w:r>
                </w:p>
              </w:tc>
              <w:tc>
                <w:tcPr>
                  <w:tcW w:w="1152" w:type="pct"/>
                  <w:tcBorders>
                    <w:top w:val="single" w:color="auto" w:sz="4" w:space="0"/>
                    <w:left w:val="single" w:color="000000" w:sz="4" w:space="0"/>
                    <w:bottom w:val="single" w:color="000000" w:sz="4" w:space="0"/>
                    <w:right w:val="single" w:color="000000" w:sz="4" w:space="0"/>
                  </w:tcBorders>
                  <w:shd w:val="clear" w:color="auto" w:fill="auto"/>
                  <w:vAlign w:val="center"/>
                </w:tcPr>
                <w:p w14:paraId="4FF9AD40">
                  <w:pPr>
                    <w:pStyle w:val="30"/>
                    <w:framePr w:hSpace="0" w:wrap="auto" w:vAnchor="margin" w:hAnchor="text" w:xAlign="left" w:yAlign="inline"/>
                    <w:rPr>
                      <w:color w:val="auto"/>
                      <w:lang w:val="en-US"/>
                    </w:rPr>
                  </w:pPr>
                  <w:r>
                    <w:rPr>
                      <w:rFonts w:hint="eastAsia"/>
                      <w:color w:val="auto"/>
                      <w:lang w:val="en-US"/>
                    </w:rPr>
                    <w:t>0.9</w:t>
                  </w:r>
                </w:p>
              </w:tc>
              <w:tc>
                <w:tcPr>
                  <w:tcW w:w="1029" w:type="pct"/>
                  <w:tcBorders>
                    <w:top w:val="single" w:color="000000" w:sz="4" w:space="0"/>
                    <w:left w:val="single" w:color="000000" w:sz="4" w:space="0"/>
                    <w:right w:val="single" w:color="000000" w:sz="4" w:space="0"/>
                  </w:tcBorders>
                  <w:shd w:val="clear" w:color="auto" w:fill="auto"/>
                  <w:vAlign w:val="center"/>
                </w:tcPr>
                <w:p w14:paraId="3F6D58A0">
                  <w:pPr>
                    <w:pStyle w:val="30"/>
                    <w:framePr w:hSpace="0" w:wrap="auto" w:vAnchor="margin" w:hAnchor="text" w:xAlign="left" w:yAlign="inline"/>
                    <w:rPr>
                      <w:color w:val="auto"/>
                    </w:rPr>
                  </w:pPr>
                  <w:r>
                    <w:rPr>
                      <w:rFonts w:hint="eastAsia"/>
                      <w:color w:val="auto"/>
                      <w:lang w:val="en-US"/>
                    </w:rPr>
                    <w:t>投料粉尘</w:t>
                  </w:r>
                </w:p>
              </w:tc>
              <w:tc>
                <w:tcPr>
                  <w:tcW w:w="1035" w:type="pct"/>
                  <w:tcBorders>
                    <w:top w:val="single" w:color="000000" w:sz="4" w:space="0"/>
                    <w:left w:val="single" w:color="000000" w:sz="4" w:space="0"/>
                    <w:right w:val="single" w:color="000000" w:sz="4" w:space="0"/>
                  </w:tcBorders>
                  <w:shd w:val="clear" w:color="auto" w:fill="auto"/>
                  <w:vAlign w:val="center"/>
                </w:tcPr>
                <w:p w14:paraId="6BDBFB48">
                  <w:pPr>
                    <w:pStyle w:val="30"/>
                    <w:framePr w:hSpace="0" w:wrap="auto" w:vAnchor="margin" w:hAnchor="text" w:xAlign="left" w:yAlign="inline"/>
                    <w:rPr>
                      <w:color w:val="auto"/>
                    </w:rPr>
                  </w:pPr>
                  <w:r>
                    <w:rPr>
                      <w:color w:val="auto"/>
                      <w:lang w:val="en-US"/>
                    </w:rPr>
                    <w:t>0.0135</w:t>
                  </w:r>
                </w:p>
              </w:tc>
              <w:tc>
                <w:tcPr>
                  <w:tcW w:w="669" w:type="pct"/>
                  <w:tcBorders>
                    <w:top w:val="single" w:color="000000" w:sz="4" w:space="0"/>
                    <w:left w:val="single" w:color="000000" w:sz="4" w:space="0"/>
                    <w:right w:val="single" w:color="000000" w:sz="4" w:space="0"/>
                  </w:tcBorders>
                  <w:shd w:val="clear" w:color="auto" w:fill="auto"/>
                  <w:vAlign w:val="center"/>
                </w:tcPr>
                <w:p w14:paraId="250678DF">
                  <w:pPr>
                    <w:pStyle w:val="30"/>
                    <w:framePr w:hSpace="0" w:wrap="auto" w:vAnchor="margin" w:hAnchor="text" w:xAlign="left" w:yAlign="inline"/>
                    <w:rPr>
                      <w:color w:val="auto"/>
                    </w:rPr>
                  </w:pPr>
                </w:p>
              </w:tc>
            </w:tr>
            <w:tr w14:paraId="08E50004">
              <w:tblPrEx>
                <w:tblCellMar>
                  <w:top w:w="0" w:type="dxa"/>
                  <w:left w:w="108" w:type="dxa"/>
                  <w:bottom w:w="0" w:type="dxa"/>
                  <w:right w:w="108" w:type="dxa"/>
                </w:tblCellMar>
              </w:tblPrEx>
              <w:trPr>
                <w:trHeight w:val="283" w:hRule="atLeast"/>
              </w:trPr>
              <w:tc>
                <w:tcPr>
                  <w:tcW w:w="1112" w:type="pct"/>
                  <w:tcBorders>
                    <w:top w:val="single" w:color="000000" w:sz="4" w:space="0"/>
                    <w:left w:val="single" w:color="000000" w:sz="4" w:space="0"/>
                    <w:bottom w:val="single" w:color="auto" w:sz="4" w:space="0"/>
                    <w:right w:val="single" w:color="000000" w:sz="4" w:space="0"/>
                  </w:tcBorders>
                  <w:shd w:val="clear" w:color="auto" w:fill="auto"/>
                  <w:vAlign w:val="center"/>
                </w:tcPr>
                <w:p w14:paraId="21D1B81F">
                  <w:pPr>
                    <w:pStyle w:val="30"/>
                    <w:framePr w:hSpace="0" w:wrap="auto" w:vAnchor="margin" w:hAnchor="text" w:xAlign="left" w:yAlign="inline"/>
                    <w:rPr>
                      <w:color w:val="auto"/>
                      <w:lang w:val="en-US"/>
                    </w:rPr>
                  </w:pPr>
                  <w:r>
                    <w:rPr>
                      <w:rFonts w:hint="eastAsia"/>
                      <w:color w:val="auto"/>
                      <w:lang w:val="en-US"/>
                    </w:rPr>
                    <w:t>水</w:t>
                  </w:r>
                </w:p>
              </w:tc>
              <w:tc>
                <w:tcPr>
                  <w:tcW w:w="1152" w:type="pct"/>
                  <w:tcBorders>
                    <w:top w:val="single" w:color="000000" w:sz="4" w:space="0"/>
                    <w:left w:val="single" w:color="000000" w:sz="4" w:space="0"/>
                    <w:bottom w:val="single" w:color="auto" w:sz="4" w:space="0"/>
                    <w:right w:val="single" w:color="000000" w:sz="4" w:space="0"/>
                  </w:tcBorders>
                  <w:shd w:val="clear" w:color="auto" w:fill="auto"/>
                  <w:vAlign w:val="center"/>
                </w:tcPr>
                <w:p w14:paraId="7D99828F">
                  <w:pPr>
                    <w:pStyle w:val="30"/>
                    <w:framePr w:hSpace="0" w:wrap="auto" w:vAnchor="margin" w:hAnchor="text" w:xAlign="left" w:yAlign="inline"/>
                    <w:rPr>
                      <w:color w:val="auto"/>
                      <w:lang w:val="en-US"/>
                    </w:rPr>
                  </w:pPr>
                  <w:r>
                    <w:rPr>
                      <w:rFonts w:hint="eastAsia"/>
                      <w:color w:val="auto"/>
                      <w:lang w:val="en-US"/>
                    </w:rPr>
                    <w:t>30</w:t>
                  </w:r>
                </w:p>
              </w:tc>
              <w:tc>
                <w:tcPr>
                  <w:tcW w:w="10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AB0419">
                  <w:pPr>
                    <w:pStyle w:val="30"/>
                    <w:framePr w:hSpace="0" w:wrap="auto" w:vAnchor="margin" w:hAnchor="text" w:xAlign="left" w:yAlign="inline"/>
                    <w:rPr>
                      <w:color w:val="auto"/>
                    </w:rPr>
                  </w:pPr>
                  <w:r>
                    <w:rPr>
                      <w:rFonts w:hint="eastAsia"/>
                      <w:color w:val="auto"/>
                      <w:lang w:val="en-US"/>
                    </w:rPr>
                    <w:t>不合格品</w:t>
                  </w:r>
                </w:p>
              </w:tc>
              <w:tc>
                <w:tcPr>
                  <w:tcW w:w="10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02100E">
                  <w:pPr>
                    <w:pStyle w:val="30"/>
                    <w:framePr w:hSpace="0" w:wrap="auto" w:vAnchor="margin" w:hAnchor="text" w:xAlign="left" w:yAlign="inline"/>
                    <w:rPr>
                      <w:color w:val="auto"/>
                    </w:rPr>
                  </w:pPr>
                  <w:r>
                    <w:rPr>
                      <w:color w:val="auto"/>
                      <w:lang w:val="en-US"/>
                    </w:rPr>
                    <w:t>0.8865</w:t>
                  </w: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75EA55">
                  <w:pPr>
                    <w:pStyle w:val="30"/>
                    <w:framePr w:hSpace="0" w:wrap="auto" w:vAnchor="margin" w:hAnchor="text" w:xAlign="left" w:yAlign="inline"/>
                    <w:rPr>
                      <w:color w:val="auto"/>
                    </w:rPr>
                  </w:pPr>
                </w:p>
              </w:tc>
            </w:tr>
            <w:tr w14:paraId="02230B22">
              <w:tblPrEx>
                <w:tblCellMar>
                  <w:top w:w="0" w:type="dxa"/>
                  <w:left w:w="108" w:type="dxa"/>
                  <w:bottom w:w="0" w:type="dxa"/>
                  <w:right w:w="108" w:type="dxa"/>
                </w:tblCellMar>
              </w:tblPrEx>
              <w:trPr>
                <w:trHeight w:val="283" w:hRule="atLeast"/>
              </w:trPr>
              <w:tc>
                <w:tcPr>
                  <w:tcW w:w="1112" w:type="pct"/>
                  <w:tcBorders>
                    <w:top w:val="single" w:color="auto" w:sz="4" w:space="0"/>
                    <w:left w:val="single" w:color="000000" w:sz="4" w:space="0"/>
                    <w:bottom w:val="single" w:color="000000" w:sz="4" w:space="0"/>
                    <w:right w:val="single" w:color="000000" w:sz="4" w:space="0"/>
                  </w:tcBorders>
                  <w:shd w:val="clear" w:color="auto" w:fill="auto"/>
                  <w:vAlign w:val="center"/>
                </w:tcPr>
                <w:p w14:paraId="7F1DF0FE">
                  <w:pPr>
                    <w:pStyle w:val="30"/>
                    <w:framePr w:hSpace="0" w:wrap="auto" w:vAnchor="margin" w:hAnchor="text" w:xAlign="left" w:yAlign="inline"/>
                    <w:rPr>
                      <w:color w:val="auto"/>
                    </w:rPr>
                  </w:pPr>
                  <w:r>
                    <w:rPr>
                      <w:color w:val="auto"/>
                      <w:lang w:val="en-US"/>
                    </w:rPr>
                    <w:t>合计</w:t>
                  </w:r>
                </w:p>
              </w:tc>
              <w:tc>
                <w:tcPr>
                  <w:tcW w:w="1152" w:type="pct"/>
                  <w:tcBorders>
                    <w:top w:val="single" w:color="auto" w:sz="4" w:space="0"/>
                    <w:left w:val="single" w:color="000000" w:sz="4" w:space="0"/>
                    <w:bottom w:val="single" w:color="000000" w:sz="4" w:space="0"/>
                    <w:right w:val="single" w:color="000000" w:sz="4" w:space="0"/>
                  </w:tcBorders>
                  <w:shd w:val="clear" w:color="auto" w:fill="auto"/>
                  <w:vAlign w:val="center"/>
                </w:tcPr>
                <w:p w14:paraId="203EBF5C">
                  <w:pPr>
                    <w:pStyle w:val="30"/>
                    <w:framePr w:hSpace="0" w:wrap="auto" w:vAnchor="margin" w:hAnchor="text" w:xAlign="left" w:yAlign="inline"/>
                    <w:rPr>
                      <w:color w:val="auto"/>
                      <w:lang w:val="en-US"/>
                    </w:rPr>
                  </w:pPr>
                  <w:r>
                    <w:rPr>
                      <w:rFonts w:hint="eastAsia"/>
                      <w:color w:val="auto"/>
                      <w:lang w:val="en-US"/>
                    </w:rPr>
                    <w:t>120.9</w:t>
                  </w:r>
                </w:p>
              </w:tc>
              <w:tc>
                <w:tcPr>
                  <w:tcW w:w="10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F8786">
                  <w:pPr>
                    <w:pStyle w:val="30"/>
                    <w:framePr w:hSpace="0" w:wrap="auto" w:vAnchor="margin" w:hAnchor="text" w:xAlign="left" w:yAlign="inline"/>
                    <w:rPr>
                      <w:color w:val="auto"/>
                    </w:rPr>
                  </w:pPr>
                  <w:r>
                    <w:rPr>
                      <w:color w:val="auto"/>
                      <w:lang w:val="en-US"/>
                    </w:rPr>
                    <w:t>合计</w:t>
                  </w:r>
                </w:p>
              </w:tc>
              <w:tc>
                <w:tcPr>
                  <w:tcW w:w="10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4F17CC">
                  <w:pPr>
                    <w:pStyle w:val="30"/>
                    <w:framePr w:hSpace="0" w:wrap="auto" w:vAnchor="margin" w:hAnchor="text" w:xAlign="left" w:yAlign="inline"/>
                    <w:rPr>
                      <w:color w:val="auto"/>
                      <w:lang w:val="en-US"/>
                    </w:rPr>
                  </w:pPr>
                  <w:r>
                    <w:rPr>
                      <w:rFonts w:hint="eastAsia"/>
                      <w:color w:val="auto"/>
                      <w:lang w:val="en-US"/>
                    </w:rPr>
                    <w:t>120.9</w:t>
                  </w: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F7601D">
                  <w:pPr>
                    <w:pStyle w:val="30"/>
                    <w:framePr w:hSpace="0" w:wrap="auto" w:vAnchor="margin" w:hAnchor="text" w:xAlign="left" w:yAlign="inline"/>
                    <w:rPr>
                      <w:color w:val="auto"/>
                    </w:rPr>
                  </w:pPr>
                </w:p>
              </w:tc>
            </w:tr>
          </w:tbl>
          <w:p w14:paraId="5C03F0FB">
            <w:pPr>
              <w:pStyle w:val="6"/>
              <w:rPr>
                <w:color w:val="auto"/>
              </w:rPr>
            </w:pPr>
            <w:bookmarkStart w:id="31" w:name="_Toc5070"/>
            <w:r>
              <w:rPr>
                <w:color w:val="auto"/>
              </w:rPr>
              <w:t xml:space="preserve">表 </w:t>
            </w:r>
            <w:r>
              <w:rPr>
                <w:rFonts w:hint="eastAsia"/>
                <w:color w:val="auto"/>
              </w:rPr>
              <w:t>2-</w:t>
            </w:r>
            <w:r>
              <w:rPr>
                <w:color w:val="auto"/>
              </w:rPr>
              <w:fldChar w:fldCharType="begin"/>
            </w:r>
            <w:r>
              <w:rPr>
                <w:color w:val="auto"/>
              </w:rPr>
              <w:instrText xml:space="preserve"> SEQ 表 \* ARABIC \s 1 </w:instrText>
            </w:r>
            <w:r>
              <w:rPr>
                <w:color w:val="auto"/>
              </w:rPr>
              <w:fldChar w:fldCharType="separate"/>
            </w:r>
            <w:r>
              <w:rPr>
                <w:color w:val="auto"/>
              </w:rPr>
              <w:t>12</w:t>
            </w:r>
            <w:r>
              <w:rPr>
                <w:color w:val="auto"/>
              </w:rPr>
              <w:fldChar w:fldCharType="end"/>
            </w:r>
            <w:r>
              <w:rPr>
                <w:rFonts w:hint="eastAsia"/>
                <w:color w:val="auto"/>
              </w:rPr>
              <w:t xml:space="preserve"> 骨汤包生产线物料平衡一览表</w:t>
            </w:r>
          </w:p>
          <w:tbl>
            <w:tblPr>
              <w:tblStyle w:val="23"/>
              <w:tblW w:w="4999" w:type="pct"/>
              <w:tblInd w:w="0" w:type="dxa"/>
              <w:tblLayout w:type="autofit"/>
              <w:tblCellMar>
                <w:top w:w="0" w:type="dxa"/>
                <w:left w:w="108" w:type="dxa"/>
                <w:bottom w:w="0" w:type="dxa"/>
                <w:right w:w="108" w:type="dxa"/>
              </w:tblCellMar>
            </w:tblPr>
            <w:tblGrid>
              <w:gridCol w:w="1759"/>
              <w:gridCol w:w="1746"/>
              <w:gridCol w:w="1215"/>
              <w:gridCol w:w="1190"/>
              <w:gridCol w:w="1939"/>
            </w:tblGrid>
            <w:tr w14:paraId="3314CF26">
              <w:tblPrEx>
                <w:tblCellMar>
                  <w:top w:w="0" w:type="dxa"/>
                  <w:left w:w="108" w:type="dxa"/>
                  <w:bottom w:w="0" w:type="dxa"/>
                  <w:right w:w="108" w:type="dxa"/>
                </w:tblCellMar>
              </w:tblPrEx>
              <w:trPr>
                <w:trHeight w:val="283" w:hRule="atLeast"/>
              </w:trPr>
              <w:tc>
                <w:tcPr>
                  <w:tcW w:w="223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249EF5">
                  <w:pPr>
                    <w:pStyle w:val="30"/>
                    <w:framePr w:hSpace="0" w:wrap="auto" w:vAnchor="margin" w:hAnchor="text" w:xAlign="left" w:yAlign="inline"/>
                    <w:rPr>
                      <w:color w:val="auto"/>
                    </w:rPr>
                  </w:pPr>
                  <w:r>
                    <w:rPr>
                      <w:color w:val="auto"/>
                      <w:lang w:val="en-US"/>
                    </w:rPr>
                    <w:t>投入</w:t>
                  </w:r>
                </w:p>
              </w:tc>
              <w:tc>
                <w:tcPr>
                  <w:tcW w:w="153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7954A4">
                  <w:pPr>
                    <w:pStyle w:val="30"/>
                    <w:framePr w:hSpace="0" w:wrap="auto" w:vAnchor="margin" w:hAnchor="text" w:xAlign="left" w:yAlign="inline"/>
                    <w:rPr>
                      <w:color w:val="auto"/>
                    </w:rPr>
                  </w:pPr>
                  <w:r>
                    <w:rPr>
                      <w:color w:val="auto"/>
                      <w:lang w:val="en-US"/>
                    </w:rPr>
                    <w:t>产出</w:t>
                  </w:r>
                </w:p>
              </w:tc>
              <w:tc>
                <w:tcPr>
                  <w:tcW w:w="12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023273">
                  <w:pPr>
                    <w:pStyle w:val="30"/>
                    <w:framePr w:hSpace="0" w:wrap="auto" w:vAnchor="margin" w:hAnchor="text" w:xAlign="left" w:yAlign="inline"/>
                    <w:rPr>
                      <w:color w:val="auto"/>
                    </w:rPr>
                  </w:pPr>
                  <w:r>
                    <w:rPr>
                      <w:color w:val="auto"/>
                      <w:lang w:val="en-US"/>
                    </w:rPr>
                    <w:t>备注</w:t>
                  </w:r>
                </w:p>
              </w:tc>
            </w:tr>
            <w:tr w14:paraId="01D11879">
              <w:tblPrEx>
                <w:tblCellMar>
                  <w:top w:w="0" w:type="dxa"/>
                  <w:left w:w="108" w:type="dxa"/>
                  <w:bottom w:w="0" w:type="dxa"/>
                  <w:right w:w="108" w:type="dxa"/>
                </w:tblCellMar>
              </w:tblPrEx>
              <w:trPr>
                <w:trHeight w:val="283" w:hRule="atLeast"/>
              </w:trPr>
              <w:tc>
                <w:tcPr>
                  <w:tcW w:w="11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A6333B">
                  <w:pPr>
                    <w:pStyle w:val="30"/>
                    <w:framePr w:hSpace="0" w:wrap="auto" w:vAnchor="margin" w:hAnchor="text" w:xAlign="left" w:yAlign="inline"/>
                    <w:rPr>
                      <w:color w:val="auto"/>
                    </w:rPr>
                  </w:pPr>
                  <w:r>
                    <w:rPr>
                      <w:color w:val="auto"/>
                      <w:lang w:val="en-US"/>
                    </w:rPr>
                    <w:t>名称</w:t>
                  </w:r>
                </w:p>
              </w:tc>
              <w:tc>
                <w:tcPr>
                  <w:tcW w:w="11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4E46B3">
                  <w:pPr>
                    <w:pStyle w:val="30"/>
                    <w:framePr w:hSpace="0" w:wrap="auto" w:vAnchor="margin" w:hAnchor="text" w:xAlign="left" w:yAlign="inline"/>
                    <w:rPr>
                      <w:color w:val="auto"/>
                    </w:rPr>
                  </w:pPr>
                  <w:r>
                    <w:rPr>
                      <w:color w:val="auto"/>
                      <w:lang w:val="en-US"/>
                    </w:rPr>
                    <w:t>数量(t/a)</w:t>
                  </w:r>
                </w:p>
              </w:tc>
              <w:tc>
                <w:tcPr>
                  <w:tcW w:w="7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FDD992">
                  <w:pPr>
                    <w:pStyle w:val="30"/>
                    <w:framePr w:hSpace="0" w:wrap="auto" w:vAnchor="margin" w:hAnchor="text" w:xAlign="left" w:yAlign="inline"/>
                    <w:rPr>
                      <w:color w:val="auto"/>
                    </w:rPr>
                  </w:pPr>
                  <w:r>
                    <w:rPr>
                      <w:color w:val="auto"/>
                      <w:lang w:val="en-US"/>
                    </w:rPr>
                    <w:t>名称</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CC71D9">
                  <w:pPr>
                    <w:pStyle w:val="30"/>
                    <w:framePr w:hSpace="0" w:wrap="auto" w:vAnchor="margin" w:hAnchor="text" w:xAlign="left" w:yAlign="inline"/>
                    <w:rPr>
                      <w:color w:val="auto"/>
                    </w:rPr>
                  </w:pPr>
                  <w:r>
                    <w:rPr>
                      <w:color w:val="auto"/>
                      <w:lang w:val="en-US"/>
                    </w:rPr>
                    <w:t>数量(t/a)</w:t>
                  </w:r>
                </w:p>
              </w:tc>
              <w:tc>
                <w:tcPr>
                  <w:tcW w:w="12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949617">
                  <w:pPr>
                    <w:pStyle w:val="30"/>
                    <w:framePr w:hSpace="0" w:wrap="auto" w:vAnchor="margin" w:hAnchor="text" w:xAlign="left" w:yAlign="inline"/>
                    <w:rPr>
                      <w:color w:val="auto"/>
                    </w:rPr>
                  </w:pPr>
                </w:p>
              </w:tc>
            </w:tr>
            <w:tr w14:paraId="4125B0CC">
              <w:tblPrEx>
                <w:tblCellMar>
                  <w:top w:w="0" w:type="dxa"/>
                  <w:left w:w="108" w:type="dxa"/>
                  <w:bottom w:w="0" w:type="dxa"/>
                  <w:right w:w="108" w:type="dxa"/>
                </w:tblCellMar>
              </w:tblPrEx>
              <w:trPr>
                <w:trHeight w:val="283" w:hRule="atLeast"/>
              </w:trPr>
              <w:tc>
                <w:tcPr>
                  <w:tcW w:w="11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531E60">
                  <w:pPr>
                    <w:pStyle w:val="30"/>
                    <w:framePr w:hSpace="0" w:wrap="auto" w:vAnchor="margin" w:hAnchor="text" w:xAlign="left" w:yAlign="inline"/>
                    <w:rPr>
                      <w:color w:val="auto"/>
                    </w:rPr>
                  </w:pPr>
                  <w:r>
                    <w:rPr>
                      <w:rFonts w:hint="eastAsia"/>
                      <w:color w:val="auto"/>
                      <w:lang w:val="en-US"/>
                    </w:rPr>
                    <w:t>牛骨</w:t>
                  </w:r>
                </w:p>
              </w:tc>
              <w:tc>
                <w:tcPr>
                  <w:tcW w:w="11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CCE68F">
                  <w:pPr>
                    <w:pStyle w:val="30"/>
                    <w:framePr w:hSpace="0" w:wrap="auto" w:vAnchor="margin" w:hAnchor="text" w:xAlign="left" w:yAlign="inline"/>
                    <w:rPr>
                      <w:color w:val="auto"/>
                      <w:lang w:val="en-US"/>
                    </w:rPr>
                  </w:pPr>
                  <w:r>
                    <w:rPr>
                      <w:color w:val="auto"/>
                      <w:lang w:val="en-US"/>
                    </w:rPr>
                    <w:t>200</w:t>
                  </w:r>
                </w:p>
              </w:tc>
              <w:tc>
                <w:tcPr>
                  <w:tcW w:w="7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6B36B">
                  <w:pPr>
                    <w:pStyle w:val="30"/>
                    <w:framePr w:hSpace="0" w:wrap="auto" w:vAnchor="margin" w:hAnchor="text" w:xAlign="left" w:yAlign="inline"/>
                    <w:rPr>
                      <w:color w:val="auto"/>
                    </w:rPr>
                  </w:pPr>
                  <w:r>
                    <w:rPr>
                      <w:rFonts w:hint="eastAsia"/>
                      <w:color w:val="auto"/>
                      <w:lang w:val="en-US"/>
                    </w:rPr>
                    <w:t>骨汤包</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109283">
                  <w:pPr>
                    <w:pStyle w:val="30"/>
                    <w:framePr w:hSpace="0" w:wrap="auto" w:vAnchor="margin" w:hAnchor="text" w:xAlign="left" w:yAlign="inline"/>
                    <w:rPr>
                      <w:color w:val="auto"/>
                      <w:lang w:val="en-US"/>
                    </w:rPr>
                  </w:pPr>
                  <w:r>
                    <w:rPr>
                      <w:color w:val="auto"/>
                      <w:lang w:val="en-US"/>
                    </w:rPr>
                    <w:t>102</w:t>
                  </w:r>
                </w:p>
              </w:tc>
              <w:tc>
                <w:tcPr>
                  <w:tcW w:w="12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99B810">
                  <w:pPr>
                    <w:pStyle w:val="30"/>
                    <w:framePr w:hSpace="0" w:wrap="auto" w:vAnchor="margin" w:hAnchor="text" w:xAlign="left" w:yAlign="inline"/>
                    <w:rPr>
                      <w:color w:val="auto"/>
                      <w:lang w:val="en-US"/>
                    </w:rPr>
                  </w:pPr>
                  <w:r>
                    <w:rPr>
                      <w:rFonts w:hint="eastAsia"/>
                      <w:color w:val="auto"/>
                      <w:lang w:val="en-US"/>
                    </w:rPr>
                    <w:t>300万包，34g/包</w:t>
                  </w:r>
                </w:p>
              </w:tc>
            </w:tr>
            <w:tr w14:paraId="0F677AF2">
              <w:tblPrEx>
                <w:tblCellMar>
                  <w:top w:w="0" w:type="dxa"/>
                  <w:left w:w="108" w:type="dxa"/>
                  <w:bottom w:w="0" w:type="dxa"/>
                  <w:right w:w="108" w:type="dxa"/>
                </w:tblCellMar>
              </w:tblPrEx>
              <w:trPr>
                <w:trHeight w:val="283" w:hRule="atLeast"/>
              </w:trPr>
              <w:tc>
                <w:tcPr>
                  <w:tcW w:w="11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008762">
                  <w:pPr>
                    <w:pStyle w:val="30"/>
                    <w:framePr w:hSpace="0" w:wrap="auto" w:vAnchor="margin" w:hAnchor="text" w:xAlign="left" w:yAlign="inline"/>
                    <w:rPr>
                      <w:color w:val="auto"/>
                      <w:lang w:val="en-US"/>
                    </w:rPr>
                  </w:pPr>
                  <w:r>
                    <w:rPr>
                      <w:rFonts w:hint="eastAsia"/>
                      <w:color w:val="auto"/>
                      <w:lang w:val="en-US"/>
                    </w:rPr>
                    <w:t>香料</w:t>
                  </w:r>
                </w:p>
              </w:tc>
              <w:tc>
                <w:tcPr>
                  <w:tcW w:w="11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EC7B5F">
                  <w:pPr>
                    <w:pStyle w:val="30"/>
                    <w:framePr w:hSpace="0" w:wrap="auto" w:vAnchor="margin" w:hAnchor="text" w:xAlign="left" w:yAlign="inline"/>
                    <w:rPr>
                      <w:color w:val="auto"/>
                      <w:lang w:val="en-US"/>
                    </w:rPr>
                  </w:pPr>
                  <w:r>
                    <w:rPr>
                      <w:color w:val="auto"/>
                      <w:lang w:val="en-US"/>
                    </w:rPr>
                    <w:t>1.5</w:t>
                  </w:r>
                </w:p>
              </w:tc>
              <w:tc>
                <w:tcPr>
                  <w:tcW w:w="7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D9594">
                  <w:pPr>
                    <w:pStyle w:val="30"/>
                    <w:framePr w:hSpace="0" w:wrap="auto" w:vAnchor="margin" w:hAnchor="text" w:xAlign="left" w:yAlign="inline"/>
                    <w:rPr>
                      <w:color w:val="auto"/>
                    </w:rPr>
                  </w:pPr>
                  <w:r>
                    <w:rPr>
                      <w:rFonts w:hint="eastAsia"/>
                      <w:color w:val="auto"/>
                      <w:lang w:val="en-US"/>
                    </w:rPr>
                    <w:t>调味料渣</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D4CE03">
                  <w:pPr>
                    <w:pStyle w:val="30"/>
                    <w:framePr w:hSpace="0" w:wrap="auto" w:vAnchor="margin" w:hAnchor="text" w:xAlign="left" w:yAlign="inline"/>
                    <w:rPr>
                      <w:color w:val="auto"/>
                      <w:lang w:val="en-US"/>
                    </w:rPr>
                  </w:pPr>
                  <w:r>
                    <w:rPr>
                      <w:color w:val="auto"/>
                      <w:lang w:val="en-US"/>
                    </w:rPr>
                    <w:t>209.5</w:t>
                  </w:r>
                </w:p>
              </w:tc>
              <w:tc>
                <w:tcPr>
                  <w:tcW w:w="12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1E2206">
                  <w:pPr>
                    <w:pStyle w:val="30"/>
                    <w:framePr w:hSpace="0" w:wrap="auto" w:vAnchor="margin" w:hAnchor="text" w:xAlign="left" w:yAlign="inline"/>
                    <w:rPr>
                      <w:color w:val="auto"/>
                    </w:rPr>
                  </w:pPr>
                </w:p>
              </w:tc>
            </w:tr>
            <w:tr w14:paraId="33B33507">
              <w:tblPrEx>
                <w:tblCellMar>
                  <w:top w:w="0" w:type="dxa"/>
                  <w:left w:w="108" w:type="dxa"/>
                  <w:bottom w:w="0" w:type="dxa"/>
                  <w:right w:w="108" w:type="dxa"/>
                </w:tblCellMar>
              </w:tblPrEx>
              <w:trPr>
                <w:trHeight w:val="283" w:hRule="atLeast"/>
              </w:trPr>
              <w:tc>
                <w:tcPr>
                  <w:tcW w:w="11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8137E7">
                  <w:pPr>
                    <w:pStyle w:val="30"/>
                    <w:framePr w:hSpace="0" w:wrap="auto" w:vAnchor="margin" w:hAnchor="text" w:xAlign="left" w:yAlign="inline"/>
                    <w:rPr>
                      <w:color w:val="auto"/>
                      <w:lang w:val="en-US"/>
                    </w:rPr>
                  </w:pPr>
                  <w:r>
                    <w:rPr>
                      <w:rFonts w:hint="eastAsia"/>
                      <w:color w:val="auto"/>
                      <w:lang w:val="en-US"/>
                    </w:rPr>
                    <w:t>葱</w:t>
                  </w:r>
                </w:p>
              </w:tc>
              <w:tc>
                <w:tcPr>
                  <w:tcW w:w="11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1AE185">
                  <w:pPr>
                    <w:pStyle w:val="30"/>
                    <w:framePr w:hSpace="0" w:wrap="auto" w:vAnchor="margin" w:hAnchor="text" w:xAlign="left" w:yAlign="inline"/>
                    <w:rPr>
                      <w:color w:val="auto"/>
                      <w:lang w:val="en-US"/>
                    </w:rPr>
                  </w:pPr>
                  <w:r>
                    <w:rPr>
                      <w:color w:val="auto"/>
                      <w:lang w:val="en-US"/>
                    </w:rPr>
                    <w:t>4</w:t>
                  </w:r>
                </w:p>
              </w:tc>
              <w:tc>
                <w:tcPr>
                  <w:tcW w:w="7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91583">
                  <w:pPr>
                    <w:pStyle w:val="30"/>
                    <w:framePr w:hSpace="0" w:wrap="auto" w:vAnchor="margin" w:hAnchor="text" w:xAlign="left" w:yAlign="inline"/>
                    <w:rPr>
                      <w:color w:val="auto"/>
                    </w:rPr>
                  </w:pPr>
                  <w:r>
                    <w:rPr>
                      <w:rFonts w:hint="eastAsia"/>
                      <w:color w:val="auto"/>
                      <w:lang w:val="en-US"/>
                    </w:rPr>
                    <w:t>蒸发</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BB216A">
                  <w:pPr>
                    <w:pStyle w:val="30"/>
                    <w:framePr w:hSpace="0" w:wrap="auto" w:vAnchor="margin" w:hAnchor="text" w:xAlign="left" w:yAlign="inline"/>
                    <w:rPr>
                      <w:color w:val="auto"/>
                      <w:lang w:val="en-US"/>
                    </w:rPr>
                  </w:pPr>
                  <w:r>
                    <w:rPr>
                      <w:color w:val="auto"/>
                      <w:lang w:val="en-US"/>
                    </w:rPr>
                    <w:t>432</w:t>
                  </w:r>
                </w:p>
              </w:tc>
              <w:tc>
                <w:tcPr>
                  <w:tcW w:w="12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42405D">
                  <w:pPr>
                    <w:pStyle w:val="30"/>
                    <w:framePr w:hSpace="0" w:wrap="auto" w:vAnchor="margin" w:hAnchor="text" w:xAlign="left" w:yAlign="inline"/>
                    <w:rPr>
                      <w:color w:val="auto"/>
                    </w:rPr>
                  </w:pPr>
                </w:p>
              </w:tc>
            </w:tr>
            <w:tr w14:paraId="5310400E">
              <w:tblPrEx>
                <w:tblCellMar>
                  <w:top w:w="0" w:type="dxa"/>
                  <w:left w:w="108" w:type="dxa"/>
                  <w:bottom w:w="0" w:type="dxa"/>
                  <w:right w:w="108" w:type="dxa"/>
                </w:tblCellMar>
              </w:tblPrEx>
              <w:trPr>
                <w:trHeight w:val="283" w:hRule="atLeast"/>
              </w:trPr>
              <w:tc>
                <w:tcPr>
                  <w:tcW w:w="11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B15A6E">
                  <w:pPr>
                    <w:pStyle w:val="30"/>
                    <w:framePr w:hSpace="0" w:wrap="auto" w:vAnchor="margin" w:hAnchor="text" w:xAlign="left" w:yAlign="inline"/>
                    <w:rPr>
                      <w:color w:val="auto"/>
                      <w:lang w:val="en-US"/>
                    </w:rPr>
                  </w:pPr>
                  <w:r>
                    <w:rPr>
                      <w:rFonts w:hint="eastAsia"/>
                      <w:color w:val="auto"/>
                      <w:lang w:val="en-US"/>
                    </w:rPr>
                    <w:t>生姜</w:t>
                  </w:r>
                </w:p>
              </w:tc>
              <w:tc>
                <w:tcPr>
                  <w:tcW w:w="11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48D238">
                  <w:pPr>
                    <w:pStyle w:val="30"/>
                    <w:framePr w:hSpace="0" w:wrap="auto" w:vAnchor="margin" w:hAnchor="text" w:xAlign="left" w:yAlign="inline"/>
                    <w:rPr>
                      <w:color w:val="auto"/>
                      <w:lang w:val="en-US"/>
                    </w:rPr>
                  </w:pPr>
                  <w:r>
                    <w:rPr>
                      <w:color w:val="auto"/>
                      <w:lang w:val="en-US"/>
                    </w:rPr>
                    <w:t>4</w:t>
                  </w:r>
                </w:p>
              </w:tc>
              <w:tc>
                <w:tcPr>
                  <w:tcW w:w="7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45C0E">
                  <w:pPr>
                    <w:pStyle w:val="30"/>
                    <w:framePr w:hSpace="0" w:wrap="auto" w:vAnchor="margin" w:hAnchor="text" w:xAlign="left" w:yAlign="inline"/>
                    <w:rPr>
                      <w:color w:val="auto"/>
                    </w:rPr>
                  </w:pP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C4171F">
                  <w:pPr>
                    <w:pStyle w:val="30"/>
                    <w:framePr w:hSpace="0" w:wrap="auto" w:vAnchor="margin" w:hAnchor="text" w:xAlign="left" w:yAlign="inline"/>
                    <w:rPr>
                      <w:color w:val="auto"/>
                      <w:lang w:val="en-US"/>
                    </w:rPr>
                  </w:pPr>
                </w:p>
              </w:tc>
              <w:tc>
                <w:tcPr>
                  <w:tcW w:w="12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7C629E">
                  <w:pPr>
                    <w:pStyle w:val="30"/>
                    <w:framePr w:hSpace="0" w:wrap="auto" w:vAnchor="margin" w:hAnchor="text" w:xAlign="left" w:yAlign="inline"/>
                    <w:rPr>
                      <w:color w:val="auto"/>
                    </w:rPr>
                  </w:pPr>
                </w:p>
              </w:tc>
            </w:tr>
            <w:tr w14:paraId="66DF23BF">
              <w:tblPrEx>
                <w:tblCellMar>
                  <w:top w:w="0" w:type="dxa"/>
                  <w:left w:w="108" w:type="dxa"/>
                  <w:bottom w:w="0" w:type="dxa"/>
                  <w:right w:w="108" w:type="dxa"/>
                </w:tblCellMar>
              </w:tblPrEx>
              <w:trPr>
                <w:trHeight w:val="283" w:hRule="atLeast"/>
              </w:trPr>
              <w:tc>
                <w:tcPr>
                  <w:tcW w:w="11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2FAEC0">
                  <w:pPr>
                    <w:pStyle w:val="30"/>
                    <w:framePr w:hSpace="0" w:wrap="auto" w:vAnchor="margin" w:hAnchor="text" w:xAlign="left" w:yAlign="inline"/>
                    <w:rPr>
                      <w:color w:val="auto"/>
                      <w:lang w:val="en-US"/>
                    </w:rPr>
                  </w:pPr>
                  <w:r>
                    <w:rPr>
                      <w:rFonts w:hint="eastAsia"/>
                      <w:color w:val="auto"/>
                      <w:lang w:val="en-US"/>
                    </w:rPr>
                    <w:t>味精</w:t>
                  </w:r>
                </w:p>
              </w:tc>
              <w:tc>
                <w:tcPr>
                  <w:tcW w:w="11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7A51FE">
                  <w:pPr>
                    <w:pStyle w:val="30"/>
                    <w:framePr w:hSpace="0" w:wrap="auto" w:vAnchor="margin" w:hAnchor="text" w:xAlign="left" w:yAlign="inline"/>
                    <w:rPr>
                      <w:color w:val="auto"/>
                      <w:lang w:val="en-US"/>
                    </w:rPr>
                  </w:pPr>
                  <w:r>
                    <w:rPr>
                      <w:color w:val="auto"/>
                      <w:lang w:val="en-US"/>
                    </w:rPr>
                    <w:t>3</w:t>
                  </w:r>
                </w:p>
              </w:tc>
              <w:tc>
                <w:tcPr>
                  <w:tcW w:w="7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73DF0">
                  <w:pPr>
                    <w:pStyle w:val="30"/>
                    <w:framePr w:hSpace="0" w:wrap="auto" w:vAnchor="margin" w:hAnchor="text" w:xAlign="left" w:yAlign="inline"/>
                    <w:rPr>
                      <w:color w:val="auto"/>
                    </w:rPr>
                  </w:pP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28720A">
                  <w:pPr>
                    <w:pStyle w:val="30"/>
                    <w:framePr w:hSpace="0" w:wrap="auto" w:vAnchor="margin" w:hAnchor="text" w:xAlign="left" w:yAlign="inline"/>
                    <w:rPr>
                      <w:color w:val="auto"/>
                      <w:lang w:val="en-US"/>
                    </w:rPr>
                  </w:pPr>
                </w:p>
              </w:tc>
              <w:tc>
                <w:tcPr>
                  <w:tcW w:w="12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12A29B">
                  <w:pPr>
                    <w:pStyle w:val="30"/>
                    <w:framePr w:hSpace="0" w:wrap="auto" w:vAnchor="margin" w:hAnchor="text" w:xAlign="left" w:yAlign="inline"/>
                    <w:rPr>
                      <w:color w:val="auto"/>
                    </w:rPr>
                  </w:pPr>
                </w:p>
              </w:tc>
            </w:tr>
            <w:tr w14:paraId="46EB23D7">
              <w:tblPrEx>
                <w:tblCellMar>
                  <w:top w:w="0" w:type="dxa"/>
                  <w:left w:w="108" w:type="dxa"/>
                  <w:bottom w:w="0" w:type="dxa"/>
                  <w:right w:w="108" w:type="dxa"/>
                </w:tblCellMar>
              </w:tblPrEx>
              <w:trPr>
                <w:trHeight w:val="283" w:hRule="atLeast"/>
              </w:trPr>
              <w:tc>
                <w:tcPr>
                  <w:tcW w:w="11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6C3023">
                  <w:pPr>
                    <w:pStyle w:val="30"/>
                    <w:framePr w:hSpace="0" w:wrap="auto" w:vAnchor="margin" w:hAnchor="text" w:xAlign="left" w:yAlign="inline"/>
                    <w:rPr>
                      <w:color w:val="auto"/>
                      <w:lang w:val="en-US"/>
                    </w:rPr>
                  </w:pPr>
                  <w:r>
                    <w:rPr>
                      <w:rFonts w:hint="eastAsia"/>
                      <w:color w:val="auto"/>
                      <w:lang w:val="en-US"/>
                    </w:rPr>
                    <w:t>水</w:t>
                  </w:r>
                </w:p>
              </w:tc>
              <w:tc>
                <w:tcPr>
                  <w:tcW w:w="11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8160A7">
                  <w:pPr>
                    <w:pStyle w:val="30"/>
                    <w:framePr w:hSpace="0" w:wrap="auto" w:vAnchor="margin" w:hAnchor="text" w:xAlign="left" w:yAlign="inline"/>
                    <w:rPr>
                      <w:color w:val="auto"/>
                      <w:lang w:val="en-US"/>
                    </w:rPr>
                  </w:pPr>
                  <w:r>
                    <w:rPr>
                      <w:color w:val="auto"/>
                      <w:lang w:val="en-US"/>
                    </w:rPr>
                    <w:t>531</w:t>
                  </w:r>
                </w:p>
              </w:tc>
              <w:tc>
                <w:tcPr>
                  <w:tcW w:w="7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E331A">
                  <w:pPr>
                    <w:pStyle w:val="30"/>
                    <w:framePr w:hSpace="0" w:wrap="auto" w:vAnchor="margin" w:hAnchor="text" w:xAlign="left" w:yAlign="inline"/>
                    <w:rPr>
                      <w:color w:val="auto"/>
                    </w:rPr>
                  </w:pP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46CE70">
                  <w:pPr>
                    <w:pStyle w:val="30"/>
                    <w:framePr w:hSpace="0" w:wrap="auto" w:vAnchor="margin" w:hAnchor="text" w:xAlign="left" w:yAlign="inline"/>
                    <w:rPr>
                      <w:color w:val="auto"/>
                      <w:lang w:val="en-US"/>
                    </w:rPr>
                  </w:pPr>
                </w:p>
              </w:tc>
              <w:tc>
                <w:tcPr>
                  <w:tcW w:w="12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889F04">
                  <w:pPr>
                    <w:pStyle w:val="30"/>
                    <w:framePr w:hSpace="0" w:wrap="auto" w:vAnchor="margin" w:hAnchor="text" w:xAlign="left" w:yAlign="inline"/>
                    <w:rPr>
                      <w:color w:val="auto"/>
                    </w:rPr>
                  </w:pPr>
                </w:p>
              </w:tc>
            </w:tr>
            <w:tr w14:paraId="5168CF20">
              <w:tblPrEx>
                <w:tblCellMar>
                  <w:top w:w="0" w:type="dxa"/>
                  <w:left w:w="108" w:type="dxa"/>
                  <w:bottom w:w="0" w:type="dxa"/>
                  <w:right w:w="108" w:type="dxa"/>
                </w:tblCellMar>
              </w:tblPrEx>
              <w:trPr>
                <w:trHeight w:val="283" w:hRule="atLeast"/>
              </w:trPr>
              <w:tc>
                <w:tcPr>
                  <w:tcW w:w="11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32B217">
                  <w:pPr>
                    <w:pStyle w:val="30"/>
                    <w:framePr w:hSpace="0" w:wrap="auto" w:vAnchor="margin" w:hAnchor="text" w:xAlign="left" w:yAlign="inline"/>
                    <w:rPr>
                      <w:color w:val="auto"/>
                      <w:lang w:val="en-US"/>
                    </w:rPr>
                  </w:pPr>
                  <w:r>
                    <w:rPr>
                      <w:rFonts w:hint="eastAsia"/>
                      <w:color w:val="auto"/>
                      <w:lang w:val="en-US"/>
                    </w:rPr>
                    <w:t>合计</w:t>
                  </w:r>
                </w:p>
              </w:tc>
              <w:tc>
                <w:tcPr>
                  <w:tcW w:w="11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8DA673">
                  <w:pPr>
                    <w:pStyle w:val="30"/>
                    <w:framePr w:hSpace="0" w:wrap="auto" w:vAnchor="margin" w:hAnchor="text" w:xAlign="left" w:yAlign="inline"/>
                    <w:rPr>
                      <w:color w:val="auto"/>
                      <w:lang w:val="en-US"/>
                    </w:rPr>
                  </w:pPr>
                  <w:r>
                    <w:rPr>
                      <w:rFonts w:hint="eastAsia"/>
                      <w:color w:val="auto"/>
                      <w:lang w:val="en-US"/>
                    </w:rPr>
                    <w:t>743.5</w:t>
                  </w:r>
                </w:p>
              </w:tc>
              <w:tc>
                <w:tcPr>
                  <w:tcW w:w="7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50FF4">
                  <w:pPr>
                    <w:pStyle w:val="30"/>
                    <w:framePr w:hSpace="0" w:wrap="auto" w:vAnchor="margin" w:hAnchor="text" w:xAlign="left" w:yAlign="inline"/>
                    <w:rPr>
                      <w:color w:val="auto"/>
                    </w:rPr>
                  </w:pPr>
                  <w:r>
                    <w:rPr>
                      <w:rFonts w:hint="eastAsia"/>
                      <w:color w:val="auto"/>
                    </w:rPr>
                    <w:t>合计</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C03C0A">
                  <w:pPr>
                    <w:pStyle w:val="30"/>
                    <w:framePr w:hSpace="0" w:wrap="auto" w:vAnchor="margin" w:hAnchor="text" w:xAlign="left" w:yAlign="inline"/>
                    <w:rPr>
                      <w:color w:val="auto"/>
                      <w:lang w:val="en-US"/>
                    </w:rPr>
                  </w:pPr>
                  <w:r>
                    <w:rPr>
                      <w:rFonts w:hint="eastAsia"/>
                      <w:color w:val="auto"/>
                      <w:lang w:val="en-US"/>
                    </w:rPr>
                    <w:t>743.5</w:t>
                  </w:r>
                </w:p>
              </w:tc>
              <w:tc>
                <w:tcPr>
                  <w:tcW w:w="12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343A1D">
                  <w:pPr>
                    <w:pStyle w:val="30"/>
                    <w:framePr w:hSpace="0" w:wrap="auto" w:vAnchor="margin" w:hAnchor="text" w:xAlign="left" w:yAlign="inline"/>
                    <w:rPr>
                      <w:color w:val="auto"/>
                    </w:rPr>
                  </w:pPr>
                </w:p>
              </w:tc>
            </w:tr>
          </w:tbl>
          <w:p w14:paraId="24DDEF41">
            <w:pPr>
              <w:pStyle w:val="3"/>
              <w:rPr>
                <w:color w:val="auto"/>
              </w:rPr>
            </w:pPr>
          </w:p>
          <w:p w14:paraId="3D753D57">
            <w:pPr>
              <w:pStyle w:val="3"/>
              <w:rPr>
                <w:color w:val="auto"/>
              </w:rPr>
            </w:pPr>
            <w:r>
              <w:rPr>
                <w:color w:val="auto"/>
              </w:rPr>
              <w:t>2.2.1</w:t>
            </w:r>
            <w:r>
              <w:rPr>
                <w:rFonts w:hint="eastAsia"/>
                <w:color w:val="auto"/>
              </w:rPr>
              <w:t>2公用工程</w:t>
            </w:r>
            <w:bookmarkEnd w:id="31"/>
          </w:p>
          <w:p w14:paraId="410F692A">
            <w:pPr>
              <w:ind w:firstLine="480"/>
              <w:rPr>
                <w:color w:val="auto"/>
              </w:rPr>
            </w:pPr>
            <w:r>
              <w:rPr>
                <w:color w:val="auto"/>
              </w:rPr>
              <w:t>1、给水</w:t>
            </w:r>
          </w:p>
          <w:p w14:paraId="514DD518">
            <w:pPr>
              <w:ind w:firstLine="480"/>
              <w:rPr>
                <w:color w:val="auto"/>
                <w:lang w:eastAsia="zh-TW"/>
              </w:rPr>
            </w:pPr>
            <w:r>
              <w:rPr>
                <w:color w:val="auto"/>
              </w:rPr>
              <w:t>本项目用水量</w:t>
            </w:r>
            <w:r>
              <w:rPr>
                <w:rFonts w:hint="eastAsia"/>
                <w:color w:val="auto"/>
              </w:rPr>
              <w:t>约为4575</w:t>
            </w:r>
            <w:r>
              <w:rPr>
                <w:color w:val="auto"/>
                <w:sz w:val="21"/>
              </w:rPr>
              <w:t>m</w:t>
            </w:r>
            <w:r>
              <w:rPr>
                <w:color w:val="auto"/>
                <w:sz w:val="21"/>
                <w:vertAlign w:val="superscript"/>
              </w:rPr>
              <w:t>3</w:t>
            </w:r>
            <w:r>
              <w:rPr>
                <w:color w:val="auto"/>
                <w:sz w:val="21"/>
              </w:rPr>
              <w:t>/a</w:t>
            </w:r>
            <w:r>
              <w:rPr>
                <w:color w:val="auto"/>
              </w:rPr>
              <w:t>，由</w:t>
            </w:r>
            <w:r>
              <w:rPr>
                <w:color w:val="auto"/>
                <w:lang w:eastAsia="zh-TW"/>
              </w:rPr>
              <w:t>市政给水系统提供。</w:t>
            </w:r>
          </w:p>
          <w:p w14:paraId="5B5EC145">
            <w:pPr>
              <w:ind w:firstLine="480"/>
              <w:rPr>
                <w:color w:val="auto"/>
              </w:rPr>
            </w:pPr>
            <w:r>
              <w:rPr>
                <w:color w:val="auto"/>
              </w:rPr>
              <w:t>2、排水</w:t>
            </w:r>
          </w:p>
          <w:p w14:paraId="4BE457BC">
            <w:pPr>
              <w:ind w:firstLine="480"/>
              <w:rPr>
                <w:color w:val="auto"/>
              </w:rPr>
            </w:pPr>
            <w:r>
              <w:rPr>
                <w:color w:val="auto"/>
              </w:rPr>
              <w:t>本项目</w:t>
            </w:r>
            <w:r>
              <w:rPr>
                <w:color w:val="auto"/>
                <w:lang w:eastAsia="zh-TW"/>
              </w:rPr>
              <w:t>采用雨污分流</w:t>
            </w:r>
            <w:r>
              <w:rPr>
                <w:color w:val="auto"/>
              </w:rPr>
              <w:t>。</w:t>
            </w:r>
            <w:r>
              <w:rPr>
                <w:color w:val="auto"/>
                <w:lang w:eastAsia="zh-TW"/>
              </w:rPr>
              <w:t>雨水</w:t>
            </w:r>
            <w:r>
              <w:rPr>
                <w:color w:val="auto"/>
              </w:rPr>
              <w:t>依托</w:t>
            </w:r>
            <w:r>
              <w:rPr>
                <w:rFonts w:hint="eastAsia"/>
                <w:color w:val="auto"/>
              </w:rPr>
              <w:t>安成经济开发区</w:t>
            </w:r>
            <w:r>
              <w:rPr>
                <w:color w:val="auto"/>
              </w:rPr>
              <w:t>内雨水</w:t>
            </w:r>
            <w:r>
              <w:rPr>
                <w:color w:val="auto"/>
                <w:lang w:eastAsia="zh-TW"/>
              </w:rPr>
              <w:t>管网收集后排入市政雨水管网</w:t>
            </w:r>
            <w:r>
              <w:rPr>
                <w:color w:val="auto"/>
              </w:rPr>
              <w:t>。项目所在区域已纳管，</w:t>
            </w:r>
            <w:r>
              <w:rPr>
                <w:rFonts w:hint="eastAsia"/>
                <w:color w:val="auto"/>
              </w:rPr>
              <w:t>外排废水</w:t>
            </w:r>
            <w:r>
              <w:rPr>
                <w:color w:val="auto"/>
              </w:rPr>
              <w:t>经</w:t>
            </w:r>
            <w:r>
              <w:rPr>
                <w:rFonts w:hint="eastAsia"/>
                <w:color w:val="auto"/>
              </w:rPr>
              <w:t>油水分离池和沉淀池</w:t>
            </w:r>
            <w:r>
              <w:rPr>
                <w:color w:val="auto"/>
              </w:rPr>
              <w:t>处理达标</w:t>
            </w:r>
            <w:r>
              <w:rPr>
                <w:rFonts w:hint="eastAsia"/>
                <w:color w:val="auto"/>
              </w:rPr>
              <w:t>后</w:t>
            </w:r>
            <w:r>
              <w:rPr>
                <w:color w:val="auto"/>
              </w:rPr>
              <w:t>，由区域污水管网接入</w:t>
            </w:r>
            <w:r>
              <w:rPr>
                <w:rFonts w:hint="eastAsia"/>
                <w:color w:val="auto"/>
              </w:rPr>
              <w:t>安成经济开发区污水处理厂</w:t>
            </w:r>
            <w:r>
              <w:rPr>
                <w:color w:val="auto"/>
              </w:rPr>
              <w:t>集中处理，尾水处理达标后由大涧沟排入淮河（淮南段</w:t>
            </w:r>
            <w:r>
              <w:rPr>
                <w:rFonts w:hint="eastAsia"/>
                <w:color w:val="auto"/>
              </w:rPr>
              <w:t>）。</w:t>
            </w:r>
          </w:p>
          <w:p w14:paraId="095A6CE3">
            <w:pPr>
              <w:ind w:firstLine="480"/>
              <w:rPr>
                <w:color w:val="auto"/>
              </w:rPr>
            </w:pPr>
            <w:r>
              <w:rPr>
                <w:color w:val="auto"/>
              </w:rPr>
              <w:t>3、供电</w:t>
            </w:r>
          </w:p>
          <w:p w14:paraId="581C56A5">
            <w:pPr>
              <w:ind w:firstLine="480"/>
              <w:rPr>
                <w:color w:val="auto"/>
              </w:rPr>
            </w:pPr>
            <w:r>
              <w:rPr>
                <w:color w:val="auto"/>
              </w:rPr>
              <w:t>本项目年用电约为</w:t>
            </w:r>
            <w:r>
              <w:rPr>
                <w:rFonts w:hint="eastAsia"/>
                <w:color w:val="auto"/>
              </w:rPr>
              <w:t>5</w:t>
            </w:r>
            <w:r>
              <w:rPr>
                <w:color w:val="auto"/>
              </w:rPr>
              <w:t>万kW·h，由市政电网供电，电力供应充足，可以满足项目所需。</w:t>
            </w:r>
          </w:p>
          <w:p w14:paraId="0670469F">
            <w:pPr>
              <w:ind w:firstLine="480"/>
              <w:rPr>
                <w:color w:val="auto"/>
              </w:rPr>
            </w:pPr>
            <w:r>
              <w:rPr>
                <w:rFonts w:hint="eastAsia"/>
                <w:color w:val="auto"/>
              </w:rPr>
              <w:t>4、洁净车间</w:t>
            </w:r>
          </w:p>
          <w:p w14:paraId="512E7F27">
            <w:pPr>
              <w:ind w:firstLine="480"/>
              <w:rPr>
                <w:color w:val="auto"/>
              </w:rPr>
            </w:pPr>
            <w:r>
              <w:rPr>
                <w:color w:val="auto"/>
              </w:rPr>
              <w:t>项目</w:t>
            </w:r>
            <w:r>
              <w:rPr>
                <w:rFonts w:hint="eastAsia"/>
                <w:color w:val="auto"/>
              </w:rPr>
              <w:t>一层建设约1000m</w:t>
            </w:r>
            <w:r>
              <w:rPr>
                <w:rFonts w:hint="eastAsia"/>
                <w:color w:val="auto"/>
                <w:vertAlign w:val="superscript"/>
              </w:rPr>
              <w:t>2</w:t>
            </w:r>
            <w:r>
              <w:rPr>
                <w:rFonts w:hint="eastAsia"/>
                <w:color w:val="auto"/>
              </w:rPr>
              <w:t>的10万级净化房间</w:t>
            </w:r>
            <w:r>
              <w:rPr>
                <w:color w:val="auto"/>
              </w:rPr>
              <w:t>内，</w:t>
            </w:r>
            <w:r>
              <w:rPr>
                <w:rFonts w:hint="eastAsia"/>
                <w:color w:val="auto"/>
              </w:rPr>
              <w:t>面粉投料、产品包装均在净化车间内进行。</w:t>
            </w:r>
            <w:r>
              <w:rPr>
                <w:color w:val="auto"/>
              </w:rPr>
              <w:t>车间空气净化系统由空气处理装置、空气输送和分配设备等组成的完整系统。洁净空调系统对进风进行初、中、高效过滤，对出风进行中、高效过滤。</w:t>
            </w:r>
          </w:p>
        </w:tc>
      </w:tr>
      <w:tr w14:paraId="42B2C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8" w:hRule="atLeast"/>
          <w:jc w:val="center"/>
        </w:trPr>
        <w:tc>
          <w:tcPr>
            <w:tcW w:w="814" w:type="dxa"/>
            <w:vAlign w:val="center"/>
          </w:tcPr>
          <w:p w14:paraId="2F2B8307">
            <w:pPr>
              <w:adjustRightInd w:val="0"/>
              <w:snapToGrid w:val="0"/>
              <w:jc w:val="center"/>
              <w:rPr>
                <w:color w:val="auto"/>
              </w:rPr>
            </w:pPr>
            <w:r>
              <w:rPr>
                <w:color w:val="auto"/>
              </w:rPr>
              <w:t>工艺流程和产排污环节</w:t>
            </w:r>
          </w:p>
        </w:tc>
        <w:tc>
          <w:tcPr>
            <w:tcW w:w="7708" w:type="dxa"/>
          </w:tcPr>
          <w:p w14:paraId="74590D9E">
            <w:pPr>
              <w:pStyle w:val="3"/>
              <w:rPr>
                <w:color w:val="auto"/>
              </w:rPr>
            </w:pPr>
            <w:bookmarkStart w:id="32" w:name="_Toc14649"/>
            <w:r>
              <w:rPr>
                <w:rFonts w:hint="eastAsia"/>
                <w:color w:val="auto"/>
              </w:rPr>
              <w:t>2.3工艺流程和产排污环节</w:t>
            </w:r>
            <w:bookmarkEnd w:id="32"/>
          </w:p>
          <w:p w14:paraId="7564E235">
            <w:pPr>
              <w:ind w:firstLine="482" w:firstLineChars="200"/>
              <w:rPr>
                <w:b/>
                <w:bCs/>
                <w:color w:val="auto"/>
              </w:rPr>
            </w:pPr>
            <w:r>
              <w:rPr>
                <w:rFonts w:hint="eastAsia"/>
                <w:b/>
                <w:bCs/>
                <w:color w:val="auto"/>
              </w:rPr>
              <w:t>2</w:t>
            </w:r>
            <w:r>
              <w:rPr>
                <w:b/>
                <w:bCs/>
                <w:color w:val="auto"/>
              </w:rPr>
              <w:t>.3.1</w:t>
            </w:r>
            <w:r>
              <w:rPr>
                <w:rFonts w:hint="eastAsia"/>
                <w:b/>
                <w:bCs/>
                <w:color w:val="auto"/>
              </w:rPr>
              <w:t>施工期</w:t>
            </w:r>
          </w:p>
          <w:p w14:paraId="03342B9A">
            <w:pPr>
              <w:ind w:firstLine="480" w:firstLineChars="200"/>
              <w:rPr>
                <w:color w:val="auto"/>
              </w:rPr>
            </w:pPr>
            <w:r>
              <w:rPr>
                <w:rFonts w:hint="eastAsia"/>
                <w:color w:val="auto"/>
              </w:rPr>
              <w:t>项目利用已建成标准化厂房，施工期主要为内部装修及设备安装，基本不涉及土建</w:t>
            </w:r>
            <w:r>
              <w:rPr>
                <w:color w:val="auto"/>
              </w:rPr>
              <w:t>。</w:t>
            </w:r>
          </w:p>
          <w:p w14:paraId="6A3FF89E">
            <w:pPr>
              <w:ind w:firstLine="482" w:firstLineChars="200"/>
              <w:rPr>
                <w:b/>
                <w:bCs/>
                <w:color w:val="auto"/>
              </w:rPr>
            </w:pPr>
            <w:r>
              <w:rPr>
                <w:rFonts w:hint="eastAsia"/>
                <w:b/>
                <w:bCs/>
                <w:color w:val="auto"/>
              </w:rPr>
              <w:t>2</w:t>
            </w:r>
            <w:r>
              <w:rPr>
                <w:b/>
                <w:bCs/>
                <w:color w:val="auto"/>
              </w:rPr>
              <w:t>.3.2</w:t>
            </w:r>
            <w:r>
              <w:rPr>
                <w:rFonts w:hint="eastAsia"/>
                <w:b/>
                <w:bCs/>
                <w:color w:val="auto"/>
              </w:rPr>
              <w:t>营运期</w:t>
            </w:r>
          </w:p>
          <w:p w14:paraId="774D7E44">
            <w:pPr>
              <w:ind w:firstLine="480" w:firstLineChars="200"/>
              <w:rPr>
                <w:color w:val="auto"/>
              </w:rPr>
            </w:pPr>
            <w:r>
              <w:rPr>
                <w:rFonts w:hint="eastAsia"/>
                <w:color w:val="auto"/>
              </w:rPr>
              <w:t>本项目主要为淮南牛肉汤系列产品制造，根据内置材料的不同细分为淮南牛肉汤粉丝、淮南牛肉汤米线和淮南牛肉汤拉面三种产品。本项目主要对牛骨进行熬煮、加工制作骨汤包，通过和面、压延、分切、风干等工序制作半干鲜面，外购成品粉丝包、米线包、酱包、牛肉包、豆芽、醋包、辣椒粉、千张、蔬菜包等进行包装，生产淮南牛肉汤系列产品。</w:t>
            </w:r>
          </w:p>
          <w:p w14:paraId="4D16E56A">
            <w:pPr>
              <w:ind w:firstLine="480" w:firstLineChars="200"/>
              <w:rPr>
                <w:color w:val="auto"/>
              </w:rPr>
            </w:pPr>
            <w:r>
              <w:rPr>
                <w:color w:val="auto"/>
              </w:rPr>
              <w:t>具体工艺流程和产排污环节如下所示</w:t>
            </w:r>
            <w:r>
              <w:rPr>
                <w:rFonts w:hint="eastAsia"/>
                <w:color w:val="auto"/>
              </w:rPr>
              <w:t>。</w:t>
            </w:r>
          </w:p>
          <w:p w14:paraId="334A2DAA">
            <w:pPr>
              <w:ind w:firstLine="480" w:firstLineChars="200"/>
              <w:rPr>
                <w:color w:val="auto"/>
              </w:rPr>
            </w:pPr>
            <w:r>
              <w:rPr>
                <w:rFonts w:hint="eastAsia"/>
                <w:color w:val="auto"/>
              </w:rPr>
              <w:t>1、骨汤包生产工艺流程</w:t>
            </w:r>
          </w:p>
          <w:p w14:paraId="7CF3F0F8">
            <w:pPr>
              <w:spacing w:line="240" w:lineRule="auto"/>
              <w:jc w:val="center"/>
              <w:rPr>
                <w:color w:val="auto"/>
              </w:rPr>
            </w:pPr>
            <w:r>
              <w:rPr>
                <w:rFonts w:hint="eastAsia"/>
                <w:color w:val="auto"/>
              </w:rPr>
              <w:drawing>
                <wp:inline distT="0" distB="0" distL="114300" distR="114300">
                  <wp:extent cx="4131310" cy="7863840"/>
                  <wp:effectExtent l="0" t="0" r="0" b="0"/>
                  <wp:docPr id="7" name="E657119C-6982-421D-8BA7-E74DEB70A7D9-2" descr="C:/Users/Administrator/AppData/Local/Temp/wps.GDqGDM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E657119C-6982-421D-8BA7-E74DEB70A7D9-2" descr="C:/Users/Administrator/AppData/Local/Temp/wps.GDqGDMwps"/>
                          <pic:cNvPicPr>
                            <a:picLocks noChangeAspect="1"/>
                          </pic:cNvPicPr>
                        </pic:nvPicPr>
                        <pic:blipFill>
                          <a:blip r:embed="rId23" cstate="print"/>
                          <a:stretch>
                            <a:fillRect/>
                          </a:stretch>
                        </pic:blipFill>
                        <pic:spPr>
                          <a:xfrm>
                            <a:off x="0" y="0"/>
                            <a:ext cx="4131310" cy="7863840"/>
                          </a:xfrm>
                          <a:prstGeom prst="rect">
                            <a:avLst/>
                          </a:prstGeom>
                        </pic:spPr>
                      </pic:pic>
                    </a:graphicData>
                  </a:graphic>
                </wp:inline>
              </w:drawing>
            </w:r>
          </w:p>
          <w:p w14:paraId="23EE0600">
            <w:pPr>
              <w:rPr>
                <w:color w:val="auto"/>
              </w:rPr>
            </w:pPr>
            <w:r>
              <w:rPr>
                <w:color w:val="auto"/>
                <w:sz w:val="18"/>
                <w:szCs w:val="18"/>
              </w:rPr>
              <w:t>注：噪声伴随生产全过程</w:t>
            </w:r>
          </w:p>
          <w:p w14:paraId="3D1A2E76">
            <w:pPr>
              <w:jc w:val="center"/>
              <w:rPr>
                <w:color w:val="auto"/>
                <w:sz w:val="18"/>
                <w:szCs w:val="18"/>
              </w:rPr>
            </w:pPr>
            <w:r>
              <w:rPr>
                <w:color w:val="auto"/>
              </w:rPr>
              <w:t>图 2-</w:t>
            </w:r>
            <w:r>
              <w:rPr>
                <w:color w:val="auto"/>
              </w:rPr>
              <w:fldChar w:fldCharType="begin"/>
            </w:r>
            <w:r>
              <w:rPr>
                <w:color w:val="auto"/>
              </w:rPr>
              <w:instrText xml:space="preserve"> SEQ 图 \* ARABIC \s 1 </w:instrText>
            </w:r>
            <w:r>
              <w:rPr>
                <w:color w:val="auto"/>
              </w:rPr>
              <w:fldChar w:fldCharType="separate"/>
            </w:r>
            <w:r>
              <w:rPr>
                <w:color w:val="auto"/>
              </w:rPr>
              <w:t>3</w:t>
            </w:r>
            <w:r>
              <w:rPr>
                <w:color w:val="auto"/>
              </w:rPr>
              <w:fldChar w:fldCharType="end"/>
            </w:r>
            <w:r>
              <w:rPr>
                <w:rFonts w:hint="eastAsia"/>
                <w:color w:val="auto"/>
              </w:rPr>
              <w:t>骨汤包</w:t>
            </w:r>
            <w:r>
              <w:rPr>
                <w:color w:val="auto"/>
              </w:rPr>
              <w:t>生产工艺流程图及产污节点图</w:t>
            </w:r>
          </w:p>
          <w:p w14:paraId="4D4EA628">
            <w:pPr>
              <w:ind w:firstLine="482"/>
              <w:rPr>
                <w:b/>
                <w:color w:val="auto"/>
              </w:rPr>
            </w:pPr>
            <w:r>
              <w:rPr>
                <w:b/>
                <w:color w:val="auto"/>
              </w:rPr>
              <w:t>工艺流程说明：</w:t>
            </w:r>
          </w:p>
          <w:p w14:paraId="02D731A7">
            <w:pPr>
              <w:ind w:firstLine="480"/>
              <w:rPr>
                <w:color w:val="auto"/>
              </w:rPr>
            </w:pPr>
            <w:r>
              <w:rPr>
                <w:color w:val="auto"/>
              </w:rPr>
              <w:t>（</w:t>
            </w:r>
            <w:r>
              <w:rPr>
                <w:rFonts w:hint="eastAsia"/>
                <w:color w:val="auto"/>
              </w:rPr>
              <w:t>1</w:t>
            </w:r>
            <w:r>
              <w:rPr>
                <w:color w:val="auto"/>
              </w:rPr>
              <w:t>）</w:t>
            </w:r>
            <w:r>
              <w:rPr>
                <w:rFonts w:hint="eastAsia"/>
                <w:color w:val="auto"/>
              </w:rPr>
              <w:t>解冻：外购牛骨放入方形解冻池内进行解冻。此过程会产生解冻废水W1。</w:t>
            </w:r>
          </w:p>
          <w:p w14:paraId="5FC38B31">
            <w:pPr>
              <w:ind w:firstLine="480"/>
              <w:rPr>
                <w:color w:val="auto"/>
              </w:rPr>
            </w:pPr>
            <w:r>
              <w:rPr>
                <w:rFonts w:hint="eastAsia"/>
                <w:color w:val="auto"/>
              </w:rPr>
              <w:t>（2）清洗：对解冻后的牛骨进行人工清洗。此过程产生清洗废水W2。</w:t>
            </w:r>
          </w:p>
          <w:p w14:paraId="03374391">
            <w:pPr>
              <w:ind w:firstLine="480"/>
              <w:rPr>
                <w:color w:val="auto"/>
              </w:rPr>
            </w:pPr>
            <w:r>
              <w:rPr>
                <w:rFonts w:hint="eastAsia"/>
                <w:color w:val="auto"/>
              </w:rPr>
              <w:t>（3）紫外线（灭菌）：清洗后的牛骨通过紫外线进行灭菌操作。此过程产生废荧光灯管S4，</w:t>
            </w:r>
            <w:r>
              <w:rPr>
                <w:rFonts w:hint="eastAsia"/>
                <w:color w:val="auto"/>
                <w:lang w:eastAsia="zh-CN"/>
              </w:rPr>
              <w:t>暂存在危废暂存间内定期委托有资质单位处理</w:t>
            </w:r>
            <w:r>
              <w:rPr>
                <w:rFonts w:hint="eastAsia"/>
                <w:color w:val="auto"/>
              </w:rPr>
              <w:t>。</w:t>
            </w:r>
          </w:p>
          <w:p w14:paraId="2523AA53">
            <w:pPr>
              <w:ind w:firstLine="480"/>
              <w:rPr>
                <w:color w:val="auto"/>
              </w:rPr>
            </w:pPr>
            <w:r>
              <w:rPr>
                <w:rFonts w:hint="eastAsia"/>
                <w:color w:val="auto"/>
              </w:rPr>
              <w:t>（4）熬煮：灭菌后的牛骨放入夹层锅内，人工</w:t>
            </w:r>
            <w:r>
              <w:rPr>
                <w:color w:val="auto"/>
              </w:rPr>
              <w:t>添加天然香辛料</w:t>
            </w:r>
            <w:r>
              <w:rPr>
                <w:rFonts w:hint="eastAsia"/>
                <w:color w:val="auto"/>
              </w:rPr>
              <w:t>、葱、姜、</w:t>
            </w:r>
            <w:r>
              <w:rPr>
                <w:color w:val="auto"/>
              </w:rPr>
              <w:t>味精</w:t>
            </w:r>
            <w:r>
              <w:rPr>
                <w:rFonts w:hint="eastAsia"/>
                <w:color w:val="auto"/>
              </w:rPr>
              <w:t>，</w:t>
            </w:r>
            <w:r>
              <w:rPr>
                <w:rFonts w:hint="eastAsia"/>
                <w:color w:val="auto"/>
                <w:lang w:eastAsia="zh-CN"/>
              </w:rPr>
              <w:t>采用电加热，</w:t>
            </w:r>
            <w:r>
              <w:rPr>
                <w:color w:val="auto"/>
              </w:rPr>
              <w:t>进行蒸煮入味</w:t>
            </w:r>
            <w:r>
              <w:rPr>
                <w:rFonts w:hint="eastAsia"/>
                <w:color w:val="auto"/>
              </w:rPr>
              <w:t>。此工序产生废包装材料S1和调味料渣S3。</w:t>
            </w:r>
          </w:p>
          <w:p w14:paraId="2F8EFF86">
            <w:pPr>
              <w:ind w:firstLine="480"/>
              <w:rPr>
                <w:color w:val="auto"/>
              </w:rPr>
            </w:pPr>
            <w:r>
              <w:rPr>
                <w:rFonts w:hint="eastAsia"/>
                <w:color w:val="auto"/>
              </w:rPr>
              <w:t>（5）灌汤：蒸煮完成后的汤底使用灌装机直接进行灌装。</w:t>
            </w:r>
          </w:p>
          <w:p w14:paraId="60E009CE">
            <w:pPr>
              <w:ind w:firstLine="480"/>
              <w:rPr>
                <w:rFonts w:hint="default" w:hAnsiTheme="minorHAnsi" w:eastAsiaTheme="minorEastAsia"/>
                <w:color w:val="auto"/>
                <w:szCs w:val="22"/>
                <w:lang w:val="en-US" w:eastAsia="zh-CN"/>
              </w:rPr>
            </w:pPr>
            <w:r>
              <w:rPr>
                <w:rFonts w:hint="eastAsia"/>
                <w:color w:val="auto"/>
              </w:rPr>
              <w:t>（6）杀菌：灌装完成的骨汤包</w:t>
            </w:r>
            <w:r>
              <w:rPr>
                <w:rFonts w:hint="eastAsia"/>
                <w:color w:val="auto"/>
                <w:lang w:eastAsia="zh-CN"/>
              </w:rPr>
              <w:t>送入杀菌锅（电加热）</w:t>
            </w:r>
            <w:r>
              <w:rPr>
                <w:rFonts w:hint="eastAsia" w:ascii="Times New Roman" w:hAnsi="Times New Roman" w:eastAsia="宋体" w:cs="Times New Roman"/>
                <w:color w:val="auto"/>
              </w:rPr>
              <w:t>，</w:t>
            </w:r>
            <w:r>
              <w:rPr>
                <w:rFonts w:hint="eastAsia" w:ascii="Times New Roman" w:hAnsi="Times New Roman" w:eastAsia="宋体" w:cs="Times New Roman"/>
                <w:color w:val="auto"/>
                <w:lang w:eastAsia="zh-CN"/>
              </w:rPr>
              <w:t>采用</w:t>
            </w:r>
            <w:r>
              <w:rPr>
                <w:rFonts w:hint="eastAsia" w:ascii="Times New Roman" w:hAnsi="Times New Roman" w:eastAsia="宋体" w:cs="Times New Roman"/>
                <w:color w:val="auto"/>
              </w:rPr>
              <w:t>高温高压蒸汽水浴灭菌工艺</w:t>
            </w:r>
            <w:r>
              <w:rPr>
                <w:rFonts w:hint="eastAsia" w:ascii="Times New Roman" w:hAnsi="Times New Roman" w:eastAsia="宋体" w:cs="Times New Roman"/>
                <w:color w:val="auto"/>
                <w:lang w:eastAsia="zh-CN"/>
              </w:rPr>
              <w:t>，</w:t>
            </w:r>
            <w:r>
              <w:rPr>
                <w:rFonts w:hint="eastAsia"/>
                <w:color w:val="auto"/>
                <w:lang w:eastAsia="zh-CN"/>
              </w:rPr>
              <w:t>杀菌锅内水体经加热形成灭菌饱和蒸汽，</w:t>
            </w:r>
            <w:r>
              <w:rPr>
                <w:rFonts w:hint="eastAsia" w:hAnsiTheme="minorHAnsi" w:eastAsiaTheme="minorEastAsia"/>
                <w:color w:val="auto"/>
                <w:szCs w:val="22"/>
              </w:rPr>
              <w:t>进行杀菌操作，</w:t>
            </w:r>
            <w:r>
              <w:rPr>
                <w:rFonts w:hint="eastAsia" w:hAnsiTheme="minorHAnsi" w:eastAsiaTheme="minorEastAsia"/>
                <w:color w:val="auto"/>
                <w:szCs w:val="22"/>
                <w:lang w:eastAsia="zh-CN"/>
              </w:rPr>
              <w:t>灭菌结束</w:t>
            </w:r>
            <w:r>
              <w:rPr>
                <w:rFonts w:hint="eastAsia" w:hAnsiTheme="minorHAnsi" w:eastAsiaTheme="minorEastAsia"/>
                <w:color w:val="auto"/>
                <w:szCs w:val="22"/>
              </w:rPr>
              <w:t>后</w:t>
            </w:r>
            <w:r>
              <w:rPr>
                <w:rFonts w:hint="eastAsia" w:hAnsiTheme="minorHAnsi" w:eastAsiaTheme="minorEastAsia"/>
                <w:color w:val="auto"/>
                <w:szCs w:val="22"/>
                <w:lang w:eastAsia="zh-CN"/>
              </w:rPr>
              <w:t>由</w:t>
            </w:r>
            <w:r>
              <w:rPr>
                <w:rFonts w:ascii="宋体" w:hAnsi="宋体" w:eastAsia="宋体" w:cs="宋体"/>
                <w:color w:val="auto"/>
                <w:sz w:val="24"/>
                <w:szCs w:val="24"/>
              </w:rPr>
              <w:t>外部独立冷却水箱输送</w:t>
            </w:r>
            <w:r>
              <w:rPr>
                <w:rFonts w:hint="eastAsia" w:ascii="宋体" w:hAnsi="宋体" w:cs="宋体"/>
                <w:color w:val="auto"/>
                <w:sz w:val="24"/>
                <w:szCs w:val="24"/>
                <w:lang w:eastAsia="zh-CN"/>
              </w:rPr>
              <w:t>清水</w:t>
            </w:r>
            <w:r>
              <w:rPr>
                <w:rFonts w:ascii="宋体" w:hAnsi="宋体" w:eastAsia="宋体" w:cs="宋体"/>
                <w:color w:val="auto"/>
                <w:sz w:val="24"/>
                <w:szCs w:val="24"/>
              </w:rPr>
              <w:t>至杀菌锅夹层</w:t>
            </w:r>
            <w:r>
              <w:rPr>
                <w:rFonts w:hint="eastAsia" w:hAnsiTheme="minorHAnsi" w:eastAsiaTheme="minorEastAsia"/>
                <w:color w:val="auto"/>
                <w:szCs w:val="22"/>
                <w:lang w:eastAsia="zh-CN"/>
              </w:rPr>
              <w:t>进行冷却</w:t>
            </w:r>
            <w:r>
              <w:rPr>
                <w:rFonts w:hint="eastAsia" w:hAnsiTheme="minorHAnsi" w:eastAsiaTheme="minorEastAsia"/>
                <w:color w:val="auto"/>
                <w:szCs w:val="22"/>
              </w:rPr>
              <w:t>降温，整个杀菌过程循环2小时。</w:t>
            </w:r>
          </w:p>
          <w:p w14:paraId="173C7ACB">
            <w:pPr>
              <w:ind w:firstLine="480"/>
              <w:rPr>
                <w:rFonts w:hAnsiTheme="minorHAnsi" w:eastAsiaTheme="minorEastAsia"/>
                <w:color w:val="auto"/>
                <w:szCs w:val="22"/>
              </w:rPr>
            </w:pPr>
            <w:r>
              <w:rPr>
                <w:rFonts w:hint="eastAsia"/>
                <w:color w:val="auto"/>
              </w:rPr>
              <w:t>（7）清洗：杀菌完成后的真空牛肉包装袋，通入冷却水箱使用清水对外表面进行清洗，此过程产生杀菌清洗废水W3。</w:t>
            </w:r>
          </w:p>
          <w:p w14:paraId="676437ED">
            <w:pPr>
              <w:ind w:firstLine="480"/>
              <w:rPr>
                <w:color w:val="auto"/>
                <w:highlight w:val="red"/>
              </w:rPr>
            </w:pPr>
            <w:r>
              <w:rPr>
                <w:rFonts w:hint="eastAsia"/>
                <w:color w:val="auto"/>
              </w:rPr>
              <w:t>（6）风干：清洗完成的骨汤包通过风干设备将表面水分风干。</w:t>
            </w:r>
          </w:p>
          <w:p w14:paraId="331131EB">
            <w:pPr>
              <w:ind w:firstLine="480"/>
              <w:rPr>
                <w:color w:val="auto"/>
              </w:rPr>
            </w:pPr>
            <w:r>
              <w:rPr>
                <w:rFonts w:hint="eastAsia"/>
                <w:color w:val="auto"/>
              </w:rPr>
              <w:t>（7）入库：风干后的骨汤包根据订单需要进行常温储存或进入冷冻库冷冻储存。</w:t>
            </w:r>
          </w:p>
          <w:p w14:paraId="414AF357">
            <w:pPr>
              <w:ind w:firstLine="480"/>
              <w:rPr>
                <w:color w:val="auto"/>
              </w:rPr>
            </w:pPr>
            <w:r>
              <w:rPr>
                <w:rFonts w:hint="eastAsia"/>
                <w:color w:val="auto"/>
              </w:rPr>
              <w:t>2、拉面（生干鲜面）生产工艺流程</w:t>
            </w:r>
          </w:p>
          <w:p w14:paraId="60C9E8AF">
            <w:pPr>
              <w:spacing w:line="240" w:lineRule="auto"/>
              <w:rPr>
                <w:color w:val="auto"/>
              </w:rPr>
            </w:pPr>
            <w:r>
              <w:rPr>
                <w:rFonts w:hint="eastAsia"/>
                <w:color w:val="auto"/>
              </w:rPr>
              <w:drawing>
                <wp:inline distT="0" distB="0" distL="114300" distR="114300">
                  <wp:extent cx="4854575" cy="7519035"/>
                  <wp:effectExtent l="0" t="0" r="0" b="0"/>
                  <wp:docPr id="8" name="E657119C-6982-421D-8BA7-E74DEB70A7D9-3" descr="C:/Users/Administrator/AppData/Local/Temp/wps.eBpEZK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657119C-6982-421D-8BA7-E74DEB70A7D9-3" descr="C:/Users/Administrator/AppData/Local/Temp/wps.eBpEZKwps"/>
                          <pic:cNvPicPr>
                            <a:picLocks noChangeAspect="1"/>
                          </pic:cNvPicPr>
                        </pic:nvPicPr>
                        <pic:blipFill>
                          <a:blip r:embed="rId24"/>
                          <a:srcRect l="-24221" t="1228" r="1019" b="-255"/>
                          <a:stretch>
                            <a:fillRect/>
                          </a:stretch>
                        </pic:blipFill>
                        <pic:spPr>
                          <a:xfrm>
                            <a:off x="0" y="0"/>
                            <a:ext cx="4854575" cy="7519035"/>
                          </a:xfrm>
                          <a:prstGeom prst="rect">
                            <a:avLst/>
                          </a:prstGeom>
                        </pic:spPr>
                      </pic:pic>
                    </a:graphicData>
                  </a:graphic>
                </wp:inline>
              </w:drawing>
            </w:r>
          </w:p>
          <w:p w14:paraId="00DFB40F">
            <w:pPr>
              <w:rPr>
                <w:color w:val="auto"/>
              </w:rPr>
            </w:pPr>
            <w:r>
              <w:rPr>
                <w:color w:val="auto"/>
                <w:sz w:val="18"/>
                <w:szCs w:val="18"/>
              </w:rPr>
              <w:t>注：噪声伴随生产全过程</w:t>
            </w:r>
          </w:p>
          <w:p w14:paraId="0045DC24">
            <w:pPr>
              <w:pStyle w:val="6"/>
              <w:adjustRightInd w:val="0"/>
              <w:snapToGrid w:val="0"/>
              <w:ind w:firstLine="480"/>
              <w:rPr>
                <w:color w:val="auto"/>
              </w:rPr>
            </w:pPr>
            <w:r>
              <w:rPr>
                <w:color w:val="auto"/>
              </w:rPr>
              <w:t xml:space="preserve">图 </w:t>
            </w:r>
            <w:r>
              <w:rPr>
                <w:rFonts w:hint="eastAsia"/>
                <w:color w:val="auto"/>
              </w:rPr>
              <w:t>2-</w:t>
            </w:r>
            <w:r>
              <w:rPr>
                <w:color w:val="auto"/>
              </w:rPr>
              <w:fldChar w:fldCharType="begin"/>
            </w:r>
            <w:r>
              <w:rPr>
                <w:color w:val="auto"/>
              </w:rPr>
              <w:instrText xml:space="preserve"> SEQ 图 \* ARABIC \s 1 </w:instrText>
            </w:r>
            <w:r>
              <w:rPr>
                <w:color w:val="auto"/>
              </w:rPr>
              <w:fldChar w:fldCharType="separate"/>
            </w:r>
            <w:r>
              <w:rPr>
                <w:color w:val="auto"/>
              </w:rPr>
              <w:t>4</w:t>
            </w:r>
            <w:r>
              <w:rPr>
                <w:color w:val="auto"/>
              </w:rPr>
              <w:fldChar w:fldCharType="end"/>
            </w:r>
            <w:r>
              <w:rPr>
                <w:color w:val="auto"/>
              </w:rPr>
              <w:t>生产工艺流程图及产污节点图</w:t>
            </w:r>
          </w:p>
          <w:p w14:paraId="7518C94B">
            <w:pPr>
              <w:ind w:firstLine="482"/>
              <w:rPr>
                <w:b/>
                <w:color w:val="auto"/>
              </w:rPr>
            </w:pPr>
            <w:r>
              <w:rPr>
                <w:b/>
                <w:color w:val="auto"/>
              </w:rPr>
              <w:t>工艺流程说明：</w:t>
            </w:r>
          </w:p>
          <w:p w14:paraId="3A1F65BA">
            <w:pPr>
              <w:spacing w:line="360" w:lineRule="auto"/>
              <w:ind w:firstLine="480"/>
              <w:rPr>
                <w:color w:val="auto"/>
              </w:rPr>
            </w:pPr>
            <w:r>
              <w:rPr>
                <w:color w:val="auto"/>
              </w:rPr>
              <w:t>（</w:t>
            </w:r>
            <w:r>
              <w:rPr>
                <w:rFonts w:hint="eastAsia"/>
                <w:color w:val="auto"/>
              </w:rPr>
              <w:t>1</w:t>
            </w:r>
            <w:r>
              <w:rPr>
                <w:color w:val="auto"/>
              </w:rPr>
              <w:t>）</w:t>
            </w:r>
            <w:r>
              <w:rPr>
                <w:rFonts w:hint="eastAsia"/>
                <w:color w:val="auto"/>
              </w:rPr>
              <w:t>投料：以面粉为主要原料，人工倒入和面机里，此工序产生投料粉尘G1和废包装袋S1。</w:t>
            </w:r>
          </w:p>
          <w:p w14:paraId="1D76D7C9">
            <w:pPr>
              <w:spacing w:line="360" w:lineRule="auto"/>
              <w:ind w:firstLine="480"/>
              <w:rPr>
                <w:color w:val="auto"/>
              </w:rPr>
            </w:pPr>
            <w:r>
              <w:rPr>
                <w:rFonts w:hint="eastAsia"/>
                <w:color w:val="auto"/>
              </w:rPr>
              <w:t>（2）和面：按比例加入水、食用盐，进行和面操作，形成面团。</w:t>
            </w:r>
          </w:p>
          <w:p w14:paraId="5858068E">
            <w:pPr>
              <w:spacing w:line="360" w:lineRule="auto"/>
              <w:ind w:firstLine="480"/>
              <w:rPr>
                <w:color w:val="auto"/>
              </w:rPr>
            </w:pPr>
            <w:r>
              <w:rPr>
                <w:rFonts w:hint="eastAsia"/>
                <w:color w:val="auto"/>
              </w:rPr>
              <w:t>（3）压延：通过压延设备将面团进行挤压形成面片。</w:t>
            </w:r>
          </w:p>
          <w:p w14:paraId="4F30121E">
            <w:pPr>
              <w:spacing w:line="360" w:lineRule="auto"/>
              <w:ind w:firstLine="480"/>
              <w:rPr>
                <w:color w:val="auto"/>
              </w:rPr>
            </w:pPr>
            <w:r>
              <w:rPr>
                <w:rFonts w:hint="eastAsia"/>
                <w:color w:val="auto"/>
              </w:rPr>
              <w:t>（4）切条：把压延好的面片，通过分切机分切成条。</w:t>
            </w:r>
          </w:p>
          <w:p w14:paraId="68AE3D1E">
            <w:pPr>
              <w:spacing w:line="360" w:lineRule="auto"/>
              <w:ind w:firstLine="480"/>
              <w:rPr>
                <w:color w:val="auto"/>
              </w:rPr>
            </w:pPr>
            <w:r>
              <w:rPr>
                <w:rFonts w:hint="eastAsia"/>
                <w:color w:val="auto"/>
              </w:rPr>
              <w:t>（5）烘干：分切后的产品通过干燥设备</w:t>
            </w:r>
            <w:r>
              <w:rPr>
                <w:rFonts w:hint="eastAsia"/>
                <w:color w:val="auto"/>
                <w:lang w:eastAsia="zh-CN"/>
              </w:rPr>
              <w:t>采用电加热</w:t>
            </w:r>
            <w:r>
              <w:rPr>
                <w:rFonts w:hint="eastAsia"/>
                <w:color w:val="auto"/>
              </w:rPr>
              <w:t>进行烘干；</w:t>
            </w:r>
          </w:p>
          <w:p w14:paraId="5EA7B175">
            <w:pPr>
              <w:spacing w:line="360" w:lineRule="auto"/>
              <w:ind w:firstLine="480"/>
              <w:rPr>
                <w:color w:val="auto"/>
              </w:rPr>
            </w:pPr>
            <w:r>
              <w:rPr>
                <w:rFonts w:hint="eastAsia"/>
                <w:color w:val="auto"/>
              </w:rPr>
              <w:t>（6）包装（喷码）：将烘干后的面条采用经紫外消毒后的内包装袋通过包装喷码一体机进行包装；</w:t>
            </w:r>
          </w:p>
          <w:p w14:paraId="17448EF4">
            <w:pPr>
              <w:spacing w:line="360" w:lineRule="auto"/>
              <w:ind w:firstLine="480"/>
              <w:rPr>
                <w:color w:val="auto"/>
              </w:rPr>
            </w:pPr>
            <w:r>
              <w:rPr>
                <w:rFonts w:hint="eastAsia"/>
                <w:color w:val="auto"/>
              </w:rPr>
              <w:t>（6）检重：采用检重秤对包装后的面条进行</w:t>
            </w:r>
            <w:r>
              <w:rPr>
                <w:rFonts w:hint="eastAsia"/>
                <w:color w:val="auto"/>
                <w:lang w:eastAsia="zh-CN"/>
              </w:rPr>
              <w:t>称重</w:t>
            </w:r>
            <w:r>
              <w:rPr>
                <w:rFonts w:hint="eastAsia"/>
                <w:color w:val="auto"/>
              </w:rPr>
              <w:t>，识别‌</w:t>
            </w:r>
            <w:r>
              <w:rPr>
                <w:color w:val="auto"/>
              </w:rPr>
              <w:t>超重、欠重‌或‌缺袋/漏装‌情况</w:t>
            </w:r>
            <w:r>
              <w:rPr>
                <w:rFonts w:hint="eastAsia"/>
                <w:color w:val="auto"/>
              </w:rPr>
              <w:t>。此过程产生不合格品S2。</w:t>
            </w:r>
          </w:p>
          <w:p w14:paraId="15A744AE">
            <w:pPr>
              <w:spacing w:line="360" w:lineRule="auto"/>
              <w:ind w:firstLine="480"/>
              <w:rPr>
                <w:color w:val="auto"/>
              </w:rPr>
            </w:pPr>
            <w:r>
              <w:rPr>
                <w:rFonts w:hint="eastAsia"/>
                <w:color w:val="auto"/>
              </w:rPr>
              <w:t>（7）挑拣：对成品进行人工挑选，合格后装箱入库。</w:t>
            </w:r>
          </w:p>
          <w:p w14:paraId="03F644EB">
            <w:pPr>
              <w:widowControl/>
              <w:adjustRightInd w:val="0"/>
              <w:snapToGrid w:val="0"/>
              <w:spacing w:line="360" w:lineRule="auto"/>
              <w:ind w:firstLine="480" w:firstLineChars="200"/>
              <w:rPr>
                <w:color w:val="auto"/>
              </w:rPr>
            </w:pPr>
            <w:r>
              <w:rPr>
                <w:rFonts w:hint="eastAsia"/>
                <w:color w:val="auto"/>
              </w:rPr>
              <w:t>3、淮南牛肉汤系列产品生产工艺流程</w:t>
            </w:r>
          </w:p>
          <w:p w14:paraId="18EC2503">
            <w:pPr>
              <w:spacing w:line="240" w:lineRule="auto"/>
              <w:ind w:firstLine="480" w:firstLineChars="200"/>
              <w:rPr>
                <w:color w:val="auto"/>
              </w:rPr>
            </w:pPr>
            <w:r>
              <w:rPr>
                <w:rFonts w:hint="eastAsia"/>
                <w:color w:val="auto"/>
              </w:rPr>
              <w:drawing>
                <wp:inline distT="0" distB="0" distL="114300" distR="114300">
                  <wp:extent cx="4072890" cy="3378835"/>
                  <wp:effectExtent l="0" t="0" r="0" b="0"/>
                  <wp:docPr id="9" name="E657119C-6982-421D-8BA7-E74DEB70A7D9-4" descr="C:/Users/Administrator/AppData/Local/Temp/wps.scgQpM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657119C-6982-421D-8BA7-E74DEB70A7D9-4" descr="C:/Users/Administrator/AppData/Local/Temp/wps.scgQpMwps"/>
                          <pic:cNvPicPr>
                            <a:picLocks noChangeAspect="1"/>
                          </pic:cNvPicPr>
                        </pic:nvPicPr>
                        <pic:blipFill>
                          <a:blip r:embed="rId25"/>
                          <a:srcRect l="16645" t="72510" r="25076"/>
                          <a:stretch>
                            <a:fillRect/>
                          </a:stretch>
                        </pic:blipFill>
                        <pic:spPr>
                          <a:xfrm>
                            <a:off x="0" y="0"/>
                            <a:ext cx="4072890" cy="3378835"/>
                          </a:xfrm>
                          <a:prstGeom prst="rect">
                            <a:avLst/>
                          </a:prstGeom>
                        </pic:spPr>
                      </pic:pic>
                    </a:graphicData>
                  </a:graphic>
                </wp:inline>
              </w:drawing>
            </w:r>
          </w:p>
          <w:p w14:paraId="048A07EA">
            <w:pPr>
              <w:pStyle w:val="6"/>
              <w:widowControl/>
              <w:adjustRightInd w:val="0"/>
              <w:snapToGrid w:val="0"/>
              <w:jc w:val="both"/>
              <w:rPr>
                <w:color w:val="auto"/>
              </w:rPr>
            </w:pPr>
            <w:r>
              <w:rPr>
                <w:b w:val="0"/>
                <w:color w:val="auto"/>
                <w:sz w:val="18"/>
                <w:szCs w:val="18"/>
              </w:rPr>
              <w:t>注：噪声伴随生产全过程</w:t>
            </w:r>
          </w:p>
          <w:p w14:paraId="4452EEAC">
            <w:pPr>
              <w:pStyle w:val="6"/>
              <w:adjustRightInd w:val="0"/>
              <w:snapToGrid w:val="0"/>
              <w:rPr>
                <w:color w:val="auto"/>
              </w:rPr>
            </w:pPr>
            <w:r>
              <w:rPr>
                <w:color w:val="auto"/>
              </w:rPr>
              <w:t xml:space="preserve">图 </w:t>
            </w:r>
            <w:r>
              <w:rPr>
                <w:rFonts w:hint="eastAsia"/>
                <w:color w:val="auto"/>
              </w:rPr>
              <w:t>2-</w:t>
            </w:r>
            <w:r>
              <w:rPr>
                <w:color w:val="auto"/>
              </w:rPr>
              <w:fldChar w:fldCharType="begin"/>
            </w:r>
            <w:r>
              <w:rPr>
                <w:color w:val="auto"/>
              </w:rPr>
              <w:instrText xml:space="preserve"> SEQ 图 \* ARABIC \s 1 </w:instrText>
            </w:r>
            <w:r>
              <w:rPr>
                <w:color w:val="auto"/>
              </w:rPr>
              <w:fldChar w:fldCharType="separate"/>
            </w:r>
            <w:r>
              <w:rPr>
                <w:color w:val="auto"/>
              </w:rPr>
              <w:t>5</w:t>
            </w:r>
            <w:r>
              <w:rPr>
                <w:color w:val="auto"/>
              </w:rPr>
              <w:fldChar w:fldCharType="end"/>
            </w:r>
            <w:r>
              <w:rPr>
                <w:rFonts w:hint="eastAsia"/>
                <w:color w:val="auto"/>
              </w:rPr>
              <w:t xml:space="preserve"> 淮南牛肉汤系列产品</w:t>
            </w:r>
            <w:r>
              <w:rPr>
                <w:color w:val="auto"/>
              </w:rPr>
              <w:t>生产工艺流程图及产污节点图</w:t>
            </w:r>
          </w:p>
          <w:p w14:paraId="0AE7396D">
            <w:pPr>
              <w:ind w:firstLine="482"/>
              <w:rPr>
                <w:b/>
                <w:color w:val="auto"/>
              </w:rPr>
            </w:pPr>
            <w:r>
              <w:rPr>
                <w:b/>
                <w:color w:val="auto"/>
              </w:rPr>
              <w:t>工艺流程说明：</w:t>
            </w:r>
          </w:p>
          <w:p w14:paraId="0B5D6FAD">
            <w:pPr>
              <w:spacing w:line="360" w:lineRule="auto"/>
              <w:ind w:firstLine="480"/>
              <w:rPr>
                <w:color w:val="auto"/>
              </w:rPr>
            </w:pPr>
            <w:r>
              <w:rPr>
                <w:color w:val="auto"/>
              </w:rPr>
              <w:t>（</w:t>
            </w:r>
            <w:r>
              <w:rPr>
                <w:rFonts w:hint="eastAsia"/>
                <w:color w:val="auto"/>
              </w:rPr>
              <w:t>1</w:t>
            </w:r>
            <w:r>
              <w:rPr>
                <w:color w:val="auto"/>
              </w:rPr>
              <w:t>）</w:t>
            </w:r>
            <w:r>
              <w:rPr>
                <w:rFonts w:hint="eastAsia"/>
                <w:color w:val="auto"/>
              </w:rPr>
              <w:t>包装：外购外包装袋，将粉丝包/米线包/拉面包、骨汤包、酱料包、牛肉包、豆芽、醋包、辣椒粉、千张、蔬菜包按需放入包装袋中进行包装；</w:t>
            </w:r>
          </w:p>
          <w:p w14:paraId="02B051CE">
            <w:pPr>
              <w:spacing w:line="360" w:lineRule="auto"/>
              <w:ind w:firstLine="480"/>
              <w:rPr>
                <w:color w:val="auto"/>
              </w:rPr>
            </w:pPr>
            <w:r>
              <w:rPr>
                <w:rFonts w:hint="eastAsia"/>
                <w:color w:val="auto"/>
              </w:rPr>
              <w:t>（2）装箱：装箱入库待售。</w:t>
            </w:r>
          </w:p>
          <w:p w14:paraId="0AE805F9">
            <w:pPr>
              <w:ind w:firstLine="482" w:firstLineChars="200"/>
              <w:rPr>
                <w:b/>
                <w:bCs/>
                <w:color w:val="auto"/>
              </w:rPr>
            </w:pPr>
            <w:bookmarkStart w:id="33" w:name="_Toc14804"/>
            <w:r>
              <w:rPr>
                <w:b/>
                <w:bCs/>
                <w:color w:val="auto"/>
              </w:rPr>
              <w:t xml:space="preserve">2.3.3 </w:t>
            </w:r>
            <w:r>
              <w:rPr>
                <w:rFonts w:hint="eastAsia"/>
                <w:b/>
                <w:bCs/>
                <w:color w:val="auto"/>
              </w:rPr>
              <w:t>本项目污染工序及污染因子</w:t>
            </w:r>
            <w:bookmarkEnd w:id="33"/>
          </w:p>
          <w:p w14:paraId="30CE6DE4">
            <w:pPr>
              <w:ind w:firstLine="480" w:firstLineChars="200"/>
              <w:rPr>
                <w:color w:val="auto"/>
              </w:rPr>
            </w:pPr>
            <w:r>
              <w:rPr>
                <w:rFonts w:hint="eastAsia"/>
                <w:color w:val="auto"/>
              </w:rPr>
              <w:t>根据建设项目工艺流程，本项目建设完成后主要污染源及产生的污染物如下：</w:t>
            </w:r>
          </w:p>
          <w:p w14:paraId="184839CA">
            <w:pPr>
              <w:pStyle w:val="6"/>
              <w:rPr>
                <w:color w:val="auto"/>
              </w:rPr>
            </w:pPr>
            <w:r>
              <w:rPr>
                <w:color w:val="auto"/>
              </w:rPr>
              <w:t xml:space="preserve">表 </w:t>
            </w:r>
            <w:r>
              <w:rPr>
                <w:rFonts w:hint="eastAsia"/>
                <w:color w:val="auto"/>
              </w:rPr>
              <w:t>2-</w:t>
            </w:r>
            <w:r>
              <w:rPr>
                <w:color w:val="auto"/>
              </w:rPr>
              <w:fldChar w:fldCharType="begin"/>
            </w:r>
            <w:r>
              <w:rPr>
                <w:color w:val="auto"/>
              </w:rPr>
              <w:instrText xml:space="preserve"> SEQ 表 \* ARABIC \s 1 </w:instrText>
            </w:r>
            <w:r>
              <w:rPr>
                <w:color w:val="auto"/>
              </w:rPr>
              <w:fldChar w:fldCharType="separate"/>
            </w:r>
            <w:r>
              <w:rPr>
                <w:color w:val="auto"/>
              </w:rPr>
              <w:t>13</w:t>
            </w:r>
            <w:r>
              <w:rPr>
                <w:color w:val="auto"/>
              </w:rPr>
              <w:fldChar w:fldCharType="end"/>
            </w:r>
            <w:r>
              <w:rPr>
                <w:color w:val="auto"/>
              </w:rPr>
              <w:t>主要产物环节和排污特征</w:t>
            </w:r>
          </w:p>
          <w:tbl>
            <w:tblPr>
              <w:tblStyle w:val="23"/>
              <w:tblpPr w:leftFromText="180" w:rightFromText="180" w:vertAnchor="text" w:tblpXSpec="center" w:tblpY="1"/>
              <w:tblOverlap w:val="never"/>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1" w:type="dxa"/>
                <w:bottom w:w="0" w:type="dxa"/>
                <w:right w:w="51" w:type="dxa"/>
              </w:tblCellMar>
            </w:tblPr>
            <w:tblGrid>
              <w:gridCol w:w="544"/>
              <w:gridCol w:w="1073"/>
              <w:gridCol w:w="1129"/>
              <w:gridCol w:w="1807"/>
              <w:gridCol w:w="3285"/>
            </w:tblGrid>
            <w:tr w14:paraId="5AC81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12" w:hRule="atLeast"/>
              </w:trPr>
              <w:tc>
                <w:tcPr>
                  <w:tcW w:w="347" w:type="pct"/>
                  <w:vAlign w:val="center"/>
                </w:tcPr>
                <w:p w14:paraId="28CA9704">
                  <w:pPr>
                    <w:pStyle w:val="30"/>
                    <w:framePr w:hSpace="0" w:wrap="auto" w:vAnchor="margin" w:hAnchor="text" w:xAlign="left" w:yAlign="inline"/>
                    <w:rPr>
                      <w:color w:val="auto"/>
                    </w:rPr>
                  </w:pPr>
                  <w:r>
                    <w:rPr>
                      <w:color w:val="auto"/>
                    </w:rPr>
                    <w:t>类别</w:t>
                  </w:r>
                </w:p>
              </w:tc>
              <w:tc>
                <w:tcPr>
                  <w:tcW w:w="1404" w:type="pct"/>
                  <w:gridSpan w:val="2"/>
                  <w:vAlign w:val="center"/>
                </w:tcPr>
                <w:p w14:paraId="5F027D6B">
                  <w:pPr>
                    <w:pStyle w:val="30"/>
                    <w:framePr w:hSpace="0" w:wrap="auto" w:vAnchor="margin" w:hAnchor="text" w:xAlign="left" w:yAlign="inline"/>
                    <w:rPr>
                      <w:color w:val="auto"/>
                    </w:rPr>
                  </w:pPr>
                  <w:r>
                    <w:rPr>
                      <w:rFonts w:hint="eastAsia"/>
                      <w:color w:val="auto"/>
                    </w:rPr>
                    <w:t>产污环节</w:t>
                  </w:r>
                </w:p>
              </w:tc>
              <w:tc>
                <w:tcPr>
                  <w:tcW w:w="1152" w:type="pct"/>
                  <w:vAlign w:val="center"/>
                </w:tcPr>
                <w:p w14:paraId="69C2B54E">
                  <w:pPr>
                    <w:pStyle w:val="30"/>
                    <w:framePr w:hSpace="0" w:wrap="auto" w:vAnchor="margin" w:hAnchor="text" w:xAlign="left" w:yAlign="inline"/>
                    <w:rPr>
                      <w:color w:val="auto"/>
                    </w:rPr>
                  </w:pPr>
                  <w:r>
                    <w:rPr>
                      <w:color w:val="auto"/>
                    </w:rPr>
                    <w:t>污染物</w:t>
                  </w:r>
                </w:p>
              </w:tc>
              <w:tc>
                <w:tcPr>
                  <w:tcW w:w="2095" w:type="pct"/>
                  <w:vAlign w:val="center"/>
                </w:tcPr>
                <w:p w14:paraId="20DC82AD">
                  <w:pPr>
                    <w:pStyle w:val="30"/>
                    <w:framePr w:hSpace="0" w:wrap="auto" w:vAnchor="margin" w:hAnchor="text" w:xAlign="left" w:yAlign="inline"/>
                    <w:rPr>
                      <w:color w:val="auto"/>
                    </w:rPr>
                  </w:pPr>
                  <w:r>
                    <w:rPr>
                      <w:color w:val="auto"/>
                    </w:rPr>
                    <w:t>处理措施</w:t>
                  </w:r>
                </w:p>
              </w:tc>
            </w:tr>
            <w:tr w14:paraId="121CA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90" w:hRule="atLeast"/>
              </w:trPr>
              <w:tc>
                <w:tcPr>
                  <w:tcW w:w="347" w:type="pct"/>
                  <w:vMerge w:val="restart"/>
                  <w:vAlign w:val="center"/>
                </w:tcPr>
                <w:p w14:paraId="30512DE4">
                  <w:pPr>
                    <w:pStyle w:val="30"/>
                    <w:framePr w:hSpace="0" w:wrap="auto" w:vAnchor="margin" w:hAnchor="text" w:xAlign="left" w:yAlign="inline"/>
                    <w:rPr>
                      <w:color w:val="auto"/>
                    </w:rPr>
                  </w:pPr>
                  <w:r>
                    <w:rPr>
                      <w:color w:val="auto"/>
                    </w:rPr>
                    <w:t>废气</w:t>
                  </w:r>
                </w:p>
              </w:tc>
              <w:tc>
                <w:tcPr>
                  <w:tcW w:w="1404" w:type="pct"/>
                  <w:gridSpan w:val="2"/>
                  <w:vAlign w:val="center"/>
                </w:tcPr>
                <w:p w14:paraId="3451012E">
                  <w:pPr>
                    <w:pStyle w:val="30"/>
                    <w:framePr w:hSpace="0" w:wrap="auto" w:vAnchor="margin" w:hAnchor="text" w:xAlign="left" w:yAlign="inline"/>
                    <w:rPr>
                      <w:color w:val="auto"/>
                    </w:rPr>
                  </w:pPr>
                  <w:r>
                    <w:rPr>
                      <w:rFonts w:hint="eastAsia"/>
                      <w:color w:val="auto"/>
                    </w:rPr>
                    <w:t>投料工序</w:t>
                  </w:r>
                </w:p>
              </w:tc>
              <w:tc>
                <w:tcPr>
                  <w:tcW w:w="1152" w:type="pct"/>
                  <w:vAlign w:val="center"/>
                </w:tcPr>
                <w:p w14:paraId="5430821D">
                  <w:pPr>
                    <w:pStyle w:val="30"/>
                    <w:framePr w:hSpace="0" w:wrap="auto" w:vAnchor="margin" w:hAnchor="text" w:xAlign="left" w:yAlign="inline"/>
                    <w:rPr>
                      <w:color w:val="auto"/>
                    </w:rPr>
                  </w:pPr>
                  <w:r>
                    <w:rPr>
                      <w:rFonts w:hint="eastAsia"/>
                      <w:color w:val="auto"/>
                    </w:rPr>
                    <w:t>投料粉尘</w:t>
                  </w:r>
                  <w:r>
                    <w:rPr>
                      <w:color w:val="auto"/>
                    </w:rPr>
                    <w:t>G1</w:t>
                  </w:r>
                </w:p>
              </w:tc>
              <w:tc>
                <w:tcPr>
                  <w:tcW w:w="2095" w:type="pct"/>
                  <w:vAlign w:val="center"/>
                </w:tcPr>
                <w:p w14:paraId="087B09E6">
                  <w:pPr>
                    <w:pStyle w:val="30"/>
                    <w:framePr w:hSpace="0" w:wrap="auto" w:vAnchor="margin" w:hAnchor="text" w:xAlign="left" w:yAlign="inline"/>
                    <w:rPr>
                      <w:color w:val="auto"/>
                      <w:lang w:val="en-US"/>
                    </w:rPr>
                  </w:pPr>
                  <w:r>
                    <w:rPr>
                      <w:rFonts w:hint="eastAsia"/>
                      <w:color w:val="auto"/>
                      <w:kern w:val="0"/>
                      <w:szCs w:val="20"/>
                      <w:lang w:val="en-US" w:eastAsia="zh-CN"/>
                    </w:rPr>
                    <w:t>布袋除尘器处理后</w:t>
                  </w:r>
                  <w:r>
                    <w:rPr>
                      <w:rFonts w:hint="eastAsia"/>
                      <w:color w:val="auto"/>
                      <w:kern w:val="0"/>
                      <w:szCs w:val="20"/>
                      <w:lang w:val="en-US"/>
                    </w:rPr>
                    <w:t>通过洁净车间换气系统排放</w:t>
                  </w:r>
                </w:p>
              </w:tc>
            </w:tr>
            <w:tr w14:paraId="566F1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12" w:hRule="atLeast"/>
              </w:trPr>
              <w:tc>
                <w:tcPr>
                  <w:tcW w:w="347" w:type="pct"/>
                  <w:vMerge w:val="continue"/>
                  <w:vAlign w:val="center"/>
                </w:tcPr>
                <w:p w14:paraId="0341C421">
                  <w:pPr>
                    <w:pStyle w:val="30"/>
                    <w:framePr w:hSpace="0" w:wrap="auto" w:vAnchor="margin" w:hAnchor="text" w:xAlign="left" w:yAlign="inline"/>
                    <w:rPr>
                      <w:color w:val="auto"/>
                    </w:rPr>
                  </w:pPr>
                </w:p>
              </w:tc>
              <w:tc>
                <w:tcPr>
                  <w:tcW w:w="1404" w:type="pct"/>
                  <w:gridSpan w:val="2"/>
                  <w:vAlign w:val="center"/>
                </w:tcPr>
                <w:p w14:paraId="5695A787">
                  <w:pPr>
                    <w:pStyle w:val="30"/>
                    <w:framePr w:hSpace="0" w:wrap="auto" w:vAnchor="margin" w:hAnchor="text" w:xAlign="left" w:yAlign="inline"/>
                    <w:rPr>
                      <w:color w:val="auto"/>
                    </w:rPr>
                  </w:pPr>
                  <w:r>
                    <w:rPr>
                      <w:rFonts w:hint="eastAsia"/>
                      <w:color w:val="auto"/>
                    </w:rPr>
                    <w:t>废水处理</w:t>
                  </w:r>
                </w:p>
              </w:tc>
              <w:tc>
                <w:tcPr>
                  <w:tcW w:w="1152" w:type="pct"/>
                  <w:vAlign w:val="center"/>
                </w:tcPr>
                <w:p w14:paraId="0C7C66F5">
                  <w:pPr>
                    <w:pStyle w:val="30"/>
                    <w:framePr w:hSpace="0" w:wrap="auto" w:vAnchor="margin" w:hAnchor="text" w:xAlign="left" w:yAlign="inline"/>
                    <w:rPr>
                      <w:color w:val="auto"/>
                    </w:rPr>
                  </w:pPr>
                  <w:r>
                    <w:rPr>
                      <w:rFonts w:hint="eastAsia"/>
                      <w:color w:val="auto"/>
                    </w:rPr>
                    <w:t>污水处理设施异味</w:t>
                  </w:r>
                </w:p>
              </w:tc>
              <w:tc>
                <w:tcPr>
                  <w:tcW w:w="2095" w:type="pct"/>
                  <w:vAlign w:val="center"/>
                </w:tcPr>
                <w:p w14:paraId="5B36CF34">
                  <w:pPr>
                    <w:pStyle w:val="30"/>
                    <w:framePr w:hSpace="0" w:wrap="auto" w:vAnchor="margin" w:hAnchor="text" w:xAlign="left" w:yAlign="inline"/>
                    <w:rPr>
                      <w:rFonts w:hint="eastAsia" w:eastAsia="宋体"/>
                      <w:color w:val="auto"/>
                      <w:kern w:val="0"/>
                      <w:szCs w:val="20"/>
                      <w:lang w:val="en-US" w:eastAsia="zh-CN"/>
                    </w:rPr>
                  </w:pPr>
                  <w:r>
                    <w:rPr>
                      <w:rFonts w:hint="eastAsia"/>
                      <w:color w:val="auto"/>
                      <w:lang w:val="en-US" w:eastAsia="zh-CN"/>
                    </w:rPr>
                    <w:t>喷洒除臭剂</w:t>
                  </w:r>
                </w:p>
              </w:tc>
            </w:tr>
            <w:tr w14:paraId="1C873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12" w:hRule="atLeast"/>
              </w:trPr>
              <w:tc>
                <w:tcPr>
                  <w:tcW w:w="347" w:type="pct"/>
                  <w:vMerge w:val="restart"/>
                  <w:vAlign w:val="center"/>
                </w:tcPr>
                <w:p w14:paraId="4EED1F5C">
                  <w:pPr>
                    <w:pStyle w:val="30"/>
                    <w:framePr w:hSpace="0" w:wrap="auto" w:vAnchor="margin" w:hAnchor="text" w:xAlign="left" w:yAlign="inline"/>
                    <w:rPr>
                      <w:color w:val="auto"/>
                    </w:rPr>
                  </w:pPr>
                  <w:r>
                    <w:rPr>
                      <w:color w:val="auto"/>
                    </w:rPr>
                    <w:t>废水</w:t>
                  </w:r>
                </w:p>
              </w:tc>
              <w:tc>
                <w:tcPr>
                  <w:tcW w:w="1404" w:type="pct"/>
                  <w:gridSpan w:val="2"/>
                  <w:vMerge w:val="restart"/>
                  <w:vAlign w:val="center"/>
                </w:tcPr>
                <w:p w14:paraId="64687983">
                  <w:pPr>
                    <w:pStyle w:val="30"/>
                    <w:framePr w:hSpace="0" w:wrap="auto" w:vAnchor="margin" w:hAnchor="text" w:xAlign="left" w:yAlign="inline"/>
                    <w:rPr>
                      <w:color w:val="auto"/>
                    </w:rPr>
                  </w:pPr>
                  <w:r>
                    <w:rPr>
                      <w:rFonts w:hint="eastAsia"/>
                      <w:color w:val="auto"/>
                    </w:rPr>
                    <w:t>生产废水</w:t>
                  </w:r>
                </w:p>
              </w:tc>
              <w:tc>
                <w:tcPr>
                  <w:tcW w:w="1152" w:type="pct"/>
                  <w:vAlign w:val="center"/>
                </w:tcPr>
                <w:p w14:paraId="67D99E71">
                  <w:pPr>
                    <w:pStyle w:val="30"/>
                    <w:framePr w:hSpace="0" w:wrap="auto" w:vAnchor="margin" w:hAnchor="text" w:xAlign="left" w:yAlign="inline"/>
                    <w:rPr>
                      <w:color w:val="auto"/>
                      <w:lang w:val="en-US"/>
                    </w:rPr>
                  </w:pPr>
                  <w:r>
                    <w:rPr>
                      <w:rFonts w:hint="eastAsia"/>
                      <w:color w:val="auto"/>
                      <w:lang w:val="en-US"/>
                    </w:rPr>
                    <w:t>解冻废水W1</w:t>
                  </w:r>
                </w:p>
              </w:tc>
              <w:tc>
                <w:tcPr>
                  <w:tcW w:w="2095" w:type="pct"/>
                  <w:vMerge w:val="restart"/>
                  <w:vAlign w:val="center"/>
                </w:tcPr>
                <w:p w14:paraId="5419FF00">
                  <w:pPr>
                    <w:pStyle w:val="30"/>
                    <w:framePr w:hSpace="0" w:wrap="auto" w:vAnchor="margin" w:hAnchor="text" w:xAlign="left" w:yAlign="inline"/>
                    <w:rPr>
                      <w:color w:val="auto"/>
                    </w:rPr>
                  </w:pPr>
                  <w:r>
                    <w:rPr>
                      <w:rFonts w:hint="eastAsia"/>
                      <w:color w:val="auto"/>
                      <w:lang w:val="en-US"/>
                    </w:rPr>
                    <w:t>生活污水依托化粪池处理，生产废水经隔油池+沉淀池+水解酸化+SBR处理后汇同生活污水一同进入园区污水管网，接入市政污水管网纳管至淮南经开区工业污水处理厂深度处理</w:t>
                  </w:r>
                </w:p>
              </w:tc>
            </w:tr>
            <w:tr w14:paraId="611CE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12" w:hRule="atLeast"/>
              </w:trPr>
              <w:tc>
                <w:tcPr>
                  <w:tcW w:w="347" w:type="pct"/>
                  <w:vMerge w:val="continue"/>
                  <w:vAlign w:val="center"/>
                </w:tcPr>
                <w:p w14:paraId="3D4B764F">
                  <w:pPr>
                    <w:pStyle w:val="30"/>
                    <w:framePr w:hSpace="0" w:wrap="auto" w:vAnchor="margin" w:hAnchor="text" w:xAlign="left" w:yAlign="inline"/>
                    <w:rPr>
                      <w:color w:val="auto"/>
                    </w:rPr>
                  </w:pPr>
                </w:p>
              </w:tc>
              <w:tc>
                <w:tcPr>
                  <w:tcW w:w="1404" w:type="pct"/>
                  <w:gridSpan w:val="2"/>
                  <w:vMerge w:val="continue"/>
                  <w:vAlign w:val="center"/>
                </w:tcPr>
                <w:p w14:paraId="4B9C8E41">
                  <w:pPr>
                    <w:pStyle w:val="30"/>
                    <w:framePr w:hSpace="0" w:wrap="auto" w:vAnchor="margin" w:hAnchor="text" w:xAlign="left" w:yAlign="inline"/>
                    <w:rPr>
                      <w:color w:val="auto"/>
                    </w:rPr>
                  </w:pPr>
                </w:p>
              </w:tc>
              <w:tc>
                <w:tcPr>
                  <w:tcW w:w="1152" w:type="pct"/>
                  <w:shd w:val="clear" w:color="auto" w:fill="auto"/>
                  <w:vAlign w:val="center"/>
                </w:tcPr>
                <w:p w14:paraId="22AD379D">
                  <w:pPr>
                    <w:pStyle w:val="30"/>
                    <w:framePr w:hSpace="0" w:wrap="auto" w:vAnchor="margin" w:hAnchor="text" w:xAlign="left" w:yAlign="inline"/>
                    <w:rPr>
                      <w:rFonts w:cs="宋体"/>
                      <w:color w:val="auto"/>
                      <w:szCs w:val="22"/>
                      <w:lang w:val="en-US"/>
                    </w:rPr>
                  </w:pPr>
                  <w:r>
                    <w:rPr>
                      <w:rFonts w:hint="eastAsia"/>
                      <w:color w:val="auto"/>
                    </w:rPr>
                    <w:t>清洗</w:t>
                  </w:r>
                  <w:r>
                    <w:rPr>
                      <w:color w:val="auto"/>
                    </w:rPr>
                    <w:t>废水</w:t>
                  </w:r>
                  <w:r>
                    <w:rPr>
                      <w:rFonts w:hint="eastAsia"/>
                      <w:color w:val="auto"/>
                      <w:lang w:val="en-US"/>
                    </w:rPr>
                    <w:t>W2</w:t>
                  </w:r>
                </w:p>
              </w:tc>
              <w:tc>
                <w:tcPr>
                  <w:tcW w:w="2095" w:type="pct"/>
                  <w:vMerge w:val="continue"/>
                  <w:vAlign w:val="center"/>
                </w:tcPr>
                <w:p w14:paraId="79B7DB92">
                  <w:pPr>
                    <w:pStyle w:val="30"/>
                    <w:framePr w:hSpace="0" w:wrap="auto" w:vAnchor="margin" w:hAnchor="text" w:xAlign="left" w:yAlign="inline"/>
                    <w:rPr>
                      <w:color w:val="auto"/>
                    </w:rPr>
                  </w:pPr>
                </w:p>
              </w:tc>
            </w:tr>
            <w:tr w14:paraId="38721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12" w:hRule="atLeast"/>
              </w:trPr>
              <w:tc>
                <w:tcPr>
                  <w:tcW w:w="347" w:type="pct"/>
                  <w:vMerge w:val="continue"/>
                  <w:vAlign w:val="center"/>
                </w:tcPr>
                <w:p w14:paraId="3F9F9BF6">
                  <w:pPr>
                    <w:pStyle w:val="30"/>
                    <w:framePr w:hSpace="0" w:wrap="auto" w:vAnchor="margin" w:hAnchor="text" w:xAlign="left" w:yAlign="inline"/>
                    <w:rPr>
                      <w:color w:val="auto"/>
                    </w:rPr>
                  </w:pPr>
                </w:p>
              </w:tc>
              <w:tc>
                <w:tcPr>
                  <w:tcW w:w="1404" w:type="pct"/>
                  <w:gridSpan w:val="2"/>
                  <w:vMerge w:val="continue"/>
                  <w:vAlign w:val="center"/>
                </w:tcPr>
                <w:p w14:paraId="07489FBE">
                  <w:pPr>
                    <w:pStyle w:val="30"/>
                    <w:framePr w:hSpace="0" w:wrap="auto" w:vAnchor="margin" w:hAnchor="text" w:xAlign="left" w:yAlign="inline"/>
                    <w:rPr>
                      <w:color w:val="auto"/>
                    </w:rPr>
                  </w:pPr>
                </w:p>
              </w:tc>
              <w:tc>
                <w:tcPr>
                  <w:tcW w:w="1152" w:type="pct"/>
                  <w:shd w:val="clear" w:color="auto" w:fill="auto"/>
                  <w:vAlign w:val="center"/>
                </w:tcPr>
                <w:p w14:paraId="5EC5CBDE">
                  <w:pPr>
                    <w:pStyle w:val="30"/>
                    <w:framePr w:hSpace="0" w:wrap="auto" w:vAnchor="margin" w:hAnchor="text" w:xAlign="left" w:yAlign="inline"/>
                    <w:rPr>
                      <w:rFonts w:cs="宋体"/>
                      <w:color w:val="auto"/>
                      <w:szCs w:val="22"/>
                      <w:lang w:val="en-US"/>
                    </w:rPr>
                  </w:pPr>
                  <w:r>
                    <w:rPr>
                      <w:rFonts w:hint="eastAsia"/>
                      <w:color w:val="auto"/>
                    </w:rPr>
                    <w:t>杀菌废水</w:t>
                  </w:r>
                  <w:r>
                    <w:rPr>
                      <w:rFonts w:hint="eastAsia"/>
                      <w:color w:val="auto"/>
                      <w:lang w:val="en-US"/>
                    </w:rPr>
                    <w:t>W3</w:t>
                  </w:r>
                </w:p>
              </w:tc>
              <w:tc>
                <w:tcPr>
                  <w:tcW w:w="2095" w:type="pct"/>
                  <w:vMerge w:val="continue"/>
                  <w:vAlign w:val="center"/>
                </w:tcPr>
                <w:p w14:paraId="7B13579D">
                  <w:pPr>
                    <w:pStyle w:val="30"/>
                    <w:framePr w:hSpace="0" w:wrap="auto" w:vAnchor="margin" w:hAnchor="text" w:xAlign="left" w:yAlign="inline"/>
                    <w:rPr>
                      <w:color w:val="auto"/>
                    </w:rPr>
                  </w:pPr>
                </w:p>
              </w:tc>
            </w:tr>
            <w:tr w14:paraId="6F327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12" w:hRule="atLeast"/>
              </w:trPr>
              <w:tc>
                <w:tcPr>
                  <w:tcW w:w="347" w:type="pct"/>
                  <w:vMerge w:val="continue"/>
                  <w:vAlign w:val="center"/>
                </w:tcPr>
                <w:p w14:paraId="4A28B1BD">
                  <w:pPr>
                    <w:pStyle w:val="30"/>
                    <w:framePr w:hSpace="0" w:wrap="auto" w:vAnchor="margin" w:hAnchor="text" w:xAlign="left" w:yAlign="inline"/>
                    <w:rPr>
                      <w:color w:val="auto"/>
                    </w:rPr>
                  </w:pPr>
                </w:p>
              </w:tc>
              <w:tc>
                <w:tcPr>
                  <w:tcW w:w="1404" w:type="pct"/>
                  <w:gridSpan w:val="2"/>
                  <w:vMerge w:val="continue"/>
                  <w:vAlign w:val="center"/>
                </w:tcPr>
                <w:p w14:paraId="1CA57F47">
                  <w:pPr>
                    <w:pStyle w:val="30"/>
                    <w:framePr w:hSpace="0" w:wrap="auto" w:vAnchor="margin" w:hAnchor="text" w:xAlign="left" w:yAlign="inline"/>
                    <w:rPr>
                      <w:color w:val="auto"/>
                    </w:rPr>
                  </w:pPr>
                </w:p>
              </w:tc>
              <w:tc>
                <w:tcPr>
                  <w:tcW w:w="1152" w:type="pct"/>
                  <w:shd w:val="clear" w:color="auto" w:fill="auto"/>
                  <w:vAlign w:val="center"/>
                </w:tcPr>
                <w:p w14:paraId="085EEC26">
                  <w:pPr>
                    <w:pStyle w:val="30"/>
                    <w:framePr w:hSpace="0" w:wrap="auto" w:vAnchor="margin" w:hAnchor="text" w:xAlign="left" w:yAlign="inline"/>
                    <w:rPr>
                      <w:color w:val="auto"/>
                      <w:lang w:val="en-US"/>
                    </w:rPr>
                  </w:pPr>
                  <w:r>
                    <w:rPr>
                      <w:rFonts w:hint="eastAsia"/>
                      <w:color w:val="auto"/>
                    </w:rPr>
                    <w:t>设备清洗废水</w:t>
                  </w:r>
                  <w:r>
                    <w:rPr>
                      <w:rFonts w:hint="eastAsia"/>
                      <w:color w:val="auto"/>
                      <w:lang w:val="en-US"/>
                    </w:rPr>
                    <w:t>W4</w:t>
                  </w:r>
                </w:p>
              </w:tc>
              <w:tc>
                <w:tcPr>
                  <w:tcW w:w="2095" w:type="pct"/>
                  <w:vMerge w:val="continue"/>
                  <w:vAlign w:val="center"/>
                </w:tcPr>
                <w:p w14:paraId="62CF4EE7">
                  <w:pPr>
                    <w:pStyle w:val="30"/>
                    <w:framePr w:hSpace="0" w:wrap="auto" w:vAnchor="margin" w:hAnchor="text" w:xAlign="left" w:yAlign="inline"/>
                    <w:rPr>
                      <w:color w:val="auto"/>
                    </w:rPr>
                  </w:pPr>
                </w:p>
              </w:tc>
            </w:tr>
            <w:tr w14:paraId="35E17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12" w:hRule="atLeast"/>
              </w:trPr>
              <w:tc>
                <w:tcPr>
                  <w:tcW w:w="347" w:type="pct"/>
                  <w:vMerge w:val="continue"/>
                  <w:vAlign w:val="center"/>
                </w:tcPr>
                <w:p w14:paraId="7C4DAC6C">
                  <w:pPr>
                    <w:pStyle w:val="30"/>
                    <w:framePr w:hSpace="0" w:wrap="auto" w:vAnchor="margin" w:hAnchor="text" w:xAlign="left" w:yAlign="inline"/>
                    <w:rPr>
                      <w:color w:val="auto"/>
                    </w:rPr>
                  </w:pPr>
                </w:p>
              </w:tc>
              <w:tc>
                <w:tcPr>
                  <w:tcW w:w="1404" w:type="pct"/>
                  <w:gridSpan w:val="2"/>
                  <w:vMerge w:val="continue"/>
                  <w:vAlign w:val="center"/>
                </w:tcPr>
                <w:p w14:paraId="1D4EDF1C">
                  <w:pPr>
                    <w:pStyle w:val="30"/>
                    <w:framePr w:hSpace="0" w:wrap="auto" w:vAnchor="margin" w:hAnchor="text" w:xAlign="left" w:yAlign="inline"/>
                    <w:rPr>
                      <w:color w:val="auto"/>
                    </w:rPr>
                  </w:pPr>
                </w:p>
              </w:tc>
              <w:tc>
                <w:tcPr>
                  <w:tcW w:w="1152" w:type="pct"/>
                  <w:shd w:val="clear" w:color="auto" w:fill="auto"/>
                  <w:vAlign w:val="center"/>
                </w:tcPr>
                <w:p w14:paraId="6EBEBC02">
                  <w:pPr>
                    <w:pStyle w:val="30"/>
                    <w:framePr w:hSpace="0" w:wrap="auto" w:vAnchor="margin" w:hAnchor="text" w:xAlign="left" w:yAlign="inline"/>
                    <w:rPr>
                      <w:color w:val="auto"/>
                      <w:lang w:val="en-US"/>
                    </w:rPr>
                  </w:pPr>
                  <w:r>
                    <w:rPr>
                      <w:rFonts w:hint="eastAsia"/>
                      <w:color w:val="auto"/>
                    </w:rPr>
                    <w:t>地面清洗废水</w:t>
                  </w:r>
                  <w:r>
                    <w:rPr>
                      <w:rFonts w:hint="eastAsia"/>
                      <w:color w:val="auto"/>
                      <w:lang w:val="en-US"/>
                    </w:rPr>
                    <w:t>W5</w:t>
                  </w:r>
                </w:p>
              </w:tc>
              <w:tc>
                <w:tcPr>
                  <w:tcW w:w="2095" w:type="pct"/>
                  <w:vMerge w:val="continue"/>
                  <w:vAlign w:val="center"/>
                </w:tcPr>
                <w:p w14:paraId="5CD439C1">
                  <w:pPr>
                    <w:pStyle w:val="30"/>
                    <w:framePr w:hSpace="0" w:wrap="auto" w:vAnchor="margin" w:hAnchor="text" w:xAlign="left" w:yAlign="inline"/>
                    <w:rPr>
                      <w:color w:val="auto"/>
                    </w:rPr>
                  </w:pPr>
                </w:p>
              </w:tc>
            </w:tr>
            <w:tr w14:paraId="0973F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12" w:hRule="atLeast"/>
              </w:trPr>
              <w:tc>
                <w:tcPr>
                  <w:tcW w:w="347" w:type="pct"/>
                  <w:vMerge w:val="continue"/>
                  <w:vAlign w:val="center"/>
                </w:tcPr>
                <w:p w14:paraId="4053BA4D">
                  <w:pPr>
                    <w:pStyle w:val="30"/>
                    <w:framePr w:hSpace="0" w:wrap="auto" w:vAnchor="margin" w:hAnchor="text" w:xAlign="left" w:yAlign="inline"/>
                    <w:rPr>
                      <w:color w:val="auto"/>
                    </w:rPr>
                  </w:pPr>
                </w:p>
              </w:tc>
              <w:tc>
                <w:tcPr>
                  <w:tcW w:w="1404" w:type="pct"/>
                  <w:gridSpan w:val="2"/>
                  <w:shd w:val="clear" w:color="auto" w:fill="auto"/>
                  <w:vAlign w:val="center"/>
                </w:tcPr>
                <w:p w14:paraId="117F05F1">
                  <w:pPr>
                    <w:pStyle w:val="30"/>
                    <w:framePr w:hSpace="0" w:wrap="auto" w:vAnchor="margin" w:hAnchor="text" w:xAlign="left" w:yAlign="inline"/>
                    <w:rPr>
                      <w:color w:val="auto"/>
                    </w:rPr>
                  </w:pPr>
                  <w:r>
                    <w:rPr>
                      <w:color w:val="auto"/>
                    </w:rPr>
                    <w:t>职工生活</w:t>
                  </w:r>
                </w:p>
              </w:tc>
              <w:tc>
                <w:tcPr>
                  <w:tcW w:w="1152" w:type="pct"/>
                  <w:shd w:val="clear" w:color="auto" w:fill="auto"/>
                  <w:vAlign w:val="center"/>
                </w:tcPr>
                <w:p w14:paraId="72CE631A">
                  <w:pPr>
                    <w:pStyle w:val="30"/>
                    <w:framePr w:hSpace="0" w:wrap="auto" w:vAnchor="margin" w:hAnchor="text" w:xAlign="left" w:yAlign="inline"/>
                    <w:rPr>
                      <w:color w:val="auto"/>
                      <w:lang w:val="en-US"/>
                    </w:rPr>
                  </w:pPr>
                  <w:r>
                    <w:rPr>
                      <w:color w:val="auto"/>
                    </w:rPr>
                    <w:t>生活污水</w:t>
                  </w:r>
                  <w:r>
                    <w:rPr>
                      <w:rFonts w:hint="eastAsia"/>
                      <w:color w:val="auto"/>
                      <w:lang w:val="en-US"/>
                    </w:rPr>
                    <w:t>W6</w:t>
                  </w:r>
                </w:p>
              </w:tc>
              <w:tc>
                <w:tcPr>
                  <w:tcW w:w="2095" w:type="pct"/>
                  <w:vMerge w:val="continue"/>
                  <w:vAlign w:val="center"/>
                </w:tcPr>
                <w:p w14:paraId="40C75447">
                  <w:pPr>
                    <w:pStyle w:val="30"/>
                    <w:framePr w:hSpace="0" w:wrap="auto" w:vAnchor="margin" w:hAnchor="text" w:xAlign="left" w:yAlign="inline"/>
                    <w:rPr>
                      <w:color w:val="auto"/>
                    </w:rPr>
                  </w:pPr>
                </w:p>
              </w:tc>
            </w:tr>
            <w:tr w14:paraId="16D63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12" w:hRule="atLeast"/>
              </w:trPr>
              <w:tc>
                <w:tcPr>
                  <w:tcW w:w="347" w:type="pct"/>
                  <w:vMerge w:val="restart"/>
                  <w:vAlign w:val="center"/>
                </w:tcPr>
                <w:p w14:paraId="390C9BFE">
                  <w:pPr>
                    <w:pStyle w:val="30"/>
                    <w:framePr w:hSpace="0" w:wrap="auto" w:vAnchor="margin" w:hAnchor="text" w:xAlign="left" w:yAlign="inline"/>
                    <w:rPr>
                      <w:color w:val="auto"/>
                    </w:rPr>
                  </w:pPr>
                  <w:r>
                    <w:rPr>
                      <w:color w:val="auto"/>
                    </w:rPr>
                    <w:t>固废</w:t>
                  </w:r>
                </w:p>
              </w:tc>
              <w:tc>
                <w:tcPr>
                  <w:tcW w:w="684" w:type="pct"/>
                  <w:vMerge w:val="restart"/>
                  <w:vAlign w:val="center"/>
                </w:tcPr>
                <w:p w14:paraId="34731D1B">
                  <w:pPr>
                    <w:pStyle w:val="30"/>
                    <w:framePr w:hSpace="0" w:wrap="auto" w:vAnchor="margin" w:hAnchor="text" w:xAlign="left" w:yAlign="inline"/>
                    <w:rPr>
                      <w:color w:val="auto"/>
                    </w:rPr>
                  </w:pPr>
                  <w:r>
                    <w:rPr>
                      <w:rFonts w:hint="eastAsia"/>
                      <w:color w:val="auto"/>
                    </w:rPr>
                    <w:t>一般工业固废</w:t>
                  </w:r>
                </w:p>
              </w:tc>
              <w:tc>
                <w:tcPr>
                  <w:tcW w:w="719" w:type="pct"/>
                  <w:vAlign w:val="center"/>
                </w:tcPr>
                <w:p w14:paraId="0A57BCCB">
                  <w:pPr>
                    <w:pStyle w:val="30"/>
                    <w:framePr w:hSpace="0" w:wrap="auto" w:vAnchor="margin" w:hAnchor="text" w:xAlign="left" w:yAlign="inline"/>
                    <w:rPr>
                      <w:color w:val="auto"/>
                    </w:rPr>
                  </w:pPr>
                  <w:r>
                    <w:rPr>
                      <w:rFonts w:hint="eastAsia"/>
                      <w:color w:val="auto"/>
                    </w:rPr>
                    <w:t>投料</w:t>
                  </w:r>
                </w:p>
              </w:tc>
              <w:tc>
                <w:tcPr>
                  <w:tcW w:w="1152" w:type="pct"/>
                  <w:vAlign w:val="center"/>
                </w:tcPr>
                <w:p w14:paraId="26CFBF8E">
                  <w:pPr>
                    <w:pStyle w:val="30"/>
                    <w:framePr w:hSpace="0" w:wrap="auto" w:vAnchor="margin" w:hAnchor="text" w:xAlign="left" w:yAlign="inline"/>
                    <w:rPr>
                      <w:color w:val="auto"/>
                    </w:rPr>
                  </w:pPr>
                  <w:r>
                    <w:rPr>
                      <w:rFonts w:hint="eastAsia"/>
                      <w:color w:val="auto"/>
                    </w:rPr>
                    <w:t>废包装材料S</w:t>
                  </w:r>
                  <w:r>
                    <w:rPr>
                      <w:color w:val="auto"/>
                    </w:rPr>
                    <w:t>1</w:t>
                  </w:r>
                </w:p>
              </w:tc>
              <w:tc>
                <w:tcPr>
                  <w:tcW w:w="2095" w:type="pct"/>
                  <w:vAlign w:val="center"/>
                </w:tcPr>
                <w:p w14:paraId="48D648F8">
                  <w:pPr>
                    <w:pStyle w:val="30"/>
                    <w:framePr w:hSpace="0" w:wrap="auto" w:vAnchor="margin" w:hAnchor="text" w:xAlign="left" w:yAlign="inline"/>
                    <w:rPr>
                      <w:color w:val="auto"/>
                    </w:rPr>
                  </w:pPr>
                  <w:r>
                    <w:rPr>
                      <w:rFonts w:hint="eastAsia"/>
                      <w:color w:val="auto"/>
                    </w:rPr>
                    <w:t>收集后外售物资回收单位</w:t>
                  </w:r>
                </w:p>
              </w:tc>
            </w:tr>
            <w:tr w14:paraId="4DFC4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12" w:hRule="atLeast"/>
              </w:trPr>
              <w:tc>
                <w:tcPr>
                  <w:tcW w:w="347" w:type="pct"/>
                  <w:vMerge w:val="continue"/>
                  <w:vAlign w:val="center"/>
                </w:tcPr>
                <w:p w14:paraId="782581BE">
                  <w:pPr>
                    <w:pStyle w:val="30"/>
                    <w:framePr w:hSpace="0" w:wrap="auto" w:vAnchor="margin" w:hAnchor="text" w:xAlign="left" w:yAlign="inline"/>
                    <w:rPr>
                      <w:color w:val="auto"/>
                    </w:rPr>
                  </w:pPr>
                </w:p>
              </w:tc>
              <w:tc>
                <w:tcPr>
                  <w:tcW w:w="684" w:type="pct"/>
                  <w:vMerge w:val="continue"/>
                  <w:vAlign w:val="center"/>
                </w:tcPr>
                <w:p w14:paraId="381158A1">
                  <w:pPr>
                    <w:pStyle w:val="30"/>
                    <w:framePr w:hSpace="0" w:wrap="auto" w:vAnchor="margin" w:hAnchor="text" w:xAlign="left" w:yAlign="inline"/>
                    <w:rPr>
                      <w:color w:val="auto"/>
                    </w:rPr>
                  </w:pPr>
                </w:p>
              </w:tc>
              <w:tc>
                <w:tcPr>
                  <w:tcW w:w="719" w:type="pct"/>
                  <w:vAlign w:val="center"/>
                </w:tcPr>
                <w:p w14:paraId="1405172E">
                  <w:pPr>
                    <w:pStyle w:val="30"/>
                    <w:framePr w:hSpace="0" w:wrap="auto" w:vAnchor="margin" w:hAnchor="text" w:xAlign="left" w:yAlign="inline"/>
                    <w:rPr>
                      <w:color w:val="auto"/>
                    </w:rPr>
                  </w:pPr>
                  <w:r>
                    <w:rPr>
                      <w:rFonts w:hint="eastAsia"/>
                      <w:color w:val="auto"/>
                    </w:rPr>
                    <w:t>挑拣</w:t>
                  </w:r>
                </w:p>
              </w:tc>
              <w:tc>
                <w:tcPr>
                  <w:tcW w:w="1152" w:type="pct"/>
                  <w:vAlign w:val="center"/>
                </w:tcPr>
                <w:p w14:paraId="3C724587">
                  <w:pPr>
                    <w:pStyle w:val="30"/>
                    <w:framePr w:hSpace="0" w:wrap="auto" w:vAnchor="margin" w:hAnchor="text" w:xAlign="left" w:yAlign="inline"/>
                    <w:rPr>
                      <w:color w:val="auto"/>
                    </w:rPr>
                  </w:pPr>
                  <w:r>
                    <w:rPr>
                      <w:rFonts w:hint="eastAsia"/>
                      <w:color w:val="auto"/>
                    </w:rPr>
                    <w:t>不合格品S</w:t>
                  </w:r>
                  <w:r>
                    <w:rPr>
                      <w:color w:val="auto"/>
                    </w:rPr>
                    <w:t>2</w:t>
                  </w:r>
                </w:p>
              </w:tc>
              <w:tc>
                <w:tcPr>
                  <w:tcW w:w="2095" w:type="pct"/>
                  <w:vMerge w:val="restart"/>
                  <w:vAlign w:val="center"/>
                </w:tcPr>
                <w:p w14:paraId="5A32F5EA">
                  <w:pPr>
                    <w:pStyle w:val="30"/>
                    <w:framePr w:hSpace="0" w:wrap="auto" w:vAnchor="margin" w:hAnchor="text" w:xAlign="left" w:yAlign="inline"/>
                    <w:rPr>
                      <w:color w:val="auto"/>
                    </w:rPr>
                  </w:pPr>
                  <w:r>
                    <w:rPr>
                      <w:rFonts w:hint="eastAsia"/>
                      <w:color w:val="auto"/>
                    </w:rPr>
                    <w:t>收集后委托处理</w:t>
                  </w:r>
                </w:p>
              </w:tc>
            </w:tr>
            <w:tr w14:paraId="06CF2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12" w:hRule="atLeast"/>
              </w:trPr>
              <w:tc>
                <w:tcPr>
                  <w:tcW w:w="347" w:type="pct"/>
                  <w:vMerge w:val="continue"/>
                  <w:vAlign w:val="center"/>
                </w:tcPr>
                <w:p w14:paraId="3B627B61">
                  <w:pPr>
                    <w:pStyle w:val="30"/>
                    <w:framePr w:hSpace="0" w:wrap="auto" w:vAnchor="margin" w:hAnchor="text" w:xAlign="left" w:yAlign="inline"/>
                    <w:rPr>
                      <w:color w:val="auto"/>
                    </w:rPr>
                  </w:pPr>
                </w:p>
              </w:tc>
              <w:tc>
                <w:tcPr>
                  <w:tcW w:w="684" w:type="pct"/>
                  <w:vMerge w:val="continue"/>
                  <w:vAlign w:val="center"/>
                </w:tcPr>
                <w:p w14:paraId="78A5C0A1">
                  <w:pPr>
                    <w:pStyle w:val="30"/>
                    <w:framePr w:hSpace="0" w:wrap="auto" w:vAnchor="margin" w:hAnchor="text" w:xAlign="left" w:yAlign="inline"/>
                    <w:rPr>
                      <w:color w:val="auto"/>
                    </w:rPr>
                  </w:pPr>
                </w:p>
              </w:tc>
              <w:tc>
                <w:tcPr>
                  <w:tcW w:w="719" w:type="pct"/>
                  <w:vAlign w:val="center"/>
                </w:tcPr>
                <w:p w14:paraId="2C00CB69">
                  <w:pPr>
                    <w:pStyle w:val="30"/>
                    <w:framePr w:hSpace="0" w:wrap="auto" w:vAnchor="margin" w:hAnchor="text" w:xAlign="left" w:yAlign="inline"/>
                    <w:rPr>
                      <w:color w:val="auto"/>
                    </w:rPr>
                  </w:pPr>
                  <w:r>
                    <w:rPr>
                      <w:rFonts w:hint="eastAsia"/>
                      <w:color w:val="auto"/>
                      <w:lang w:val="en-US"/>
                    </w:rPr>
                    <w:t>熬煮</w:t>
                  </w:r>
                </w:p>
              </w:tc>
              <w:tc>
                <w:tcPr>
                  <w:tcW w:w="1152" w:type="pct"/>
                  <w:vAlign w:val="center"/>
                </w:tcPr>
                <w:p w14:paraId="0BCD7C70">
                  <w:pPr>
                    <w:pStyle w:val="30"/>
                    <w:framePr w:hSpace="0" w:wrap="auto" w:vAnchor="margin" w:hAnchor="text" w:xAlign="left" w:yAlign="inline"/>
                    <w:rPr>
                      <w:color w:val="auto"/>
                    </w:rPr>
                  </w:pPr>
                  <w:r>
                    <w:rPr>
                      <w:rFonts w:hint="eastAsia"/>
                      <w:color w:val="auto"/>
                    </w:rPr>
                    <w:t>调味料渣S</w:t>
                  </w:r>
                  <w:r>
                    <w:rPr>
                      <w:color w:val="auto"/>
                    </w:rPr>
                    <w:t>3</w:t>
                  </w:r>
                </w:p>
              </w:tc>
              <w:tc>
                <w:tcPr>
                  <w:tcW w:w="2095" w:type="pct"/>
                  <w:vMerge w:val="continue"/>
                  <w:vAlign w:val="center"/>
                </w:tcPr>
                <w:p w14:paraId="29F951BC">
                  <w:pPr>
                    <w:pStyle w:val="30"/>
                    <w:framePr w:hSpace="0" w:wrap="auto" w:vAnchor="margin" w:hAnchor="text" w:xAlign="left" w:yAlign="inline"/>
                    <w:rPr>
                      <w:color w:val="auto"/>
                    </w:rPr>
                  </w:pPr>
                </w:p>
              </w:tc>
            </w:tr>
            <w:tr w14:paraId="410C8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12" w:hRule="atLeast"/>
              </w:trPr>
              <w:tc>
                <w:tcPr>
                  <w:tcW w:w="347" w:type="pct"/>
                  <w:vMerge w:val="continue"/>
                  <w:vAlign w:val="center"/>
                </w:tcPr>
                <w:p w14:paraId="1A23D61B">
                  <w:pPr>
                    <w:pStyle w:val="30"/>
                    <w:framePr w:hSpace="0" w:wrap="auto" w:vAnchor="margin" w:hAnchor="text" w:xAlign="left" w:yAlign="inline"/>
                    <w:rPr>
                      <w:color w:val="auto"/>
                    </w:rPr>
                  </w:pPr>
                </w:p>
              </w:tc>
              <w:tc>
                <w:tcPr>
                  <w:tcW w:w="684" w:type="pct"/>
                  <w:vMerge w:val="continue"/>
                  <w:vAlign w:val="center"/>
                </w:tcPr>
                <w:p w14:paraId="190EF904">
                  <w:pPr>
                    <w:pStyle w:val="30"/>
                    <w:framePr w:hSpace="0" w:wrap="auto" w:vAnchor="margin" w:hAnchor="text" w:xAlign="left" w:yAlign="inline"/>
                    <w:rPr>
                      <w:color w:val="auto"/>
                    </w:rPr>
                  </w:pPr>
                </w:p>
              </w:tc>
              <w:tc>
                <w:tcPr>
                  <w:tcW w:w="719" w:type="pct"/>
                  <w:vAlign w:val="center"/>
                </w:tcPr>
                <w:p w14:paraId="3B4E8640">
                  <w:pPr>
                    <w:pStyle w:val="30"/>
                    <w:framePr w:hSpace="0" w:wrap="auto" w:vAnchor="margin" w:hAnchor="text" w:xAlign="left" w:yAlign="inline"/>
                    <w:rPr>
                      <w:color w:val="auto"/>
                      <w:lang w:val="en-US"/>
                    </w:rPr>
                  </w:pPr>
                  <w:r>
                    <w:rPr>
                      <w:rFonts w:hint="eastAsia"/>
                      <w:color w:val="auto"/>
                      <w:lang w:val="en-US"/>
                    </w:rPr>
                    <w:t>洁净车间</w:t>
                  </w:r>
                </w:p>
              </w:tc>
              <w:tc>
                <w:tcPr>
                  <w:tcW w:w="1152" w:type="pct"/>
                  <w:vAlign w:val="center"/>
                </w:tcPr>
                <w:p w14:paraId="4311818E">
                  <w:pPr>
                    <w:pStyle w:val="30"/>
                    <w:framePr w:hSpace="0" w:wrap="auto" w:vAnchor="margin" w:hAnchor="text" w:xAlign="left" w:yAlign="inline"/>
                    <w:rPr>
                      <w:color w:val="auto"/>
                      <w:lang w:val="en-US"/>
                    </w:rPr>
                  </w:pPr>
                  <w:r>
                    <w:rPr>
                      <w:rFonts w:hint="eastAsia"/>
                      <w:color w:val="auto"/>
                    </w:rPr>
                    <w:t>废过滤器</w:t>
                  </w:r>
                  <w:r>
                    <w:rPr>
                      <w:rFonts w:hint="eastAsia"/>
                      <w:color w:val="auto"/>
                      <w:lang w:val="en-US"/>
                    </w:rPr>
                    <w:t>S6</w:t>
                  </w:r>
                </w:p>
              </w:tc>
              <w:tc>
                <w:tcPr>
                  <w:tcW w:w="2095" w:type="pct"/>
                  <w:vAlign w:val="center"/>
                </w:tcPr>
                <w:p w14:paraId="0B94FBB3">
                  <w:pPr>
                    <w:pStyle w:val="30"/>
                    <w:framePr w:hSpace="0" w:wrap="auto" w:vAnchor="margin" w:hAnchor="text" w:xAlign="left" w:yAlign="inline"/>
                    <w:rPr>
                      <w:color w:val="auto"/>
                    </w:rPr>
                  </w:pPr>
                  <w:r>
                    <w:rPr>
                      <w:rFonts w:hint="eastAsia"/>
                      <w:color w:val="auto"/>
                    </w:rPr>
                    <w:t>委托物资回收单位处理</w:t>
                  </w:r>
                </w:p>
              </w:tc>
            </w:tr>
            <w:tr w14:paraId="4404D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12" w:hRule="atLeast"/>
              </w:trPr>
              <w:tc>
                <w:tcPr>
                  <w:tcW w:w="347" w:type="pct"/>
                  <w:vMerge w:val="continue"/>
                  <w:vAlign w:val="center"/>
                </w:tcPr>
                <w:p w14:paraId="49FB0D75">
                  <w:pPr>
                    <w:pStyle w:val="30"/>
                    <w:framePr w:hSpace="0" w:wrap="auto" w:vAnchor="margin" w:hAnchor="text" w:xAlign="left" w:yAlign="inline"/>
                    <w:rPr>
                      <w:color w:val="auto"/>
                    </w:rPr>
                  </w:pPr>
                </w:p>
              </w:tc>
              <w:tc>
                <w:tcPr>
                  <w:tcW w:w="684" w:type="pct"/>
                  <w:vMerge w:val="continue"/>
                  <w:vAlign w:val="center"/>
                </w:tcPr>
                <w:p w14:paraId="5C30D5AC">
                  <w:pPr>
                    <w:pStyle w:val="30"/>
                    <w:framePr w:hSpace="0" w:wrap="auto" w:vAnchor="margin" w:hAnchor="text" w:xAlign="left" w:yAlign="inline"/>
                    <w:rPr>
                      <w:color w:val="auto"/>
                    </w:rPr>
                  </w:pPr>
                </w:p>
              </w:tc>
              <w:tc>
                <w:tcPr>
                  <w:tcW w:w="719" w:type="pct"/>
                  <w:vAlign w:val="center"/>
                </w:tcPr>
                <w:p w14:paraId="3B1D5A71">
                  <w:pPr>
                    <w:pStyle w:val="30"/>
                    <w:framePr w:hSpace="0" w:wrap="auto" w:vAnchor="margin" w:hAnchor="text" w:xAlign="left" w:yAlign="inline"/>
                    <w:rPr>
                      <w:color w:val="auto"/>
                    </w:rPr>
                  </w:pPr>
                  <w:r>
                    <w:rPr>
                      <w:rFonts w:hint="eastAsia"/>
                      <w:color w:val="auto"/>
                    </w:rPr>
                    <w:t>紫外灭菌</w:t>
                  </w:r>
                </w:p>
              </w:tc>
              <w:tc>
                <w:tcPr>
                  <w:tcW w:w="1152" w:type="pct"/>
                  <w:vAlign w:val="center"/>
                </w:tcPr>
                <w:p w14:paraId="67ABCF33">
                  <w:pPr>
                    <w:pStyle w:val="30"/>
                    <w:framePr w:hSpace="0" w:wrap="auto" w:vAnchor="margin" w:hAnchor="text" w:xAlign="left" w:yAlign="inline"/>
                    <w:rPr>
                      <w:color w:val="auto"/>
                      <w:lang w:val="en-US"/>
                    </w:rPr>
                  </w:pPr>
                  <w:r>
                    <w:rPr>
                      <w:rFonts w:hint="eastAsia"/>
                      <w:color w:val="auto"/>
                    </w:rPr>
                    <w:t>废荧光灯管</w:t>
                  </w:r>
                  <w:r>
                    <w:rPr>
                      <w:rFonts w:hint="eastAsia"/>
                      <w:color w:val="auto"/>
                      <w:lang w:val="en-US"/>
                    </w:rPr>
                    <w:t>S4</w:t>
                  </w:r>
                </w:p>
              </w:tc>
              <w:tc>
                <w:tcPr>
                  <w:tcW w:w="2095" w:type="pct"/>
                  <w:vAlign w:val="center"/>
                </w:tcPr>
                <w:p w14:paraId="4C08E1E0">
                  <w:pPr>
                    <w:pStyle w:val="30"/>
                    <w:framePr w:hSpace="0" w:wrap="auto" w:vAnchor="margin" w:hAnchor="text" w:xAlign="left" w:yAlign="inline"/>
                    <w:rPr>
                      <w:color w:val="auto"/>
                    </w:rPr>
                  </w:pPr>
                  <w:r>
                    <w:rPr>
                      <w:rFonts w:hint="eastAsia"/>
                      <w:color w:val="auto"/>
                    </w:rPr>
                    <w:t>定期交由有资质单位处置</w:t>
                  </w:r>
                </w:p>
              </w:tc>
            </w:tr>
            <w:tr w14:paraId="4B853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12" w:hRule="atLeast"/>
              </w:trPr>
              <w:tc>
                <w:tcPr>
                  <w:tcW w:w="347" w:type="pct"/>
                  <w:vMerge w:val="continue"/>
                  <w:vAlign w:val="center"/>
                </w:tcPr>
                <w:p w14:paraId="38952C94">
                  <w:pPr>
                    <w:pStyle w:val="30"/>
                    <w:framePr w:hSpace="0" w:wrap="auto" w:vAnchor="margin" w:hAnchor="text" w:xAlign="left" w:yAlign="inline"/>
                    <w:rPr>
                      <w:color w:val="auto"/>
                    </w:rPr>
                  </w:pPr>
                </w:p>
              </w:tc>
              <w:tc>
                <w:tcPr>
                  <w:tcW w:w="684" w:type="pct"/>
                  <w:vMerge w:val="continue"/>
                  <w:vAlign w:val="center"/>
                </w:tcPr>
                <w:p w14:paraId="0816B9AF">
                  <w:pPr>
                    <w:pStyle w:val="30"/>
                    <w:framePr w:hSpace="0" w:wrap="auto" w:vAnchor="margin" w:hAnchor="text" w:xAlign="left" w:yAlign="inline"/>
                    <w:rPr>
                      <w:color w:val="auto"/>
                    </w:rPr>
                  </w:pPr>
                </w:p>
              </w:tc>
              <w:tc>
                <w:tcPr>
                  <w:tcW w:w="719" w:type="pct"/>
                  <w:vAlign w:val="center"/>
                </w:tcPr>
                <w:p w14:paraId="262A1D8D">
                  <w:pPr>
                    <w:pStyle w:val="30"/>
                    <w:framePr w:hSpace="0" w:wrap="auto" w:vAnchor="margin" w:hAnchor="text" w:xAlign="left" w:yAlign="inline"/>
                    <w:rPr>
                      <w:color w:val="auto"/>
                    </w:rPr>
                  </w:pPr>
                  <w:r>
                    <w:rPr>
                      <w:rFonts w:hint="eastAsia"/>
                      <w:color w:val="auto"/>
                    </w:rPr>
                    <w:t>废水处理</w:t>
                  </w:r>
                </w:p>
              </w:tc>
              <w:tc>
                <w:tcPr>
                  <w:tcW w:w="1152" w:type="pct"/>
                  <w:vAlign w:val="center"/>
                </w:tcPr>
                <w:p w14:paraId="53912FFE">
                  <w:pPr>
                    <w:pStyle w:val="30"/>
                    <w:framePr w:hSpace="0" w:wrap="auto" w:vAnchor="margin" w:hAnchor="text" w:xAlign="left" w:yAlign="inline"/>
                    <w:rPr>
                      <w:color w:val="auto"/>
                    </w:rPr>
                  </w:pPr>
                  <w:r>
                    <w:rPr>
                      <w:rFonts w:hint="eastAsia"/>
                      <w:color w:val="auto"/>
                    </w:rPr>
                    <w:t>废动植物油</w:t>
                  </w:r>
                </w:p>
              </w:tc>
              <w:tc>
                <w:tcPr>
                  <w:tcW w:w="2095" w:type="pct"/>
                  <w:vAlign w:val="center"/>
                </w:tcPr>
                <w:p w14:paraId="1D52EA0A">
                  <w:pPr>
                    <w:pStyle w:val="30"/>
                    <w:framePr w:hSpace="0" w:wrap="auto" w:vAnchor="margin" w:hAnchor="text" w:xAlign="left" w:yAlign="inline"/>
                    <w:rPr>
                      <w:color w:val="auto"/>
                    </w:rPr>
                  </w:pPr>
                  <w:r>
                    <w:rPr>
                      <w:rFonts w:hint="eastAsia"/>
                      <w:color w:val="auto"/>
                    </w:rPr>
                    <w:t>收集后委托处理</w:t>
                  </w:r>
                </w:p>
              </w:tc>
            </w:tr>
            <w:tr w14:paraId="59E38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12" w:hRule="atLeast"/>
              </w:trPr>
              <w:tc>
                <w:tcPr>
                  <w:tcW w:w="347" w:type="pct"/>
                  <w:vMerge w:val="continue"/>
                  <w:vAlign w:val="center"/>
                </w:tcPr>
                <w:p w14:paraId="2B9687F3">
                  <w:pPr>
                    <w:pStyle w:val="30"/>
                    <w:framePr w:hSpace="0" w:wrap="auto" w:vAnchor="margin" w:hAnchor="text" w:xAlign="left" w:yAlign="inline"/>
                    <w:rPr>
                      <w:color w:val="auto"/>
                    </w:rPr>
                  </w:pPr>
                </w:p>
              </w:tc>
              <w:tc>
                <w:tcPr>
                  <w:tcW w:w="684" w:type="pct"/>
                  <w:vMerge w:val="continue"/>
                  <w:vAlign w:val="center"/>
                </w:tcPr>
                <w:p w14:paraId="780626C9">
                  <w:pPr>
                    <w:pStyle w:val="30"/>
                    <w:framePr w:hSpace="0" w:wrap="auto" w:vAnchor="margin" w:hAnchor="text" w:xAlign="left" w:yAlign="inline"/>
                    <w:rPr>
                      <w:color w:val="auto"/>
                    </w:rPr>
                  </w:pPr>
                </w:p>
              </w:tc>
              <w:tc>
                <w:tcPr>
                  <w:tcW w:w="719" w:type="pct"/>
                  <w:shd w:val="clear" w:color="auto" w:fill="auto"/>
                  <w:vAlign w:val="center"/>
                </w:tcPr>
                <w:p w14:paraId="1A0537CF">
                  <w:pPr>
                    <w:pStyle w:val="30"/>
                    <w:framePr w:hSpace="0" w:wrap="auto" w:vAnchor="margin" w:hAnchor="text" w:xAlign="left" w:yAlign="inline"/>
                    <w:rPr>
                      <w:rFonts w:cs="宋体"/>
                      <w:color w:val="auto"/>
                      <w:szCs w:val="22"/>
                    </w:rPr>
                  </w:pPr>
                  <w:r>
                    <w:rPr>
                      <w:color w:val="auto"/>
                    </w:rPr>
                    <w:t>职工生活</w:t>
                  </w:r>
                </w:p>
              </w:tc>
              <w:tc>
                <w:tcPr>
                  <w:tcW w:w="1152" w:type="pct"/>
                  <w:shd w:val="clear" w:color="auto" w:fill="auto"/>
                  <w:vAlign w:val="center"/>
                </w:tcPr>
                <w:p w14:paraId="4754D571">
                  <w:pPr>
                    <w:pStyle w:val="30"/>
                    <w:framePr w:hSpace="0" w:wrap="auto" w:vAnchor="margin" w:hAnchor="text" w:xAlign="left" w:yAlign="inline"/>
                    <w:rPr>
                      <w:rFonts w:cs="宋体"/>
                      <w:color w:val="auto"/>
                      <w:szCs w:val="22"/>
                      <w:lang w:val="en-US"/>
                    </w:rPr>
                  </w:pPr>
                  <w:r>
                    <w:rPr>
                      <w:color w:val="auto"/>
                    </w:rPr>
                    <w:t>生活垃圾</w:t>
                  </w:r>
                  <w:r>
                    <w:rPr>
                      <w:rFonts w:hint="eastAsia"/>
                      <w:color w:val="auto"/>
                      <w:lang w:val="en-US"/>
                    </w:rPr>
                    <w:t>S5</w:t>
                  </w:r>
                </w:p>
              </w:tc>
              <w:tc>
                <w:tcPr>
                  <w:tcW w:w="2095" w:type="pct"/>
                  <w:shd w:val="clear" w:color="auto" w:fill="auto"/>
                  <w:vAlign w:val="center"/>
                </w:tcPr>
                <w:p w14:paraId="6F95F93B">
                  <w:pPr>
                    <w:pStyle w:val="30"/>
                    <w:framePr w:hSpace="0" w:wrap="auto" w:vAnchor="margin" w:hAnchor="text" w:xAlign="left" w:yAlign="inline"/>
                    <w:rPr>
                      <w:rFonts w:cs="宋体"/>
                      <w:color w:val="auto"/>
                      <w:szCs w:val="22"/>
                    </w:rPr>
                  </w:pPr>
                  <w:r>
                    <w:rPr>
                      <w:color w:val="auto"/>
                    </w:rPr>
                    <w:t>交由环卫部门定期清运</w:t>
                  </w:r>
                </w:p>
              </w:tc>
            </w:tr>
            <w:tr w14:paraId="60D53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766" w:hRule="atLeast"/>
              </w:trPr>
              <w:tc>
                <w:tcPr>
                  <w:tcW w:w="347" w:type="pct"/>
                  <w:vAlign w:val="center"/>
                </w:tcPr>
                <w:p w14:paraId="0A27A426">
                  <w:pPr>
                    <w:pStyle w:val="30"/>
                    <w:framePr w:hSpace="0" w:wrap="auto" w:vAnchor="margin" w:hAnchor="text" w:xAlign="left" w:yAlign="inline"/>
                    <w:rPr>
                      <w:color w:val="auto"/>
                    </w:rPr>
                  </w:pPr>
                  <w:r>
                    <w:rPr>
                      <w:color w:val="auto"/>
                    </w:rPr>
                    <w:t>噪声</w:t>
                  </w:r>
                </w:p>
              </w:tc>
              <w:tc>
                <w:tcPr>
                  <w:tcW w:w="1404" w:type="pct"/>
                  <w:gridSpan w:val="2"/>
                  <w:vAlign w:val="center"/>
                </w:tcPr>
                <w:p w14:paraId="50C15CD5">
                  <w:pPr>
                    <w:pStyle w:val="30"/>
                    <w:framePr w:hSpace="0" w:wrap="auto" w:vAnchor="margin" w:hAnchor="text" w:xAlign="left" w:yAlign="inline"/>
                    <w:rPr>
                      <w:color w:val="auto"/>
                    </w:rPr>
                  </w:pPr>
                  <w:r>
                    <w:rPr>
                      <w:rFonts w:hint="eastAsia"/>
                      <w:color w:val="auto"/>
                    </w:rPr>
                    <w:t>生产设备运行</w:t>
                  </w:r>
                </w:p>
              </w:tc>
              <w:tc>
                <w:tcPr>
                  <w:tcW w:w="1152" w:type="pct"/>
                  <w:vAlign w:val="center"/>
                </w:tcPr>
                <w:p w14:paraId="01095219">
                  <w:pPr>
                    <w:pStyle w:val="30"/>
                    <w:framePr w:hSpace="0" w:wrap="auto" w:vAnchor="margin" w:hAnchor="text" w:xAlign="left" w:yAlign="inline"/>
                    <w:rPr>
                      <w:color w:val="auto"/>
                      <w:lang w:val="en-US"/>
                    </w:rPr>
                  </w:pPr>
                  <w:r>
                    <w:rPr>
                      <w:rFonts w:hint="eastAsia"/>
                      <w:color w:val="auto"/>
                    </w:rPr>
                    <w:t>等效</w:t>
                  </w:r>
                  <w:r>
                    <w:rPr>
                      <w:rFonts w:hint="eastAsia"/>
                      <w:color w:val="auto"/>
                      <w:lang w:val="en-US"/>
                    </w:rPr>
                    <w:t>A声级</w:t>
                  </w:r>
                </w:p>
              </w:tc>
              <w:tc>
                <w:tcPr>
                  <w:tcW w:w="2095" w:type="pct"/>
                  <w:vAlign w:val="center"/>
                </w:tcPr>
                <w:p w14:paraId="4204AAB3">
                  <w:pPr>
                    <w:pStyle w:val="30"/>
                    <w:framePr w:hSpace="0" w:wrap="auto" w:vAnchor="margin" w:hAnchor="text" w:xAlign="left" w:yAlign="inline"/>
                    <w:rPr>
                      <w:color w:val="auto"/>
                    </w:rPr>
                  </w:pPr>
                  <w:r>
                    <w:rPr>
                      <w:rFonts w:hint="eastAsia"/>
                      <w:color w:val="auto"/>
                    </w:rPr>
                    <w:t>选用高效低噪声设备、安装减振底座、墙体隔声等</w:t>
                  </w:r>
                </w:p>
              </w:tc>
            </w:tr>
          </w:tbl>
          <w:p w14:paraId="498FF2BE">
            <w:pPr>
              <w:ind w:firstLine="480"/>
              <w:rPr>
                <w:color w:val="auto"/>
              </w:rPr>
            </w:pPr>
          </w:p>
        </w:tc>
      </w:tr>
      <w:tr w14:paraId="26F1A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8" w:hRule="atLeast"/>
          <w:jc w:val="center"/>
        </w:trPr>
        <w:tc>
          <w:tcPr>
            <w:tcW w:w="814" w:type="dxa"/>
            <w:vAlign w:val="center"/>
          </w:tcPr>
          <w:p w14:paraId="3AC4E6D2">
            <w:pPr>
              <w:adjustRightInd w:val="0"/>
              <w:snapToGrid w:val="0"/>
              <w:jc w:val="center"/>
              <w:rPr>
                <w:color w:val="auto"/>
              </w:rPr>
            </w:pPr>
            <w:r>
              <w:rPr>
                <w:bCs/>
                <w:color w:val="auto"/>
              </w:rPr>
              <w:t>与项目有关的原有环境污染问题</w:t>
            </w:r>
          </w:p>
        </w:tc>
        <w:tc>
          <w:tcPr>
            <w:tcW w:w="7708" w:type="dxa"/>
            <w:vAlign w:val="center"/>
          </w:tcPr>
          <w:p w14:paraId="2FCF8F20">
            <w:pPr>
              <w:ind w:firstLine="480" w:firstLineChars="200"/>
              <w:rPr>
                <w:bCs/>
                <w:color w:val="auto"/>
                <w:szCs w:val="20"/>
              </w:rPr>
            </w:pPr>
            <w:r>
              <w:rPr>
                <w:rFonts w:hint="eastAsia"/>
                <w:bCs/>
                <w:color w:val="auto"/>
                <w:szCs w:val="20"/>
              </w:rPr>
              <w:t>本项目为租赁安成经济开发区（北区）标准化厂房进行建设，根据现场踏勘，厂房目前为空置状态，未投入生产使用，未发生过环境污染事件，不存在与原有项目有关的环境问题。不存在与本项目有关的原有环境污染问题。</w:t>
            </w:r>
          </w:p>
        </w:tc>
      </w:tr>
    </w:tbl>
    <w:p w14:paraId="022B2087">
      <w:pPr>
        <w:sectPr>
          <w:headerReference r:id="rId12" w:type="default"/>
          <w:pgSz w:w="11906" w:h="16838"/>
          <w:pgMar w:top="1440" w:right="1800" w:bottom="1440" w:left="1800" w:header="851" w:footer="992" w:gutter="0"/>
          <w:cols w:space="425" w:num="1"/>
          <w:docGrid w:type="lines" w:linePitch="312" w:charSpace="0"/>
        </w:sectPr>
      </w:pPr>
    </w:p>
    <w:p w14:paraId="60FB5CE9">
      <w:pPr>
        <w:pStyle w:val="2"/>
        <w:framePr w:wrap="around"/>
      </w:pPr>
      <w:bookmarkStart w:id="34" w:name="_Toc15897"/>
      <w:bookmarkStart w:id="35" w:name="_Toc32153"/>
      <w:r>
        <w:t>三、区域环境质量现状、环境保护目标及评价标准</w:t>
      </w:r>
      <w:bookmarkEnd w:id="34"/>
      <w:bookmarkEnd w:id="35"/>
    </w:p>
    <w:tbl>
      <w:tblPr>
        <w:tblStyle w:val="23"/>
        <w:tblpPr w:leftFromText="180" w:rightFromText="180" w:vertAnchor="text" w:tblpXSpec="center" w:tblpY="1"/>
        <w:tblOverlap w:val="never"/>
        <w:tblW w:w="5000" w:type="pct"/>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53"/>
        <w:gridCol w:w="8069"/>
      </w:tblGrid>
      <w:tr w14:paraId="080C28D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453" w:type="dxa"/>
            <w:tcBorders>
              <w:top w:val="single" w:color="auto" w:sz="4" w:space="0"/>
              <w:left w:val="single" w:color="auto" w:sz="4" w:space="0"/>
              <w:bottom w:val="single" w:color="auto" w:sz="4" w:space="0"/>
              <w:right w:val="single" w:color="auto" w:sz="4" w:space="0"/>
            </w:tcBorders>
            <w:vAlign w:val="center"/>
          </w:tcPr>
          <w:p w14:paraId="0E023A55">
            <w:pPr>
              <w:adjustRightInd w:val="0"/>
              <w:spacing w:line="440" w:lineRule="exact"/>
              <w:jc w:val="center"/>
              <w:outlineLvl w:val="1"/>
            </w:pPr>
            <w:bookmarkStart w:id="36" w:name="_Toc21756"/>
            <w:r>
              <w:t>区域</w:t>
            </w:r>
            <w:bookmarkEnd w:id="36"/>
          </w:p>
          <w:p w14:paraId="1B4D78EA">
            <w:pPr>
              <w:adjustRightInd w:val="0"/>
              <w:spacing w:line="440" w:lineRule="exact"/>
              <w:jc w:val="center"/>
              <w:outlineLvl w:val="1"/>
            </w:pPr>
            <w:bookmarkStart w:id="37" w:name="_Toc17261"/>
            <w:r>
              <w:t>环境</w:t>
            </w:r>
            <w:bookmarkEnd w:id="37"/>
          </w:p>
          <w:p w14:paraId="1A80BD8A">
            <w:pPr>
              <w:adjustRightInd w:val="0"/>
              <w:spacing w:line="440" w:lineRule="exact"/>
              <w:jc w:val="center"/>
              <w:outlineLvl w:val="1"/>
            </w:pPr>
            <w:bookmarkStart w:id="38" w:name="_Toc17468"/>
            <w:r>
              <w:t>质量</w:t>
            </w:r>
            <w:bookmarkEnd w:id="38"/>
          </w:p>
          <w:p w14:paraId="22F7B6D4">
            <w:pPr>
              <w:adjustRightInd w:val="0"/>
              <w:spacing w:line="440" w:lineRule="exact"/>
              <w:jc w:val="center"/>
              <w:outlineLvl w:val="1"/>
            </w:pPr>
            <w:bookmarkStart w:id="39" w:name="_Toc27934"/>
            <w:r>
              <w:t>现状</w:t>
            </w:r>
            <w:bookmarkEnd w:id="39"/>
          </w:p>
        </w:tc>
        <w:tc>
          <w:tcPr>
            <w:tcW w:w="8069" w:type="dxa"/>
            <w:tcBorders>
              <w:top w:val="single" w:color="auto" w:sz="4" w:space="0"/>
              <w:left w:val="single" w:color="auto" w:sz="4" w:space="0"/>
              <w:bottom w:val="single" w:color="auto" w:sz="4" w:space="0"/>
              <w:right w:val="single" w:color="auto" w:sz="4" w:space="0"/>
            </w:tcBorders>
          </w:tcPr>
          <w:p w14:paraId="0707C6AE">
            <w:pPr>
              <w:pStyle w:val="3"/>
            </w:pPr>
            <w:r>
              <w:t>3.1环境质量现状</w:t>
            </w:r>
          </w:p>
          <w:p w14:paraId="2628FCD3">
            <w:pPr>
              <w:ind w:firstLine="482" w:firstLineChars="200"/>
              <w:rPr>
                <w:b/>
                <w:bCs/>
              </w:rPr>
            </w:pPr>
            <w:r>
              <w:rPr>
                <w:b/>
                <w:bCs/>
              </w:rPr>
              <w:t>3.1.1</w:t>
            </w:r>
            <w:r>
              <w:rPr>
                <w:rFonts w:hint="eastAsia"/>
                <w:b/>
                <w:bCs/>
              </w:rPr>
              <w:t>环境空气质量现状</w:t>
            </w:r>
          </w:p>
          <w:p w14:paraId="1A2E17A0">
            <w:pPr>
              <w:ind w:firstLine="480" w:firstLineChars="200"/>
            </w:pPr>
            <w:r>
              <w:t>1</w:t>
            </w:r>
            <w:r>
              <w:rPr>
                <w:rFonts w:hint="eastAsia"/>
              </w:rPr>
              <w:t>、基本污染物</w:t>
            </w:r>
          </w:p>
          <w:p w14:paraId="3780832C">
            <w:pPr>
              <w:ind w:firstLine="480" w:firstLineChars="200"/>
            </w:pPr>
            <w:r>
              <w:t>本项目所在区域为环境空气二类功能区，环境空气中的基本污染物引用淮南市生态环境局发布的</w:t>
            </w:r>
            <w:r>
              <w:rPr>
                <w:rFonts w:hint="eastAsia"/>
              </w:rPr>
              <w:t>《2024年淮南市生态环境质量状况公报》</w:t>
            </w:r>
            <w:r>
              <w:t>中的内容，具体如下：</w:t>
            </w:r>
          </w:p>
          <w:p w14:paraId="5DC48343">
            <w:pPr>
              <w:ind w:firstLine="480" w:firstLineChars="200"/>
            </w:pPr>
            <w:r>
              <w:t>2024</w:t>
            </w:r>
            <w:r>
              <w:rPr>
                <w:rFonts w:hint="eastAsia"/>
              </w:rPr>
              <w:t>年，全市环境空气质量一级（优）</w:t>
            </w:r>
            <w:r>
              <w:t>65</w:t>
            </w:r>
            <w:r>
              <w:rPr>
                <w:rFonts w:hint="eastAsia"/>
              </w:rPr>
              <w:t>天，二级（良）</w:t>
            </w:r>
            <w:r>
              <w:t>218</w:t>
            </w:r>
            <w:r>
              <w:rPr>
                <w:rFonts w:hint="eastAsia"/>
              </w:rPr>
              <w:t>天，三级（轻度污染）</w:t>
            </w:r>
            <w:r>
              <w:t>69</w:t>
            </w:r>
            <w:r>
              <w:rPr>
                <w:rFonts w:hint="eastAsia"/>
              </w:rPr>
              <w:t>天，四级（中度污染）</w:t>
            </w:r>
            <w:r>
              <w:t>13</w:t>
            </w:r>
            <w:r>
              <w:rPr>
                <w:rFonts w:hint="eastAsia"/>
              </w:rPr>
              <w:t>天，五级（重度污染）</w:t>
            </w:r>
            <w:r>
              <w:t>1</w:t>
            </w:r>
            <w:r>
              <w:rPr>
                <w:rFonts w:hint="eastAsia"/>
              </w:rPr>
              <w:t>天；全市年度环境空气达标天数比例为</w:t>
            </w:r>
            <w:r>
              <w:t>77.3%</w:t>
            </w:r>
            <w:r>
              <w:rPr>
                <w:rFonts w:hint="eastAsia"/>
              </w:rPr>
              <w:t>，与上年相比下降了</w:t>
            </w:r>
            <w:r>
              <w:t>3.2</w:t>
            </w:r>
            <w:r>
              <w:rPr>
                <w:rFonts w:hint="eastAsia"/>
              </w:rPr>
              <w:t>个百分点；全市环境空气综合指数为</w:t>
            </w:r>
            <w:r>
              <w:t>3.87</w:t>
            </w:r>
            <w:r>
              <w:rPr>
                <w:rFonts w:hint="eastAsia"/>
              </w:rPr>
              <w:t>，首要污染物为细颗粒物。</w:t>
            </w:r>
          </w:p>
          <w:p w14:paraId="155A891D">
            <w:pPr>
              <w:ind w:firstLine="480" w:firstLineChars="200"/>
            </w:pPr>
            <w:r>
              <w:rPr>
                <w:rFonts w:hint="eastAsia"/>
              </w:rPr>
              <w:t>细颗粒物（PM</w:t>
            </w:r>
            <w:r>
              <w:rPr>
                <w:rFonts w:hint="eastAsia"/>
                <w:vertAlign w:val="subscript"/>
              </w:rPr>
              <w:t>2.5</w:t>
            </w:r>
            <w:r>
              <w:rPr>
                <w:rFonts w:hint="eastAsia"/>
              </w:rPr>
              <w:t>）日均浓度范围为7～156微克/立方米，日均值达标率为87.6%。年均值为40.0微克/立方米，与上年相比上升了3.4个百分点。</w:t>
            </w:r>
          </w:p>
          <w:p w14:paraId="0F6FAEF1">
            <w:pPr>
              <w:ind w:firstLine="480" w:firstLineChars="200"/>
            </w:pPr>
            <w:r>
              <w:rPr>
                <w:rFonts w:hint="eastAsia"/>
              </w:rPr>
              <w:t>可吸入颗粒物（PM</w:t>
            </w:r>
            <w:r>
              <w:rPr>
                <w:rFonts w:hint="eastAsia"/>
                <w:vertAlign w:val="subscript"/>
              </w:rPr>
              <w:t>10</w:t>
            </w:r>
            <w:r>
              <w:rPr>
                <w:rFonts w:hint="eastAsia"/>
              </w:rPr>
              <w:t>）日均浓度范围为10～262微克/立方米，日均值达标率为96.0%。年均值为65.0微克/立方米，与上年相比下降了1.4个百分点。</w:t>
            </w:r>
          </w:p>
          <w:p w14:paraId="28AE79BB">
            <w:pPr>
              <w:ind w:firstLine="480" w:firstLineChars="200"/>
            </w:pPr>
            <w:r>
              <w:rPr>
                <w:rFonts w:hint="eastAsia"/>
              </w:rPr>
              <w:t>二氧化氮（NO</w:t>
            </w:r>
            <w:r>
              <w:rPr>
                <w:rFonts w:hint="eastAsia"/>
                <w:vertAlign w:val="subscript"/>
              </w:rPr>
              <w:t>2</w:t>
            </w:r>
            <w:r>
              <w:rPr>
                <w:rFonts w:hint="eastAsia"/>
              </w:rPr>
              <w:t>）日均浓度范围为5～47微克/立方米，日均值达标率为100%。年均浓度为19微克/立方米，与上年相比下降了9.5个百分点。</w:t>
            </w:r>
          </w:p>
          <w:p w14:paraId="334E7B64">
            <w:pPr>
              <w:ind w:firstLine="480" w:firstLineChars="200"/>
            </w:pPr>
            <w:r>
              <w:rPr>
                <w:rFonts w:hint="eastAsia"/>
              </w:rPr>
              <w:t>二氧化硫（SO</w:t>
            </w:r>
            <w:r>
              <w:rPr>
                <w:rFonts w:hint="eastAsia"/>
                <w:vertAlign w:val="subscript"/>
              </w:rPr>
              <w:t>2</w:t>
            </w:r>
            <w:r>
              <w:rPr>
                <w:rFonts w:hint="eastAsia"/>
              </w:rPr>
              <w:t>）日均浓度范围为2～13微克/立方米，日均值达标率为100%。年均浓度为7微克/立方米，与上年相比下降了12.5个百分点。</w:t>
            </w:r>
          </w:p>
          <w:p w14:paraId="4748D74D">
            <w:pPr>
              <w:ind w:firstLine="480" w:firstLineChars="200"/>
            </w:pPr>
            <w:r>
              <w:rPr>
                <w:rFonts w:hint="eastAsia"/>
              </w:rPr>
              <w:t>一氧化碳（CO）日均浓度范围为0.2～1.1毫克/立方米，日均值达标率为100%。日均值第95百分位数为0.8毫克/立方米，与上年相比上升了14.3个百分点。</w:t>
            </w:r>
          </w:p>
          <w:p w14:paraId="179C6A76">
            <w:pPr>
              <w:ind w:firstLine="480" w:firstLineChars="200"/>
            </w:pPr>
            <w:r>
              <w:rPr>
                <w:rFonts w:hint="eastAsia"/>
              </w:rPr>
              <w:t>臭氧日最大8小时（O</w:t>
            </w:r>
            <w:r>
              <w:rPr>
                <w:rFonts w:hint="eastAsia"/>
                <w:vertAlign w:val="subscript"/>
              </w:rPr>
              <w:t>3</w:t>
            </w:r>
            <w:r>
              <w:rPr>
                <w:rFonts w:hint="eastAsia"/>
              </w:rPr>
              <w:t>-8h）滑动平均值范围为16～227微克/立方米，达标率为90.4%。日最大8小时滑动平均值第90百分位数为160微克/立方米，与上年相比上升了1.9个百分点。</w:t>
            </w:r>
          </w:p>
          <w:p w14:paraId="67AB5D72">
            <w:pPr>
              <w:ind w:firstLine="480" w:firstLineChars="200"/>
            </w:pPr>
            <w:r>
              <w:rPr>
                <w:rFonts w:hint="eastAsia"/>
              </w:rPr>
              <w:t>依据《2024年淮南市生态环境质量状况公报》，区域空气质量现状如下表所示。</w:t>
            </w:r>
          </w:p>
          <w:p w14:paraId="7E4A4846">
            <w:pPr>
              <w:pStyle w:val="6"/>
              <w:adjustRightInd w:val="0"/>
              <w:snapToGrid w:val="0"/>
            </w:pPr>
            <w:r>
              <w:t xml:space="preserve">表 </w:t>
            </w:r>
            <w:r>
              <w:rPr>
                <w:rFonts w:hint="eastAsia"/>
              </w:rPr>
              <w:t>3-</w:t>
            </w:r>
            <w:r>
              <w:fldChar w:fldCharType="begin"/>
            </w:r>
            <w:r>
              <w:instrText xml:space="preserve"> SEQ 表 \* ARABIC \s 1 </w:instrText>
            </w:r>
            <w:r>
              <w:fldChar w:fldCharType="separate"/>
            </w:r>
            <w:r>
              <w:t>1</w:t>
            </w:r>
            <w:r>
              <w:fldChar w:fldCharType="end"/>
            </w:r>
            <w:r>
              <w:rPr>
                <w:rFonts w:hint="eastAsia"/>
              </w:rPr>
              <w:t>区域空气质量现状评价表</w:t>
            </w:r>
          </w:p>
          <w:tbl>
            <w:tblPr>
              <w:tblStyle w:val="23"/>
              <w:tblpPr w:leftFromText="180" w:rightFromText="180" w:vertAnchor="text" w:tblpXSpec="center" w:tblpY="1"/>
              <w:tblOverlap w:val="never"/>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938"/>
              <w:gridCol w:w="2829"/>
              <w:gridCol w:w="1078"/>
              <w:gridCol w:w="1078"/>
              <w:gridCol w:w="1078"/>
              <w:gridCol w:w="842"/>
            </w:tblGrid>
            <w:tr w14:paraId="236D1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98" w:type="pct"/>
                  <w:vAlign w:val="center"/>
                </w:tcPr>
                <w:p w14:paraId="55ADAEA7">
                  <w:pPr>
                    <w:pStyle w:val="30"/>
                    <w:framePr w:hSpace="0" w:wrap="auto" w:vAnchor="margin" w:hAnchor="text" w:xAlign="left" w:yAlign="inline"/>
                  </w:pPr>
                  <w:r>
                    <w:t>污染物</w:t>
                  </w:r>
                </w:p>
              </w:tc>
              <w:tc>
                <w:tcPr>
                  <w:tcW w:w="1803" w:type="pct"/>
                  <w:vAlign w:val="center"/>
                </w:tcPr>
                <w:p w14:paraId="3C0429A6">
                  <w:pPr>
                    <w:pStyle w:val="30"/>
                    <w:framePr w:hSpace="0" w:wrap="auto" w:vAnchor="margin" w:hAnchor="text" w:xAlign="left" w:yAlign="inline"/>
                  </w:pPr>
                  <w:r>
                    <w:t>年评价指标</w:t>
                  </w:r>
                </w:p>
              </w:tc>
              <w:tc>
                <w:tcPr>
                  <w:tcW w:w="687" w:type="pct"/>
                  <w:vAlign w:val="center"/>
                </w:tcPr>
                <w:p w14:paraId="03ACFD05">
                  <w:pPr>
                    <w:pStyle w:val="30"/>
                    <w:framePr w:hSpace="0" w:wrap="auto" w:vAnchor="margin" w:hAnchor="text" w:xAlign="left" w:yAlign="inline"/>
                  </w:pPr>
                  <w:r>
                    <w:t>现状浓度</w:t>
                  </w:r>
                </w:p>
                <w:p w14:paraId="651D8C59">
                  <w:pPr>
                    <w:pStyle w:val="30"/>
                    <w:framePr w:hSpace="0" w:wrap="auto" w:vAnchor="margin" w:hAnchor="text" w:xAlign="left" w:yAlign="inline"/>
                  </w:pPr>
                  <w:r>
                    <w:t>（μg/m</w:t>
                  </w:r>
                  <w:r>
                    <w:rPr>
                      <w:vertAlign w:val="superscript"/>
                    </w:rPr>
                    <w:t>3</w:t>
                  </w:r>
                  <w:r>
                    <w:t>）</w:t>
                  </w:r>
                </w:p>
              </w:tc>
              <w:tc>
                <w:tcPr>
                  <w:tcW w:w="687" w:type="pct"/>
                  <w:vAlign w:val="center"/>
                </w:tcPr>
                <w:p w14:paraId="0C94D429">
                  <w:pPr>
                    <w:pStyle w:val="30"/>
                    <w:framePr w:hSpace="0" w:wrap="auto" w:vAnchor="margin" w:hAnchor="text" w:xAlign="left" w:yAlign="inline"/>
                  </w:pPr>
                  <w:r>
                    <w:t>标准值</w:t>
                  </w:r>
                </w:p>
                <w:p w14:paraId="0D7E1134">
                  <w:pPr>
                    <w:pStyle w:val="30"/>
                    <w:framePr w:hSpace="0" w:wrap="auto" w:vAnchor="margin" w:hAnchor="text" w:xAlign="left" w:yAlign="inline"/>
                  </w:pPr>
                  <w:r>
                    <w:t>（μg/m</w:t>
                  </w:r>
                  <w:r>
                    <w:rPr>
                      <w:vertAlign w:val="superscript"/>
                    </w:rPr>
                    <w:t>3</w:t>
                  </w:r>
                  <w:r>
                    <w:t>）</w:t>
                  </w:r>
                </w:p>
              </w:tc>
              <w:tc>
                <w:tcPr>
                  <w:tcW w:w="687" w:type="pct"/>
                  <w:vAlign w:val="center"/>
                </w:tcPr>
                <w:p w14:paraId="1E6E3525">
                  <w:pPr>
                    <w:pStyle w:val="30"/>
                    <w:framePr w:hSpace="0" w:wrap="auto" w:vAnchor="margin" w:hAnchor="text" w:xAlign="left" w:yAlign="inline"/>
                  </w:pPr>
                  <w:r>
                    <w:t>占标率</w:t>
                  </w:r>
                </w:p>
                <w:p w14:paraId="0122CAEA">
                  <w:pPr>
                    <w:pStyle w:val="30"/>
                    <w:framePr w:hSpace="0" w:wrap="auto" w:vAnchor="margin" w:hAnchor="text" w:xAlign="left" w:yAlign="inline"/>
                  </w:pPr>
                  <w:r>
                    <w:t>（%）</w:t>
                  </w:r>
                </w:p>
              </w:tc>
              <w:tc>
                <w:tcPr>
                  <w:tcW w:w="536" w:type="pct"/>
                  <w:vAlign w:val="center"/>
                </w:tcPr>
                <w:p w14:paraId="78BF2FBB">
                  <w:pPr>
                    <w:pStyle w:val="30"/>
                    <w:framePr w:hSpace="0" w:wrap="auto" w:vAnchor="margin" w:hAnchor="text" w:xAlign="left" w:yAlign="inline"/>
                  </w:pPr>
                  <w:r>
                    <w:t>达标情况</w:t>
                  </w:r>
                </w:p>
              </w:tc>
            </w:tr>
            <w:tr w14:paraId="13E22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98" w:type="pct"/>
                  <w:vAlign w:val="center"/>
                </w:tcPr>
                <w:p w14:paraId="5A101CE2">
                  <w:pPr>
                    <w:pStyle w:val="30"/>
                    <w:framePr w:hSpace="0" w:wrap="auto" w:vAnchor="margin" w:hAnchor="text" w:xAlign="left" w:yAlign="inline"/>
                  </w:pPr>
                  <w:r>
                    <w:t>SO</w:t>
                  </w:r>
                  <w:r>
                    <w:rPr>
                      <w:vertAlign w:val="subscript"/>
                    </w:rPr>
                    <w:t>2</w:t>
                  </w:r>
                </w:p>
              </w:tc>
              <w:tc>
                <w:tcPr>
                  <w:tcW w:w="1803" w:type="pct"/>
                  <w:vAlign w:val="center"/>
                </w:tcPr>
                <w:p w14:paraId="3003773F">
                  <w:pPr>
                    <w:pStyle w:val="30"/>
                    <w:framePr w:hSpace="0" w:wrap="auto" w:vAnchor="margin" w:hAnchor="text" w:xAlign="left" w:yAlign="inline"/>
                  </w:pPr>
                  <w:r>
                    <w:t>年平均质量浓度</w:t>
                  </w:r>
                </w:p>
              </w:tc>
              <w:tc>
                <w:tcPr>
                  <w:tcW w:w="687" w:type="pct"/>
                  <w:shd w:val="clear" w:color="auto" w:fill="auto"/>
                  <w:vAlign w:val="center"/>
                </w:tcPr>
                <w:p w14:paraId="146AA02B">
                  <w:pPr>
                    <w:pStyle w:val="30"/>
                    <w:framePr w:hSpace="0" w:wrap="auto" w:vAnchor="margin" w:hAnchor="text" w:xAlign="left" w:yAlign="inline"/>
                  </w:pPr>
                  <w:r>
                    <w:rPr>
                      <w:lang w:val="en-US"/>
                    </w:rPr>
                    <w:t>7</w:t>
                  </w:r>
                </w:p>
              </w:tc>
              <w:tc>
                <w:tcPr>
                  <w:tcW w:w="687" w:type="pct"/>
                  <w:shd w:val="clear" w:color="auto" w:fill="auto"/>
                  <w:vAlign w:val="center"/>
                </w:tcPr>
                <w:p w14:paraId="4CD8FFB9">
                  <w:pPr>
                    <w:pStyle w:val="30"/>
                    <w:framePr w:hSpace="0" w:wrap="auto" w:vAnchor="margin" w:hAnchor="text" w:xAlign="left" w:yAlign="inline"/>
                  </w:pPr>
                  <w:r>
                    <w:t>60</w:t>
                  </w:r>
                </w:p>
              </w:tc>
              <w:tc>
                <w:tcPr>
                  <w:tcW w:w="687" w:type="pct"/>
                  <w:shd w:val="clear" w:color="auto" w:fill="auto"/>
                  <w:vAlign w:val="center"/>
                </w:tcPr>
                <w:p w14:paraId="5F6124A1">
                  <w:pPr>
                    <w:pStyle w:val="30"/>
                    <w:framePr w:hSpace="0" w:wrap="auto" w:vAnchor="margin" w:hAnchor="text" w:xAlign="left" w:yAlign="inline"/>
                    <w:rPr>
                      <w:lang w:val="en-US"/>
                    </w:rPr>
                  </w:pPr>
                  <w:r>
                    <w:rPr>
                      <w:lang w:val="en-US"/>
                    </w:rPr>
                    <w:t>11.7</w:t>
                  </w:r>
                </w:p>
              </w:tc>
              <w:tc>
                <w:tcPr>
                  <w:tcW w:w="536" w:type="pct"/>
                  <w:shd w:val="clear" w:color="auto" w:fill="auto"/>
                  <w:vAlign w:val="center"/>
                </w:tcPr>
                <w:p w14:paraId="648DFBBE">
                  <w:pPr>
                    <w:pStyle w:val="30"/>
                    <w:framePr w:hSpace="0" w:wrap="auto" w:vAnchor="margin" w:hAnchor="text" w:xAlign="left" w:yAlign="inline"/>
                  </w:pPr>
                  <w:r>
                    <w:t>达标</w:t>
                  </w:r>
                </w:p>
              </w:tc>
            </w:tr>
            <w:tr w14:paraId="5592A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98" w:type="pct"/>
                  <w:vAlign w:val="center"/>
                </w:tcPr>
                <w:p w14:paraId="73909F6F">
                  <w:pPr>
                    <w:pStyle w:val="30"/>
                    <w:framePr w:hSpace="0" w:wrap="auto" w:vAnchor="margin" w:hAnchor="text" w:xAlign="left" w:yAlign="inline"/>
                  </w:pPr>
                  <w:r>
                    <w:t>NO</w:t>
                  </w:r>
                  <w:r>
                    <w:rPr>
                      <w:vertAlign w:val="subscript"/>
                    </w:rPr>
                    <w:t>2</w:t>
                  </w:r>
                </w:p>
              </w:tc>
              <w:tc>
                <w:tcPr>
                  <w:tcW w:w="1803" w:type="pct"/>
                  <w:vAlign w:val="center"/>
                </w:tcPr>
                <w:p w14:paraId="15BEE1E3">
                  <w:pPr>
                    <w:pStyle w:val="30"/>
                    <w:framePr w:hSpace="0" w:wrap="auto" w:vAnchor="margin" w:hAnchor="text" w:xAlign="left" w:yAlign="inline"/>
                  </w:pPr>
                  <w:r>
                    <w:t>年平均质量浓度</w:t>
                  </w:r>
                </w:p>
              </w:tc>
              <w:tc>
                <w:tcPr>
                  <w:tcW w:w="687" w:type="pct"/>
                  <w:shd w:val="clear" w:color="auto" w:fill="auto"/>
                  <w:vAlign w:val="center"/>
                </w:tcPr>
                <w:p w14:paraId="725AAEFB">
                  <w:pPr>
                    <w:pStyle w:val="30"/>
                    <w:framePr w:hSpace="0" w:wrap="auto" w:vAnchor="margin" w:hAnchor="text" w:xAlign="left" w:yAlign="inline"/>
                    <w:rPr>
                      <w:lang w:val="en-US"/>
                    </w:rPr>
                  </w:pPr>
                  <w:r>
                    <w:rPr>
                      <w:lang w:val="en-US"/>
                    </w:rPr>
                    <w:t>19</w:t>
                  </w:r>
                </w:p>
              </w:tc>
              <w:tc>
                <w:tcPr>
                  <w:tcW w:w="687" w:type="pct"/>
                  <w:shd w:val="clear" w:color="auto" w:fill="auto"/>
                  <w:vAlign w:val="center"/>
                </w:tcPr>
                <w:p w14:paraId="19EA5621">
                  <w:pPr>
                    <w:pStyle w:val="30"/>
                    <w:framePr w:hSpace="0" w:wrap="auto" w:vAnchor="margin" w:hAnchor="text" w:xAlign="left" w:yAlign="inline"/>
                  </w:pPr>
                  <w:r>
                    <w:t>40</w:t>
                  </w:r>
                </w:p>
              </w:tc>
              <w:tc>
                <w:tcPr>
                  <w:tcW w:w="687" w:type="pct"/>
                  <w:shd w:val="clear" w:color="auto" w:fill="auto"/>
                  <w:vAlign w:val="center"/>
                </w:tcPr>
                <w:p w14:paraId="1E3BC04D">
                  <w:pPr>
                    <w:pStyle w:val="30"/>
                    <w:framePr w:hSpace="0" w:wrap="auto" w:vAnchor="margin" w:hAnchor="text" w:xAlign="left" w:yAlign="inline"/>
                    <w:rPr>
                      <w:lang w:val="en-US"/>
                    </w:rPr>
                  </w:pPr>
                  <w:r>
                    <w:rPr>
                      <w:lang w:val="en-US"/>
                    </w:rPr>
                    <w:t>47.5</w:t>
                  </w:r>
                </w:p>
              </w:tc>
              <w:tc>
                <w:tcPr>
                  <w:tcW w:w="536" w:type="pct"/>
                  <w:shd w:val="clear" w:color="auto" w:fill="auto"/>
                  <w:vAlign w:val="center"/>
                </w:tcPr>
                <w:p w14:paraId="28F4BD36">
                  <w:pPr>
                    <w:pStyle w:val="30"/>
                    <w:framePr w:hSpace="0" w:wrap="auto" w:vAnchor="margin" w:hAnchor="text" w:xAlign="left" w:yAlign="inline"/>
                  </w:pPr>
                  <w:r>
                    <w:t>达标</w:t>
                  </w:r>
                </w:p>
              </w:tc>
            </w:tr>
            <w:tr w14:paraId="64D35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98" w:type="pct"/>
                  <w:vAlign w:val="center"/>
                </w:tcPr>
                <w:p w14:paraId="3777B1CF">
                  <w:pPr>
                    <w:pStyle w:val="30"/>
                    <w:framePr w:hSpace="0" w:wrap="auto" w:vAnchor="margin" w:hAnchor="text" w:xAlign="left" w:yAlign="inline"/>
                  </w:pPr>
                  <w:r>
                    <w:t>PM</w:t>
                  </w:r>
                  <w:r>
                    <w:rPr>
                      <w:vertAlign w:val="subscript"/>
                    </w:rPr>
                    <w:t>10</w:t>
                  </w:r>
                </w:p>
              </w:tc>
              <w:tc>
                <w:tcPr>
                  <w:tcW w:w="1803" w:type="pct"/>
                  <w:vAlign w:val="center"/>
                </w:tcPr>
                <w:p w14:paraId="61784FD9">
                  <w:pPr>
                    <w:pStyle w:val="30"/>
                    <w:framePr w:hSpace="0" w:wrap="auto" w:vAnchor="margin" w:hAnchor="text" w:xAlign="left" w:yAlign="inline"/>
                  </w:pPr>
                  <w:r>
                    <w:t>年平均质量浓度</w:t>
                  </w:r>
                </w:p>
              </w:tc>
              <w:tc>
                <w:tcPr>
                  <w:tcW w:w="687" w:type="pct"/>
                  <w:shd w:val="clear" w:color="auto" w:fill="auto"/>
                  <w:vAlign w:val="center"/>
                </w:tcPr>
                <w:p w14:paraId="084A7502">
                  <w:pPr>
                    <w:pStyle w:val="30"/>
                    <w:framePr w:hSpace="0" w:wrap="auto" w:vAnchor="margin" w:hAnchor="text" w:xAlign="left" w:yAlign="inline"/>
                    <w:rPr>
                      <w:lang w:val="en-US"/>
                    </w:rPr>
                  </w:pPr>
                  <w:r>
                    <w:rPr>
                      <w:lang w:val="en-US"/>
                    </w:rPr>
                    <w:t>65.0</w:t>
                  </w:r>
                </w:p>
              </w:tc>
              <w:tc>
                <w:tcPr>
                  <w:tcW w:w="687" w:type="pct"/>
                  <w:shd w:val="clear" w:color="auto" w:fill="auto"/>
                  <w:vAlign w:val="center"/>
                </w:tcPr>
                <w:p w14:paraId="01935BD5">
                  <w:pPr>
                    <w:pStyle w:val="30"/>
                    <w:framePr w:hSpace="0" w:wrap="auto" w:vAnchor="margin" w:hAnchor="text" w:xAlign="left" w:yAlign="inline"/>
                  </w:pPr>
                  <w:r>
                    <w:t>70</w:t>
                  </w:r>
                </w:p>
              </w:tc>
              <w:tc>
                <w:tcPr>
                  <w:tcW w:w="687" w:type="pct"/>
                  <w:shd w:val="clear" w:color="auto" w:fill="auto"/>
                  <w:vAlign w:val="center"/>
                </w:tcPr>
                <w:p w14:paraId="6778E552">
                  <w:pPr>
                    <w:pStyle w:val="30"/>
                    <w:framePr w:hSpace="0" w:wrap="auto" w:vAnchor="margin" w:hAnchor="text" w:xAlign="left" w:yAlign="inline"/>
                    <w:rPr>
                      <w:lang w:val="en-US"/>
                    </w:rPr>
                  </w:pPr>
                  <w:r>
                    <w:rPr>
                      <w:lang w:val="en-US"/>
                    </w:rPr>
                    <w:t>92.9</w:t>
                  </w:r>
                </w:p>
              </w:tc>
              <w:tc>
                <w:tcPr>
                  <w:tcW w:w="536" w:type="pct"/>
                  <w:shd w:val="clear" w:color="auto" w:fill="auto"/>
                  <w:vAlign w:val="center"/>
                </w:tcPr>
                <w:p w14:paraId="739067AB">
                  <w:pPr>
                    <w:pStyle w:val="30"/>
                    <w:framePr w:hSpace="0" w:wrap="auto" w:vAnchor="margin" w:hAnchor="text" w:xAlign="left" w:yAlign="inline"/>
                  </w:pPr>
                  <w:r>
                    <w:t>达标</w:t>
                  </w:r>
                </w:p>
              </w:tc>
            </w:tr>
            <w:tr w14:paraId="191AF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98" w:type="pct"/>
                  <w:vAlign w:val="center"/>
                </w:tcPr>
                <w:p w14:paraId="2A4BE97E">
                  <w:pPr>
                    <w:pStyle w:val="30"/>
                    <w:framePr w:hSpace="0" w:wrap="auto" w:vAnchor="margin" w:hAnchor="text" w:xAlign="left" w:yAlign="inline"/>
                  </w:pPr>
                  <w:r>
                    <w:t>PM</w:t>
                  </w:r>
                  <w:r>
                    <w:rPr>
                      <w:vertAlign w:val="subscript"/>
                    </w:rPr>
                    <w:t>2.5</w:t>
                  </w:r>
                </w:p>
              </w:tc>
              <w:tc>
                <w:tcPr>
                  <w:tcW w:w="1803" w:type="pct"/>
                  <w:vAlign w:val="center"/>
                </w:tcPr>
                <w:p w14:paraId="0A9E89C9">
                  <w:pPr>
                    <w:pStyle w:val="30"/>
                    <w:framePr w:hSpace="0" w:wrap="auto" w:vAnchor="margin" w:hAnchor="text" w:xAlign="left" w:yAlign="inline"/>
                  </w:pPr>
                  <w:r>
                    <w:t>年平均质量浓度</w:t>
                  </w:r>
                </w:p>
              </w:tc>
              <w:tc>
                <w:tcPr>
                  <w:tcW w:w="687" w:type="pct"/>
                  <w:shd w:val="clear" w:color="auto" w:fill="auto"/>
                  <w:vAlign w:val="center"/>
                </w:tcPr>
                <w:p w14:paraId="1BCB66CB">
                  <w:pPr>
                    <w:pStyle w:val="30"/>
                    <w:framePr w:hSpace="0" w:wrap="auto" w:vAnchor="margin" w:hAnchor="text" w:xAlign="left" w:yAlign="inline"/>
                    <w:rPr>
                      <w:lang w:val="en-US"/>
                    </w:rPr>
                  </w:pPr>
                  <w:r>
                    <w:rPr>
                      <w:lang w:val="en-US"/>
                    </w:rPr>
                    <w:t>40</w:t>
                  </w:r>
                </w:p>
              </w:tc>
              <w:tc>
                <w:tcPr>
                  <w:tcW w:w="687" w:type="pct"/>
                  <w:shd w:val="clear" w:color="auto" w:fill="auto"/>
                  <w:vAlign w:val="center"/>
                </w:tcPr>
                <w:p w14:paraId="39610AB2">
                  <w:pPr>
                    <w:pStyle w:val="30"/>
                    <w:framePr w:hSpace="0" w:wrap="auto" w:vAnchor="margin" w:hAnchor="text" w:xAlign="left" w:yAlign="inline"/>
                  </w:pPr>
                  <w:r>
                    <w:t>35</w:t>
                  </w:r>
                </w:p>
              </w:tc>
              <w:tc>
                <w:tcPr>
                  <w:tcW w:w="687" w:type="pct"/>
                  <w:shd w:val="clear" w:color="auto" w:fill="auto"/>
                  <w:vAlign w:val="center"/>
                </w:tcPr>
                <w:p w14:paraId="3FBA36AE">
                  <w:pPr>
                    <w:pStyle w:val="30"/>
                    <w:framePr w:hSpace="0" w:wrap="auto" w:vAnchor="margin" w:hAnchor="text" w:xAlign="left" w:yAlign="inline"/>
                    <w:rPr>
                      <w:lang w:val="en-US"/>
                    </w:rPr>
                  </w:pPr>
                  <w:r>
                    <w:rPr>
                      <w:lang w:val="en-US"/>
                    </w:rPr>
                    <w:t>114.3</w:t>
                  </w:r>
                </w:p>
              </w:tc>
              <w:tc>
                <w:tcPr>
                  <w:tcW w:w="536" w:type="pct"/>
                  <w:shd w:val="clear" w:color="auto" w:fill="auto"/>
                  <w:vAlign w:val="center"/>
                </w:tcPr>
                <w:p w14:paraId="28B5807F">
                  <w:pPr>
                    <w:pStyle w:val="30"/>
                    <w:framePr w:hSpace="0" w:wrap="auto" w:vAnchor="margin" w:hAnchor="text" w:xAlign="left" w:yAlign="inline"/>
                  </w:pPr>
                  <w:r>
                    <w:t>超标</w:t>
                  </w:r>
                </w:p>
              </w:tc>
            </w:tr>
            <w:tr w14:paraId="5A696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98" w:type="pct"/>
                  <w:vAlign w:val="center"/>
                </w:tcPr>
                <w:p w14:paraId="10CA7BEE">
                  <w:pPr>
                    <w:pStyle w:val="30"/>
                    <w:framePr w:hSpace="0" w:wrap="auto" w:vAnchor="margin" w:hAnchor="text" w:xAlign="left" w:yAlign="inline"/>
                  </w:pPr>
                  <w:r>
                    <w:t>CO</w:t>
                  </w:r>
                </w:p>
              </w:tc>
              <w:tc>
                <w:tcPr>
                  <w:tcW w:w="1803" w:type="pct"/>
                  <w:vAlign w:val="center"/>
                </w:tcPr>
                <w:p w14:paraId="2C4DBFD8">
                  <w:pPr>
                    <w:pStyle w:val="30"/>
                    <w:framePr w:hSpace="0" w:wrap="auto" w:vAnchor="margin" w:hAnchor="text" w:xAlign="left" w:yAlign="inline"/>
                  </w:pPr>
                  <w:r>
                    <w:t>第95百分位数日平均质量浓度</w:t>
                  </w:r>
                </w:p>
              </w:tc>
              <w:tc>
                <w:tcPr>
                  <w:tcW w:w="687" w:type="pct"/>
                  <w:shd w:val="clear" w:color="auto" w:fill="auto"/>
                  <w:vAlign w:val="center"/>
                </w:tcPr>
                <w:p w14:paraId="66DC4E9C">
                  <w:pPr>
                    <w:pStyle w:val="30"/>
                    <w:framePr w:hSpace="0" w:wrap="auto" w:vAnchor="margin" w:hAnchor="text" w:xAlign="left" w:yAlign="inline"/>
                    <w:rPr>
                      <w:lang w:val="en-US"/>
                    </w:rPr>
                  </w:pPr>
                  <w:r>
                    <w:rPr>
                      <w:lang w:val="en-US"/>
                    </w:rPr>
                    <w:t>800</w:t>
                  </w:r>
                </w:p>
              </w:tc>
              <w:tc>
                <w:tcPr>
                  <w:tcW w:w="687" w:type="pct"/>
                  <w:shd w:val="clear" w:color="auto" w:fill="auto"/>
                  <w:vAlign w:val="center"/>
                </w:tcPr>
                <w:p w14:paraId="549D16B6">
                  <w:pPr>
                    <w:pStyle w:val="30"/>
                    <w:framePr w:hSpace="0" w:wrap="auto" w:vAnchor="margin" w:hAnchor="text" w:xAlign="left" w:yAlign="inline"/>
                  </w:pPr>
                  <w:r>
                    <w:t>4000</w:t>
                  </w:r>
                </w:p>
              </w:tc>
              <w:tc>
                <w:tcPr>
                  <w:tcW w:w="687" w:type="pct"/>
                  <w:shd w:val="clear" w:color="auto" w:fill="auto"/>
                  <w:vAlign w:val="center"/>
                </w:tcPr>
                <w:p w14:paraId="727FE845">
                  <w:pPr>
                    <w:pStyle w:val="30"/>
                    <w:framePr w:hSpace="0" w:wrap="auto" w:vAnchor="margin" w:hAnchor="text" w:xAlign="left" w:yAlign="inline"/>
                    <w:rPr>
                      <w:lang w:val="en-US"/>
                    </w:rPr>
                  </w:pPr>
                  <w:r>
                    <w:rPr>
                      <w:lang w:val="en-US"/>
                    </w:rPr>
                    <w:t>20</w:t>
                  </w:r>
                </w:p>
              </w:tc>
              <w:tc>
                <w:tcPr>
                  <w:tcW w:w="536" w:type="pct"/>
                  <w:shd w:val="clear" w:color="auto" w:fill="auto"/>
                  <w:vAlign w:val="center"/>
                </w:tcPr>
                <w:p w14:paraId="6F46DA5F">
                  <w:pPr>
                    <w:pStyle w:val="30"/>
                    <w:framePr w:hSpace="0" w:wrap="auto" w:vAnchor="margin" w:hAnchor="text" w:xAlign="left" w:yAlign="inline"/>
                  </w:pPr>
                  <w:r>
                    <w:t>达标</w:t>
                  </w:r>
                </w:p>
              </w:tc>
            </w:tr>
            <w:tr w14:paraId="44D0A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98" w:type="pct"/>
                  <w:vAlign w:val="center"/>
                </w:tcPr>
                <w:p w14:paraId="731F5EFC">
                  <w:pPr>
                    <w:pStyle w:val="30"/>
                    <w:framePr w:hSpace="0" w:wrap="auto" w:vAnchor="margin" w:hAnchor="text" w:xAlign="left" w:yAlign="inline"/>
                  </w:pPr>
                  <w:r>
                    <w:t>O</w:t>
                  </w:r>
                  <w:r>
                    <w:rPr>
                      <w:vertAlign w:val="subscript"/>
                    </w:rPr>
                    <w:t>3</w:t>
                  </w:r>
                </w:p>
              </w:tc>
              <w:tc>
                <w:tcPr>
                  <w:tcW w:w="1803" w:type="pct"/>
                  <w:vAlign w:val="center"/>
                </w:tcPr>
                <w:p w14:paraId="6873F608">
                  <w:pPr>
                    <w:pStyle w:val="30"/>
                    <w:framePr w:hSpace="0" w:wrap="auto" w:vAnchor="margin" w:hAnchor="text" w:xAlign="left" w:yAlign="inline"/>
                  </w:pPr>
                  <w:r>
                    <w:t>第90百分位数日平均质量浓度</w:t>
                  </w:r>
                </w:p>
              </w:tc>
              <w:tc>
                <w:tcPr>
                  <w:tcW w:w="687" w:type="pct"/>
                  <w:shd w:val="clear" w:color="auto" w:fill="auto"/>
                  <w:vAlign w:val="center"/>
                </w:tcPr>
                <w:p w14:paraId="431E4D79">
                  <w:pPr>
                    <w:pStyle w:val="30"/>
                    <w:framePr w:hSpace="0" w:wrap="auto" w:vAnchor="margin" w:hAnchor="text" w:xAlign="left" w:yAlign="inline"/>
                    <w:rPr>
                      <w:lang w:val="en-US"/>
                    </w:rPr>
                  </w:pPr>
                  <w:r>
                    <w:rPr>
                      <w:lang w:val="en-US"/>
                    </w:rPr>
                    <w:t>160</w:t>
                  </w:r>
                </w:p>
              </w:tc>
              <w:tc>
                <w:tcPr>
                  <w:tcW w:w="687" w:type="pct"/>
                  <w:shd w:val="clear" w:color="auto" w:fill="auto"/>
                  <w:vAlign w:val="center"/>
                </w:tcPr>
                <w:p w14:paraId="5AB33E95">
                  <w:pPr>
                    <w:pStyle w:val="30"/>
                    <w:framePr w:hSpace="0" w:wrap="auto" w:vAnchor="margin" w:hAnchor="text" w:xAlign="left" w:yAlign="inline"/>
                  </w:pPr>
                  <w:r>
                    <w:t>160</w:t>
                  </w:r>
                </w:p>
              </w:tc>
              <w:tc>
                <w:tcPr>
                  <w:tcW w:w="687" w:type="pct"/>
                  <w:shd w:val="clear" w:color="auto" w:fill="auto"/>
                  <w:vAlign w:val="center"/>
                </w:tcPr>
                <w:p w14:paraId="44C1154E">
                  <w:pPr>
                    <w:pStyle w:val="30"/>
                    <w:framePr w:hSpace="0" w:wrap="auto" w:vAnchor="margin" w:hAnchor="text" w:xAlign="left" w:yAlign="inline"/>
                    <w:rPr>
                      <w:lang w:val="en-US"/>
                    </w:rPr>
                  </w:pPr>
                  <w:r>
                    <w:rPr>
                      <w:lang w:val="en-US"/>
                    </w:rPr>
                    <w:t>100</w:t>
                  </w:r>
                </w:p>
              </w:tc>
              <w:tc>
                <w:tcPr>
                  <w:tcW w:w="536" w:type="pct"/>
                  <w:shd w:val="clear" w:color="auto" w:fill="auto"/>
                  <w:vAlign w:val="center"/>
                </w:tcPr>
                <w:p w14:paraId="22B259A9">
                  <w:pPr>
                    <w:pStyle w:val="30"/>
                    <w:framePr w:hSpace="0" w:wrap="auto" w:vAnchor="margin" w:hAnchor="text" w:xAlign="left" w:yAlign="inline"/>
                  </w:pPr>
                  <w:r>
                    <w:t>达标</w:t>
                  </w:r>
                </w:p>
              </w:tc>
            </w:tr>
          </w:tbl>
          <w:p w14:paraId="4B14B5F2">
            <w:pPr>
              <w:spacing w:line="360" w:lineRule="auto"/>
              <w:ind w:firstLine="480" w:firstLineChars="200"/>
            </w:pPr>
            <w:r>
              <w:rPr>
                <w:rFonts w:hint="eastAsia"/>
              </w:rPr>
              <w:t>根据质量状况公报结果，淮南市属于环境空气质量不达标区域，超标污染物为细颗粒物（PM</w:t>
            </w:r>
            <w:r>
              <w:rPr>
                <w:rFonts w:hint="eastAsia"/>
                <w:vertAlign w:val="subscript"/>
              </w:rPr>
              <w:t>2.5</w:t>
            </w:r>
            <w:r>
              <w:rPr>
                <w:rFonts w:hint="eastAsia"/>
              </w:rPr>
              <w:t>）。</w:t>
            </w:r>
          </w:p>
          <w:p w14:paraId="4536597F">
            <w:pPr>
              <w:spacing w:line="360" w:lineRule="auto"/>
              <w:ind w:firstLine="480"/>
              <w:rPr>
                <w:color w:val="0000FF"/>
              </w:rPr>
            </w:pPr>
            <w:r>
              <w:rPr>
                <w:rFonts w:hint="eastAsia"/>
              </w:rPr>
              <w:t>目前，淮南市已制订《淮南市“十四五”大气污染防治规划（2021-2025年）》，围绕工业大气污染治理、扬（烟）尘污染防治等开展专项治理活动，进一步削减大气污染物排放。</w:t>
            </w:r>
          </w:p>
          <w:p w14:paraId="72FDBF93">
            <w:pPr>
              <w:ind w:firstLine="482"/>
            </w:pPr>
            <w:r>
              <w:t>2</w:t>
            </w:r>
            <w:r>
              <w:rPr>
                <w:rFonts w:hint="eastAsia"/>
              </w:rPr>
              <w:t>、特征污染物</w:t>
            </w:r>
          </w:p>
          <w:p w14:paraId="091AC8E7">
            <w:pPr>
              <w:ind w:firstLine="480" w:firstLineChars="200"/>
              <w:rPr>
                <w:rFonts w:cs="宋体"/>
              </w:rPr>
            </w:pPr>
            <w:bookmarkStart w:id="40" w:name="_Hlk172985570"/>
            <w:r>
              <w:rPr>
                <w:rFonts w:hint="eastAsia" w:cs="宋体"/>
              </w:rPr>
              <w:t>为了解项目所在区域的特征污染物（</w:t>
            </w:r>
            <w:r>
              <w:rPr>
                <w:rFonts w:cs="宋体"/>
                <w:b/>
              </w:rPr>
              <w:t>TSP</w:t>
            </w:r>
            <w:r>
              <w:rPr>
                <w:rFonts w:hint="eastAsia" w:cs="宋体"/>
                <w:b/>
              </w:rPr>
              <w:t>、非甲烷总烃</w:t>
            </w:r>
            <w:r>
              <w:rPr>
                <w:rFonts w:hint="eastAsia" w:cs="宋体"/>
              </w:rPr>
              <w:t>）的环境质量现状情况，特征污染物</w:t>
            </w:r>
            <w:r>
              <w:t>引用</w:t>
            </w:r>
            <w:r>
              <w:rPr>
                <w:rFonts w:hint="eastAsia" w:cs="宋体"/>
              </w:rPr>
              <w:t>《淮南交控物流服务有限公司淮南市安成城市综合交通驿站项目建设项目环境影响报告表》中的监测数据，</w:t>
            </w:r>
            <w:r>
              <w:rPr>
                <w:rFonts w:hint="eastAsia"/>
              </w:rPr>
              <w:t>监测时间为2025年5月24日~2025年5月26日、2025年8月30日~2025年9月1日</w:t>
            </w:r>
            <w:r>
              <w:t>，引用监测点位</w:t>
            </w:r>
            <w:r>
              <w:rPr>
                <w:rFonts w:hint="eastAsia"/>
              </w:rPr>
              <w:t>距离</w:t>
            </w:r>
            <w:r>
              <w:t>项目所在地</w:t>
            </w:r>
            <w:r>
              <w:rPr>
                <w:rFonts w:hint="eastAsia"/>
              </w:rPr>
              <w:t>西侧</w:t>
            </w:r>
            <w:r>
              <w:t>约</w:t>
            </w:r>
            <w:r>
              <w:rPr>
                <w:rFonts w:hint="eastAsia"/>
              </w:rPr>
              <w:t>1029</w:t>
            </w:r>
            <w:r>
              <w:t>m</w:t>
            </w:r>
            <w:r>
              <w:rPr>
                <w:rFonts w:hint="eastAsia"/>
              </w:rPr>
              <w:t>；引用监测数据满足《建设项目环境影响报告表编制技术指南（污染影响类）（试行）》中大气环境质量现状可引用建设项目周边5千米范围内近3年的现有监测数据要求。</w:t>
            </w:r>
          </w:p>
          <w:p w14:paraId="49BF1451">
            <w:pPr>
              <w:ind w:firstLine="482"/>
            </w:pPr>
            <w:r>
              <w:rPr>
                <w:rFonts w:hint="eastAsia"/>
              </w:rPr>
              <w:t>（1）监测布点及监测因子</w:t>
            </w:r>
          </w:p>
          <w:p w14:paraId="54E35311">
            <w:pPr>
              <w:pStyle w:val="6"/>
              <w:adjustRightInd w:val="0"/>
              <w:snapToGrid w:val="0"/>
            </w:pPr>
            <w:r>
              <w:t xml:space="preserve">表 </w:t>
            </w:r>
            <w:r>
              <w:rPr>
                <w:rFonts w:hint="eastAsia"/>
              </w:rPr>
              <w:t>3-</w:t>
            </w:r>
            <w:r>
              <w:fldChar w:fldCharType="begin"/>
            </w:r>
            <w:r>
              <w:instrText xml:space="preserve"> SEQ 表 \* ARABIC \s 1 </w:instrText>
            </w:r>
            <w:r>
              <w:fldChar w:fldCharType="separate"/>
            </w:r>
            <w:r>
              <w:t>2</w:t>
            </w:r>
            <w:r>
              <w:fldChar w:fldCharType="end"/>
            </w:r>
            <w:r>
              <w:t>大气环境质量监测布点与监测因子</w:t>
            </w:r>
          </w:p>
          <w:tbl>
            <w:tblPr>
              <w:tblStyle w:val="24"/>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1"/>
              <w:gridCol w:w="797"/>
              <w:gridCol w:w="942"/>
              <w:gridCol w:w="900"/>
              <w:gridCol w:w="555"/>
              <w:gridCol w:w="699"/>
              <w:gridCol w:w="1086"/>
              <w:gridCol w:w="715"/>
              <w:gridCol w:w="546"/>
              <w:gridCol w:w="709"/>
            </w:tblGrid>
            <w:tr w14:paraId="3DA0B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69" w:type="pct"/>
                  <w:vMerge w:val="restart"/>
                  <w:vAlign w:val="center"/>
                </w:tcPr>
                <w:p w14:paraId="3B47283E">
                  <w:pPr>
                    <w:pStyle w:val="30"/>
                    <w:framePr w:hSpace="0" w:wrap="auto" w:vAnchor="margin" w:hAnchor="text" w:xAlign="left" w:yAlign="inline"/>
                    <w:rPr>
                      <w:rFonts w:cs="宋体"/>
                    </w:rPr>
                  </w:pPr>
                  <w:r>
                    <w:rPr>
                      <w:rFonts w:hint="eastAsia" w:cs="宋体"/>
                    </w:rPr>
                    <w:t>监测点位</w:t>
                  </w:r>
                </w:p>
              </w:tc>
              <w:tc>
                <w:tcPr>
                  <w:tcW w:w="508" w:type="pct"/>
                  <w:vMerge w:val="restart"/>
                  <w:vAlign w:val="center"/>
                </w:tcPr>
                <w:p w14:paraId="27CE92EA">
                  <w:pPr>
                    <w:pStyle w:val="30"/>
                    <w:framePr w:hSpace="0" w:wrap="auto" w:vAnchor="margin" w:hAnchor="text" w:xAlign="left" w:yAlign="inline"/>
                    <w:rPr>
                      <w:rFonts w:cs="宋体"/>
                    </w:rPr>
                  </w:pPr>
                  <w:r>
                    <w:rPr>
                      <w:rFonts w:hint="eastAsia" w:cs="宋体"/>
                    </w:rPr>
                    <w:t>检测项目</w:t>
                  </w:r>
                </w:p>
              </w:tc>
              <w:tc>
                <w:tcPr>
                  <w:tcW w:w="1975" w:type="pct"/>
                  <w:gridSpan w:val="4"/>
                  <w:vAlign w:val="center"/>
                </w:tcPr>
                <w:p w14:paraId="12AE626D">
                  <w:pPr>
                    <w:pStyle w:val="30"/>
                    <w:framePr w:hSpace="0" w:wrap="auto" w:vAnchor="margin" w:hAnchor="text" w:xAlign="left" w:yAlign="inline"/>
                    <w:rPr>
                      <w:rFonts w:cs="宋体"/>
                    </w:rPr>
                  </w:pPr>
                  <w:r>
                    <w:rPr>
                      <w:rFonts w:hint="eastAsia" w:cs="宋体"/>
                    </w:rPr>
                    <w:t>小时值/一次值</w:t>
                  </w:r>
                </w:p>
              </w:tc>
              <w:tc>
                <w:tcPr>
                  <w:tcW w:w="1946" w:type="pct"/>
                  <w:gridSpan w:val="4"/>
                  <w:vAlign w:val="center"/>
                </w:tcPr>
                <w:p w14:paraId="689F1287">
                  <w:pPr>
                    <w:pStyle w:val="30"/>
                    <w:framePr w:hSpace="0" w:wrap="auto" w:vAnchor="margin" w:hAnchor="text" w:xAlign="left" w:yAlign="inline"/>
                    <w:rPr>
                      <w:rFonts w:cs="宋体"/>
                    </w:rPr>
                  </w:pPr>
                  <w:r>
                    <w:rPr>
                      <w:rFonts w:hint="eastAsia" w:cs="宋体"/>
                    </w:rPr>
                    <w:t>日均值</w:t>
                  </w:r>
                </w:p>
              </w:tc>
            </w:tr>
            <w:tr w14:paraId="0C97F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69" w:type="pct"/>
                  <w:vMerge w:val="continue"/>
                  <w:vAlign w:val="center"/>
                </w:tcPr>
                <w:p w14:paraId="6FAC0E9A">
                  <w:pPr>
                    <w:pStyle w:val="30"/>
                    <w:framePr w:hSpace="0" w:wrap="auto" w:vAnchor="margin" w:hAnchor="text" w:xAlign="left" w:yAlign="inline"/>
                    <w:rPr>
                      <w:rFonts w:cs="宋体"/>
                    </w:rPr>
                  </w:pPr>
                </w:p>
              </w:tc>
              <w:tc>
                <w:tcPr>
                  <w:tcW w:w="508" w:type="pct"/>
                  <w:vMerge w:val="continue"/>
                  <w:vAlign w:val="center"/>
                </w:tcPr>
                <w:p w14:paraId="222B29A8">
                  <w:pPr>
                    <w:pStyle w:val="30"/>
                    <w:framePr w:hSpace="0" w:wrap="auto" w:vAnchor="margin" w:hAnchor="text" w:xAlign="left" w:yAlign="inline"/>
                    <w:rPr>
                      <w:rFonts w:cs="宋体"/>
                    </w:rPr>
                  </w:pPr>
                </w:p>
              </w:tc>
              <w:tc>
                <w:tcPr>
                  <w:tcW w:w="601" w:type="pct"/>
                  <w:vAlign w:val="center"/>
                </w:tcPr>
                <w:p w14:paraId="1B71DBEB">
                  <w:pPr>
                    <w:pStyle w:val="30"/>
                    <w:framePr w:hSpace="0" w:wrap="auto" w:vAnchor="margin" w:hAnchor="text" w:xAlign="left" w:yAlign="inline"/>
                    <w:rPr>
                      <w:rFonts w:cs="宋体"/>
                    </w:rPr>
                  </w:pPr>
                  <w:r>
                    <w:rPr>
                      <w:rFonts w:hint="eastAsia" w:cs="宋体"/>
                    </w:rPr>
                    <w:t>浓度范围mg/m</w:t>
                  </w:r>
                  <w:r>
                    <w:rPr>
                      <w:rFonts w:hint="eastAsia" w:cs="宋体"/>
                      <w:vertAlign w:val="superscript"/>
                    </w:rPr>
                    <w:t>3</w:t>
                  </w:r>
                </w:p>
              </w:tc>
              <w:tc>
                <w:tcPr>
                  <w:tcW w:w="574" w:type="pct"/>
                  <w:vAlign w:val="center"/>
                </w:tcPr>
                <w:p w14:paraId="4A7736CB">
                  <w:pPr>
                    <w:pStyle w:val="30"/>
                    <w:framePr w:hSpace="0" w:wrap="auto" w:vAnchor="margin" w:hAnchor="text" w:xAlign="left" w:yAlign="inline"/>
                    <w:rPr>
                      <w:rFonts w:cs="宋体"/>
                    </w:rPr>
                  </w:pPr>
                  <w:r>
                    <w:rPr>
                      <w:rFonts w:hint="eastAsia" w:cs="宋体"/>
                    </w:rPr>
                    <w:t>最大浓度占标率%</w:t>
                  </w:r>
                </w:p>
              </w:tc>
              <w:tc>
                <w:tcPr>
                  <w:tcW w:w="354" w:type="pct"/>
                  <w:vAlign w:val="center"/>
                </w:tcPr>
                <w:p w14:paraId="53798F3A">
                  <w:pPr>
                    <w:pStyle w:val="30"/>
                    <w:framePr w:hSpace="0" w:wrap="auto" w:vAnchor="margin" w:hAnchor="text" w:xAlign="left" w:yAlign="inline"/>
                    <w:rPr>
                      <w:rFonts w:cs="宋体"/>
                    </w:rPr>
                  </w:pPr>
                  <w:r>
                    <w:rPr>
                      <w:rFonts w:hint="eastAsia" w:cs="宋体"/>
                    </w:rPr>
                    <w:t>超标率%</w:t>
                  </w:r>
                </w:p>
              </w:tc>
              <w:tc>
                <w:tcPr>
                  <w:tcW w:w="445" w:type="pct"/>
                  <w:vAlign w:val="center"/>
                </w:tcPr>
                <w:p w14:paraId="27EBD296">
                  <w:pPr>
                    <w:pStyle w:val="30"/>
                    <w:framePr w:hSpace="0" w:wrap="auto" w:vAnchor="margin" w:hAnchor="text" w:xAlign="left" w:yAlign="inline"/>
                    <w:rPr>
                      <w:rFonts w:cs="宋体"/>
                    </w:rPr>
                  </w:pPr>
                  <w:r>
                    <w:rPr>
                      <w:rFonts w:hint="eastAsia" w:cs="宋体"/>
                    </w:rPr>
                    <w:t>标准值mg/m</w:t>
                  </w:r>
                  <w:r>
                    <w:rPr>
                      <w:rFonts w:hint="eastAsia" w:cs="宋体"/>
                      <w:vertAlign w:val="superscript"/>
                    </w:rPr>
                    <w:t>3</w:t>
                  </w:r>
                </w:p>
              </w:tc>
              <w:tc>
                <w:tcPr>
                  <w:tcW w:w="692" w:type="pct"/>
                  <w:vAlign w:val="center"/>
                </w:tcPr>
                <w:p w14:paraId="2049939F">
                  <w:pPr>
                    <w:pStyle w:val="30"/>
                    <w:framePr w:hSpace="0" w:wrap="auto" w:vAnchor="margin" w:hAnchor="text" w:xAlign="left" w:yAlign="inline"/>
                    <w:rPr>
                      <w:rFonts w:cs="宋体"/>
                    </w:rPr>
                  </w:pPr>
                  <w:r>
                    <w:rPr>
                      <w:rFonts w:hint="eastAsia" w:cs="宋体"/>
                    </w:rPr>
                    <w:t>浓度范围mg/m</w:t>
                  </w:r>
                  <w:r>
                    <w:rPr>
                      <w:rFonts w:hint="eastAsia" w:cs="宋体"/>
                      <w:vertAlign w:val="superscript"/>
                    </w:rPr>
                    <w:t>3</w:t>
                  </w:r>
                </w:p>
              </w:tc>
              <w:tc>
                <w:tcPr>
                  <w:tcW w:w="456" w:type="pct"/>
                  <w:vAlign w:val="center"/>
                </w:tcPr>
                <w:p w14:paraId="3DC1B6F7">
                  <w:pPr>
                    <w:pStyle w:val="30"/>
                    <w:framePr w:hSpace="0" w:wrap="auto" w:vAnchor="margin" w:hAnchor="text" w:xAlign="left" w:yAlign="inline"/>
                    <w:rPr>
                      <w:rFonts w:cs="宋体"/>
                    </w:rPr>
                  </w:pPr>
                  <w:r>
                    <w:rPr>
                      <w:rFonts w:hint="eastAsia" w:cs="宋体"/>
                    </w:rPr>
                    <w:t>最大浓度占标率%</w:t>
                  </w:r>
                </w:p>
              </w:tc>
              <w:tc>
                <w:tcPr>
                  <w:tcW w:w="348" w:type="pct"/>
                  <w:vAlign w:val="center"/>
                </w:tcPr>
                <w:p w14:paraId="63C4AED8">
                  <w:pPr>
                    <w:pStyle w:val="30"/>
                    <w:framePr w:hSpace="0" w:wrap="auto" w:vAnchor="margin" w:hAnchor="text" w:xAlign="left" w:yAlign="inline"/>
                    <w:rPr>
                      <w:rFonts w:cs="宋体"/>
                    </w:rPr>
                  </w:pPr>
                  <w:r>
                    <w:rPr>
                      <w:rFonts w:hint="eastAsia" w:cs="宋体"/>
                    </w:rPr>
                    <w:t>超标率%</w:t>
                  </w:r>
                </w:p>
              </w:tc>
              <w:tc>
                <w:tcPr>
                  <w:tcW w:w="449" w:type="pct"/>
                  <w:vAlign w:val="center"/>
                </w:tcPr>
                <w:p w14:paraId="32350071">
                  <w:pPr>
                    <w:pStyle w:val="30"/>
                    <w:framePr w:hSpace="0" w:wrap="auto" w:vAnchor="margin" w:hAnchor="text" w:xAlign="left" w:yAlign="inline"/>
                    <w:rPr>
                      <w:rFonts w:cs="宋体"/>
                    </w:rPr>
                  </w:pPr>
                  <w:r>
                    <w:rPr>
                      <w:rFonts w:hint="eastAsia" w:cs="宋体"/>
                    </w:rPr>
                    <w:t>标准值mg/m</w:t>
                  </w:r>
                  <w:r>
                    <w:rPr>
                      <w:rFonts w:hint="eastAsia" w:cs="宋体"/>
                      <w:vertAlign w:val="superscript"/>
                    </w:rPr>
                    <w:t>3</w:t>
                  </w:r>
                </w:p>
              </w:tc>
            </w:tr>
            <w:tr w14:paraId="1E677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69" w:type="pct"/>
                  <w:vMerge w:val="restart"/>
                  <w:vAlign w:val="center"/>
                </w:tcPr>
                <w:p w14:paraId="54394C26">
                  <w:pPr>
                    <w:pStyle w:val="30"/>
                    <w:framePr w:hSpace="0" w:wrap="auto" w:vAnchor="margin" w:hAnchor="text" w:xAlign="left" w:yAlign="inline"/>
                    <w:rPr>
                      <w:rFonts w:cs="宋体"/>
                    </w:rPr>
                  </w:pPr>
                  <w:r>
                    <w:rPr>
                      <w:rFonts w:hint="eastAsia" w:cs="宋体"/>
                      <w:lang w:val="en-US"/>
                    </w:rPr>
                    <w:t>1#</w:t>
                  </w:r>
                  <w:r>
                    <w:rPr>
                      <w:rFonts w:hint="eastAsia" w:cs="宋体"/>
                    </w:rPr>
                    <w:t>（项目所在地）</w:t>
                  </w:r>
                </w:p>
              </w:tc>
              <w:tc>
                <w:tcPr>
                  <w:tcW w:w="508" w:type="pct"/>
                  <w:shd w:val="clear" w:color="auto" w:fill="auto"/>
                  <w:vAlign w:val="center"/>
                </w:tcPr>
                <w:p w14:paraId="505662A3">
                  <w:pPr>
                    <w:pStyle w:val="30"/>
                    <w:framePr w:hSpace="0" w:wrap="auto" w:vAnchor="margin" w:hAnchor="text" w:xAlign="left" w:yAlign="inline"/>
                    <w:rPr>
                      <w:rFonts w:cs="宋体"/>
                      <w:lang w:val="en-US"/>
                    </w:rPr>
                  </w:pPr>
                  <w:r>
                    <w:rPr>
                      <w:rFonts w:hint="eastAsia" w:cs="宋体"/>
                    </w:rPr>
                    <w:t>非甲烷总烃</w:t>
                  </w:r>
                </w:p>
              </w:tc>
              <w:tc>
                <w:tcPr>
                  <w:tcW w:w="601" w:type="pct"/>
                  <w:shd w:val="clear" w:color="auto" w:fill="auto"/>
                  <w:vAlign w:val="center"/>
                </w:tcPr>
                <w:p w14:paraId="6F82CA2D">
                  <w:pPr>
                    <w:pStyle w:val="30"/>
                    <w:framePr w:hSpace="0" w:wrap="auto" w:vAnchor="margin" w:hAnchor="text" w:xAlign="left" w:yAlign="inline"/>
                    <w:rPr>
                      <w:rFonts w:cs="宋体"/>
                      <w:lang w:val="en-US"/>
                    </w:rPr>
                  </w:pPr>
                  <w:r>
                    <w:rPr>
                      <w:rFonts w:hint="eastAsia" w:cs="宋体"/>
                    </w:rPr>
                    <w:t>0.</w:t>
                  </w:r>
                  <w:r>
                    <w:rPr>
                      <w:rFonts w:hint="eastAsia" w:cs="宋体"/>
                      <w:lang w:val="en-US"/>
                    </w:rPr>
                    <w:t>33-0.48</w:t>
                  </w:r>
                </w:p>
              </w:tc>
              <w:tc>
                <w:tcPr>
                  <w:tcW w:w="574" w:type="pct"/>
                  <w:shd w:val="clear" w:color="auto" w:fill="auto"/>
                  <w:vAlign w:val="center"/>
                </w:tcPr>
                <w:p w14:paraId="1CB11E7E">
                  <w:pPr>
                    <w:pStyle w:val="30"/>
                    <w:framePr w:hSpace="0" w:wrap="auto" w:vAnchor="margin" w:hAnchor="text" w:xAlign="left" w:yAlign="inline"/>
                    <w:rPr>
                      <w:rFonts w:cs="宋体"/>
                      <w:lang w:val="en-US"/>
                    </w:rPr>
                  </w:pPr>
                  <w:r>
                    <w:rPr>
                      <w:rFonts w:hint="eastAsia" w:cs="宋体"/>
                      <w:lang w:val="en-US"/>
                    </w:rPr>
                    <w:t>24</w:t>
                  </w:r>
                </w:p>
              </w:tc>
              <w:tc>
                <w:tcPr>
                  <w:tcW w:w="354" w:type="pct"/>
                  <w:shd w:val="clear" w:color="auto" w:fill="auto"/>
                  <w:vAlign w:val="center"/>
                </w:tcPr>
                <w:p w14:paraId="48DD8BA8">
                  <w:pPr>
                    <w:pStyle w:val="30"/>
                    <w:framePr w:hSpace="0" w:wrap="auto" w:vAnchor="margin" w:hAnchor="text" w:xAlign="left" w:yAlign="inline"/>
                    <w:rPr>
                      <w:rFonts w:cs="宋体"/>
                      <w:lang w:val="en-US"/>
                    </w:rPr>
                  </w:pPr>
                  <w:r>
                    <w:rPr>
                      <w:rFonts w:hint="eastAsia" w:cs="宋体"/>
                    </w:rPr>
                    <w:t>0</w:t>
                  </w:r>
                </w:p>
              </w:tc>
              <w:tc>
                <w:tcPr>
                  <w:tcW w:w="445" w:type="pct"/>
                  <w:shd w:val="clear" w:color="auto" w:fill="auto"/>
                  <w:vAlign w:val="center"/>
                </w:tcPr>
                <w:p w14:paraId="21928149">
                  <w:pPr>
                    <w:pStyle w:val="30"/>
                    <w:framePr w:hSpace="0" w:wrap="auto" w:vAnchor="margin" w:hAnchor="text" w:xAlign="left" w:yAlign="inline"/>
                    <w:rPr>
                      <w:rFonts w:cs="宋体"/>
                      <w:lang w:val="en-US"/>
                    </w:rPr>
                  </w:pPr>
                  <w:r>
                    <w:rPr>
                      <w:rFonts w:hint="eastAsia" w:cs="宋体"/>
                    </w:rPr>
                    <w:t>2.0</w:t>
                  </w:r>
                </w:p>
              </w:tc>
              <w:tc>
                <w:tcPr>
                  <w:tcW w:w="692" w:type="pct"/>
                  <w:shd w:val="clear" w:color="auto" w:fill="auto"/>
                  <w:vAlign w:val="center"/>
                </w:tcPr>
                <w:p w14:paraId="16632E21">
                  <w:pPr>
                    <w:pStyle w:val="30"/>
                    <w:framePr w:hSpace="0" w:wrap="auto" w:vAnchor="margin" w:hAnchor="text" w:xAlign="left" w:yAlign="inline"/>
                    <w:rPr>
                      <w:rFonts w:cs="宋体"/>
                      <w:lang w:val="en-US"/>
                    </w:rPr>
                  </w:pPr>
                  <w:r>
                    <w:rPr>
                      <w:rFonts w:hint="eastAsia" w:cs="宋体"/>
                    </w:rPr>
                    <w:t>/</w:t>
                  </w:r>
                </w:p>
              </w:tc>
              <w:tc>
                <w:tcPr>
                  <w:tcW w:w="456" w:type="pct"/>
                  <w:shd w:val="clear" w:color="auto" w:fill="auto"/>
                  <w:vAlign w:val="center"/>
                </w:tcPr>
                <w:p w14:paraId="5FA2CE5E">
                  <w:pPr>
                    <w:pStyle w:val="30"/>
                    <w:framePr w:hSpace="0" w:wrap="auto" w:vAnchor="margin" w:hAnchor="text" w:xAlign="left" w:yAlign="inline"/>
                    <w:rPr>
                      <w:rFonts w:cs="宋体"/>
                      <w:lang w:val="en-US"/>
                    </w:rPr>
                  </w:pPr>
                  <w:r>
                    <w:rPr>
                      <w:rFonts w:hint="eastAsia" w:cs="宋体"/>
                    </w:rPr>
                    <w:t>/</w:t>
                  </w:r>
                </w:p>
              </w:tc>
              <w:tc>
                <w:tcPr>
                  <w:tcW w:w="348" w:type="pct"/>
                  <w:shd w:val="clear" w:color="auto" w:fill="auto"/>
                  <w:vAlign w:val="center"/>
                </w:tcPr>
                <w:p w14:paraId="1ABF8DE7">
                  <w:pPr>
                    <w:pStyle w:val="30"/>
                    <w:framePr w:hSpace="0" w:wrap="auto" w:vAnchor="margin" w:hAnchor="text" w:xAlign="left" w:yAlign="inline"/>
                    <w:rPr>
                      <w:rFonts w:cs="宋体"/>
                      <w:lang w:val="en-US"/>
                    </w:rPr>
                  </w:pPr>
                  <w:r>
                    <w:rPr>
                      <w:rFonts w:hint="eastAsia" w:cs="宋体"/>
                    </w:rPr>
                    <w:t>/</w:t>
                  </w:r>
                </w:p>
              </w:tc>
              <w:tc>
                <w:tcPr>
                  <w:tcW w:w="449" w:type="pct"/>
                  <w:shd w:val="clear" w:color="auto" w:fill="auto"/>
                  <w:vAlign w:val="center"/>
                </w:tcPr>
                <w:p w14:paraId="1247C35A">
                  <w:pPr>
                    <w:pStyle w:val="30"/>
                    <w:framePr w:hSpace="0" w:wrap="auto" w:vAnchor="margin" w:hAnchor="text" w:xAlign="left" w:yAlign="inline"/>
                    <w:rPr>
                      <w:rFonts w:cs="宋体"/>
                      <w:lang w:val="en-US"/>
                    </w:rPr>
                  </w:pPr>
                  <w:r>
                    <w:rPr>
                      <w:rFonts w:hint="eastAsia" w:cs="宋体"/>
                    </w:rPr>
                    <w:t>/</w:t>
                  </w:r>
                </w:p>
              </w:tc>
            </w:tr>
            <w:tr w14:paraId="6969A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69" w:type="pct"/>
                  <w:vMerge w:val="continue"/>
                  <w:vAlign w:val="center"/>
                </w:tcPr>
                <w:p w14:paraId="2FCF4DEA">
                  <w:pPr>
                    <w:pStyle w:val="30"/>
                    <w:framePr w:hSpace="0" w:wrap="auto" w:vAnchor="margin" w:hAnchor="text" w:xAlign="left" w:yAlign="inline"/>
                    <w:rPr>
                      <w:rFonts w:cs="宋体"/>
                    </w:rPr>
                  </w:pPr>
                </w:p>
              </w:tc>
              <w:tc>
                <w:tcPr>
                  <w:tcW w:w="508" w:type="pct"/>
                  <w:shd w:val="clear" w:color="auto" w:fill="auto"/>
                  <w:vAlign w:val="center"/>
                </w:tcPr>
                <w:p w14:paraId="68562B15">
                  <w:pPr>
                    <w:pStyle w:val="30"/>
                    <w:framePr w:hSpace="0" w:wrap="auto" w:vAnchor="margin" w:hAnchor="text" w:xAlign="left" w:yAlign="inline"/>
                    <w:rPr>
                      <w:rFonts w:cs="宋体"/>
                      <w:lang w:val="en-US"/>
                    </w:rPr>
                  </w:pPr>
                  <w:r>
                    <w:rPr>
                      <w:rFonts w:hint="eastAsia" w:cs="宋体"/>
                    </w:rPr>
                    <w:t>TSP</w:t>
                  </w:r>
                </w:p>
              </w:tc>
              <w:tc>
                <w:tcPr>
                  <w:tcW w:w="601" w:type="pct"/>
                  <w:shd w:val="clear" w:color="auto" w:fill="auto"/>
                  <w:vAlign w:val="center"/>
                </w:tcPr>
                <w:p w14:paraId="635977EE">
                  <w:pPr>
                    <w:pStyle w:val="30"/>
                    <w:framePr w:hSpace="0" w:wrap="auto" w:vAnchor="margin" w:hAnchor="text" w:xAlign="left" w:yAlign="inline"/>
                    <w:rPr>
                      <w:rFonts w:cs="宋体"/>
                      <w:lang w:val="en-US"/>
                    </w:rPr>
                  </w:pPr>
                  <w:r>
                    <w:rPr>
                      <w:rFonts w:hint="eastAsia" w:cs="宋体"/>
                    </w:rPr>
                    <w:t>/</w:t>
                  </w:r>
                </w:p>
              </w:tc>
              <w:tc>
                <w:tcPr>
                  <w:tcW w:w="574" w:type="pct"/>
                  <w:shd w:val="clear" w:color="auto" w:fill="auto"/>
                  <w:vAlign w:val="center"/>
                </w:tcPr>
                <w:p w14:paraId="264D6F8D">
                  <w:pPr>
                    <w:pStyle w:val="30"/>
                    <w:framePr w:hSpace="0" w:wrap="auto" w:vAnchor="margin" w:hAnchor="text" w:xAlign="left" w:yAlign="inline"/>
                    <w:rPr>
                      <w:rFonts w:cs="宋体"/>
                      <w:lang w:val="en-US"/>
                    </w:rPr>
                  </w:pPr>
                  <w:r>
                    <w:rPr>
                      <w:rFonts w:hint="eastAsia" w:cs="宋体"/>
                    </w:rPr>
                    <w:t>/</w:t>
                  </w:r>
                </w:p>
              </w:tc>
              <w:tc>
                <w:tcPr>
                  <w:tcW w:w="354" w:type="pct"/>
                  <w:shd w:val="clear" w:color="auto" w:fill="auto"/>
                  <w:vAlign w:val="center"/>
                </w:tcPr>
                <w:p w14:paraId="3F148692">
                  <w:pPr>
                    <w:pStyle w:val="30"/>
                    <w:framePr w:hSpace="0" w:wrap="auto" w:vAnchor="margin" w:hAnchor="text" w:xAlign="left" w:yAlign="inline"/>
                    <w:rPr>
                      <w:rFonts w:cs="宋体"/>
                      <w:lang w:val="en-US"/>
                    </w:rPr>
                  </w:pPr>
                  <w:r>
                    <w:rPr>
                      <w:rFonts w:hint="eastAsia" w:cs="宋体"/>
                    </w:rPr>
                    <w:t>/</w:t>
                  </w:r>
                </w:p>
              </w:tc>
              <w:tc>
                <w:tcPr>
                  <w:tcW w:w="445" w:type="pct"/>
                  <w:shd w:val="clear" w:color="auto" w:fill="auto"/>
                  <w:vAlign w:val="center"/>
                </w:tcPr>
                <w:p w14:paraId="67B7ADC2">
                  <w:pPr>
                    <w:pStyle w:val="30"/>
                    <w:framePr w:hSpace="0" w:wrap="auto" w:vAnchor="margin" w:hAnchor="text" w:xAlign="left" w:yAlign="inline"/>
                    <w:rPr>
                      <w:rFonts w:cs="宋体"/>
                      <w:lang w:val="en-US"/>
                    </w:rPr>
                  </w:pPr>
                  <w:r>
                    <w:rPr>
                      <w:rFonts w:hint="eastAsia" w:cs="宋体"/>
                    </w:rPr>
                    <w:t>/</w:t>
                  </w:r>
                </w:p>
              </w:tc>
              <w:tc>
                <w:tcPr>
                  <w:tcW w:w="692" w:type="pct"/>
                  <w:shd w:val="clear" w:color="auto" w:fill="auto"/>
                  <w:vAlign w:val="center"/>
                </w:tcPr>
                <w:p w14:paraId="49321ABC">
                  <w:pPr>
                    <w:pStyle w:val="30"/>
                    <w:framePr w:hSpace="0" w:wrap="auto" w:vAnchor="margin" w:hAnchor="text" w:xAlign="left" w:yAlign="inline"/>
                    <w:rPr>
                      <w:rFonts w:cs="宋体"/>
                      <w:lang w:val="en-US"/>
                    </w:rPr>
                  </w:pPr>
                  <w:r>
                    <w:rPr>
                      <w:rFonts w:hint="eastAsia" w:cs="宋体"/>
                      <w:lang w:val="en-US"/>
                    </w:rPr>
                    <w:t>0.102-0.106</w:t>
                  </w:r>
                </w:p>
              </w:tc>
              <w:tc>
                <w:tcPr>
                  <w:tcW w:w="456" w:type="pct"/>
                  <w:shd w:val="clear" w:color="auto" w:fill="auto"/>
                  <w:vAlign w:val="center"/>
                </w:tcPr>
                <w:p w14:paraId="382BFF17">
                  <w:pPr>
                    <w:pStyle w:val="30"/>
                    <w:framePr w:hSpace="0" w:wrap="auto" w:vAnchor="margin" w:hAnchor="text" w:xAlign="left" w:yAlign="inline"/>
                    <w:rPr>
                      <w:rFonts w:cs="宋体"/>
                      <w:lang w:val="en-US"/>
                    </w:rPr>
                  </w:pPr>
                  <w:r>
                    <w:rPr>
                      <w:rFonts w:hint="eastAsia" w:cs="宋体"/>
                      <w:lang w:val="en-US"/>
                    </w:rPr>
                    <w:t>35.3</w:t>
                  </w:r>
                </w:p>
              </w:tc>
              <w:tc>
                <w:tcPr>
                  <w:tcW w:w="348" w:type="pct"/>
                  <w:shd w:val="clear" w:color="auto" w:fill="auto"/>
                  <w:vAlign w:val="center"/>
                </w:tcPr>
                <w:p w14:paraId="575EBD7D">
                  <w:pPr>
                    <w:pStyle w:val="30"/>
                    <w:framePr w:hSpace="0" w:wrap="auto" w:vAnchor="margin" w:hAnchor="text" w:xAlign="left" w:yAlign="inline"/>
                    <w:rPr>
                      <w:rFonts w:cs="宋体"/>
                      <w:lang w:val="en-US"/>
                    </w:rPr>
                  </w:pPr>
                  <w:r>
                    <w:rPr>
                      <w:rFonts w:hint="eastAsia" w:cs="宋体"/>
                    </w:rPr>
                    <w:t>0</w:t>
                  </w:r>
                </w:p>
              </w:tc>
              <w:tc>
                <w:tcPr>
                  <w:tcW w:w="449" w:type="pct"/>
                  <w:shd w:val="clear" w:color="auto" w:fill="auto"/>
                  <w:vAlign w:val="center"/>
                </w:tcPr>
                <w:p w14:paraId="2B16846E">
                  <w:pPr>
                    <w:pStyle w:val="30"/>
                    <w:framePr w:hSpace="0" w:wrap="auto" w:vAnchor="margin" w:hAnchor="text" w:xAlign="left" w:yAlign="inline"/>
                    <w:rPr>
                      <w:rFonts w:cs="宋体"/>
                      <w:lang w:val="en-US"/>
                    </w:rPr>
                  </w:pPr>
                  <w:r>
                    <w:rPr>
                      <w:rFonts w:hint="eastAsia" w:cs="宋体"/>
                    </w:rPr>
                    <w:t>0.3</w:t>
                  </w:r>
                </w:p>
              </w:tc>
            </w:tr>
            <w:tr w14:paraId="033E0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000" w:type="pct"/>
                  <w:gridSpan w:val="10"/>
                  <w:vAlign w:val="center"/>
                </w:tcPr>
                <w:p w14:paraId="7083434E">
                  <w:pPr>
                    <w:pStyle w:val="30"/>
                    <w:framePr w:hSpace="0" w:wrap="auto" w:vAnchor="margin" w:hAnchor="text" w:xAlign="left" w:yAlign="inline"/>
                    <w:jc w:val="both"/>
                    <w:rPr>
                      <w:rFonts w:cs="宋体"/>
                    </w:rPr>
                  </w:pPr>
                  <w:r>
                    <w:rPr>
                      <w:rFonts w:hint="eastAsia" w:cs="宋体"/>
                    </w:rPr>
                    <w:t>注：未检出数值以“＜检出限”计。</w:t>
                  </w:r>
                </w:p>
              </w:tc>
            </w:tr>
          </w:tbl>
          <w:p w14:paraId="72CC05C1">
            <w:pPr>
              <w:spacing w:line="240" w:lineRule="auto"/>
              <w:outlineLvl w:val="1"/>
              <w:rPr>
                <w:color w:val="0000FF"/>
              </w:rPr>
            </w:pPr>
            <w:bookmarkStart w:id="41" w:name="_Toc378"/>
            <w:r>
              <w:rPr>
                <w:color w:val="0000FF"/>
              </w:rPr>
              <w:drawing>
                <wp:anchor distT="0" distB="0" distL="114300" distR="114300" simplePos="0" relativeHeight="251661312" behindDoc="0" locked="0" layoutInCell="1" allowOverlap="1">
                  <wp:simplePos x="0" y="0"/>
                  <wp:positionH relativeFrom="column">
                    <wp:posOffset>4403090</wp:posOffset>
                  </wp:positionH>
                  <wp:positionV relativeFrom="paragraph">
                    <wp:posOffset>54610</wp:posOffset>
                  </wp:positionV>
                  <wp:extent cx="511810" cy="521335"/>
                  <wp:effectExtent l="0" t="0" r="2540" b="12065"/>
                  <wp:wrapNone/>
                  <wp:docPr id="10" name="图片 5" descr="C:\Users\李青青\AppData\Roaming\Tencent\Users\403002229\QQ\WinTemp\RichOle\030%UR9BYU3GM772(UBEC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5" descr="C:\Users\李青青\AppData\Roaming\Tencent\Users\403002229\QQ\WinTemp\RichOle\030%UR9BYU3GM772(UBEC80.png"/>
                          <pic:cNvPicPr>
                            <a:picLocks noChangeAspect="1" noChangeArrowheads="1"/>
                          </pic:cNvPicPr>
                        </pic:nvPicPr>
                        <pic:blipFill>
                          <a:blip r:embed="rId26" r:link="rId27" cstate="print"/>
                          <a:srcRect/>
                          <a:stretch>
                            <a:fillRect/>
                          </a:stretch>
                        </pic:blipFill>
                        <pic:spPr>
                          <a:xfrm>
                            <a:off x="0" y="0"/>
                            <a:ext cx="511810" cy="521335"/>
                          </a:xfrm>
                          <a:prstGeom prst="rect">
                            <a:avLst/>
                          </a:prstGeom>
                          <a:noFill/>
                          <a:ln w="19050">
                            <a:noFill/>
                          </a:ln>
                        </pic:spPr>
                      </pic:pic>
                    </a:graphicData>
                  </a:graphic>
                </wp:anchor>
              </w:drawing>
            </w:r>
            <w:r>
              <w:drawing>
                <wp:inline distT="0" distB="0" distL="114300" distR="114300">
                  <wp:extent cx="4955540" cy="3332480"/>
                  <wp:effectExtent l="9525" t="9525" r="26035" b="10795"/>
                  <wp:docPr id="1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
                          <pic:cNvPicPr>
                            <a:picLocks noChangeAspect="1"/>
                          </pic:cNvPicPr>
                        </pic:nvPicPr>
                        <pic:blipFill>
                          <a:blip r:embed="rId28"/>
                          <a:stretch>
                            <a:fillRect/>
                          </a:stretch>
                        </pic:blipFill>
                        <pic:spPr>
                          <a:xfrm>
                            <a:off x="0" y="0"/>
                            <a:ext cx="4955540" cy="3332480"/>
                          </a:xfrm>
                          <a:prstGeom prst="rect">
                            <a:avLst/>
                          </a:prstGeom>
                          <a:noFill/>
                          <a:ln>
                            <a:solidFill>
                              <a:schemeClr val="tx1"/>
                            </a:solidFill>
                          </a:ln>
                        </pic:spPr>
                      </pic:pic>
                    </a:graphicData>
                  </a:graphic>
                </wp:inline>
              </w:drawing>
            </w:r>
            <w:bookmarkEnd w:id="41"/>
          </w:p>
          <w:p w14:paraId="0974B406">
            <w:pPr>
              <w:pStyle w:val="6"/>
              <w:adjustRightInd w:val="0"/>
              <w:snapToGrid w:val="0"/>
            </w:pPr>
            <w:r>
              <w:t xml:space="preserve">图 </w:t>
            </w:r>
            <w:r>
              <w:rPr>
                <w:rFonts w:hint="eastAsia"/>
              </w:rPr>
              <w:t>3-</w:t>
            </w:r>
            <w:r>
              <w:fldChar w:fldCharType="begin"/>
            </w:r>
            <w:r>
              <w:instrText xml:space="preserve"> SEQ 图 \* ARABIC \s 1 </w:instrText>
            </w:r>
            <w:r>
              <w:fldChar w:fldCharType="separate"/>
            </w:r>
            <w:r>
              <w:t>1</w:t>
            </w:r>
            <w:r>
              <w:fldChar w:fldCharType="end"/>
            </w:r>
            <w:r>
              <w:rPr>
                <w:rFonts w:hint="eastAsia"/>
              </w:rPr>
              <w:t>特征污染物监测点位与本项目位置关系图</w:t>
            </w:r>
          </w:p>
          <w:bookmarkEnd w:id="40"/>
          <w:p w14:paraId="22B72F93">
            <w:pPr>
              <w:spacing w:line="360" w:lineRule="auto"/>
              <w:ind w:firstLine="480" w:firstLineChars="200"/>
              <w:outlineLvl w:val="1"/>
              <w:rPr>
                <w:color w:val="0000FF"/>
              </w:rPr>
            </w:pPr>
            <w:bookmarkStart w:id="42" w:name="_Toc9361"/>
            <w:r>
              <w:t>综上，评价区域内评价因子非甲烷总烃浓度能够满足《大气</w:t>
            </w:r>
            <w:r>
              <w:rPr>
                <w:rFonts w:hint="eastAsia"/>
              </w:rPr>
              <w:t>污染物</w:t>
            </w:r>
            <w:r>
              <w:t>综合排放标准详解》相关浓度限值，TSP浓度满足</w:t>
            </w:r>
            <w:r>
              <w:rPr>
                <w:rFonts w:hint="eastAsia"/>
              </w:rPr>
              <w:t>《环境空气质量标准》（GB3095-2026）中过渡阶段浓度限值二级标准</w:t>
            </w:r>
            <w:r>
              <w:t>，说明评价区域内环境空气质量现状总体良好。</w:t>
            </w:r>
            <w:bookmarkEnd w:id="42"/>
          </w:p>
          <w:p w14:paraId="5A388BFC">
            <w:pPr>
              <w:spacing w:line="360" w:lineRule="auto"/>
              <w:ind w:firstLine="482" w:firstLineChars="200"/>
              <w:outlineLvl w:val="1"/>
              <w:rPr>
                <w:b/>
                <w:bCs/>
              </w:rPr>
            </w:pPr>
            <w:bookmarkStart w:id="43" w:name="_Toc13113"/>
            <w:r>
              <w:rPr>
                <w:b/>
                <w:bCs/>
              </w:rPr>
              <w:t>3.1.2</w:t>
            </w:r>
            <w:r>
              <w:rPr>
                <w:rFonts w:hint="eastAsia"/>
                <w:b/>
                <w:bCs/>
              </w:rPr>
              <w:t>地表水环境质量现状</w:t>
            </w:r>
            <w:bookmarkEnd w:id="43"/>
          </w:p>
          <w:p w14:paraId="16D9AB7F">
            <w:pPr>
              <w:spacing w:line="360" w:lineRule="auto"/>
              <w:ind w:firstLine="480" w:firstLineChars="200"/>
              <w:rPr>
                <w:lang w:bidi="en-US"/>
              </w:rPr>
            </w:pPr>
            <w:r>
              <w:rPr>
                <w:lang w:bidi="en-US"/>
              </w:rPr>
              <w:t>本项目位于Ⅲ类水环境功能区，评价区域内的地表水体为淮河（淮南段）和大涧沟，地表水体执行《地表水环境质量标准》（GB3838-2002）</w:t>
            </w:r>
            <w:r>
              <w:rPr>
                <w:rFonts w:hint="eastAsia"/>
                <w:lang w:eastAsia="zh-CN" w:bidi="en-US"/>
              </w:rPr>
              <w:t>Ⅲ类</w:t>
            </w:r>
            <w:r>
              <w:rPr>
                <w:lang w:bidi="en-US"/>
              </w:rPr>
              <w:t>标准。根据淮南市生态环境局发布的《202</w:t>
            </w:r>
            <w:r>
              <w:rPr>
                <w:rFonts w:hint="eastAsia"/>
                <w:lang w:bidi="en-US"/>
              </w:rPr>
              <w:t>4</w:t>
            </w:r>
            <w:r>
              <w:rPr>
                <w:lang w:bidi="en-US"/>
              </w:rPr>
              <w:t>年淮南市</w:t>
            </w:r>
            <w:r>
              <w:rPr>
                <w:rFonts w:hint="eastAsia"/>
                <w:lang w:bidi="en-US"/>
              </w:rPr>
              <w:t>生态</w:t>
            </w:r>
            <w:r>
              <w:rPr>
                <w:lang w:bidi="en-US"/>
              </w:rPr>
              <w:t>环境质量状况公报》，</w:t>
            </w:r>
            <w:r>
              <w:rPr>
                <w:rFonts w:hint="eastAsia"/>
                <w:lang w:bidi="en-US"/>
              </w:rPr>
              <w:t>2024年，全市地表水24个监测断面中优良水质比例为91.7%，比上年下降了4.1个百分点，</w:t>
            </w:r>
            <w:r>
              <w:rPr>
                <w:rFonts w:hint="eastAsia"/>
                <w:lang w:eastAsia="zh-CN" w:bidi="en-US"/>
              </w:rPr>
              <w:t>Ⅳ类</w:t>
            </w:r>
            <w:r>
              <w:rPr>
                <w:rFonts w:hint="eastAsia"/>
                <w:lang w:bidi="en-US"/>
              </w:rPr>
              <w:t>水质比例8.3%，总体水质状况优。</w:t>
            </w:r>
          </w:p>
          <w:p w14:paraId="2C693F24">
            <w:pPr>
              <w:spacing w:line="360" w:lineRule="auto"/>
              <w:ind w:firstLine="480" w:firstLineChars="200"/>
              <w:rPr>
                <w:lang w:bidi="en-US"/>
              </w:rPr>
            </w:pPr>
            <w:r>
              <w:rPr>
                <w:rFonts w:hint="eastAsia"/>
                <w:lang w:bidi="en-US"/>
              </w:rPr>
              <w:t>8个国控断面中优良水质比例为87.5%，</w:t>
            </w:r>
            <w:r>
              <w:rPr>
                <w:rFonts w:hint="eastAsia"/>
                <w:lang w:eastAsia="zh-CN" w:bidi="en-US"/>
              </w:rPr>
              <w:t>Ⅳ类</w:t>
            </w:r>
            <w:r>
              <w:rPr>
                <w:rFonts w:hint="eastAsia"/>
                <w:lang w:bidi="en-US"/>
              </w:rPr>
              <w:t>水质比例12.5%，水质总体状况良好；11个省控断面中优良水质比例为90.9%，水质总体状况优。</w:t>
            </w:r>
          </w:p>
          <w:p w14:paraId="50772B67">
            <w:pPr>
              <w:spacing w:line="360" w:lineRule="auto"/>
              <w:ind w:firstLine="480" w:firstLineChars="200"/>
              <w:rPr>
                <w:lang w:bidi="en-US"/>
              </w:rPr>
            </w:pPr>
            <w:r>
              <w:rPr>
                <w:rFonts w:hint="eastAsia"/>
                <w:lang w:bidi="en-US"/>
              </w:rPr>
              <w:t>河流：全市辖区内淮河干流水质状况为优，永幸河和丁家沟水质状况为优，西淝河、东淝河、架河、泥河、万小河、瓦西干渠、陡涧河和便民沟水质状况为良好。20个监测断面中优良水质比例为100%，与去年持平。其中黄圩和丁家沟河口断面水质均有所好转（Ⅲ类→Ⅱ类），五里闸（</w:t>
            </w:r>
            <w:r>
              <w:rPr>
                <w:rFonts w:hint="eastAsia"/>
                <w:lang w:eastAsia="zh-CN" w:bidi="en-US"/>
              </w:rPr>
              <w:t>Ⅱ类</w:t>
            </w:r>
            <w:r>
              <w:rPr>
                <w:rFonts w:hint="eastAsia"/>
                <w:lang w:bidi="en-US"/>
              </w:rPr>
              <w:t>→Ⅲ类）和西淝河闸下（</w:t>
            </w:r>
            <w:r>
              <w:rPr>
                <w:rFonts w:hint="eastAsia"/>
                <w:lang w:eastAsia="zh-CN" w:bidi="en-US"/>
              </w:rPr>
              <w:t>Ⅱ类</w:t>
            </w:r>
            <w:r>
              <w:rPr>
                <w:rFonts w:hint="eastAsia"/>
                <w:lang w:bidi="en-US"/>
              </w:rPr>
              <w:t>→Ⅲ类）水质均有所下降，其他断面水质保持稳定。</w:t>
            </w:r>
          </w:p>
          <w:p w14:paraId="3FB162B5">
            <w:pPr>
              <w:spacing w:line="360" w:lineRule="auto"/>
              <w:ind w:firstLine="480"/>
              <w:rPr>
                <w:lang w:bidi="en-US"/>
              </w:rPr>
            </w:pPr>
            <w:r>
              <w:rPr>
                <w:rFonts w:hint="eastAsia"/>
                <w:lang w:bidi="en-US"/>
              </w:rPr>
              <w:t>湖库：瓦埠湖和焦岗湖点位水质年均值符合Ⅲ类标准，水质状况为良好；高塘湖和安丰塘点位水质年均值符合</w:t>
            </w:r>
            <w:r>
              <w:rPr>
                <w:rFonts w:hint="eastAsia"/>
                <w:lang w:eastAsia="zh-CN" w:bidi="en-US"/>
              </w:rPr>
              <w:t>Ⅳ类</w:t>
            </w:r>
            <w:r>
              <w:rPr>
                <w:rFonts w:hint="eastAsia"/>
                <w:lang w:bidi="en-US"/>
              </w:rPr>
              <w:t>标准，水质轻度污染，主要污染指标为总磷。安丰塘营养状态为中营养，焦岗湖、高塘湖和瓦埠湖营养状态均为轻度富营养。与上年相比，安丰塘点位水质类别由Ⅲ类下降为</w:t>
            </w:r>
            <w:r>
              <w:rPr>
                <w:rFonts w:hint="eastAsia"/>
                <w:lang w:eastAsia="zh-CN" w:bidi="en-US"/>
              </w:rPr>
              <w:t>Ⅳ类</w:t>
            </w:r>
            <w:r>
              <w:rPr>
                <w:rFonts w:hint="eastAsia"/>
                <w:lang w:bidi="en-US"/>
              </w:rPr>
              <w:t>，瓦埠湖、高塘湖和焦岗湖点位水质类别保持稳定。</w:t>
            </w:r>
          </w:p>
          <w:p w14:paraId="5E01BEB7">
            <w:pPr>
              <w:spacing w:line="360" w:lineRule="auto"/>
              <w:ind w:firstLine="480"/>
              <w:rPr>
                <w:color w:val="0000FF"/>
              </w:rPr>
            </w:pPr>
            <w:r>
              <w:t>综上，项目所在区域地表水淮河环境质量总体满足《地表水环境质量标准》（GB3838-2002）Ⅲ类标准，地表水水质良好。</w:t>
            </w:r>
          </w:p>
          <w:p w14:paraId="54246907">
            <w:pPr>
              <w:ind w:firstLine="482"/>
              <w:rPr>
                <w:b/>
                <w:bCs/>
              </w:rPr>
            </w:pPr>
            <w:r>
              <w:rPr>
                <w:b/>
                <w:bCs/>
              </w:rPr>
              <w:t>3.1.3</w:t>
            </w:r>
            <w:r>
              <w:rPr>
                <w:rFonts w:hint="eastAsia"/>
                <w:b/>
                <w:bCs/>
              </w:rPr>
              <w:t>声环境质量现状</w:t>
            </w:r>
          </w:p>
          <w:p w14:paraId="75C86E7C">
            <w:pPr>
              <w:ind w:firstLine="480"/>
            </w:pPr>
            <w:r>
              <w:t>根据淮南市生态环境局发布的《</w:t>
            </w:r>
            <w:r>
              <w:rPr>
                <w:rFonts w:hint="eastAsia"/>
              </w:rPr>
              <w:t>2024年淮南市生态环境质量状况公报</w:t>
            </w:r>
            <w:r>
              <w:t>》，</w:t>
            </w:r>
            <w:r>
              <w:rPr>
                <w:rFonts w:hint="eastAsia"/>
              </w:rPr>
              <w:t>2024年，全市区域环境噪声昼间平均等效声级为51.6分贝，与上年相比上升0.4分贝，噪声总体水平稳定保持二级，声环境质量较好。</w:t>
            </w:r>
          </w:p>
          <w:p w14:paraId="04F2ADD8">
            <w:pPr>
              <w:ind w:firstLine="480"/>
            </w:pPr>
            <w:r>
              <w:rPr>
                <w:rFonts w:hint="eastAsia"/>
              </w:rPr>
              <w:t>城市道路交通噪声昼间平均等效声级为66.6分贝，与上年相比上升0.4分贝，噪声强度等级稳定保持为一级，声环境质量级别为好。</w:t>
            </w:r>
          </w:p>
          <w:p w14:paraId="6514407A">
            <w:pPr>
              <w:ind w:firstLine="480"/>
              <w:rPr>
                <w:color w:val="0000FF"/>
              </w:rPr>
            </w:pPr>
            <w:r>
              <w:rPr>
                <w:rFonts w:hint="eastAsia"/>
              </w:rPr>
              <w:t>各功能区噪声平均等效声级达标率为70.8%，昼间达标率为83.3%，夜间达标率为58.3%。与上年相比，昼间达标率减少0.5个百分点，夜间达标率减少6.7个百分点，平均等效声级达标率减少了3.5个百分点。</w:t>
            </w:r>
          </w:p>
          <w:p w14:paraId="6CF29806">
            <w:pPr>
              <w:ind w:firstLine="480"/>
            </w:pPr>
            <w:r>
              <w:t>根据现场踏勘，项目厂界外50米范围内</w:t>
            </w:r>
            <w:r>
              <w:rPr>
                <w:rFonts w:hint="eastAsia"/>
              </w:rPr>
              <w:t>不存在</w:t>
            </w:r>
            <w:r>
              <w:t>声环境保护目标</w:t>
            </w:r>
            <w:r>
              <w:rPr>
                <w:rFonts w:hint="eastAsia"/>
              </w:rPr>
              <w:t>，对照《淮南市中心城区声环境功能区划分方案》（2021年），本项目位于3类声环境功能区，</w:t>
            </w:r>
            <w:r>
              <w:t>项目营运期所在区域声环境执行《声环境质量标准》（GB3096-2008）声环境功能区3类区标准</w:t>
            </w:r>
            <w:r>
              <w:rPr>
                <w:rFonts w:hint="eastAsia"/>
              </w:rPr>
              <w:t>；</w:t>
            </w:r>
            <w:r>
              <w:t>具体标准值见</w:t>
            </w:r>
            <w:r>
              <w:rPr>
                <w:rFonts w:hint="eastAsia"/>
              </w:rPr>
              <w:t>下表</w:t>
            </w:r>
            <w:r>
              <w:t>。</w:t>
            </w:r>
            <w:r>
              <w:rPr>
                <w:rFonts w:hint="eastAsia"/>
              </w:rPr>
              <w:t>本项目所在声功能区划图见下图。</w:t>
            </w:r>
          </w:p>
          <w:p w14:paraId="33B03C92">
            <w:pPr>
              <w:pStyle w:val="6"/>
              <w:adjustRightInd w:val="0"/>
              <w:snapToGrid w:val="0"/>
            </w:pPr>
            <w:r>
              <w:t xml:space="preserve">表 </w:t>
            </w:r>
            <w:r>
              <w:rPr>
                <w:rFonts w:hint="eastAsia"/>
              </w:rPr>
              <w:t>3-</w:t>
            </w:r>
            <w:r>
              <w:fldChar w:fldCharType="begin"/>
            </w:r>
            <w:r>
              <w:instrText xml:space="preserve"> SEQ 表 \* ARABIC \s 1 </w:instrText>
            </w:r>
            <w:r>
              <w:fldChar w:fldCharType="separate"/>
            </w:r>
            <w:r>
              <w:t>3</w:t>
            </w:r>
            <w:r>
              <w:fldChar w:fldCharType="end"/>
            </w:r>
            <w:r>
              <w:t>《声环境质量标准》</w:t>
            </w:r>
            <w:r>
              <w:rPr>
                <w:rFonts w:hint="eastAsia"/>
              </w:rPr>
              <w:t>（</w:t>
            </w:r>
            <w:r>
              <w:t>GB3096-2008</w:t>
            </w:r>
            <w:r>
              <w:rPr>
                <w:rFonts w:hint="eastAsia"/>
              </w:rPr>
              <w:t>）</w:t>
            </w:r>
            <w:r>
              <w:t xml:space="preserve">  单位：dB</w:t>
            </w:r>
            <w:r>
              <w:rPr>
                <w:rFonts w:hint="eastAsia"/>
              </w:rPr>
              <w:t>（</w:t>
            </w:r>
            <w:r>
              <w:t>A</w:t>
            </w:r>
            <w:r>
              <w:rPr>
                <w:rFonts w:hint="eastAsia"/>
              </w:rPr>
              <w:t>）</w:t>
            </w:r>
          </w:p>
          <w:tbl>
            <w:tblPr>
              <w:tblStyle w:val="23"/>
              <w:tblpPr w:leftFromText="180" w:rightFromText="180" w:vertAnchor="text" w:tblpXSpec="center" w:tblpY="1"/>
              <w:tblOverlap w:val="never"/>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1766"/>
              <w:gridCol w:w="2018"/>
              <w:gridCol w:w="2030"/>
              <w:gridCol w:w="2029"/>
            </w:tblGrid>
            <w:tr w14:paraId="414F3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trPr>
              <w:tc>
                <w:tcPr>
                  <w:tcW w:w="3936" w:type="dxa"/>
                  <w:gridSpan w:val="2"/>
                  <w:vAlign w:val="center"/>
                </w:tcPr>
                <w:p w14:paraId="6B85A900">
                  <w:pPr>
                    <w:pStyle w:val="30"/>
                    <w:framePr w:hSpace="0" w:wrap="auto" w:vAnchor="margin" w:hAnchor="text" w:xAlign="left" w:yAlign="inline"/>
                  </w:pPr>
                  <w:r>
                    <w:t>标准类别</w:t>
                  </w:r>
                </w:p>
              </w:tc>
              <w:tc>
                <w:tcPr>
                  <w:tcW w:w="2096" w:type="dxa"/>
                  <w:vAlign w:val="center"/>
                </w:tcPr>
                <w:p w14:paraId="1379630C">
                  <w:pPr>
                    <w:pStyle w:val="30"/>
                    <w:framePr w:hSpace="0" w:wrap="auto" w:vAnchor="margin" w:hAnchor="text" w:xAlign="left" w:yAlign="inline"/>
                  </w:pPr>
                  <w:r>
                    <w:t>昼间dB（A）</w:t>
                  </w:r>
                </w:p>
              </w:tc>
              <w:tc>
                <w:tcPr>
                  <w:tcW w:w="2095" w:type="dxa"/>
                  <w:vAlign w:val="center"/>
                </w:tcPr>
                <w:p w14:paraId="7873AF08">
                  <w:pPr>
                    <w:pStyle w:val="30"/>
                    <w:framePr w:hSpace="0" w:wrap="auto" w:vAnchor="margin" w:hAnchor="text" w:xAlign="left" w:yAlign="inline"/>
                  </w:pPr>
                  <w:r>
                    <w:t>夜间dB（A）</w:t>
                  </w:r>
                </w:p>
              </w:tc>
            </w:tr>
            <w:tr w14:paraId="54457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trPr>
              <w:tc>
                <w:tcPr>
                  <w:tcW w:w="1838" w:type="dxa"/>
                  <w:vAlign w:val="center"/>
                </w:tcPr>
                <w:p w14:paraId="7070C8F0">
                  <w:pPr>
                    <w:pStyle w:val="30"/>
                    <w:framePr w:hSpace="0" w:wrap="auto" w:vAnchor="margin" w:hAnchor="text" w:xAlign="left" w:yAlign="inline"/>
                  </w:pPr>
                  <w:r>
                    <w:t>环境噪声</w:t>
                  </w:r>
                </w:p>
              </w:tc>
              <w:tc>
                <w:tcPr>
                  <w:tcW w:w="2098" w:type="dxa"/>
                  <w:vAlign w:val="center"/>
                </w:tcPr>
                <w:p w14:paraId="5F1BD293">
                  <w:pPr>
                    <w:pStyle w:val="30"/>
                    <w:framePr w:hSpace="0" w:wrap="auto" w:vAnchor="margin" w:hAnchor="text" w:xAlign="left" w:yAlign="inline"/>
                  </w:pPr>
                  <w:r>
                    <w:t>3类标准</w:t>
                  </w:r>
                </w:p>
              </w:tc>
              <w:tc>
                <w:tcPr>
                  <w:tcW w:w="2096" w:type="dxa"/>
                  <w:vAlign w:val="center"/>
                </w:tcPr>
                <w:p w14:paraId="2DAECCB4">
                  <w:pPr>
                    <w:pStyle w:val="30"/>
                    <w:framePr w:hSpace="0" w:wrap="auto" w:vAnchor="margin" w:hAnchor="text" w:xAlign="left" w:yAlign="inline"/>
                  </w:pPr>
                  <w:r>
                    <w:t>65</w:t>
                  </w:r>
                </w:p>
              </w:tc>
              <w:tc>
                <w:tcPr>
                  <w:tcW w:w="2095" w:type="dxa"/>
                  <w:vAlign w:val="center"/>
                </w:tcPr>
                <w:p w14:paraId="31508B6F">
                  <w:pPr>
                    <w:pStyle w:val="30"/>
                    <w:framePr w:hSpace="0" w:wrap="auto" w:vAnchor="margin" w:hAnchor="text" w:xAlign="left" w:yAlign="inline"/>
                  </w:pPr>
                  <w:r>
                    <w:t>55</w:t>
                  </w:r>
                </w:p>
              </w:tc>
            </w:tr>
            <w:tr w14:paraId="28460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trPr>
              <w:tc>
                <w:tcPr>
                  <w:tcW w:w="1838" w:type="dxa"/>
                  <w:vAlign w:val="center"/>
                </w:tcPr>
                <w:p w14:paraId="0AA3E871">
                  <w:pPr>
                    <w:pStyle w:val="30"/>
                    <w:framePr w:hSpace="0" w:wrap="auto" w:vAnchor="margin" w:hAnchor="text" w:xAlign="left" w:yAlign="inline"/>
                  </w:pPr>
                  <w:r>
                    <w:t>标准来源</w:t>
                  </w:r>
                </w:p>
              </w:tc>
              <w:tc>
                <w:tcPr>
                  <w:tcW w:w="6289" w:type="dxa"/>
                  <w:gridSpan w:val="3"/>
                  <w:vAlign w:val="center"/>
                </w:tcPr>
                <w:p w14:paraId="228364EC">
                  <w:pPr>
                    <w:pStyle w:val="30"/>
                    <w:framePr w:hSpace="0" w:wrap="auto" w:vAnchor="margin" w:hAnchor="text" w:xAlign="left" w:yAlign="inline"/>
                  </w:pPr>
                  <w:r>
                    <w:t>《声环境质量标准》（GB3096-2008）</w:t>
                  </w:r>
                </w:p>
              </w:tc>
            </w:tr>
          </w:tbl>
          <w:p w14:paraId="6AB36D65">
            <w:pPr>
              <w:rPr>
                <w:color w:val="0000FF"/>
              </w:rPr>
            </w:pPr>
          </w:p>
          <w:p w14:paraId="14ABFE50">
            <w:pPr>
              <w:adjustRightInd w:val="0"/>
              <w:snapToGrid w:val="0"/>
              <w:spacing w:line="240" w:lineRule="auto"/>
              <w:jc w:val="center"/>
              <w:rPr>
                <w:b/>
                <w:color w:val="0000FF"/>
                <w:sz w:val="21"/>
              </w:rPr>
            </w:pPr>
            <w:r>
              <w:drawing>
                <wp:inline distT="0" distB="0" distL="114300" distR="114300">
                  <wp:extent cx="4949190" cy="4140200"/>
                  <wp:effectExtent l="9525" t="9525" r="13335" b="22225"/>
                  <wp:docPr id="1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2"/>
                          <pic:cNvPicPr>
                            <a:picLocks noChangeAspect="1"/>
                          </pic:cNvPicPr>
                        </pic:nvPicPr>
                        <pic:blipFill>
                          <a:blip r:embed="rId29"/>
                          <a:stretch>
                            <a:fillRect/>
                          </a:stretch>
                        </pic:blipFill>
                        <pic:spPr>
                          <a:xfrm>
                            <a:off x="0" y="0"/>
                            <a:ext cx="4949190" cy="4140200"/>
                          </a:xfrm>
                          <a:prstGeom prst="rect">
                            <a:avLst/>
                          </a:prstGeom>
                          <a:noFill/>
                          <a:ln>
                            <a:solidFill>
                              <a:schemeClr val="tx1"/>
                            </a:solidFill>
                          </a:ln>
                        </pic:spPr>
                      </pic:pic>
                    </a:graphicData>
                  </a:graphic>
                </wp:inline>
              </w:drawing>
            </w:r>
          </w:p>
          <w:p w14:paraId="39BBB7CF">
            <w:pPr>
              <w:pStyle w:val="6"/>
              <w:adjustRightInd w:val="0"/>
              <w:snapToGrid w:val="0"/>
              <w:rPr>
                <w:color w:val="000000" w:themeColor="text1"/>
              </w:rPr>
            </w:pPr>
            <w:r>
              <w:rPr>
                <w:color w:val="000000" w:themeColor="text1"/>
              </w:rPr>
              <w:t xml:space="preserve">图 </w:t>
            </w:r>
            <w:r>
              <w:rPr>
                <w:rFonts w:hint="eastAsia"/>
                <w:color w:val="000000" w:themeColor="text1"/>
              </w:rPr>
              <w:t>3-</w:t>
            </w:r>
            <w:r>
              <w:rPr>
                <w:color w:val="000000" w:themeColor="text1"/>
              </w:rPr>
              <w:fldChar w:fldCharType="begin"/>
            </w:r>
            <w:r>
              <w:rPr>
                <w:color w:val="000000" w:themeColor="text1"/>
              </w:rPr>
              <w:instrText xml:space="preserve"> SEQ 图 \* ARABIC \s 1 </w:instrText>
            </w:r>
            <w:r>
              <w:rPr>
                <w:color w:val="000000" w:themeColor="text1"/>
              </w:rPr>
              <w:fldChar w:fldCharType="separate"/>
            </w:r>
            <w:r>
              <w:rPr>
                <w:color w:val="000000" w:themeColor="text1"/>
              </w:rPr>
              <w:t>2</w:t>
            </w:r>
            <w:r>
              <w:rPr>
                <w:color w:val="000000" w:themeColor="text1"/>
              </w:rPr>
              <w:fldChar w:fldCharType="end"/>
            </w:r>
            <w:r>
              <w:rPr>
                <w:rFonts w:hint="eastAsia"/>
                <w:color w:val="000000" w:themeColor="text1"/>
              </w:rPr>
              <w:t>本项目所在声功能区划图</w:t>
            </w:r>
          </w:p>
          <w:p w14:paraId="3F51FEDD">
            <w:pPr>
              <w:ind w:firstLine="482" w:firstLineChars="200"/>
              <w:rPr>
                <w:b/>
                <w:bCs/>
              </w:rPr>
            </w:pPr>
            <w:r>
              <w:rPr>
                <w:rFonts w:hint="eastAsia"/>
                <w:b/>
                <w:bCs/>
              </w:rPr>
              <w:t>3</w:t>
            </w:r>
            <w:r>
              <w:rPr>
                <w:b/>
                <w:bCs/>
              </w:rPr>
              <w:t>.1.4</w:t>
            </w:r>
            <w:r>
              <w:rPr>
                <w:rFonts w:hint="eastAsia"/>
                <w:b/>
                <w:bCs/>
              </w:rPr>
              <w:t>电磁辐射</w:t>
            </w:r>
          </w:p>
          <w:p w14:paraId="39BFAE74">
            <w:pPr>
              <w:ind w:firstLine="480" w:firstLineChars="200"/>
            </w:pPr>
            <w:r>
              <w:t>项目不涉及电磁辐射，无需对电磁辐射现状开展监测与评价。</w:t>
            </w:r>
          </w:p>
          <w:p w14:paraId="101D8E17">
            <w:pPr>
              <w:ind w:firstLine="482" w:firstLineChars="200"/>
              <w:rPr>
                <w:b/>
                <w:bCs/>
              </w:rPr>
            </w:pPr>
            <w:r>
              <w:rPr>
                <w:rFonts w:hint="eastAsia"/>
                <w:b/>
                <w:bCs/>
              </w:rPr>
              <w:t>3</w:t>
            </w:r>
            <w:r>
              <w:rPr>
                <w:b/>
                <w:bCs/>
              </w:rPr>
              <w:t>.1.5</w:t>
            </w:r>
            <w:r>
              <w:rPr>
                <w:rFonts w:hint="eastAsia"/>
                <w:b/>
                <w:bCs/>
              </w:rPr>
              <w:t>地下水、土壤环境</w:t>
            </w:r>
          </w:p>
          <w:p w14:paraId="10FE809B">
            <w:pPr>
              <w:ind w:firstLine="480" w:firstLineChars="200"/>
            </w:pPr>
            <w:r>
              <w:rPr>
                <w:rFonts w:hint="eastAsia"/>
              </w:rPr>
              <w:t>本项目生产过程中采取源头控制和分区防渗等措施后，正常生产时不存在土壤、地下水污染途径，故无需开展地下水、土壤环境现状调查。</w:t>
            </w:r>
          </w:p>
          <w:p w14:paraId="2CC89EDD">
            <w:pPr>
              <w:shd w:val="clear" w:color="auto" w:fill="FFFFFF"/>
              <w:autoSpaceDE w:val="0"/>
              <w:autoSpaceDN w:val="0"/>
              <w:adjustRightInd w:val="0"/>
              <w:ind w:firstLine="482" w:firstLineChars="200"/>
              <w:outlineLvl w:val="1"/>
              <w:rPr>
                <w:b/>
                <w:bCs/>
                <w:color w:val="000000" w:themeColor="text1"/>
              </w:rPr>
            </w:pPr>
            <w:bookmarkStart w:id="44" w:name="_Toc5672"/>
            <w:r>
              <w:rPr>
                <w:rFonts w:hint="eastAsia"/>
                <w:b/>
                <w:bCs/>
                <w:color w:val="000000" w:themeColor="text1"/>
              </w:rPr>
              <w:t>3</w:t>
            </w:r>
            <w:r>
              <w:rPr>
                <w:b/>
                <w:bCs/>
                <w:color w:val="000000" w:themeColor="text1"/>
              </w:rPr>
              <w:t>.1.</w:t>
            </w:r>
            <w:r>
              <w:rPr>
                <w:rFonts w:hint="eastAsia"/>
                <w:b/>
                <w:bCs/>
                <w:color w:val="000000" w:themeColor="text1"/>
              </w:rPr>
              <w:t xml:space="preserve">6 </w:t>
            </w:r>
            <w:r>
              <w:rPr>
                <w:b/>
                <w:color w:val="000000" w:themeColor="text1"/>
              </w:rPr>
              <w:t>生态环境</w:t>
            </w:r>
            <w:bookmarkEnd w:id="44"/>
          </w:p>
          <w:p w14:paraId="3416D2CE">
            <w:pPr>
              <w:ind w:firstLine="480" w:firstLineChars="200"/>
              <w:rPr>
                <w:color w:val="0000FF"/>
              </w:rPr>
            </w:pPr>
            <w:r>
              <w:t>本项目在</w:t>
            </w:r>
            <w:r>
              <w:rPr>
                <w:rFonts w:hint="eastAsia"/>
              </w:rPr>
              <w:t>淮南市田家庵安成经济开发区（北区）6号楼标准化厂房实施建设，用地范围内无生态环境保护目标，无需</w:t>
            </w:r>
            <w:r>
              <w:t>进行生态现状调查。</w:t>
            </w:r>
          </w:p>
        </w:tc>
      </w:tr>
      <w:tr w14:paraId="7D9DDB0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453" w:type="dxa"/>
            <w:tcBorders>
              <w:top w:val="single" w:color="auto" w:sz="4" w:space="0"/>
              <w:left w:val="single" w:color="auto" w:sz="4" w:space="0"/>
              <w:bottom w:val="single" w:color="auto" w:sz="4" w:space="0"/>
              <w:right w:val="single" w:color="auto" w:sz="4" w:space="0"/>
            </w:tcBorders>
            <w:vAlign w:val="center"/>
          </w:tcPr>
          <w:p w14:paraId="328B08E3">
            <w:pPr>
              <w:adjustRightInd w:val="0"/>
              <w:spacing w:line="440" w:lineRule="exact"/>
              <w:jc w:val="center"/>
              <w:outlineLvl w:val="1"/>
            </w:pPr>
            <w:bookmarkStart w:id="45" w:name="_Toc7320"/>
            <w:r>
              <w:rPr>
                <w:rFonts w:hint="eastAsia"/>
              </w:rPr>
              <w:t>环境保护目标</w:t>
            </w:r>
            <w:bookmarkEnd w:id="45"/>
          </w:p>
        </w:tc>
        <w:tc>
          <w:tcPr>
            <w:tcW w:w="8069" w:type="dxa"/>
            <w:tcBorders>
              <w:top w:val="single" w:color="auto" w:sz="4" w:space="0"/>
              <w:left w:val="single" w:color="auto" w:sz="4" w:space="0"/>
              <w:bottom w:val="single" w:color="auto" w:sz="4" w:space="0"/>
              <w:right w:val="single" w:color="auto" w:sz="4" w:space="0"/>
            </w:tcBorders>
          </w:tcPr>
          <w:p w14:paraId="727BBF12">
            <w:pPr>
              <w:pStyle w:val="3"/>
            </w:pPr>
            <w:bookmarkStart w:id="46" w:name="_Toc10177"/>
            <w:r>
              <w:t>3.2项目环境保护目标</w:t>
            </w:r>
            <w:bookmarkEnd w:id="46"/>
          </w:p>
          <w:p w14:paraId="698FED20">
            <w:pPr>
              <w:ind w:firstLine="482"/>
              <w:outlineLvl w:val="1"/>
              <w:rPr>
                <w:b/>
                <w:color w:val="000000" w:themeColor="text1"/>
              </w:rPr>
            </w:pPr>
            <w:bookmarkStart w:id="47" w:name="_Toc26189"/>
            <w:bookmarkStart w:id="48" w:name="_Hlk178607550"/>
            <w:r>
              <w:rPr>
                <w:rFonts w:hint="eastAsia"/>
                <w:b/>
                <w:color w:val="000000" w:themeColor="text1"/>
              </w:rPr>
              <w:t>3.2.1 大气环境</w:t>
            </w:r>
            <w:bookmarkEnd w:id="47"/>
          </w:p>
          <w:p w14:paraId="6D7A9528">
            <w:pPr>
              <w:ind w:firstLine="480"/>
              <w:outlineLvl w:val="1"/>
              <w:rPr>
                <w:color w:val="000000" w:themeColor="text1"/>
              </w:rPr>
            </w:pPr>
            <w:bookmarkStart w:id="49" w:name="_Toc6209"/>
            <w:r>
              <w:rPr>
                <w:rFonts w:hint="eastAsia"/>
                <w:color w:val="000000" w:themeColor="text1"/>
              </w:rPr>
              <w:t>本项目</w:t>
            </w:r>
            <w:r>
              <w:rPr>
                <w:color w:val="000000" w:themeColor="text1"/>
              </w:rPr>
              <w:t>厂界外500m范围内无自然保护区、风景名胜区和文物古迹等需要特殊保护的环境敏感对象</w:t>
            </w:r>
            <w:r>
              <w:rPr>
                <w:rFonts w:hint="eastAsia"/>
                <w:color w:val="000000" w:themeColor="text1"/>
              </w:rPr>
              <w:t>。厂界外500m范围内存在居民区。</w:t>
            </w:r>
            <w:bookmarkEnd w:id="49"/>
          </w:p>
          <w:p w14:paraId="30A645EB">
            <w:pPr>
              <w:ind w:firstLine="482"/>
              <w:outlineLvl w:val="1"/>
              <w:rPr>
                <w:b/>
                <w:color w:val="000000" w:themeColor="text1"/>
              </w:rPr>
            </w:pPr>
            <w:bookmarkStart w:id="50" w:name="_Toc20618"/>
            <w:r>
              <w:rPr>
                <w:rFonts w:hint="eastAsia"/>
                <w:b/>
                <w:color w:val="000000" w:themeColor="text1"/>
              </w:rPr>
              <w:t>3.2.2 声环境</w:t>
            </w:r>
            <w:bookmarkEnd w:id="50"/>
          </w:p>
          <w:p w14:paraId="33E97B50">
            <w:pPr>
              <w:ind w:firstLine="480"/>
              <w:outlineLvl w:val="1"/>
              <w:rPr>
                <w:color w:val="000000" w:themeColor="text1"/>
              </w:rPr>
            </w:pPr>
            <w:bookmarkStart w:id="51" w:name="_Toc14450"/>
            <w:r>
              <w:rPr>
                <w:rFonts w:hint="eastAsia"/>
                <w:color w:val="000000" w:themeColor="text1"/>
              </w:rPr>
              <w:t>本项目所在地为3类声环境功能区，区域声环境执行《声环境质量标准》（GB3096-2008）中的</w:t>
            </w:r>
            <w:r>
              <w:rPr>
                <w:color w:val="000000" w:themeColor="text1"/>
              </w:rPr>
              <w:t>3</w:t>
            </w:r>
            <w:r>
              <w:rPr>
                <w:rFonts w:hint="eastAsia"/>
                <w:color w:val="000000" w:themeColor="text1"/>
              </w:rPr>
              <w:t>类标准，厂界外50m范围内无声环境保护目标。</w:t>
            </w:r>
            <w:bookmarkEnd w:id="51"/>
          </w:p>
          <w:p w14:paraId="5BC0C756">
            <w:pPr>
              <w:ind w:firstLine="482"/>
              <w:outlineLvl w:val="1"/>
              <w:rPr>
                <w:b/>
                <w:color w:val="000000" w:themeColor="text1"/>
              </w:rPr>
            </w:pPr>
            <w:bookmarkStart w:id="52" w:name="_Toc7398"/>
            <w:r>
              <w:rPr>
                <w:rFonts w:hint="eastAsia"/>
                <w:b/>
                <w:color w:val="000000" w:themeColor="text1"/>
              </w:rPr>
              <w:t>3.2.3 水环境</w:t>
            </w:r>
            <w:bookmarkEnd w:id="52"/>
          </w:p>
          <w:p w14:paraId="5140FD77">
            <w:pPr>
              <w:ind w:firstLine="480"/>
              <w:outlineLvl w:val="1"/>
              <w:rPr>
                <w:color w:val="0000FF"/>
              </w:rPr>
            </w:pPr>
            <w:bookmarkStart w:id="53" w:name="_Toc28594"/>
            <w:r>
              <w:rPr>
                <w:rFonts w:hint="eastAsia"/>
                <w:color w:val="000000" w:themeColor="text1"/>
              </w:rPr>
              <w:t>本项目厂界外500m范围内无地下水集中式饮用水水源和热水、矿泉水、温泉等特殊地下水资源；地表河流为淮河和大涧沟，区域河段为《地表水环境质量标准》（GB3838-2002）中Ⅲ类水功能区。</w:t>
            </w:r>
            <w:bookmarkEnd w:id="53"/>
          </w:p>
          <w:p w14:paraId="39F878BD">
            <w:pPr>
              <w:ind w:firstLine="482"/>
              <w:outlineLvl w:val="1"/>
              <w:rPr>
                <w:b/>
                <w:color w:val="000000" w:themeColor="text1"/>
              </w:rPr>
            </w:pPr>
            <w:bookmarkStart w:id="54" w:name="_Toc14536"/>
            <w:r>
              <w:rPr>
                <w:rFonts w:hint="eastAsia"/>
                <w:b/>
                <w:color w:val="000000" w:themeColor="text1"/>
              </w:rPr>
              <w:t>3.2.4 生态环境</w:t>
            </w:r>
            <w:bookmarkEnd w:id="54"/>
          </w:p>
          <w:p w14:paraId="3A1B3B14">
            <w:pPr>
              <w:ind w:firstLine="480"/>
              <w:outlineLvl w:val="1"/>
              <w:rPr>
                <w:color w:val="0000FF"/>
              </w:rPr>
            </w:pPr>
            <w:bookmarkStart w:id="55" w:name="_Toc4939"/>
            <w:r>
              <w:rPr>
                <w:rFonts w:hint="eastAsia"/>
                <w:color w:val="000000" w:themeColor="text1"/>
              </w:rPr>
              <w:t>本项目建设地址为</w:t>
            </w:r>
            <w:r>
              <w:rPr>
                <w:color w:val="000000" w:themeColor="text1"/>
              </w:rPr>
              <w:t>安徽省淮南市</w:t>
            </w:r>
            <w:r>
              <w:rPr>
                <w:rFonts w:hint="eastAsia"/>
                <w:color w:val="000000" w:themeColor="text1"/>
              </w:rPr>
              <w:t>田家庵安成经济开发区（北区）标准化厂房6号楼西一、二层，不涉及新增用地，无新增用地范围内生态环境保护目标。</w:t>
            </w:r>
            <w:bookmarkEnd w:id="55"/>
          </w:p>
          <w:p w14:paraId="24DCD110">
            <w:pPr>
              <w:ind w:firstLine="482"/>
              <w:outlineLvl w:val="1"/>
              <w:rPr>
                <w:b/>
                <w:color w:val="000000" w:themeColor="text1"/>
              </w:rPr>
            </w:pPr>
            <w:bookmarkStart w:id="56" w:name="_Toc13280"/>
            <w:r>
              <w:rPr>
                <w:b/>
                <w:color w:val="000000" w:themeColor="text1"/>
              </w:rPr>
              <w:t>3.2.5</w:t>
            </w:r>
            <w:r>
              <w:rPr>
                <w:rFonts w:hint="eastAsia"/>
                <w:b/>
                <w:color w:val="000000" w:themeColor="text1"/>
              </w:rPr>
              <w:t xml:space="preserve"> 主要环境保护目标及分布情况</w:t>
            </w:r>
            <w:bookmarkEnd w:id="56"/>
          </w:p>
          <w:p w14:paraId="208DACDB">
            <w:pPr>
              <w:ind w:firstLine="480"/>
              <w:rPr>
                <w:color w:val="000000" w:themeColor="text1"/>
              </w:rPr>
            </w:pPr>
            <w:r>
              <w:rPr>
                <w:rFonts w:hint="eastAsia"/>
                <w:color w:val="000000" w:themeColor="text1"/>
              </w:rPr>
              <w:t>本项目周围主要环境保护目标及分布情况见下表</w:t>
            </w:r>
            <w:r>
              <w:rPr>
                <w:color w:val="000000" w:themeColor="text1"/>
              </w:rPr>
              <w:t>，</w:t>
            </w:r>
            <w:r>
              <w:rPr>
                <w:rFonts w:hint="eastAsia"/>
                <w:color w:val="000000" w:themeColor="text1"/>
              </w:rPr>
              <w:t>项目500m范围内大气环境保护目标分布图见下图。</w:t>
            </w:r>
          </w:p>
          <w:bookmarkEnd w:id="48"/>
          <w:p w14:paraId="2951CBEB">
            <w:pPr>
              <w:pStyle w:val="6"/>
              <w:adjustRightInd w:val="0"/>
              <w:snapToGrid w:val="0"/>
              <w:rPr>
                <w:color w:val="0000FF"/>
              </w:rPr>
            </w:pPr>
            <w:bookmarkStart w:id="57" w:name="_Hlk173503795"/>
            <w:r>
              <w:rPr>
                <w:color w:val="000000" w:themeColor="text1"/>
              </w:rPr>
              <w:t xml:space="preserve">表 </w:t>
            </w:r>
            <w:r>
              <w:rPr>
                <w:rFonts w:hint="eastAsia"/>
                <w:color w:val="000000" w:themeColor="text1"/>
              </w:rPr>
              <w:t>3-</w:t>
            </w:r>
            <w:r>
              <w:rPr>
                <w:color w:val="000000" w:themeColor="text1"/>
              </w:rPr>
              <w:fldChar w:fldCharType="begin"/>
            </w:r>
            <w:r>
              <w:rPr>
                <w:color w:val="000000" w:themeColor="text1"/>
              </w:rPr>
              <w:instrText xml:space="preserve"> SEQ 表 \* ARABIC \s 1 </w:instrText>
            </w:r>
            <w:r>
              <w:rPr>
                <w:color w:val="000000" w:themeColor="text1"/>
              </w:rPr>
              <w:fldChar w:fldCharType="separate"/>
            </w:r>
            <w:r>
              <w:rPr>
                <w:color w:val="000000" w:themeColor="text1"/>
              </w:rPr>
              <w:t>4</w:t>
            </w:r>
            <w:r>
              <w:rPr>
                <w:color w:val="000000" w:themeColor="text1"/>
              </w:rPr>
              <w:fldChar w:fldCharType="end"/>
            </w:r>
            <w:r>
              <w:rPr>
                <w:color w:val="000000" w:themeColor="text1"/>
              </w:rPr>
              <w:t xml:space="preserve"> 本项目主要环境保护目标</w:t>
            </w:r>
          </w:p>
          <w:tbl>
            <w:tblPr>
              <w:tblStyle w:val="23"/>
              <w:tblpPr w:leftFromText="181" w:rightFromText="181" w:vertAnchor="text" w:tblpXSpec="center" w:tblpY="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533"/>
              <w:gridCol w:w="1191"/>
              <w:gridCol w:w="1267"/>
              <w:gridCol w:w="1074"/>
              <w:gridCol w:w="801"/>
              <w:gridCol w:w="1381"/>
              <w:gridCol w:w="532"/>
              <w:gridCol w:w="426"/>
              <w:gridCol w:w="638"/>
            </w:tblGrid>
            <w:tr w14:paraId="7171F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533" w:type="dxa"/>
                  <w:vMerge w:val="restart"/>
                  <w:vAlign w:val="center"/>
                </w:tcPr>
                <w:p w14:paraId="6A5A43CB">
                  <w:pPr>
                    <w:pStyle w:val="30"/>
                    <w:framePr w:hSpace="0" w:wrap="auto" w:vAnchor="margin" w:hAnchor="text" w:xAlign="left" w:yAlign="inline"/>
                  </w:pPr>
                  <w:r>
                    <w:t>类别</w:t>
                  </w:r>
                </w:p>
              </w:tc>
              <w:tc>
                <w:tcPr>
                  <w:tcW w:w="1191" w:type="dxa"/>
                  <w:vMerge w:val="restart"/>
                  <w:vAlign w:val="center"/>
                </w:tcPr>
                <w:p w14:paraId="7BF61B2F">
                  <w:pPr>
                    <w:pStyle w:val="30"/>
                    <w:framePr w:hSpace="0" w:wrap="auto" w:vAnchor="margin" w:hAnchor="text" w:xAlign="left" w:yAlign="inline"/>
                  </w:pPr>
                  <w:r>
                    <w:t>保护目标名称</w:t>
                  </w:r>
                </w:p>
              </w:tc>
              <w:tc>
                <w:tcPr>
                  <w:tcW w:w="2341" w:type="dxa"/>
                  <w:gridSpan w:val="2"/>
                  <w:vAlign w:val="center"/>
                </w:tcPr>
                <w:p w14:paraId="7A8CE883">
                  <w:pPr>
                    <w:pStyle w:val="30"/>
                    <w:framePr w:hSpace="0" w:wrap="auto" w:vAnchor="margin" w:hAnchor="text" w:xAlign="left" w:yAlign="inline"/>
                  </w:pPr>
                  <w:r>
                    <w:t>坐标</w:t>
                  </w:r>
                </w:p>
              </w:tc>
              <w:tc>
                <w:tcPr>
                  <w:tcW w:w="801" w:type="dxa"/>
                  <w:vMerge w:val="restart"/>
                  <w:vAlign w:val="center"/>
                </w:tcPr>
                <w:p w14:paraId="4B43A879">
                  <w:pPr>
                    <w:pStyle w:val="30"/>
                    <w:framePr w:hSpace="0" w:wrap="auto" w:vAnchor="margin" w:hAnchor="text" w:xAlign="left" w:yAlign="inline"/>
                  </w:pPr>
                  <w:r>
                    <w:t>保护对象</w:t>
                  </w:r>
                </w:p>
              </w:tc>
              <w:tc>
                <w:tcPr>
                  <w:tcW w:w="1381" w:type="dxa"/>
                  <w:vMerge w:val="restart"/>
                  <w:vAlign w:val="center"/>
                </w:tcPr>
                <w:p w14:paraId="5DFC3511">
                  <w:pPr>
                    <w:pStyle w:val="30"/>
                    <w:framePr w:hSpace="0" w:wrap="auto" w:vAnchor="margin" w:hAnchor="text" w:xAlign="left" w:yAlign="inline"/>
                  </w:pPr>
                  <w:r>
                    <w:t>保护</w:t>
                  </w:r>
                </w:p>
                <w:p w14:paraId="5D56340A">
                  <w:pPr>
                    <w:pStyle w:val="30"/>
                    <w:framePr w:hSpace="0" w:wrap="auto" w:vAnchor="margin" w:hAnchor="text" w:xAlign="left" w:yAlign="inline"/>
                  </w:pPr>
                  <w:r>
                    <w:t>内容</w:t>
                  </w:r>
                </w:p>
              </w:tc>
              <w:tc>
                <w:tcPr>
                  <w:tcW w:w="532" w:type="dxa"/>
                  <w:vMerge w:val="restart"/>
                  <w:vAlign w:val="center"/>
                </w:tcPr>
                <w:p w14:paraId="68F6C175">
                  <w:pPr>
                    <w:pStyle w:val="30"/>
                    <w:framePr w:hSpace="0" w:wrap="auto" w:vAnchor="margin" w:hAnchor="text" w:xAlign="left" w:yAlign="inline"/>
                  </w:pPr>
                  <w:r>
                    <w:t>环境功能区</w:t>
                  </w:r>
                </w:p>
              </w:tc>
              <w:tc>
                <w:tcPr>
                  <w:tcW w:w="426" w:type="dxa"/>
                  <w:vMerge w:val="restart"/>
                  <w:vAlign w:val="center"/>
                </w:tcPr>
                <w:p w14:paraId="48052E2D">
                  <w:pPr>
                    <w:pStyle w:val="30"/>
                    <w:framePr w:hSpace="0" w:wrap="auto" w:vAnchor="margin" w:hAnchor="text" w:xAlign="left" w:yAlign="inline"/>
                  </w:pPr>
                  <w:r>
                    <w:t>相对厂址方位</w:t>
                  </w:r>
                </w:p>
              </w:tc>
              <w:tc>
                <w:tcPr>
                  <w:tcW w:w="638" w:type="dxa"/>
                  <w:vMerge w:val="restart"/>
                  <w:vAlign w:val="center"/>
                </w:tcPr>
                <w:p w14:paraId="0E14BF7C">
                  <w:pPr>
                    <w:pStyle w:val="30"/>
                    <w:framePr w:hSpace="0" w:wrap="auto" w:vAnchor="margin" w:hAnchor="text" w:xAlign="left" w:yAlign="inline"/>
                  </w:pPr>
                  <w:r>
                    <w:t>相对厂界距离</w:t>
                  </w:r>
                  <w:r>
                    <w:rPr>
                      <w:rFonts w:hint="eastAsia"/>
                    </w:rPr>
                    <w:t>（</w:t>
                  </w:r>
                  <w:r>
                    <w:t>m</w:t>
                  </w:r>
                  <w:r>
                    <w:rPr>
                      <w:rFonts w:hint="eastAsia"/>
                    </w:rPr>
                    <w:t>）</w:t>
                  </w:r>
                </w:p>
              </w:tc>
            </w:tr>
            <w:tr w14:paraId="7AA3E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533" w:type="dxa"/>
                  <w:vMerge w:val="continue"/>
                  <w:vAlign w:val="center"/>
                </w:tcPr>
                <w:p w14:paraId="09AE207A">
                  <w:pPr>
                    <w:pStyle w:val="30"/>
                    <w:framePr w:hSpace="0" w:wrap="auto" w:vAnchor="margin" w:hAnchor="text" w:xAlign="left" w:yAlign="inline"/>
                  </w:pPr>
                </w:p>
              </w:tc>
              <w:tc>
                <w:tcPr>
                  <w:tcW w:w="1191" w:type="dxa"/>
                  <w:vMerge w:val="continue"/>
                  <w:vAlign w:val="center"/>
                </w:tcPr>
                <w:p w14:paraId="40E37A6A">
                  <w:pPr>
                    <w:pStyle w:val="30"/>
                    <w:framePr w:hSpace="0" w:wrap="auto" w:vAnchor="margin" w:hAnchor="text" w:xAlign="left" w:yAlign="inline"/>
                  </w:pPr>
                </w:p>
              </w:tc>
              <w:tc>
                <w:tcPr>
                  <w:tcW w:w="1267" w:type="dxa"/>
                  <w:vAlign w:val="center"/>
                </w:tcPr>
                <w:p w14:paraId="1C592A89">
                  <w:pPr>
                    <w:pStyle w:val="30"/>
                    <w:framePr w:hSpace="0" w:wrap="auto" w:vAnchor="margin" w:hAnchor="text" w:xAlign="left" w:yAlign="inline"/>
                  </w:pPr>
                  <w:r>
                    <w:t>东经（°）</w:t>
                  </w:r>
                </w:p>
              </w:tc>
              <w:tc>
                <w:tcPr>
                  <w:tcW w:w="1074" w:type="dxa"/>
                  <w:vAlign w:val="center"/>
                </w:tcPr>
                <w:p w14:paraId="2BC18282">
                  <w:pPr>
                    <w:pStyle w:val="30"/>
                    <w:framePr w:hSpace="0" w:wrap="auto" w:vAnchor="margin" w:hAnchor="text" w:xAlign="left" w:yAlign="inline"/>
                  </w:pPr>
                  <w:r>
                    <w:t>北纬（°）</w:t>
                  </w:r>
                </w:p>
              </w:tc>
              <w:tc>
                <w:tcPr>
                  <w:tcW w:w="801" w:type="dxa"/>
                  <w:vMerge w:val="continue"/>
                  <w:vAlign w:val="center"/>
                </w:tcPr>
                <w:p w14:paraId="463E5D18">
                  <w:pPr>
                    <w:pStyle w:val="30"/>
                    <w:framePr w:hSpace="0" w:wrap="auto" w:vAnchor="margin" w:hAnchor="text" w:xAlign="left" w:yAlign="inline"/>
                  </w:pPr>
                </w:p>
              </w:tc>
              <w:tc>
                <w:tcPr>
                  <w:tcW w:w="1381" w:type="dxa"/>
                  <w:vMerge w:val="continue"/>
                  <w:vAlign w:val="center"/>
                </w:tcPr>
                <w:p w14:paraId="0E26138A">
                  <w:pPr>
                    <w:pStyle w:val="30"/>
                    <w:framePr w:hSpace="0" w:wrap="auto" w:vAnchor="margin" w:hAnchor="text" w:xAlign="left" w:yAlign="inline"/>
                  </w:pPr>
                </w:p>
              </w:tc>
              <w:tc>
                <w:tcPr>
                  <w:tcW w:w="532" w:type="dxa"/>
                  <w:vMerge w:val="continue"/>
                  <w:vAlign w:val="center"/>
                </w:tcPr>
                <w:p w14:paraId="60434D80">
                  <w:pPr>
                    <w:pStyle w:val="30"/>
                    <w:framePr w:hSpace="0" w:wrap="auto" w:vAnchor="margin" w:hAnchor="text" w:xAlign="left" w:yAlign="inline"/>
                  </w:pPr>
                </w:p>
              </w:tc>
              <w:tc>
                <w:tcPr>
                  <w:tcW w:w="426" w:type="dxa"/>
                  <w:vMerge w:val="continue"/>
                  <w:vAlign w:val="center"/>
                </w:tcPr>
                <w:p w14:paraId="17FA4442">
                  <w:pPr>
                    <w:pStyle w:val="30"/>
                    <w:framePr w:hSpace="0" w:wrap="auto" w:vAnchor="margin" w:hAnchor="text" w:xAlign="left" w:yAlign="inline"/>
                  </w:pPr>
                </w:p>
              </w:tc>
              <w:tc>
                <w:tcPr>
                  <w:tcW w:w="638" w:type="dxa"/>
                  <w:vMerge w:val="continue"/>
                  <w:vAlign w:val="center"/>
                </w:tcPr>
                <w:p w14:paraId="3AF0AF46">
                  <w:pPr>
                    <w:pStyle w:val="30"/>
                    <w:framePr w:hSpace="0" w:wrap="auto" w:vAnchor="margin" w:hAnchor="text" w:xAlign="left" w:yAlign="inline"/>
                  </w:pPr>
                </w:p>
              </w:tc>
            </w:tr>
            <w:tr w14:paraId="6168C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533" w:type="dxa"/>
                  <w:vMerge w:val="restart"/>
                  <w:vAlign w:val="center"/>
                </w:tcPr>
                <w:p w14:paraId="1E11E07B">
                  <w:pPr>
                    <w:pStyle w:val="30"/>
                    <w:framePr w:hSpace="0" w:wrap="auto" w:vAnchor="margin" w:hAnchor="text" w:xAlign="left" w:yAlign="inline"/>
                  </w:pPr>
                  <w:r>
                    <w:t>大气</w:t>
                  </w:r>
                </w:p>
                <w:p w14:paraId="79C0E30B">
                  <w:pPr>
                    <w:pStyle w:val="30"/>
                    <w:framePr w:hSpace="0" w:wrap="auto" w:vAnchor="margin" w:hAnchor="text" w:xAlign="left" w:yAlign="inline"/>
                  </w:pPr>
                  <w:r>
                    <w:t>环境</w:t>
                  </w:r>
                </w:p>
              </w:tc>
              <w:tc>
                <w:tcPr>
                  <w:tcW w:w="1191" w:type="dxa"/>
                  <w:vAlign w:val="center"/>
                </w:tcPr>
                <w:p w14:paraId="2CBF5B97">
                  <w:pPr>
                    <w:pStyle w:val="30"/>
                    <w:framePr w:hSpace="0" w:wrap="auto" w:vAnchor="margin" w:hAnchor="text" w:xAlign="left" w:yAlign="inline"/>
                    <w:rPr>
                      <w:highlight w:val="yellow"/>
                    </w:rPr>
                  </w:pPr>
                  <w:r>
                    <w:rPr>
                      <w:rFonts w:hint="eastAsia"/>
                    </w:rPr>
                    <w:t>田家庵经济开发区管理委员会（北区）</w:t>
                  </w:r>
                </w:p>
              </w:tc>
              <w:tc>
                <w:tcPr>
                  <w:tcW w:w="1267" w:type="dxa"/>
                  <w:vAlign w:val="center"/>
                </w:tcPr>
                <w:p w14:paraId="3D5ABB97">
                  <w:pPr>
                    <w:pStyle w:val="30"/>
                    <w:framePr w:hSpace="0" w:wrap="auto" w:vAnchor="margin" w:hAnchor="text" w:xAlign="left" w:yAlign="inline"/>
                  </w:pPr>
                  <w:r>
                    <w:rPr>
                      <w:rFonts w:hint="eastAsia"/>
                    </w:rPr>
                    <w:t>116.97310036</w:t>
                  </w:r>
                </w:p>
              </w:tc>
              <w:tc>
                <w:tcPr>
                  <w:tcW w:w="1074" w:type="dxa"/>
                  <w:vAlign w:val="center"/>
                </w:tcPr>
                <w:p w14:paraId="09A33A4F">
                  <w:pPr>
                    <w:pStyle w:val="30"/>
                    <w:framePr w:hSpace="0" w:wrap="auto" w:vAnchor="margin" w:hAnchor="text" w:xAlign="left" w:yAlign="inline"/>
                  </w:pPr>
                  <w:r>
                    <w:rPr>
                      <w:rFonts w:hint="eastAsia"/>
                    </w:rPr>
                    <w:t>32.64699699</w:t>
                  </w:r>
                </w:p>
              </w:tc>
              <w:tc>
                <w:tcPr>
                  <w:tcW w:w="801" w:type="dxa"/>
                  <w:vAlign w:val="center"/>
                </w:tcPr>
                <w:p w14:paraId="6262A2D3">
                  <w:pPr>
                    <w:pStyle w:val="30"/>
                    <w:framePr w:hSpace="0" w:wrap="auto" w:vAnchor="margin" w:hAnchor="text" w:xAlign="left" w:yAlign="inline"/>
                  </w:pPr>
                  <w:r>
                    <w:rPr>
                      <w:rFonts w:hint="eastAsia"/>
                    </w:rPr>
                    <w:t>职工</w:t>
                  </w:r>
                </w:p>
              </w:tc>
              <w:tc>
                <w:tcPr>
                  <w:tcW w:w="1381" w:type="dxa"/>
                  <w:vAlign w:val="center"/>
                </w:tcPr>
                <w:p w14:paraId="30FA4AB7">
                  <w:pPr>
                    <w:pStyle w:val="30"/>
                    <w:framePr w:hSpace="0" w:wrap="auto" w:vAnchor="margin" w:hAnchor="text" w:xAlign="left" w:yAlign="inline"/>
                  </w:pPr>
                  <w:r>
                    <w:rPr>
                      <w:rFonts w:hint="eastAsia"/>
                    </w:rPr>
                    <w:t>约</w:t>
                  </w:r>
                  <w:r>
                    <w:rPr>
                      <w:rFonts w:hint="eastAsia"/>
                      <w:lang w:val="en-US"/>
                    </w:rPr>
                    <w:t>200</w:t>
                  </w:r>
                  <w:r>
                    <w:rPr>
                      <w:rFonts w:hint="eastAsia"/>
                    </w:rPr>
                    <w:t>人</w:t>
                  </w:r>
                </w:p>
              </w:tc>
              <w:tc>
                <w:tcPr>
                  <w:tcW w:w="532" w:type="dxa"/>
                  <w:vMerge w:val="restart"/>
                  <w:vAlign w:val="center"/>
                </w:tcPr>
                <w:p w14:paraId="0A37282C">
                  <w:pPr>
                    <w:pStyle w:val="30"/>
                    <w:framePr w:hSpace="0" w:wrap="auto" w:vAnchor="margin" w:hAnchor="text" w:xAlign="left" w:yAlign="inline"/>
                  </w:pPr>
                  <w:r>
                    <w:t>二类</w:t>
                  </w:r>
                </w:p>
              </w:tc>
              <w:tc>
                <w:tcPr>
                  <w:tcW w:w="426" w:type="dxa"/>
                  <w:vAlign w:val="center"/>
                </w:tcPr>
                <w:p w14:paraId="6A16CC92">
                  <w:pPr>
                    <w:pStyle w:val="30"/>
                    <w:framePr w:hSpace="0" w:wrap="auto" w:vAnchor="margin" w:hAnchor="text" w:xAlign="left" w:yAlign="inline"/>
                  </w:pPr>
                  <w:r>
                    <w:rPr>
                      <w:rFonts w:hint="eastAsia"/>
                      <w:lang w:val="en-US"/>
                    </w:rPr>
                    <w:t>E</w:t>
                  </w:r>
                </w:p>
              </w:tc>
              <w:tc>
                <w:tcPr>
                  <w:tcW w:w="638" w:type="dxa"/>
                  <w:vAlign w:val="center"/>
                </w:tcPr>
                <w:p w14:paraId="46F99107">
                  <w:pPr>
                    <w:pStyle w:val="30"/>
                    <w:framePr w:hSpace="0" w:wrap="auto" w:vAnchor="margin" w:hAnchor="text" w:xAlign="left" w:yAlign="inline"/>
                    <w:rPr>
                      <w:lang w:val="en-US"/>
                    </w:rPr>
                  </w:pPr>
                  <w:r>
                    <w:rPr>
                      <w:rFonts w:hint="eastAsia"/>
                      <w:lang w:val="en-US"/>
                    </w:rPr>
                    <w:t>249</w:t>
                  </w:r>
                </w:p>
              </w:tc>
            </w:tr>
            <w:tr w14:paraId="0FED6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533" w:type="dxa"/>
                  <w:vMerge w:val="continue"/>
                  <w:vAlign w:val="center"/>
                </w:tcPr>
                <w:p w14:paraId="1A6A7B21">
                  <w:pPr>
                    <w:pStyle w:val="30"/>
                    <w:framePr w:hSpace="0" w:wrap="auto" w:vAnchor="margin" w:hAnchor="text" w:xAlign="left" w:yAlign="inline"/>
                    <w:rPr>
                      <w:color w:val="0000FF"/>
                    </w:rPr>
                  </w:pPr>
                </w:p>
              </w:tc>
              <w:tc>
                <w:tcPr>
                  <w:tcW w:w="1191" w:type="dxa"/>
                  <w:vAlign w:val="center"/>
                </w:tcPr>
                <w:p w14:paraId="5C62AF3F">
                  <w:pPr>
                    <w:pStyle w:val="30"/>
                    <w:framePr w:hSpace="0" w:wrap="auto" w:vAnchor="margin" w:hAnchor="text" w:xAlign="left" w:yAlign="inline"/>
                  </w:pPr>
                  <w:r>
                    <w:rPr>
                      <w:rFonts w:hint="eastAsia"/>
                    </w:rPr>
                    <w:t>中丹新城学府</w:t>
                  </w:r>
                </w:p>
              </w:tc>
              <w:tc>
                <w:tcPr>
                  <w:tcW w:w="1267" w:type="dxa"/>
                  <w:vAlign w:val="center"/>
                </w:tcPr>
                <w:p w14:paraId="17630E96">
                  <w:pPr>
                    <w:pStyle w:val="30"/>
                    <w:framePr w:hSpace="0" w:wrap="auto" w:vAnchor="margin" w:hAnchor="text" w:xAlign="left" w:yAlign="inline"/>
                  </w:pPr>
                  <w:r>
                    <w:rPr>
                      <w:rFonts w:hint="eastAsia"/>
                    </w:rPr>
                    <w:t>116.97524613</w:t>
                  </w:r>
                </w:p>
              </w:tc>
              <w:tc>
                <w:tcPr>
                  <w:tcW w:w="1074" w:type="dxa"/>
                  <w:vAlign w:val="center"/>
                </w:tcPr>
                <w:p w14:paraId="4093C37A">
                  <w:pPr>
                    <w:pStyle w:val="30"/>
                    <w:framePr w:hSpace="0" w:wrap="auto" w:vAnchor="margin" w:hAnchor="text" w:xAlign="left" w:yAlign="inline"/>
                  </w:pPr>
                  <w:r>
                    <w:rPr>
                      <w:rFonts w:hint="eastAsia"/>
                    </w:rPr>
                    <w:t>32.64710428</w:t>
                  </w:r>
                </w:p>
              </w:tc>
              <w:tc>
                <w:tcPr>
                  <w:tcW w:w="801" w:type="dxa"/>
                  <w:vAlign w:val="center"/>
                </w:tcPr>
                <w:p w14:paraId="729795D6">
                  <w:pPr>
                    <w:pStyle w:val="30"/>
                    <w:framePr w:hSpace="0" w:wrap="auto" w:vAnchor="margin" w:hAnchor="text" w:xAlign="left" w:yAlign="inline"/>
                  </w:pPr>
                  <w:r>
                    <w:rPr>
                      <w:rFonts w:hint="eastAsia"/>
                    </w:rPr>
                    <w:t>居民</w:t>
                  </w:r>
                </w:p>
              </w:tc>
              <w:tc>
                <w:tcPr>
                  <w:tcW w:w="1381" w:type="dxa"/>
                  <w:vAlign w:val="center"/>
                </w:tcPr>
                <w:p w14:paraId="0A7DA58F">
                  <w:pPr>
                    <w:pStyle w:val="30"/>
                    <w:framePr w:hSpace="0" w:wrap="auto" w:vAnchor="margin" w:hAnchor="text" w:xAlign="left" w:yAlign="inline"/>
                  </w:pPr>
                  <w:r>
                    <w:t>约</w:t>
                  </w:r>
                  <w:r>
                    <w:rPr>
                      <w:rFonts w:hint="eastAsia"/>
                      <w:lang w:val="en-US"/>
                    </w:rPr>
                    <w:t>450户/15</w:t>
                  </w:r>
                  <w:r>
                    <w:rPr>
                      <w:rFonts w:hint="eastAsia"/>
                    </w:rPr>
                    <w:t>00</w:t>
                  </w:r>
                  <w:r>
                    <w:t>人</w:t>
                  </w:r>
                </w:p>
              </w:tc>
              <w:tc>
                <w:tcPr>
                  <w:tcW w:w="532" w:type="dxa"/>
                  <w:vMerge w:val="continue"/>
                  <w:vAlign w:val="center"/>
                </w:tcPr>
                <w:p w14:paraId="3EB087A8">
                  <w:pPr>
                    <w:pStyle w:val="30"/>
                    <w:framePr w:hSpace="0" w:wrap="auto" w:vAnchor="margin" w:hAnchor="text" w:xAlign="left" w:yAlign="inline"/>
                    <w:rPr>
                      <w:color w:val="0000FF"/>
                    </w:rPr>
                  </w:pPr>
                </w:p>
              </w:tc>
              <w:tc>
                <w:tcPr>
                  <w:tcW w:w="426" w:type="dxa"/>
                  <w:vAlign w:val="center"/>
                </w:tcPr>
                <w:p w14:paraId="41E32067">
                  <w:pPr>
                    <w:pStyle w:val="30"/>
                    <w:framePr w:hSpace="0" w:wrap="auto" w:vAnchor="margin" w:hAnchor="text" w:xAlign="left" w:yAlign="inline"/>
                  </w:pPr>
                  <w:r>
                    <w:rPr>
                      <w:rFonts w:hint="eastAsia"/>
                      <w:lang w:val="en-US"/>
                    </w:rPr>
                    <w:t>E</w:t>
                  </w:r>
                </w:p>
              </w:tc>
              <w:tc>
                <w:tcPr>
                  <w:tcW w:w="638" w:type="dxa"/>
                  <w:vAlign w:val="center"/>
                </w:tcPr>
                <w:p w14:paraId="360E1DA5">
                  <w:pPr>
                    <w:pStyle w:val="30"/>
                    <w:framePr w:hSpace="0" w:wrap="auto" w:vAnchor="margin" w:hAnchor="text" w:xAlign="left" w:yAlign="inline"/>
                    <w:rPr>
                      <w:lang w:val="en-US"/>
                    </w:rPr>
                  </w:pPr>
                  <w:r>
                    <w:rPr>
                      <w:rFonts w:hint="eastAsia"/>
                      <w:lang w:val="en-US"/>
                    </w:rPr>
                    <w:t>344</w:t>
                  </w:r>
                </w:p>
              </w:tc>
            </w:tr>
            <w:tr w14:paraId="509D4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2" w:hRule="atLeast"/>
              </w:trPr>
              <w:tc>
                <w:tcPr>
                  <w:tcW w:w="533" w:type="dxa"/>
                  <w:vMerge w:val="continue"/>
                  <w:vAlign w:val="center"/>
                </w:tcPr>
                <w:p w14:paraId="00174379">
                  <w:pPr>
                    <w:pStyle w:val="30"/>
                    <w:framePr w:hSpace="0" w:wrap="auto" w:vAnchor="margin" w:hAnchor="text" w:xAlign="left" w:yAlign="inline"/>
                    <w:rPr>
                      <w:color w:val="0000FF"/>
                    </w:rPr>
                  </w:pPr>
                </w:p>
              </w:tc>
              <w:tc>
                <w:tcPr>
                  <w:tcW w:w="1191" w:type="dxa"/>
                  <w:vAlign w:val="center"/>
                </w:tcPr>
                <w:p w14:paraId="61B14899">
                  <w:pPr>
                    <w:pStyle w:val="30"/>
                    <w:framePr w:hSpace="0" w:wrap="auto" w:vAnchor="margin" w:hAnchor="text" w:xAlign="left" w:yAlign="inline"/>
                    <w:rPr>
                      <w:lang w:val="en-US"/>
                    </w:rPr>
                  </w:pPr>
                  <w:r>
                    <w:rPr>
                      <w:rFonts w:hint="eastAsia"/>
                      <w:lang w:val="en-US"/>
                    </w:rPr>
                    <w:t>陆塘村</w:t>
                  </w:r>
                </w:p>
              </w:tc>
              <w:tc>
                <w:tcPr>
                  <w:tcW w:w="1267" w:type="dxa"/>
                  <w:vAlign w:val="center"/>
                </w:tcPr>
                <w:p w14:paraId="3E0AF26B">
                  <w:pPr>
                    <w:pStyle w:val="30"/>
                    <w:framePr w:hSpace="0" w:wrap="auto" w:vAnchor="margin" w:hAnchor="text" w:xAlign="left" w:yAlign="inline"/>
                  </w:pPr>
                  <w:r>
                    <w:rPr>
                      <w:rFonts w:hint="eastAsia"/>
                    </w:rPr>
                    <w:t>116.968615714</w:t>
                  </w:r>
                </w:p>
              </w:tc>
              <w:tc>
                <w:tcPr>
                  <w:tcW w:w="1074" w:type="dxa"/>
                  <w:vAlign w:val="center"/>
                </w:tcPr>
                <w:p w14:paraId="0604E2FD">
                  <w:pPr>
                    <w:pStyle w:val="30"/>
                    <w:framePr w:hSpace="0" w:wrap="auto" w:vAnchor="margin" w:hAnchor="text" w:xAlign="left" w:yAlign="inline"/>
                  </w:pPr>
                  <w:r>
                    <w:rPr>
                      <w:rFonts w:hint="eastAsia"/>
                    </w:rPr>
                    <w:t>32.65087010</w:t>
                  </w:r>
                </w:p>
              </w:tc>
              <w:tc>
                <w:tcPr>
                  <w:tcW w:w="801" w:type="dxa"/>
                  <w:vAlign w:val="center"/>
                </w:tcPr>
                <w:p w14:paraId="16D34ECE">
                  <w:pPr>
                    <w:pStyle w:val="30"/>
                    <w:framePr w:hSpace="0" w:wrap="auto" w:vAnchor="margin" w:hAnchor="text" w:xAlign="left" w:yAlign="inline"/>
                  </w:pPr>
                  <w:r>
                    <w:rPr>
                      <w:rFonts w:hint="eastAsia"/>
                    </w:rPr>
                    <w:t>居民</w:t>
                  </w:r>
                </w:p>
              </w:tc>
              <w:tc>
                <w:tcPr>
                  <w:tcW w:w="1381" w:type="dxa"/>
                  <w:vAlign w:val="center"/>
                </w:tcPr>
                <w:p w14:paraId="3FA2D017">
                  <w:pPr>
                    <w:pStyle w:val="30"/>
                    <w:framePr w:hSpace="0" w:wrap="auto" w:vAnchor="margin" w:hAnchor="text" w:xAlign="left" w:yAlign="inline"/>
                    <w:rPr>
                      <w:lang w:val="en-US"/>
                    </w:rPr>
                  </w:pPr>
                  <w:r>
                    <w:rPr>
                      <w:rFonts w:hint="eastAsia"/>
                    </w:rPr>
                    <w:t>约</w:t>
                  </w:r>
                  <w:r>
                    <w:rPr>
                      <w:rFonts w:hint="eastAsia"/>
                      <w:lang w:val="en-US"/>
                    </w:rPr>
                    <w:t>670户/25</w:t>
                  </w:r>
                  <w:r>
                    <w:rPr>
                      <w:rFonts w:hint="eastAsia"/>
                    </w:rPr>
                    <w:t>00</w:t>
                  </w:r>
                  <w:r>
                    <w:t>人</w:t>
                  </w:r>
                </w:p>
              </w:tc>
              <w:tc>
                <w:tcPr>
                  <w:tcW w:w="532" w:type="dxa"/>
                  <w:vMerge w:val="continue"/>
                  <w:vAlign w:val="center"/>
                </w:tcPr>
                <w:p w14:paraId="1107F6AA">
                  <w:pPr>
                    <w:pStyle w:val="30"/>
                    <w:framePr w:hSpace="0" w:wrap="auto" w:vAnchor="margin" w:hAnchor="text" w:xAlign="left" w:yAlign="inline"/>
                  </w:pPr>
                </w:p>
              </w:tc>
              <w:tc>
                <w:tcPr>
                  <w:tcW w:w="426" w:type="dxa"/>
                  <w:vAlign w:val="center"/>
                </w:tcPr>
                <w:p w14:paraId="59262C78">
                  <w:pPr>
                    <w:pStyle w:val="30"/>
                    <w:framePr w:hSpace="0" w:wrap="auto" w:vAnchor="margin" w:hAnchor="text" w:xAlign="left" w:yAlign="inline"/>
                  </w:pPr>
                  <w:r>
                    <w:rPr>
                      <w:rFonts w:hint="eastAsia"/>
                      <w:lang w:val="en-US"/>
                    </w:rPr>
                    <w:t>N</w:t>
                  </w:r>
                </w:p>
              </w:tc>
              <w:tc>
                <w:tcPr>
                  <w:tcW w:w="638" w:type="dxa"/>
                  <w:vAlign w:val="center"/>
                </w:tcPr>
                <w:p w14:paraId="54CD421D">
                  <w:pPr>
                    <w:pStyle w:val="30"/>
                    <w:framePr w:hSpace="0" w:wrap="auto" w:vAnchor="margin" w:hAnchor="text" w:xAlign="left" w:yAlign="inline"/>
                    <w:rPr>
                      <w:lang w:val="en-US"/>
                    </w:rPr>
                  </w:pPr>
                  <w:r>
                    <w:rPr>
                      <w:rFonts w:hint="eastAsia"/>
                      <w:lang w:val="en-US"/>
                    </w:rPr>
                    <w:t>180</w:t>
                  </w:r>
                </w:p>
              </w:tc>
            </w:tr>
            <w:tr w14:paraId="5AF13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533" w:type="dxa"/>
                  <w:vAlign w:val="center"/>
                </w:tcPr>
                <w:p w14:paraId="4BFF9D28">
                  <w:pPr>
                    <w:pStyle w:val="30"/>
                    <w:framePr w:hSpace="0" w:wrap="auto" w:vAnchor="margin" w:hAnchor="text" w:xAlign="left" w:yAlign="inline"/>
                  </w:pPr>
                  <w:r>
                    <w:t>声环境</w:t>
                  </w:r>
                </w:p>
              </w:tc>
              <w:tc>
                <w:tcPr>
                  <w:tcW w:w="7310" w:type="dxa"/>
                  <w:gridSpan w:val="8"/>
                  <w:vAlign w:val="center"/>
                </w:tcPr>
                <w:p w14:paraId="56E2DDE8">
                  <w:pPr>
                    <w:pStyle w:val="30"/>
                    <w:framePr w:hSpace="0" w:wrap="auto" w:vAnchor="margin" w:hAnchor="text" w:xAlign="left" w:yAlign="inline"/>
                  </w:pPr>
                  <w:r>
                    <w:t>厂界外50m无声环境保护目标。</w:t>
                  </w:r>
                </w:p>
              </w:tc>
            </w:tr>
            <w:tr w14:paraId="3DEF6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533" w:type="dxa"/>
                  <w:vMerge w:val="restart"/>
                  <w:vAlign w:val="center"/>
                </w:tcPr>
                <w:p w14:paraId="72BAEE18">
                  <w:pPr>
                    <w:pStyle w:val="30"/>
                    <w:framePr w:hSpace="0" w:wrap="auto" w:vAnchor="margin" w:hAnchor="text" w:xAlign="left" w:yAlign="inline"/>
                  </w:pPr>
                  <w:r>
                    <w:rPr>
                      <w:rFonts w:hint="eastAsia"/>
                    </w:rPr>
                    <w:t>地表水</w:t>
                  </w:r>
                </w:p>
              </w:tc>
              <w:tc>
                <w:tcPr>
                  <w:tcW w:w="2458" w:type="dxa"/>
                  <w:gridSpan w:val="2"/>
                  <w:vAlign w:val="center"/>
                </w:tcPr>
                <w:p w14:paraId="2F562229">
                  <w:pPr>
                    <w:pStyle w:val="30"/>
                    <w:framePr w:hSpace="0" w:wrap="auto" w:vAnchor="margin" w:hAnchor="text" w:xAlign="left" w:yAlign="inline"/>
                  </w:pPr>
                  <w:r>
                    <w:rPr>
                      <w:rFonts w:hint="eastAsia"/>
                    </w:rPr>
                    <w:t>淮河</w:t>
                  </w:r>
                </w:p>
              </w:tc>
              <w:tc>
                <w:tcPr>
                  <w:tcW w:w="3256" w:type="dxa"/>
                  <w:gridSpan w:val="3"/>
                  <w:vAlign w:val="center"/>
                </w:tcPr>
                <w:p w14:paraId="2A998314">
                  <w:pPr>
                    <w:pStyle w:val="30"/>
                    <w:framePr w:hSpace="0" w:wrap="auto" w:vAnchor="margin" w:hAnchor="text" w:xAlign="left" w:yAlign="inline"/>
                  </w:pPr>
                  <w:r>
                    <w:rPr>
                      <w:rFonts w:hint="eastAsia"/>
                    </w:rPr>
                    <w:t>大型河流</w:t>
                  </w:r>
                </w:p>
              </w:tc>
              <w:tc>
                <w:tcPr>
                  <w:tcW w:w="532" w:type="dxa"/>
                  <w:vAlign w:val="center"/>
                </w:tcPr>
                <w:p w14:paraId="7C1C5A38">
                  <w:pPr>
                    <w:pStyle w:val="30"/>
                    <w:framePr w:hSpace="0" w:wrap="auto" w:vAnchor="margin" w:hAnchor="text" w:xAlign="left" w:yAlign="inline"/>
                  </w:pPr>
                  <w:r>
                    <w:rPr>
                      <w:rFonts w:hint="eastAsia"/>
                    </w:rPr>
                    <w:t>Ⅲ类</w:t>
                  </w:r>
                </w:p>
              </w:tc>
              <w:tc>
                <w:tcPr>
                  <w:tcW w:w="426" w:type="dxa"/>
                  <w:vAlign w:val="center"/>
                </w:tcPr>
                <w:p w14:paraId="07D88094">
                  <w:pPr>
                    <w:pStyle w:val="30"/>
                    <w:framePr w:hSpace="0" w:wrap="auto" w:vAnchor="margin" w:hAnchor="text" w:xAlign="left" w:yAlign="inline"/>
                  </w:pPr>
                  <w:r>
                    <w:t>N</w:t>
                  </w:r>
                </w:p>
              </w:tc>
              <w:tc>
                <w:tcPr>
                  <w:tcW w:w="638" w:type="dxa"/>
                  <w:vAlign w:val="center"/>
                </w:tcPr>
                <w:p w14:paraId="42D1342B">
                  <w:pPr>
                    <w:pStyle w:val="30"/>
                    <w:framePr w:hSpace="0" w:wrap="auto" w:vAnchor="margin" w:hAnchor="text" w:xAlign="left" w:yAlign="inline"/>
                    <w:rPr>
                      <w:lang w:val="en-US"/>
                    </w:rPr>
                  </w:pPr>
                  <w:r>
                    <w:rPr>
                      <w:rFonts w:hint="eastAsia"/>
                      <w:lang w:val="en-US"/>
                    </w:rPr>
                    <w:t>2940</w:t>
                  </w:r>
                </w:p>
              </w:tc>
            </w:tr>
            <w:tr w14:paraId="45C95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533" w:type="dxa"/>
                  <w:vMerge w:val="continue"/>
                  <w:vAlign w:val="center"/>
                </w:tcPr>
                <w:p w14:paraId="4B94E4D7">
                  <w:pPr>
                    <w:pStyle w:val="30"/>
                    <w:framePr w:hSpace="0" w:wrap="auto" w:vAnchor="margin" w:hAnchor="text" w:xAlign="left" w:yAlign="inline"/>
                    <w:rPr>
                      <w:color w:val="0000FF"/>
                    </w:rPr>
                  </w:pPr>
                </w:p>
              </w:tc>
              <w:tc>
                <w:tcPr>
                  <w:tcW w:w="2458" w:type="dxa"/>
                  <w:gridSpan w:val="2"/>
                  <w:vAlign w:val="center"/>
                </w:tcPr>
                <w:p w14:paraId="3D9BBC2A">
                  <w:pPr>
                    <w:pStyle w:val="30"/>
                    <w:framePr w:hSpace="0" w:wrap="auto" w:vAnchor="margin" w:hAnchor="text" w:xAlign="left" w:yAlign="inline"/>
                  </w:pPr>
                  <w:r>
                    <w:rPr>
                      <w:rFonts w:hint="eastAsia"/>
                    </w:rPr>
                    <w:t>中心沟</w:t>
                  </w:r>
                </w:p>
              </w:tc>
              <w:tc>
                <w:tcPr>
                  <w:tcW w:w="3256" w:type="dxa"/>
                  <w:gridSpan w:val="3"/>
                  <w:vAlign w:val="center"/>
                </w:tcPr>
                <w:p w14:paraId="2B3062E7">
                  <w:pPr>
                    <w:pStyle w:val="30"/>
                    <w:framePr w:hSpace="0" w:wrap="auto" w:vAnchor="margin" w:hAnchor="text" w:xAlign="left" w:yAlign="inline"/>
                  </w:pPr>
                  <w:r>
                    <w:rPr>
                      <w:rFonts w:hint="eastAsia"/>
                    </w:rPr>
                    <w:t>小型河流</w:t>
                  </w:r>
                </w:p>
              </w:tc>
              <w:tc>
                <w:tcPr>
                  <w:tcW w:w="532" w:type="dxa"/>
                  <w:vAlign w:val="center"/>
                </w:tcPr>
                <w:p w14:paraId="006FF522">
                  <w:pPr>
                    <w:pStyle w:val="30"/>
                    <w:framePr w:hSpace="0" w:wrap="auto" w:vAnchor="margin" w:hAnchor="text" w:xAlign="left" w:yAlign="inline"/>
                  </w:pPr>
                  <w:r>
                    <w:rPr>
                      <w:rFonts w:hint="eastAsia"/>
                    </w:rPr>
                    <w:t>Ⅲ类</w:t>
                  </w:r>
                </w:p>
              </w:tc>
              <w:tc>
                <w:tcPr>
                  <w:tcW w:w="426" w:type="dxa"/>
                  <w:vAlign w:val="center"/>
                </w:tcPr>
                <w:p w14:paraId="2ED4EB8D">
                  <w:pPr>
                    <w:pStyle w:val="30"/>
                    <w:framePr w:hSpace="0" w:wrap="auto" w:vAnchor="margin" w:hAnchor="text" w:xAlign="left" w:yAlign="inline"/>
                  </w:pPr>
                  <w:r>
                    <w:t>N</w:t>
                  </w:r>
                  <w:r>
                    <w:rPr>
                      <w:rFonts w:hint="eastAsia"/>
                      <w:lang w:val="en-US"/>
                    </w:rPr>
                    <w:t>W</w:t>
                  </w:r>
                </w:p>
              </w:tc>
              <w:tc>
                <w:tcPr>
                  <w:tcW w:w="638" w:type="dxa"/>
                  <w:vAlign w:val="center"/>
                </w:tcPr>
                <w:p w14:paraId="40321D28">
                  <w:pPr>
                    <w:pStyle w:val="30"/>
                    <w:framePr w:hSpace="0" w:wrap="auto" w:vAnchor="margin" w:hAnchor="text" w:xAlign="left" w:yAlign="inline"/>
                    <w:rPr>
                      <w:lang w:val="en-US"/>
                    </w:rPr>
                  </w:pPr>
                  <w:r>
                    <w:rPr>
                      <w:rFonts w:hint="eastAsia"/>
                      <w:lang w:val="en-US"/>
                    </w:rPr>
                    <w:t>17</w:t>
                  </w:r>
                </w:p>
              </w:tc>
            </w:tr>
            <w:tr w14:paraId="59F65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533" w:type="dxa"/>
                  <w:vAlign w:val="center"/>
                </w:tcPr>
                <w:p w14:paraId="38942691">
                  <w:pPr>
                    <w:pStyle w:val="30"/>
                    <w:framePr w:hSpace="0" w:wrap="auto" w:vAnchor="margin" w:hAnchor="text" w:xAlign="left" w:yAlign="inline"/>
                  </w:pPr>
                  <w:r>
                    <w:t>地下水环境</w:t>
                  </w:r>
                </w:p>
              </w:tc>
              <w:tc>
                <w:tcPr>
                  <w:tcW w:w="7310" w:type="dxa"/>
                  <w:gridSpan w:val="8"/>
                  <w:vAlign w:val="center"/>
                </w:tcPr>
                <w:p w14:paraId="13BD384F">
                  <w:pPr>
                    <w:pStyle w:val="30"/>
                    <w:framePr w:hSpace="0" w:wrap="auto" w:vAnchor="margin" w:hAnchor="text" w:xAlign="left" w:yAlign="inline"/>
                  </w:pPr>
                  <w:r>
                    <w:t>厂界外500m无地下水集中式饮用水水源和热水、矿泉水、温泉等特殊地下水资源。</w:t>
                  </w:r>
                </w:p>
              </w:tc>
            </w:tr>
            <w:tr w14:paraId="4F6B7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7" w:hRule="atLeast"/>
              </w:trPr>
              <w:tc>
                <w:tcPr>
                  <w:tcW w:w="533" w:type="dxa"/>
                  <w:vAlign w:val="center"/>
                </w:tcPr>
                <w:p w14:paraId="031BE36A">
                  <w:pPr>
                    <w:pStyle w:val="30"/>
                    <w:framePr w:hSpace="0" w:wrap="auto" w:vAnchor="margin" w:hAnchor="text" w:xAlign="left" w:yAlign="inline"/>
                  </w:pPr>
                  <w:r>
                    <w:t>生态</w:t>
                  </w:r>
                </w:p>
                <w:p w14:paraId="45EC3509">
                  <w:pPr>
                    <w:pStyle w:val="30"/>
                    <w:framePr w:hSpace="0" w:wrap="auto" w:vAnchor="margin" w:hAnchor="text" w:xAlign="left" w:yAlign="inline"/>
                  </w:pPr>
                  <w:r>
                    <w:t>环境</w:t>
                  </w:r>
                </w:p>
              </w:tc>
              <w:tc>
                <w:tcPr>
                  <w:tcW w:w="7310" w:type="dxa"/>
                  <w:gridSpan w:val="8"/>
                  <w:vAlign w:val="center"/>
                </w:tcPr>
                <w:p w14:paraId="02A166E6">
                  <w:pPr>
                    <w:pStyle w:val="30"/>
                    <w:framePr w:hSpace="0" w:wrap="auto" w:vAnchor="margin" w:hAnchor="text" w:xAlign="left" w:yAlign="inline"/>
                  </w:pPr>
                  <w:r>
                    <w:t>项目用地范围内无生态环境保护目标。</w:t>
                  </w:r>
                </w:p>
              </w:tc>
            </w:tr>
          </w:tbl>
          <w:p w14:paraId="5AF7431A">
            <w:pPr>
              <w:spacing w:line="360" w:lineRule="auto"/>
              <w:jc w:val="left"/>
              <w:outlineLvl w:val="1"/>
              <w:rPr>
                <w:color w:val="0000FF"/>
              </w:rPr>
            </w:pPr>
            <w:r>
              <w:drawing>
                <wp:inline distT="0" distB="0" distL="114300" distR="114300">
                  <wp:extent cx="5036820" cy="4389755"/>
                  <wp:effectExtent l="0" t="0" r="11430" b="10795"/>
                  <wp:docPr id="1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3"/>
                          <pic:cNvPicPr>
                            <a:picLocks noChangeAspect="1"/>
                          </pic:cNvPicPr>
                        </pic:nvPicPr>
                        <pic:blipFill>
                          <a:blip r:embed="rId30"/>
                          <a:stretch>
                            <a:fillRect/>
                          </a:stretch>
                        </pic:blipFill>
                        <pic:spPr>
                          <a:xfrm>
                            <a:off x="0" y="0"/>
                            <a:ext cx="5036820" cy="4389755"/>
                          </a:xfrm>
                          <a:prstGeom prst="rect">
                            <a:avLst/>
                          </a:prstGeom>
                          <a:noFill/>
                          <a:ln>
                            <a:noFill/>
                          </a:ln>
                        </pic:spPr>
                      </pic:pic>
                    </a:graphicData>
                  </a:graphic>
                </wp:inline>
              </w:drawing>
            </w:r>
          </w:p>
          <w:p w14:paraId="2AB840FA">
            <w:pPr>
              <w:pStyle w:val="6"/>
            </w:pPr>
            <w:r>
              <w:t xml:space="preserve">图 </w:t>
            </w:r>
            <w:r>
              <w:rPr>
                <w:rFonts w:hint="eastAsia"/>
              </w:rPr>
              <w:t>3-</w:t>
            </w:r>
            <w:r>
              <w:fldChar w:fldCharType="begin"/>
            </w:r>
            <w:r>
              <w:instrText xml:space="preserve"> SEQ 图 \* ARABIC \s 1 </w:instrText>
            </w:r>
            <w:r>
              <w:fldChar w:fldCharType="separate"/>
            </w:r>
            <w:r>
              <w:t>3</w:t>
            </w:r>
            <w:r>
              <w:fldChar w:fldCharType="end"/>
            </w:r>
            <w:r>
              <w:t>本项目环境保护目标分布图</w:t>
            </w:r>
            <w:r>
              <w:rPr>
                <w:rFonts w:hint="eastAsia"/>
              </w:rPr>
              <w:t>（详见附图5）</w:t>
            </w:r>
            <w:bookmarkEnd w:id="57"/>
          </w:p>
        </w:tc>
      </w:tr>
      <w:tr w14:paraId="674BFC0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453" w:type="dxa"/>
            <w:tcBorders>
              <w:top w:val="single" w:color="auto" w:sz="4" w:space="0"/>
              <w:left w:val="single" w:color="auto" w:sz="4" w:space="0"/>
              <w:bottom w:val="single" w:color="auto" w:sz="4" w:space="0"/>
              <w:right w:val="single" w:color="auto" w:sz="4" w:space="0"/>
            </w:tcBorders>
            <w:shd w:val="clear" w:color="auto" w:fill="auto"/>
            <w:vAlign w:val="center"/>
          </w:tcPr>
          <w:p w14:paraId="63BE434D">
            <w:pPr>
              <w:jc w:val="center"/>
              <w:outlineLvl w:val="1"/>
              <w:rPr>
                <w:color w:val="0000FF"/>
              </w:rPr>
            </w:pPr>
            <w:r>
              <w:t>污染物排放控制标准</w:t>
            </w:r>
          </w:p>
        </w:tc>
        <w:tc>
          <w:tcPr>
            <w:tcW w:w="8069" w:type="dxa"/>
            <w:tcBorders>
              <w:top w:val="single" w:color="auto" w:sz="4" w:space="0"/>
              <w:left w:val="single" w:color="auto" w:sz="4" w:space="0"/>
              <w:bottom w:val="single" w:color="auto" w:sz="4" w:space="0"/>
              <w:right w:val="single" w:color="auto" w:sz="4" w:space="0"/>
            </w:tcBorders>
            <w:shd w:val="clear" w:color="auto" w:fill="auto"/>
            <w:vAlign w:val="center"/>
          </w:tcPr>
          <w:p w14:paraId="649B357A">
            <w:pPr>
              <w:pStyle w:val="3"/>
            </w:pPr>
            <w:r>
              <w:t>3.3</w:t>
            </w:r>
            <w:r>
              <w:rPr>
                <w:rFonts w:hint="eastAsia"/>
              </w:rPr>
              <w:t xml:space="preserve"> 污染物排放控制标准</w:t>
            </w:r>
          </w:p>
          <w:p w14:paraId="57D12D6B">
            <w:pPr>
              <w:ind w:firstLine="482"/>
              <w:rPr>
                <w:b/>
                <w:bCs/>
              </w:rPr>
            </w:pPr>
            <w:r>
              <w:rPr>
                <w:b/>
                <w:bCs/>
              </w:rPr>
              <w:t>3.3.1</w:t>
            </w:r>
            <w:r>
              <w:rPr>
                <w:rFonts w:hint="eastAsia" w:ascii="宋体" w:hAnsi="宋体" w:cs="宋体"/>
                <w:b/>
                <w:bCs/>
              </w:rPr>
              <w:t>废气排放标准</w:t>
            </w:r>
          </w:p>
          <w:p w14:paraId="7F4102FE">
            <w:pPr>
              <w:ind w:firstLine="480"/>
            </w:pPr>
            <w:r>
              <w:rPr>
                <w:rFonts w:hint="eastAsia"/>
              </w:rPr>
              <w:t>本项目废气排放源为面粉投料产生的投料粉尘，排放污染物为颗粒物，排放标准执行《大气污染物综合排放标准》（GB16297-1996）中无组织排放监控浓度限值。</w:t>
            </w:r>
            <w:r>
              <w:t>污水处理设施恶臭</w:t>
            </w:r>
            <w:r>
              <w:rPr>
                <w:rFonts w:hint="eastAsia"/>
              </w:rPr>
              <w:t>排放污染物主要为NH</w:t>
            </w:r>
            <w:r>
              <w:rPr>
                <w:rFonts w:hint="eastAsia"/>
                <w:vertAlign w:val="subscript"/>
              </w:rPr>
              <w:t>3</w:t>
            </w:r>
            <w:r>
              <w:rPr>
                <w:rFonts w:hint="eastAsia"/>
              </w:rPr>
              <w:t>、H</w:t>
            </w:r>
            <w:r>
              <w:rPr>
                <w:rFonts w:hint="eastAsia"/>
                <w:vertAlign w:val="subscript"/>
              </w:rPr>
              <w:t>2</w:t>
            </w:r>
            <w:r>
              <w:rPr>
                <w:rFonts w:hint="eastAsia"/>
              </w:rPr>
              <w:t>S、臭气浓度，无组织排放执行《恶臭污染物排放标准》（GB14554-93）表1中厂界排放标准限值要求。</w:t>
            </w:r>
          </w:p>
          <w:p w14:paraId="45032144">
            <w:pPr>
              <w:ind w:firstLine="480"/>
            </w:pPr>
            <w:r>
              <w:t>具体标准限值见下表。</w:t>
            </w:r>
          </w:p>
          <w:p w14:paraId="665135D6">
            <w:pPr>
              <w:pStyle w:val="6"/>
              <w:adjustRightInd w:val="0"/>
              <w:snapToGrid w:val="0"/>
            </w:pPr>
            <w:r>
              <w:t xml:space="preserve">表 </w:t>
            </w:r>
            <w:r>
              <w:rPr>
                <w:rFonts w:hint="eastAsia"/>
              </w:rPr>
              <w:t>3-</w:t>
            </w:r>
            <w:r>
              <w:fldChar w:fldCharType="begin"/>
            </w:r>
            <w:r>
              <w:instrText xml:space="preserve"> SEQ 表 \* ARABIC \s 1 </w:instrText>
            </w:r>
            <w:r>
              <w:fldChar w:fldCharType="separate"/>
            </w:r>
            <w:r>
              <w:t>5</w:t>
            </w:r>
            <w:r>
              <w:fldChar w:fldCharType="end"/>
            </w:r>
            <w:r>
              <w:t>《</w:t>
            </w:r>
            <w:r>
              <w:rPr>
                <w:rFonts w:hint="eastAsia"/>
              </w:rPr>
              <w:t>大气污染物综合排放标准</w:t>
            </w:r>
            <w:r>
              <w:t>》（GB</w:t>
            </w:r>
            <w:r>
              <w:rPr>
                <w:rFonts w:hint="eastAsia"/>
              </w:rPr>
              <w:t>16297-1996</w:t>
            </w:r>
            <w:r>
              <w:t>）</w:t>
            </w:r>
            <w:r>
              <w:rPr>
                <w:rFonts w:hint="eastAsia"/>
              </w:rPr>
              <w:t xml:space="preserve">  单位：</w:t>
            </w:r>
            <w:r>
              <w:t>mg/m</w:t>
            </w:r>
            <w:r>
              <w:rPr>
                <w:vertAlign w:val="superscript"/>
              </w:rPr>
              <w:t>3</w:t>
            </w:r>
          </w:p>
          <w:tbl>
            <w:tblPr>
              <w:tblStyle w:val="23"/>
              <w:tblpPr w:leftFromText="180" w:rightFromText="180" w:vertAnchor="text" w:tblpXSpec="center" w:tblpY="1"/>
              <w:tblOverlap w:val="never"/>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503"/>
              <w:gridCol w:w="2198"/>
              <w:gridCol w:w="3140"/>
            </w:tblGrid>
            <w:tr w14:paraId="2AC9E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1596" w:type="pct"/>
                  <w:vMerge w:val="restart"/>
                  <w:vAlign w:val="center"/>
                </w:tcPr>
                <w:p w14:paraId="24E7D1B5">
                  <w:pPr>
                    <w:pStyle w:val="30"/>
                    <w:framePr w:hSpace="0" w:wrap="auto" w:vAnchor="margin" w:hAnchor="text" w:xAlign="left" w:yAlign="inline"/>
                  </w:pPr>
                  <w:r>
                    <w:t>污染物</w:t>
                  </w:r>
                  <w:r>
                    <w:rPr>
                      <w:rFonts w:hint="eastAsia"/>
                    </w:rPr>
                    <w:t>/排气筒</w:t>
                  </w:r>
                </w:p>
              </w:tc>
              <w:tc>
                <w:tcPr>
                  <w:tcW w:w="3403" w:type="pct"/>
                  <w:gridSpan w:val="2"/>
                  <w:vAlign w:val="center"/>
                </w:tcPr>
                <w:p w14:paraId="113F87F6">
                  <w:pPr>
                    <w:pStyle w:val="30"/>
                    <w:framePr w:hSpace="0" w:wrap="auto" w:vAnchor="margin" w:hAnchor="text" w:xAlign="left" w:yAlign="inline"/>
                  </w:pPr>
                  <w:r>
                    <w:t>无组织排放监控浓度值</w:t>
                  </w:r>
                </w:p>
              </w:tc>
            </w:tr>
            <w:tr w14:paraId="5018D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1596" w:type="pct"/>
                  <w:vMerge w:val="continue"/>
                  <w:vAlign w:val="center"/>
                </w:tcPr>
                <w:p w14:paraId="04744F71">
                  <w:pPr>
                    <w:pStyle w:val="30"/>
                    <w:framePr w:hSpace="0" w:wrap="auto" w:vAnchor="margin" w:hAnchor="text" w:xAlign="left" w:yAlign="inline"/>
                  </w:pPr>
                </w:p>
              </w:tc>
              <w:tc>
                <w:tcPr>
                  <w:tcW w:w="1401" w:type="pct"/>
                  <w:vAlign w:val="center"/>
                </w:tcPr>
                <w:p w14:paraId="6C8C8989">
                  <w:pPr>
                    <w:pStyle w:val="30"/>
                    <w:framePr w:hSpace="0" w:wrap="auto" w:vAnchor="margin" w:hAnchor="text" w:xAlign="left" w:yAlign="inline"/>
                  </w:pPr>
                  <w:r>
                    <w:t>监控点</w:t>
                  </w:r>
                </w:p>
              </w:tc>
              <w:tc>
                <w:tcPr>
                  <w:tcW w:w="2002" w:type="pct"/>
                  <w:vAlign w:val="center"/>
                </w:tcPr>
                <w:p w14:paraId="105969B1">
                  <w:pPr>
                    <w:pStyle w:val="30"/>
                    <w:framePr w:hSpace="0" w:wrap="auto" w:vAnchor="margin" w:hAnchor="text" w:xAlign="left" w:yAlign="inline"/>
                  </w:pPr>
                  <w:r>
                    <w:t>浓度</w:t>
                  </w:r>
                </w:p>
              </w:tc>
            </w:tr>
            <w:tr w14:paraId="3A4AF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1596" w:type="pct"/>
                  <w:vAlign w:val="center"/>
                </w:tcPr>
                <w:p w14:paraId="66BCF860">
                  <w:pPr>
                    <w:pStyle w:val="30"/>
                    <w:framePr w:hSpace="0" w:wrap="auto" w:vAnchor="margin" w:hAnchor="text" w:xAlign="left" w:yAlign="inline"/>
                  </w:pPr>
                  <w:r>
                    <w:t>颗粒物</w:t>
                  </w:r>
                </w:p>
              </w:tc>
              <w:tc>
                <w:tcPr>
                  <w:tcW w:w="1401" w:type="pct"/>
                  <w:vAlign w:val="center"/>
                </w:tcPr>
                <w:p w14:paraId="19D083E9">
                  <w:pPr>
                    <w:pStyle w:val="30"/>
                    <w:framePr w:hSpace="0" w:wrap="auto" w:vAnchor="margin" w:hAnchor="text" w:xAlign="left" w:yAlign="inline"/>
                  </w:pPr>
                  <w:r>
                    <w:t>周界外浓度最高点</w:t>
                  </w:r>
                </w:p>
              </w:tc>
              <w:tc>
                <w:tcPr>
                  <w:tcW w:w="2002" w:type="pct"/>
                  <w:vAlign w:val="center"/>
                </w:tcPr>
                <w:p w14:paraId="2FC78A9A">
                  <w:pPr>
                    <w:pStyle w:val="30"/>
                    <w:framePr w:hSpace="0" w:wrap="auto" w:vAnchor="margin" w:hAnchor="text" w:xAlign="left" w:yAlign="inline"/>
                  </w:pPr>
                  <w:r>
                    <w:t>1.0</w:t>
                  </w:r>
                </w:p>
              </w:tc>
            </w:tr>
          </w:tbl>
          <w:p w14:paraId="28066A17">
            <w:pPr>
              <w:pStyle w:val="6"/>
            </w:pPr>
            <w:r>
              <w:t xml:space="preserve">表 </w:t>
            </w:r>
            <w:r>
              <w:rPr>
                <w:rFonts w:hint="eastAsia"/>
              </w:rPr>
              <w:t>3-</w:t>
            </w:r>
            <w:r>
              <w:fldChar w:fldCharType="begin"/>
            </w:r>
            <w:r>
              <w:instrText xml:space="preserve"> SEQ 表 \* ARABIC \s 1 </w:instrText>
            </w:r>
            <w:r>
              <w:fldChar w:fldCharType="separate"/>
            </w:r>
            <w:r>
              <w:t>6</w:t>
            </w:r>
            <w:r>
              <w:fldChar w:fldCharType="end"/>
            </w:r>
            <w:r>
              <w:rPr>
                <w:rFonts w:hint="eastAsia"/>
              </w:rPr>
              <w:t xml:space="preserve"> 《恶臭污染物排放标准》（GB14554-93）  单位：</w:t>
            </w:r>
            <w:r>
              <w:t>mg/m</w:t>
            </w:r>
            <w:r>
              <w:rPr>
                <w:vertAlign w:val="superscript"/>
              </w:rPr>
              <w:t>3</w:t>
            </w: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59"/>
              <w:gridCol w:w="1961"/>
              <w:gridCol w:w="1961"/>
              <w:gridCol w:w="1962"/>
            </w:tblGrid>
            <w:tr w14:paraId="7D282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963" w:type="dxa"/>
                </w:tcPr>
                <w:p w14:paraId="033B41FA">
                  <w:pPr>
                    <w:pStyle w:val="30"/>
                    <w:framePr w:hSpace="0" w:wrap="auto" w:vAnchor="margin" w:hAnchor="text" w:xAlign="left" w:yAlign="inline"/>
                  </w:pPr>
                  <w:r>
                    <w:rPr>
                      <w:rFonts w:hint="eastAsia"/>
                    </w:rPr>
                    <w:t>污染物</w:t>
                  </w:r>
                </w:p>
              </w:tc>
              <w:tc>
                <w:tcPr>
                  <w:tcW w:w="1963" w:type="dxa"/>
                </w:tcPr>
                <w:p w14:paraId="4B3C6667">
                  <w:pPr>
                    <w:pStyle w:val="30"/>
                    <w:framePr w:hSpace="0" w:wrap="auto" w:vAnchor="margin" w:hAnchor="text" w:xAlign="left" w:yAlign="inline"/>
                  </w:pPr>
                  <w:r>
                    <w:rPr>
                      <w:rFonts w:hint="eastAsia"/>
                      <w:lang w:val="en-US"/>
                    </w:rPr>
                    <w:t>NH</w:t>
                  </w:r>
                  <w:r>
                    <w:rPr>
                      <w:rFonts w:hint="eastAsia"/>
                      <w:vertAlign w:val="subscript"/>
                      <w:lang w:val="en-US"/>
                    </w:rPr>
                    <w:t>3</w:t>
                  </w:r>
                </w:p>
              </w:tc>
              <w:tc>
                <w:tcPr>
                  <w:tcW w:w="1963" w:type="dxa"/>
                </w:tcPr>
                <w:p w14:paraId="232846BE">
                  <w:pPr>
                    <w:pStyle w:val="30"/>
                    <w:framePr w:hSpace="0" w:wrap="auto" w:vAnchor="margin" w:hAnchor="text" w:xAlign="left" w:yAlign="inline"/>
                  </w:pPr>
                  <w:r>
                    <w:rPr>
                      <w:rFonts w:hint="eastAsia"/>
                      <w:lang w:val="en-US"/>
                    </w:rPr>
                    <w:t>H</w:t>
                  </w:r>
                  <w:r>
                    <w:rPr>
                      <w:rFonts w:hint="eastAsia"/>
                      <w:vertAlign w:val="subscript"/>
                      <w:lang w:val="en-US"/>
                    </w:rPr>
                    <w:t>2</w:t>
                  </w:r>
                  <w:r>
                    <w:rPr>
                      <w:rFonts w:hint="eastAsia"/>
                      <w:lang w:val="en-US"/>
                    </w:rPr>
                    <w:t>S</w:t>
                  </w:r>
                </w:p>
              </w:tc>
              <w:tc>
                <w:tcPr>
                  <w:tcW w:w="1964" w:type="dxa"/>
                </w:tcPr>
                <w:p w14:paraId="08EC6B7E">
                  <w:pPr>
                    <w:pStyle w:val="30"/>
                    <w:framePr w:hSpace="0" w:wrap="auto" w:vAnchor="margin" w:hAnchor="text" w:xAlign="left" w:yAlign="inline"/>
                  </w:pPr>
                  <w:r>
                    <w:rPr>
                      <w:rFonts w:hint="eastAsia"/>
                      <w:lang w:val="en-US"/>
                    </w:rPr>
                    <w:t>臭气浓度（无量纲）</w:t>
                  </w:r>
                </w:p>
              </w:tc>
            </w:tr>
            <w:tr w14:paraId="6C069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3" w:type="dxa"/>
                </w:tcPr>
                <w:p w14:paraId="018CA787">
                  <w:pPr>
                    <w:pStyle w:val="30"/>
                    <w:framePr w:hSpace="0" w:wrap="auto" w:vAnchor="margin" w:hAnchor="text" w:xAlign="left" w:yAlign="inline"/>
                  </w:pPr>
                  <w:r>
                    <w:rPr>
                      <w:rFonts w:hint="eastAsia"/>
                    </w:rPr>
                    <w:t>标准限值</w:t>
                  </w:r>
                </w:p>
              </w:tc>
              <w:tc>
                <w:tcPr>
                  <w:tcW w:w="1963" w:type="dxa"/>
                </w:tcPr>
                <w:p w14:paraId="0E06478E">
                  <w:pPr>
                    <w:pStyle w:val="30"/>
                    <w:framePr w:hSpace="0" w:wrap="auto" w:vAnchor="margin" w:hAnchor="text" w:xAlign="left" w:yAlign="inline"/>
                    <w:rPr>
                      <w:lang w:val="en-US"/>
                    </w:rPr>
                  </w:pPr>
                  <w:r>
                    <w:rPr>
                      <w:rFonts w:hint="eastAsia"/>
                      <w:lang w:val="en-US"/>
                    </w:rPr>
                    <w:t>1.5</w:t>
                  </w:r>
                </w:p>
              </w:tc>
              <w:tc>
                <w:tcPr>
                  <w:tcW w:w="1963" w:type="dxa"/>
                </w:tcPr>
                <w:p w14:paraId="17651943">
                  <w:pPr>
                    <w:pStyle w:val="30"/>
                    <w:framePr w:hSpace="0" w:wrap="auto" w:vAnchor="margin" w:hAnchor="text" w:xAlign="left" w:yAlign="inline"/>
                    <w:rPr>
                      <w:lang w:val="en-US"/>
                    </w:rPr>
                  </w:pPr>
                  <w:r>
                    <w:rPr>
                      <w:rFonts w:hint="eastAsia"/>
                      <w:lang w:val="en-US"/>
                    </w:rPr>
                    <w:t>0.06</w:t>
                  </w:r>
                </w:p>
              </w:tc>
              <w:tc>
                <w:tcPr>
                  <w:tcW w:w="1964" w:type="dxa"/>
                </w:tcPr>
                <w:p w14:paraId="1E455E17">
                  <w:pPr>
                    <w:pStyle w:val="30"/>
                    <w:framePr w:hSpace="0" w:wrap="auto" w:vAnchor="margin" w:hAnchor="text" w:xAlign="left" w:yAlign="inline"/>
                    <w:rPr>
                      <w:lang w:val="en-US"/>
                    </w:rPr>
                  </w:pPr>
                  <w:r>
                    <w:rPr>
                      <w:rFonts w:hint="eastAsia"/>
                      <w:lang w:val="en-US"/>
                    </w:rPr>
                    <w:t>20</w:t>
                  </w:r>
                </w:p>
              </w:tc>
            </w:tr>
          </w:tbl>
          <w:p w14:paraId="0F18E791">
            <w:pPr>
              <w:pStyle w:val="9"/>
            </w:pPr>
          </w:p>
          <w:p w14:paraId="12C85AB4">
            <w:pPr>
              <w:ind w:firstLine="482"/>
            </w:pPr>
            <w:r>
              <w:rPr>
                <w:b/>
                <w:bCs/>
              </w:rPr>
              <w:t>3.3.2</w:t>
            </w:r>
            <w:r>
              <w:rPr>
                <w:rFonts w:hint="eastAsia"/>
                <w:b/>
                <w:bCs/>
              </w:rPr>
              <w:t>废水排放标准</w:t>
            </w:r>
          </w:p>
          <w:p w14:paraId="50FA71F4">
            <w:pPr>
              <w:ind w:firstLine="480"/>
            </w:pPr>
            <w:r>
              <w:rPr>
                <w:rFonts w:hint="eastAsia"/>
                <w:szCs w:val="21"/>
              </w:rPr>
              <w:t>本项目属于安成经济开发区污水处理厂的纳污范围，运营期生活污水、解冻废水、清洗废水、杀菌废水、设备清洗废水、地面清洁废水等经预处理达到淮南安成经济开发区污水接管标准</w:t>
            </w:r>
            <w:r>
              <w:rPr>
                <w:rFonts w:hint="eastAsia"/>
              </w:rPr>
              <w:t>及</w:t>
            </w:r>
            <w:r>
              <w:rPr>
                <w:rFonts w:hint="eastAsia"/>
                <w:bCs/>
                <w:szCs w:val="21"/>
                <w:lang w:val="zh-CN"/>
              </w:rPr>
              <w:t>《污水综合排放标准》（GB8978-1996）表4中三级标准</w:t>
            </w:r>
            <w:r>
              <w:t>中规定的标准要求后，由区域污水管网</w:t>
            </w:r>
            <w:r>
              <w:rPr>
                <w:rFonts w:hint="eastAsia"/>
                <w:szCs w:val="21"/>
              </w:rPr>
              <w:t>排入淮南安成经济开发区污水处理厂</w:t>
            </w:r>
            <w:r>
              <w:t>，尾水处理</w:t>
            </w:r>
            <w:r>
              <w:rPr>
                <w:rFonts w:hint="eastAsia"/>
              </w:rPr>
              <w:t>达到</w:t>
            </w:r>
            <w:r>
              <w:rPr>
                <w:rFonts w:hint="eastAsia"/>
                <w:szCs w:val="21"/>
              </w:rPr>
              <w:t>《城镇污水处理厂污染物排放标准》GB18918-2001）中一级A类标准</w:t>
            </w:r>
            <w:r>
              <w:t>后排入淮河（淮南段）</w:t>
            </w:r>
            <w:r>
              <w:rPr>
                <w:rFonts w:hint="eastAsia"/>
              </w:rPr>
              <w:t>。其标准值见下表：</w:t>
            </w:r>
          </w:p>
          <w:p w14:paraId="2A812F44">
            <w:pPr>
              <w:pStyle w:val="6"/>
              <w:adjustRightInd w:val="0"/>
              <w:snapToGrid w:val="0"/>
            </w:pPr>
            <w:r>
              <w:t xml:space="preserve">表 </w:t>
            </w:r>
            <w:r>
              <w:rPr>
                <w:rFonts w:hint="eastAsia"/>
              </w:rPr>
              <w:t>3-</w:t>
            </w:r>
            <w:r>
              <w:fldChar w:fldCharType="begin"/>
            </w:r>
            <w:r>
              <w:instrText xml:space="preserve"> SEQ 表 \* ARABIC \s 1 </w:instrText>
            </w:r>
            <w:r>
              <w:fldChar w:fldCharType="separate"/>
            </w:r>
            <w:r>
              <w:t>7</w:t>
            </w:r>
            <w:r>
              <w:fldChar w:fldCharType="end"/>
            </w:r>
            <w:r>
              <w:rPr>
                <w:rFonts w:hint="eastAsia"/>
              </w:rPr>
              <w:t>废水污染物排放标准</w:t>
            </w:r>
            <w:r>
              <w:rPr>
                <w:sz w:val="18"/>
              </w:rPr>
              <w:t>单位：mg/L（pH无量纲）</w:t>
            </w:r>
          </w:p>
          <w:tbl>
            <w:tblPr>
              <w:tblStyle w:val="23"/>
              <w:tblpPr w:leftFromText="180" w:rightFromText="180" w:vertAnchor="text" w:tblpXSpec="center" w:tblpY="1"/>
              <w:tblOverlap w:val="never"/>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168"/>
              <w:gridCol w:w="709"/>
              <w:gridCol w:w="709"/>
              <w:gridCol w:w="709"/>
              <w:gridCol w:w="709"/>
              <w:gridCol w:w="709"/>
              <w:gridCol w:w="709"/>
              <w:gridCol w:w="709"/>
              <w:gridCol w:w="709"/>
            </w:tblGrid>
            <w:tr w14:paraId="0E1F7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1382" w:type="pct"/>
                  <w:vAlign w:val="center"/>
                </w:tcPr>
                <w:p w14:paraId="5FF005D0">
                  <w:pPr>
                    <w:pStyle w:val="30"/>
                    <w:framePr w:hSpace="0" w:wrap="auto" w:vAnchor="margin" w:hAnchor="text" w:xAlign="left" w:yAlign="inline"/>
                  </w:pPr>
                  <w:r>
                    <w:t>水质指标</w:t>
                  </w:r>
                </w:p>
              </w:tc>
              <w:tc>
                <w:tcPr>
                  <w:tcW w:w="452" w:type="pct"/>
                  <w:vAlign w:val="center"/>
                </w:tcPr>
                <w:p w14:paraId="6FBD6B0C">
                  <w:pPr>
                    <w:pStyle w:val="30"/>
                    <w:framePr w:hSpace="0" w:wrap="auto" w:vAnchor="margin" w:hAnchor="text" w:xAlign="left" w:yAlign="inline"/>
                  </w:pPr>
                  <w:r>
                    <w:t>pH</w:t>
                  </w:r>
                </w:p>
              </w:tc>
              <w:tc>
                <w:tcPr>
                  <w:tcW w:w="452" w:type="pct"/>
                  <w:vAlign w:val="center"/>
                </w:tcPr>
                <w:p w14:paraId="2B8FC0EB">
                  <w:pPr>
                    <w:pStyle w:val="30"/>
                    <w:framePr w:hSpace="0" w:wrap="auto" w:vAnchor="margin" w:hAnchor="text" w:xAlign="left" w:yAlign="inline"/>
                  </w:pPr>
                  <w:r>
                    <w:t>COD</w:t>
                  </w:r>
                </w:p>
              </w:tc>
              <w:tc>
                <w:tcPr>
                  <w:tcW w:w="452" w:type="pct"/>
                  <w:vAlign w:val="center"/>
                </w:tcPr>
                <w:p w14:paraId="7E1117F2">
                  <w:pPr>
                    <w:pStyle w:val="30"/>
                    <w:framePr w:hSpace="0" w:wrap="auto" w:vAnchor="margin" w:hAnchor="text" w:xAlign="left" w:yAlign="inline"/>
                  </w:pPr>
                  <w:r>
                    <w:t>BOD</w:t>
                  </w:r>
                  <w:r>
                    <w:rPr>
                      <w:vertAlign w:val="subscript"/>
                    </w:rPr>
                    <w:t>5</w:t>
                  </w:r>
                </w:p>
              </w:tc>
              <w:tc>
                <w:tcPr>
                  <w:tcW w:w="452" w:type="pct"/>
                  <w:vAlign w:val="center"/>
                </w:tcPr>
                <w:p w14:paraId="7E62D6CA">
                  <w:pPr>
                    <w:pStyle w:val="30"/>
                    <w:framePr w:hSpace="0" w:wrap="auto" w:vAnchor="margin" w:hAnchor="text" w:xAlign="left" w:yAlign="inline"/>
                  </w:pPr>
                  <w:r>
                    <w:t>NH</w:t>
                  </w:r>
                  <w:r>
                    <w:rPr>
                      <w:vertAlign w:val="subscript"/>
                    </w:rPr>
                    <w:t>3</w:t>
                  </w:r>
                  <w:r>
                    <w:t>-N</w:t>
                  </w:r>
                </w:p>
              </w:tc>
              <w:tc>
                <w:tcPr>
                  <w:tcW w:w="452" w:type="pct"/>
                  <w:vAlign w:val="center"/>
                </w:tcPr>
                <w:p w14:paraId="391D4C3D">
                  <w:pPr>
                    <w:pStyle w:val="30"/>
                    <w:framePr w:hSpace="0" w:wrap="auto" w:vAnchor="margin" w:hAnchor="text" w:xAlign="left" w:yAlign="inline"/>
                  </w:pPr>
                  <w:r>
                    <w:t>SS</w:t>
                  </w:r>
                </w:p>
              </w:tc>
              <w:tc>
                <w:tcPr>
                  <w:tcW w:w="452" w:type="pct"/>
                  <w:vAlign w:val="center"/>
                </w:tcPr>
                <w:p w14:paraId="33A4C7B5">
                  <w:pPr>
                    <w:pStyle w:val="30"/>
                    <w:framePr w:hSpace="0" w:wrap="auto" w:vAnchor="margin" w:hAnchor="text" w:xAlign="left" w:yAlign="inline"/>
                    <w:rPr>
                      <w:lang w:val="en-US"/>
                    </w:rPr>
                  </w:pPr>
                  <w:r>
                    <w:rPr>
                      <w:rFonts w:hint="eastAsia"/>
                      <w:lang w:val="en-US"/>
                    </w:rPr>
                    <w:t>TN</w:t>
                  </w:r>
                </w:p>
              </w:tc>
              <w:tc>
                <w:tcPr>
                  <w:tcW w:w="452" w:type="pct"/>
                  <w:vAlign w:val="center"/>
                </w:tcPr>
                <w:p w14:paraId="2F159B85">
                  <w:pPr>
                    <w:pStyle w:val="30"/>
                    <w:framePr w:hSpace="0" w:wrap="auto" w:vAnchor="margin" w:hAnchor="text" w:xAlign="left" w:yAlign="inline"/>
                  </w:pPr>
                  <w:r>
                    <w:t>TP</w:t>
                  </w:r>
                </w:p>
              </w:tc>
              <w:tc>
                <w:tcPr>
                  <w:tcW w:w="452" w:type="pct"/>
                  <w:vAlign w:val="center"/>
                </w:tcPr>
                <w:p w14:paraId="4C4AD057">
                  <w:pPr>
                    <w:pStyle w:val="30"/>
                    <w:framePr w:hSpace="0" w:wrap="auto" w:vAnchor="margin" w:hAnchor="text" w:xAlign="left" w:yAlign="inline"/>
                  </w:pPr>
                  <w:r>
                    <w:rPr>
                      <w:rFonts w:hint="eastAsia"/>
                    </w:rPr>
                    <w:t>动植物油</w:t>
                  </w:r>
                </w:p>
              </w:tc>
            </w:tr>
            <w:tr w14:paraId="633BF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1382" w:type="pct"/>
                  <w:vAlign w:val="center"/>
                </w:tcPr>
                <w:p w14:paraId="697AEB85">
                  <w:pPr>
                    <w:pStyle w:val="30"/>
                    <w:framePr w:hSpace="0" w:wrap="auto" w:vAnchor="margin" w:hAnchor="text" w:xAlign="left" w:yAlign="inline"/>
                  </w:pPr>
                  <w:r>
                    <w:rPr>
                      <w:rFonts w:hint="eastAsia"/>
                      <w:kern w:val="0"/>
                      <w:szCs w:val="21"/>
                      <w:lang w:val="en-US"/>
                    </w:rPr>
                    <w:t>淮南安成经济开发区污水接管标准</w:t>
                  </w:r>
                </w:p>
              </w:tc>
              <w:tc>
                <w:tcPr>
                  <w:tcW w:w="452" w:type="pct"/>
                  <w:vAlign w:val="center"/>
                </w:tcPr>
                <w:p w14:paraId="42AE3596">
                  <w:pPr>
                    <w:pStyle w:val="30"/>
                    <w:framePr w:hSpace="0" w:wrap="auto" w:vAnchor="margin" w:hAnchor="text" w:xAlign="left" w:yAlign="inline"/>
                  </w:pPr>
                  <w:r>
                    <w:t>6~9</w:t>
                  </w:r>
                </w:p>
              </w:tc>
              <w:tc>
                <w:tcPr>
                  <w:tcW w:w="452" w:type="pct"/>
                  <w:vAlign w:val="center"/>
                </w:tcPr>
                <w:p w14:paraId="413B29E0">
                  <w:pPr>
                    <w:pStyle w:val="30"/>
                    <w:framePr w:hSpace="0" w:wrap="auto" w:vAnchor="margin" w:hAnchor="text" w:xAlign="left" w:yAlign="inline"/>
                    <w:rPr>
                      <w:lang w:val="en-US"/>
                    </w:rPr>
                  </w:pPr>
                  <w:r>
                    <w:rPr>
                      <w:rFonts w:hint="eastAsia"/>
                      <w:lang w:val="en-US"/>
                    </w:rPr>
                    <w:t>400</w:t>
                  </w:r>
                </w:p>
              </w:tc>
              <w:tc>
                <w:tcPr>
                  <w:tcW w:w="452" w:type="pct"/>
                  <w:vAlign w:val="center"/>
                </w:tcPr>
                <w:p w14:paraId="07874D18">
                  <w:pPr>
                    <w:pStyle w:val="30"/>
                    <w:framePr w:hSpace="0" w:wrap="auto" w:vAnchor="margin" w:hAnchor="text" w:xAlign="left" w:yAlign="inline"/>
                    <w:rPr>
                      <w:lang w:val="en-US"/>
                    </w:rPr>
                  </w:pPr>
                  <w:r>
                    <w:rPr>
                      <w:rFonts w:hint="eastAsia"/>
                      <w:lang w:val="en-US"/>
                    </w:rPr>
                    <w:t>150</w:t>
                  </w:r>
                </w:p>
              </w:tc>
              <w:tc>
                <w:tcPr>
                  <w:tcW w:w="452" w:type="pct"/>
                  <w:vAlign w:val="center"/>
                </w:tcPr>
                <w:p w14:paraId="136C7803">
                  <w:pPr>
                    <w:pStyle w:val="30"/>
                    <w:framePr w:hSpace="0" w:wrap="auto" w:vAnchor="margin" w:hAnchor="text" w:xAlign="left" w:yAlign="inline"/>
                    <w:rPr>
                      <w:lang w:val="en-US"/>
                    </w:rPr>
                  </w:pPr>
                  <w:r>
                    <w:rPr>
                      <w:rFonts w:hint="eastAsia"/>
                      <w:lang w:val="en-US"/>
                    </w:rPr>
                    <w:t>55</w:t>
                  </w:r>
                </w:p>
              </w:tc>
              <w:tc>
                <w:tcPr>
                  <w:tcW w:w="452" w:type="pct"/>
                  <w:vAlign w:val="center"/>
                </w:tcPr>
                <w:p w14:paraId="32582024">
                  <w:pPr>
                    <w:pStyle w:val="30"/>
                    <w:framePr w:hSpace="0" w:wrap="auto" w:vAnchor="margin" w:hAnchor="text" w:xAlign="left" w:yAlign="inline"/>
                  </w:pPr>
                  <w:r>
                    <w:t>200</w:t>
                  </w:r>
                </w:p>
              </w:tc>
              <w:tc>
                <w:tcPr>
                  <w:tcW w:w="452" w:type="pct"/>
                  <w:vAlign w:val="center"/>
                </w:tcPr>
                <w:p w14:paraId="0108445A">
                  <w:pPr>
                    <w:pStyle w:val="30"/>
                    <w:framePr w:hSpace="0" w:wrap="auto" w:vAnchor="margin" w:hAnchor="text" w:xAlign="left" w:yAlign="inline"/>
                    <w:rPr>
                      <w:lang w:val="en-US"/>
                    </w:rPr>
                  </w:pPr>
                  <w:r>
                    <w:rPr>
                      <w:rFonts w:hint="eastAsia"/>
                      <w:lang w:val="en-US"/>
                    </w:rPr>
                    <w:t>60</w:t>
                  </w:r>
                </w:p>
              </w:tc>
              <w:tc>
                <w:tcPr>
                  <w:tcW w:w="452" w:type="pct"/>
                  <w:vAlign w:val="center"/>
                </w:tcPr>
                <w:p w14:paraId="2A131BCE">
                  <w:pPr>
                    <w:pStyle w:val="30"/>
                    <w:framePr w:hSpace="0" w:wrap="auto" w:vAnchor="margin" w:hAnchor="text" w:xAlign="left" w:yAlign="inline"/>
                  </w:pPr>
                  <w:r>
                    <w:rPr>
                      <w:rFonts w:hint="eastAsia"/>
                      <w:lang w:val="en-US"/>
                    </w:rPr>
                    <w:t>4</w:t>
                  </w:r>
                </w:p>
              </w:tc>
              <w:tc>
                <w:tcPr>
                  <w:tcW w:w="452" w:type="pct"/>
                  <w:vAlign w:val="center"/>
                </w:tcPr>
                <w:p w14:paraId="6506B8B9">
                  <w:pPr>
                    <w:pStyle w:val="30"/>
                    <w:framePr w:hSpace="0" w:wrap="auto" w:vAnchor="margin" w:hAnchor="text" w:xAlign="left" w:yAlign="inline"/>
                    <w:rPr>
                      <w:lang w:val="en-US"/>
                    </w:rPr>
                  </w:pPr>
                  <w:r>
                    <w:rPr>
                      <w:rFonts w:hint="eastAsia"/>
                      <w:lang w:val="en-US"/>
                    </w:rPr>
                    <w:t>/</w:t>
                  </w:r>
                </w:p>
              </w:tc>
            </w:tr>
            <w:tr w14:paraId="11ECC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1382" w:type="pct"/>
                  <w:vAlign w:val="center"/>
                </w:tcPr>
                <w:p w14:paraId="259B658A">
                  <w:pPr>
                    <w:pStyle w:val="30"/>
                    <w:framePr w:hSpace="0" w:wrap="auto" w:vAnchor="margin" w:hAnchor="text" w:xAlign="left" w:yAlign="inline"/>
                    <w:rPr>
                      <w:kern w:val="0"/>
                      <w:szCs w:val="20"/>
                    </w:rPr>
                  </w:pPr>
                  <w:r>
                    <w:rPr>
                      <w:rFonts w:hint="eastAsia"/>
                      <w:bCs/>
                      <w:szCs w:val="21"/>
                    </w:rPr>
                    <w:t>GB8978-1996表4中三级标准</w:t>
                  </w:r>
                </w:p>
              </w:tc>
              <w:tc>
                <w:tcPr>
                  <w:tcW w:w="452" w:type="pct"/>
                  <w:vAlign w:val="center"/>
                </w:tcPr>
                <w:p w14:paraId="7B73450E">
                  <w:pPr>
                    <w:pStyle w:val="30"/>
                    <w:framePr w:hSpace="0" w:wrap="auto" w:vAnchor="margin" w:hAnchor="text" w:xAlign="left" w:yAlign="inline"/>
                  </w:pPr>
                  <w:r>
                    <w:t>6~9</w:t>
                  </w:r>
                </w:p>
              </w:tc>
              <w:tc>
                <w:tcPr>
                  <w:tcW w:w="452" w:type="pct"/>
                  <w:vAlign w:val="center"/>
                </w:tcPr>
                <w:p w14:paraId="34D833CD">
                  <w:pPr>
                    <w:pStyle w:val="30"/>
                    <w:framePr w:hSpace="0" w:wrap="auto" w:vAnchor="margin" w:hAnchor="text" w:xAlign="left" w:yAlign="inline"/>
                    <w:rPr>
                      <w:lang w:val="en-US"/>
                    </w:rPr>
                  </w:pPr>
                  <w:r>
                    <w:rPr>
                      <w:rFonts w:hint="eastAsia"/>
                      <w:lang w:val="en-US"/>
                    </w:rPr>
                    <w:t>500</w:t>
                  </w:r>
                </w:p>
              </w:tc>
              <w:tc>
                <w:tcPr>
                  <w:tcW w:w="452" w:type="pct"/>
                  <w:vAlign w:val="center"/>
                </w:tcPr>
                <w:p w14:paraId="7CA9BCEC">
                  <w:pPr>
                    <w:pStyle w:val="30"/>
                    <w:framePr w:hSpace="0" w:wrap="auto" w:vAnchor="margin" w:hAnchor="text" w:xAlign="left" w:yAlign="inline"/>
                    <w:rPr>
                      <w:lang w:val="en-US"/>
                    </w:rPr>
                  </w:pPr>
                  <w:r>
                    <w:rPr>
                      <w:rFonts w:hint="eastAsia"/>
                      <w:lang w:val="en-US"/>
                    </w:rPr>
                    <w:t>300</w:t>
                  </w:r>
                </w:p>
              </w:tc>
              <w:tc>
                <w:tcPr>
                  <w:tcW w:w="452" w:type="pct"/>
                  <w:vAlign w:val="center"/>
                </w:tcPr>
                <w:p w14:paraId="68A3935F">
                  <w:pPr>
                    <w:pStyle w:val="30"/>
                    <w:framePr w:hSpace="0" w:wrap="auto" w:vAnchor="margin" w:hAnchor="text" w:xAlign="left" w:yAlign="inline"/>
                    <w:rPr>
                      <w:lang w:val="en-US"/>
                    </w:rPr>
                  </w:pPr>
                  <w:r>
                    <w:rPr>
                      <w:rFonts w:hint="eastAsia"/>
                      <w:lang w:val="en-US"/>
                    </w:rPr>
                    <w:t>/</w:t>
                  </w:r>
                </w:p>
              </w:tc>
              <w:tc>
                <w:tcPr>
                  <w:tcW w:w="452" w:type="pct"/>
                  <w:vAlign w:val="center"/>
                </w:tcPr>
                <w:p w14:paraId="22B11189">
                  <w:pPr>
                    <w:pStyle w:val="30"/>
                    <w:framePr w:hSpace="0" w:wrap="auto" w:vAnchor="margin" w:hAnchor="text" w:xAlign="left" w:yAlign="inline"/>
                    <w:rPr>
                      <w:lang w:val="en-US"/>
                    </w:rPr>
                  </w:pPr>
                  <w:r>
                    <w:rPr>
                      <w:rFonts w:hint="eastAsia"/>
                      <w:lang w:val="en-US"/>
                    </w:rPr>
                    <w:t>400</w:t>
                  </w:r>
                </w:p>
              </w:tc>
              <w:tc>
                <w:tcPr>
                  <w:tcW w:w="452" w:type="pct"/>
                  <w:vAlign w:val="center"/>
                </w:tcPr>
                <w:p w14:paraId="50F408E5">
                  <w:pPr>
                    <w:pStyle w:val="30"/>
                    <w:framePr w:hSpace="0" w:wrap="auto" w:vAnchor="margin" w:hAnchor="text" w:xAlign="left" w:yAlign="inline"/>
                    <w:rPr>
                      <w:lang w:val="en-US"/>
                    </w:rPr>
                  </w:pPr>
                  <w:r>
                    <w:rPr>
                      <w:rFonts w:hint="eastAsia"/>
                      <w:lang w:val="en-US"/>
                    </w:rPr>
                    <w:t>/</w:t>
                  </w:r>
                </w:p>
              </w:tc>
              <w:tc>
                <w:tcPr>
                  <w:tcW w:w="452" w:type="pct"/>
                  <w:vAlign w:val="center"/>
                </w:tcPr>
                <w:p w14:paraId="31961B0C">
                  <w:pPr>
                    <w:pStyle w:val="30"/>
                    <w:framePr w:hSpace="0" w:wrap="auto" w:vAnchor="margin" w:hAnchor="text" w:xAlign="left" w:yAlign="inline"/>
                    <w:rPr>
                      <w:lang w:val="en-US"/>
                    </w:rPr>
                  </w:pPr>
                  <w:r>
                    <w:rPr>
                      <w:rFonts w:hint="eastAsia"/>
                      <w:lang w:val="en-US"/>
                    </w:rPr>
                    <w:t>/</w:t>
                  </w:r>
                </w:p>
              </w:tc>
              <w:tc>
                <w:tcPr>
                  <w:tcW w:w="452" w:type="pct"/>
                  <w:vAlign w:val="center"/>
                </w:tcPr>
                <w:p w14:paraId="3E3E6B47">
                  <w:pPr>
                    <w:pStyle w:val="30"/>
                    <w:framePr w:hSpace="0" w:wrap="auto" w:vAnchor="margin" w:hAnchor="text" w:xAlign="left" w:yAlign="inline"/>
                    <w:rPr>
                      <w:lang w:val="en-US"/>
                    </w:rPr>
                  </w:pPr>
                  <w:r>
                    <w:rPr>
                      <w:rFonts w:hint="eastAsia"/>
                      <w:lang w:val="en-US"/>
                    </w:rPr>
                    <w:t>20</w:t>
                  </w:r>
                </w:p>
              </w:tc>
            </w:tr>
            <w:tr w14:paraId="102BF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1382" w:type="pct"/>
                  <w:vAlign w:val="center"/>
                </w:tcPr>
                <w:p w14:paraId="04B26393">
                  <w:pPr>
                    <w:pStyle w:val="30"/>
                    <w:framePr w:hSpace="0" w:wrap="auto" w:vAnchor="margin" w:hAnchor="text" w:xAlign="left" w:yAlign="inline"/>
                    <w:rPr>
                      <w:bCs/>
                      <w:szCs w:val="21"/>
                    </w:rPr>
                  </w:pPr>
                  <w:r>
                    <w:rPr>
                      <w:rFonts w:hint="eastAsia"/>
                      <w:bCs/>
                      <w:szCs w:val="21"/>
                    </w:rPr>
                    <w:t>本项目执行标准</w:t>
                  </w:r>
                </w:p>
              </w:tc>
              <w:tc>
                <w:tcPr>
                  <w:tcW w:w="452" w:type="pct"/>
                  <w:vAlign w:val="center"/>
                </w:tcPr>
                <w:p w14:paraId="70A8C8B6">
                  <w:pPr>
                    <w:pStyle w:val="30"/>
                    <w:framePr w:hSpace="0" w:wrap="auto" w:vAnchor="margin" w:hAnchor="text" w:xAlign="left" w:yAlign="inline"/>
                  </w:pPr>
                  <w:r>
                    <w:t>6~9</w:t>
                  </w:r>
                </w:p>
              </w:tc>
              <w:tc>
                <w:tcPr>
                  <w:tcW w:w="452" w:type="pct"/>
                  <w:vAlign w:val="center"/>
                </w:tcPr>
                <w:p w14:paraId="6A19938F">
                  <w:pPr>
                    <w:pStyle w:val="30"/>
                    <w:framePr w:hSpace="0" w:wrap="auto" w:vAnchor="margin" w:hAnchor="text" w:xAlign="left" w:yAlign="inline"/>
                    <w:rPr>
                      <w:lang w:val="en-US"/>
                    </w:rPr>
                  </w:pPr>
                  <w:r>
                    <w:rPr>
                      <w:rFonts w:hint="eastAsia"/>
                      <w:lang w:val="en-US"/>
                    </w:rPr>
                    <w:t>400</w:t>
                  </w:r>
                </w:p>
              </w:tc>
              <w:tc>
                <w:tcPr>
                  <w:tcW w:w="452" w:type="pct"/>
                  <w:vAlign w:val="center"/>
                </w:tcPr>
                <w:p w14:paraId="059AED91">
                  <w:pPr>
                    <w:pStyle w:val="30"/>
                    <w:framePr w:hSpace="0" w:wrap="auto" w:vAnchor="margin" w:hAnchor="text" w:xAlign="left" w:yAlign="inline"/>
                    <w:rPr>
                      <w:lang w:val="en-US"/>
                    </w:rPr>
                  </w:pPr>
                  <w:r>
                    <w:rPr>
                      <w:rFonts w:hint="eastAsia"/>
                      <w:lang w:val="en-US"/>
                    </w:rPr>
                    <w:t>150</w:t>
                  </w:r>
                </w:p>
              </w:tc>
              <w:tc>
                <w:tcPr>
                  <w:tcW w:w="452" w:type="pct"/>
                  <w:vAlign w:val="center"/>
                </w:tcPr>
                <w:p w14:paraId="4F22BE97">
                  <w:pPr>
                    <w:pStyle w:val="30"/>
                    <w:framePr w:hSpace="0" w:wrap="auto" w:vAnchor="margin" w:hAnchor="text" w:xAlign="left" w:yAlign="inline"/>
                    <w:rPr>
                      <w:lang w:val="en-US"/>
                    </w:rPr>
                  </w:pPr>
                  <w:r>
                    <w:rPr>
                      <w:rFonts w:hint="eastAsia"/>
                      <w:lang w:val="en-US"/>
                    </w:rPr>
                    <w:t>55</w:t>
                  </w:r>
                </w:p>
              </w:tc>
              <w:tc>
                <w:tcPr>
                  <w:tcW w:w="452" w:type="pct"/>
                  <w:vAlign w:val="center"/>
                </w:tcPr>
                <w:p w14:paraId="52FD106F">
                  <w:pPr>
                    <w:pStyle w:val="30"/>
                    <w:framePr w:hSpace="0" w:wrap="auto" w:vAnchor="margin" w:hAnchor="text" w:xAlign="left" w:yAlign="inline"/>
                    <w:rPr>
                      <w:lang w:val="en-US"/>
                    </w:rPr>
                  </w:pPr>
                  <w:r>
                    <w:rPr>
                      <w:rFonts w:hint="eastAsia"/>
                      <w:lang w:val="en-US"/>
                    </w:rPr>
                    <w:t>200</w:t>
                  </w:r>
                </w:p>
              </w:tc>
              <w:tc>
                <w:tcPr>
                  <w:tcW w:w="452" w:type="pct"/>
                  <w:vAlign w:val="center"/>
                </w:tcPr>
                <w:p w14:paraId="07708523">
                  <w:pPr>
                    <w:pStyle w:val="30"/>
                    <w:framePr w:hSpace="0" w:wrap="auto" w:vAnchor="margin" w:hAnchor="text" w:xAlign="left" w:yAlign="inline"/>
                    <w:rPr>
                      <w:lang w:val="en-US"/>
                    </w:rPr>
                  </w:pPr>
                  <w:r>
                    <w:rPr>
                      <w:rFonts w:hint="eastAsia"/>
                      <w:lang w:val="en-US"/>
                    </w:rPr>
                    <w:t>60</w:t>
                  </w:r>
                </w:p>
              </w:tc>
              <w:tc>
                <w:tcPr>
                  <w:tcW w:w="452" w:type="pct"/>
                  <w:vAlign w:val="center"/>
                </w:tcPr>
                <w:p w14:paraId="34285637">
                  <w:pPr>
                    <w:pStyle w:val="30"/>
                    <w:framePr w:hSpace="0" w:wrap="auto" w:vAnchor="margin" w:hAnchor="text" w:xAlign="left" w:yAlign="inline"/>
                    <w:rPr>
                      <w:lang w:val="en-US"/>
                    </w:rPr>
                  </w:pPr>
                  <w:r>
                    <w:rPr>
                      <w:rFonts w:hint="eastAsia"/>
                      <w:lang w:val="en-US"/>
                    </w:rPr>
                    <w:t>4</w:t>
                  </w:r>
                </w:p>
              </w:tc>
              <w:tc>
                <w:tcPr>
                  <w:tcW w:w="452" w:type="pct"/>
                  <w:vAlign w:val="center"/>
                </w:tcPr>
                <w:p w14:paraId="3C70F056">
                  <w:pPr>
                    <w:pStyle w:val="30"/>
                    <w:framePr w:hSpace="0" w:wrap="auto" w:vAnchor="margin" w:hAnchor="text" w:xAlign="left" w:yAlign="inline"/>
                    <w:rPr>
                      <w:lang w:val="en-US"/>
                    </w:rPr>
                  </w:pPr>
                  <w:r>
                    <w:rPr>
                      <w:rFonts w:hint="eastAsia"/>
                      <w:lang w:val="en-US"/>
                    </w:rPr>
                    <w:t>20</w:t>
                  </w:r>
                </w:p>
              </w:tc>
            </w:tr>
            <w:tr w14:paraId="17412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1382" w:type="pct"/>
                  <w:vAlign w:val="center"/>
                </w:tcPr>
                <w:p w14:paraId="19EC5EA3">
                  <w:pPr>
                    <w:pStyle w:val="30"/>
                    <w:framePr w:hSpace="0" w:wrap="auto" w:vAnchor="margin" w:hAnchor="text" w:xAlign="left" w:yAlign="inline"/>
                  </w:pPr>
                  <w:r>
                    <w:rPr>
                      <w:kern w:val="0"/>
                      <w:szCs w:val="20"/>
                    </w:rPr>
                    <w:t>GB18918-2002中一级A标准</w:t>
                  </w:r>
                </w:p>
              </w:tc>
              <w:tc>
                <w:tcPr>
                  <w:tcW w:w="452" w:type="pct"/>
                  <w:vAlign w:val="center"/>
                </w:tcPr>
                <w:p w14:paraId="53AA0B5B">
                  <w:pPr>
                    <w:pStyle w:val="30"/>
                    <w:framePr w:hSpace="0" w:wrap="auto" w:vAnchor="margin" w:hAnchor="text" w:xAlign="left" w:yAlign="inline"/>
                  </w:pPr>
                  <w:r>
                    <w:t>6~9</w:t>
                  </w:r>
                </w:p>
              </w:tc>
              <w:tc>
                <w:tcPr>
                  <w:tcW w:w="452" w:type="pct"/>
                  <w:vAlign w:val="center"/>
                </w:tcPr>
                <w:p w14:paraId="4C4FE9CF">
                  <w:pPr>
                    <w:pStyle w:val="30"/>
                    <w:framePr w:hSpace="0" w:wrap="auto" w:vAnchor="margin" w:hAnchor="text" w:xAlign="left" w:yAlign="inline"/>
                    <w:rPr>
                      <w:lang w:val="en-US"/>
                    </w:rPr>
                  </w:pPr>
                  <w:r>
                    <w:rPr>
                      <w:rFonts w:hint="eastAsia"/>
                      <w:lang w:val="en-US"/>
                    </w:rPr>
                    <w:t>50</w:t>
                  </w:r>
                </w:p>
              </w:tc>
              <w:tc>
                <w:tcPr>
                  <w:tcW w:w="452" w:type="pct"/>
                  <w:vAlign w:val="center"/>
                </w:tcPr>
                <w:p w14:paraId="68D18D77">
                  <w:pPr>
                    <w:pStyle w:val="30"/>
                    <w:framePr w:hSpace="0" w:wrap="auto" w:vAnchor="margin" w:hAnchor="text" w:xAlign="left" w:yAlign="inline"/>
                    <w:rPr>
                      <w:lang w:val="en-US"/>
                    </w:rPr>
                  </w:pPr>
                  <w:r>
                    <w:rPr>
                      <w:rFonts w:hint="eastAsia"/>
                      <w:lang w:val="en-US"/>
                    </w:rPr>
                    <w:t>10</w:t>
                  </w:r>
                </w:p>
              </w:tc>
              <w:tc>
                <w:tcPr>
                  <w:tcW w:w="452" w:type="pct"/>
                  <w:vAlign w:val="center"/>
                </w:tcPr>
                <w:p w14:paraId="2FB368E3">
                  <w:pPr>
                    <w:pStyle w:val="30"/>
                    <w:framePr w:hSpace="0" w:wrap="auto" w:vAnchor="margin" w:hAnchor="text" w:xAlign="left" w:yAlign="inline"/>
                    <w:rPr>
                      <w:lang w:val="en-US"/>
                    </w:rPr>
                  </w:pPr>
                  <w:r>
                    <w:rPr>
                      <w:rFonts w:hint="eastAsia"/>
                      <w:lang w:val="en-US"/>
                    </w:rPr>
                    <w:t>5</w:t>
                  </w:r>
                </w:p>
              </w:tc>
              <w:tc>
                <w:tcPr>
                  <w:tcW w:w="452" w:type="pct"/>
                  <w:vAlign w:val="center"/>
                </w:tcPr>
                <w:p w14:paraId="3F73115D">
                  <w:pPr>
                    <w:pStyle w:val="30"/>
                    <w:framePr w:hSpace="0" w:wrap="auto" w:vAnchor="margin" w:hAnchor="text" w:xAlign="left" w:yAlign="inline"/>
                    <w:rPr>
                      <w:lang w:val="en-US"/>
                    </w:rPr>
                  </w:pPr>
                  <w:r>
                    <w:rPr>
                      <w:rFonts w:hint="eastAsia"/>
                      <w:lang w:val="en-US"/>
                    </w:rPr>
                    <w:t>10</w:t>
                  </w:r>
                </w:p>
              </w:tc>
              <w:tc>
                <w:tcPr>
                  <w:tcW w:w="452" w:type="pct"/>
                  <w:vAlign w:val="center"/>
                </w:tcPr>
                <w:p w14:paraId="41A6A18A">
                  <w:pPr>
                    <w:pStyle w:val="30"/>
                    <w:framePr w:hSpace="0" w:wrap="auto" w:vAnchor="margin" w:hAnchor="text" w:xAlign="left" w:yAlign="inline"/>
                    <w:rPr>
                      <w:lang w:val="en-US"/>
                    </w:rPr>
                  </w:pPr>
                  <w:r>
                    <w:rPr>
                      <w:rFonts w:hint="eastAsia"/>
                      <w:lang w:val="en-US"/>
                    </w:rPr>
                    <w:t>15</w:t>
                  </w:r>
                </w:p>
              </w:tc>
              <w:tc>
                <w:tcPr>
                  <w:tcW w:w="452" w:type="pct"/>
                  <w:vAlign w:val="center"/>
                </w:tcPr>
                <w:p w14:paraId="1EFFCE91">
                  <w:pPr>
                    <w:pStyle w:val="30"/>
                    <w:framePr w:hSpace="0" w:wrap="auto" w:vAnchor="margin" w:hAnchor="text" w:xAlign="left" w:yAlign="inline"/>
                    <w:rPr>
                      <w:lang w:val="en-US"/>
                    </w:rPr>
                  </w:pPr>
                  <w:r>
                    <w:rPr>
                      <w:rFonts w:hint="eastAsia"/>
                      <w:lang w:val="en-US"/>
                    </w:rPr>
                    <w:t>0.5</w:t>
                  </w:r>
                </w:p>
              </w:tc>
              <w:tc>
                <w:tcPr>
                  <w:tcW w:w="452" w:type="pct"/>
                  <w:vAlign w:val="center"/>
                </w:tcPr>
                <w:p w14:paraId="53BE7801">
                  <w:pPr>
                    <w:pStyle w:val="30"/>
                    <w:framePr w:hSpace="0" w:wrap="auto" w:vAnchor="margin" w:hAnchor="text" w:xAlign="left" w:yAlign="inline"/>
                    <w:rPr>
                      <w:lang w:val="en-US"/>
                    </w:rPr>
                  </w:pPr>
                  <w:r>
                    <w:rPr>
                      <w:rFonts w:hint="eastAsia"/>
                      <w:lang w:val="en-US"/>
                    </w:rPr>
                    <w:t>1</w:t>
                  </w:r>
                </w:p>
              </w:tc>
            </w:tr>
          </w:tbl>
          <w:p w14:paraId="12690FAE">
            <w:pPr>
              <w:ind w:firstLine="482"/>
            </w:pPr>
            <w:r>
              <w:t>3.3.3</w:t>
            </w:r>
            <w:r>
              <w:rPr>
                <w:rFonts w:hint="eastAsia" w:ascii="宋体" w:hAnsi="宋体" w:cs="宋体"/>
              </w:rPr>
              <w:t>噪声排放标准</w:t>
            </w:r>
          </w:p>
          <w:p w14:paraId="35297EE1">
            <w:pPr>
              <w:ind w:firstLine="480" w:firstLineChars="200"/>
              <w:outlineLvl w:val="1"/>
              <w:rPr>
                <w:color w:val="0000FF"/>
              </w:rPr>
            </w:pPr>
            <w:r>
              <w:rPr>
                <w:rFonts w:hint="eastAsia"/>
              </w:rPr>
              <w:t>根据现场调查，本项目位于淮南市田家庵安成经济开发区（北区）6号楼标准化厂房内，</w:t>
            </w:r>
            <w:r>
              <w:t>根据</w:t>
            </w:r>
            <w:r>
              <w:rPr>
                <w:rFonts w:hint="eastAsia"/>
              </w:rPr>
              <w:t>《淮南市中心城区声环境功能区划分方案》（2021年），</w:t>
            </w:r>
            <w:r>
              <w:t>本项目</w:t>
            </w:r>
            <w:r>
              <w:rPr>
                <w:rFonts w:hint="eastAsia"/>
              </w:rPr>
              <w:t>位于</w:t>
            </w:r>
            <w:r>
              <w:t>声环境功能区3类区，厂界</w:t>
            </w:r>
            <w:r>
              <w:rPr>
                <w:rFonts w:hint="eastAsia"/>
              </w:rPr>
              <w:t>噪声</w:t>
            </w:r>
            <w:r>
              <w:t>排放执行《工业企业厂界环境噪声排放标准》（GB12348-2008）3类标准</w:t>
            </w:r>
            <w:r>
              <w:rPr>
                <w:rFonts w:hint="eastAsia"/>
              </w:rPr>
              <w:t>，</w:t>
            </w:r>
            <w:r>
              <w:t>具体见下表。</w:t>
            </w:r>
          </w:p>
          <w:p w14:paraId="0470EFF6">
            <w:pPr>
              <w:pStyle w:val="6"/>
              <w:adjustRightInd w:val="0"/>
              <w:snapToGrid w:val="0"/>
            </w:pPr>
            <w:r>
              <w:t xml:space="preserve">表 </w:t>
            </w:r>
            <w:r>
              <w:rPr>
                <w:rFonts w:hint="eastAsia"/>
              </w:rPr>
              <w:t>3-</w:t>
            </w:r>
            <w:r>
              <w:fldChar w:fldCharType="begin"/>
            </w:r>
            <w:r>
              <w:instrText xml:space="preserve"> SEQ 表 \* ARABIC \s 1 </w:instrText>
            </w:r>
            <w:r>
              <w:fldChar w:fldCharType="separate"/>
            </w:r>
            <w:r>
              <w:t>8</w:t>
            </w:r>
            <w:r>
              <w:fldChar w:fldCharType="end"/>
            </w:r>
            <w:r>
              <w:t>《工业企业厂界环境噪声排放标准》（GB12348-2008）</w:t>
            </w:r>
          </w:p>
          <w:tbl>
            <w:tblPr>
              <w:tblStyle w:val="23"/>
              <w:tblpPr w:leftFromText="180" w:rightFromText="180" w:vertAnchor="text" w:tblpXSpec="center" w:tblpY="1"/>
              <w:tblOverlap w:val="never"/>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145"/>
              <w:gridCol w:w="1644"/>
              <w:gridCol w:w="2028"/>
              <w:gridCol w:w="2026"/>
            </w:tblGrid>
            <w:tr w14:paraId="5C7D1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blHeader/>
              </w:trPr>
              <w:tc>
                <w:tcPr>
                  <w:tcW w:w="3904" w:type="dxa"/>
                  <w:gridSpan w:val="2"/>
                  <w:vAlign w:val="center"/>
                </w:tcPr>
                <w:p w14:paraId="68C53EBE">
                  <w:pPr>
                    <w:jc w:val="center"/>
                    <w:outlineLvl w:val="1"/>
                    <w:rPr>
                      <w:bCs/>
                      <w:sz w:val="18"/>
                    </w:rPr>
                  </w:pPr>
                  <w:r>
                    <w:rPr>
                      <w:bCs/>
                      <w:sz w:val="18"/>
                    </w:rPr>
                    <w:t>标准类别</w:t>
                  </w:r>
                </w:p>
              </w:tc>
              <w:tc>
                <w:tcPr>
                  <w:tcW w:w="2079" w:type="dxa"/>
                  <w:vAlign w:val="center"/>
                </w:tcPr>
                <w:p w14:paraId="45B2A8AB">
                  <w:pPr>
                    <w:jc w:val="center"/>
                    <w:outlineLvl w:val="1"/>
                    <w:rPr>
                      <w:bCs/>
                      <w:sz w:val="18"/>
                    </w:rPr>
                  </w:pPr>
                  <w:r>
                    <w:rPr>
                      <w:bCs/>
                      <w:sz w:val="18"/>
                    </w:rPr>
                    <w:t>昼间dB（A）</w:t>
                  </w:r>
                </w:p>
              </w:tc>
              <w:tc>
                <w:tcPr>
                  <w:tcW w:w="2077" w:type="dxa"/>
                  <w:vAlign w:val="center"/>
                </w:tcPr>
                <w:p w14:paraId="7650C8A9">
                  <w:pPr>
                    <w:jc w:val="center"/>
                    <w:outlineLvl w:val="1"/>
                    <w:rPr>
                      <w:bCs/>
                      <w:sz w:val="18"/>
                    </w:rPr>
                  </w:pPr>
                  <w:r>
                    <w:rPr>
                      <w:bCs/>
                      <w:sz w:val="18"/>
                    </w:rPr>
                    <w:t>夜间dB（A）</w:t>
                  </w:r>
                </w:p>
              </w:tc>
            </w:tr>
            <w:tr w14:paraId="0BA38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2211" w:type="dxa"/>
                  <w:vAlign w:val="center"/>
                </w:tcPr>
                <w:p w14:paraId="6298BD42">
                  <w:pPr>
                    <w:jc w:val="center"/>
                    <w:outlineLvl w:val="1"/>
                    <w:rPr>
                      <w:bCs/>
                      <w:sz w:val="18"/>
                    </w:rPr>
                  </w:pPr>
                  <w:r>
                    <w:rPr>
                      <w:bCs/>
                      <w:sz w:val="18"/>
                    </w:rPr>
                    <w:t>厂界</w:t>
                  </w:r>
                </w:p>
              </w:tc>
              <w:tc>
                <w:tcPr>
                  <w:tcW w:w="1693" w:type="dxa"/>
                  <w:vAlign w:val="center"/>
                </w:tcPr>
                <w:p w14:paraId="35DD86CE">
                  <w:pPr>
                    <w:jc w:val="center"/>
                    <w:outlineLvl w:val="1"/>
                    <w:rPr>
                      <w:bCs/>
                      <w:sz w:val="18"/>
                    </w:rPr>
                  </w:pPr>
                  <w:r>
                    <w:rPr>
                      <w:bCs/>
                      <w:sz w:val="18"/>
                    </w:rPr>
                    <w:t>3类标准</w:t>
                  </w:r>
                </w:p>
              </w:tc>
              <w:tc>
                <w:tcPr>
                  <w:tcW w:w="2079" w:type="dxa"/>
                  <w:vAlign w:val="center"/>
                </w:tcPr>
                <w:p w14:paraId="61129906">
                  <w:pPr>
                    <w:jc w:val="center"/>
                    <w:outlineLvl w:val="1"/>
                    <w:rPr>
                      <w:bCs/>
                      <w:sz w:val="18"/>
                    </w:rPr>
                  </w:pPr>
                  <w:r>
                    <w:rPr>
                      <w:bCs/>
                      <w:sz w:val="18"/>
                    </w:rPr>
                    <w:t>65</w:t>
                  </w:r>
                </w:p>
              </w:tc>
              <w:tc>
                <w:tcPr>
                  <w:tcW w:w="2077" w:type="dxa"/>
                  <w:vAlign w:val="center"/>
                </w:tcPr>
                <w:p w14:paraId="4F3B3058">
                  <w:pPr>
                    <w:jc w:val="center"/>
                    <w:outlineLvl w:val="1"/>
                    <w:rPr>
                      <w:bCs/>
                      <w:sz w:val="18"/>
                    </w:rPr>
                  </w:pPr>
                  <w:r>
                    <w:rPr>
                      <w:bCs/>
                      <w:sz w:val="18"/>
                    </w:rPr>
                    <w:t>55</w:t>
                  </w:r>
                </w:p>
              </w:tc>
            </w:tr>
          </w:tbl>
          <w:p w14:paraId="4E993515">
            <w:pPr>
              <w:ind w:firstLine="482"/>
            </w:pPr>
            <w:r>
              <w:t>3.3.4</w:t>
            </w:r>
            <w:r>
              <w:rPr>
                <w:rFonts w:hint="eastAsia"/>
              </w:rPr>
              <w:t>固体废物执行标准</w:t>
            </w:r>
          </w:p>
          <w:p w14:paraId="738EFFD6">
            <w:pPr>
              <w:ind w:firstLine="480" w:firstLineChars="200"/>
              <w:outlineLvl w:val="1"/>
              <w:rPr>
                <w:color w:val="0000FF"/>
                <w:lang w:bidi="en-US"/>
              </w:rPr>
            </w:pPr>
            <w:r>
              <w:rPr>
                <w:rFonts w:hint="eastAsia"/>
              </w:rPr>
              <w:t>一般工业固体废物参照执行《一般工业固体废物贮存和填埋污染控制标准》（GB18599-2020）中有关规定。危险废物贮存执行《危险废物贮存污染控制标准》（GB18597-2023）。</w:t>
            </w:r>
          </w:p>
        </w:tc>
      </w:tr>
      <w:tr w14:paraId="2CD5257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453" w:type="dxa"/>
            <w:tcBorders>
              <w:top w:val="single" w:color="auto" w:sz="4" w:space="0"/>
              <w:left w:val="single" w:color="auto" w:sz="4" w:space="0"/>
              <w:bottom w:val="single" w:color="auto" w:sz="4" w:space="0"/>
              <w:right w:val="single" w:color="auto" w:sz="4" w:space="0"/>
            </w:tcBorders>
            <w:shd w:val="clear" w:color="auto" w:fill="auto"/>
            <w:vAlign w:val="center"/>
          </w:tcPr>
          <w:p w14:paraId="4046A301">
            <w:pPr>
              <w:adjustRightInd w:val="0"/>
              <w:spacing w:line="440" w:lineRule="exact"/>
              <w:jc w:val="center"/>
              <w:outlineLvl w:val="1"/>
            </w:pPr>
            <w:r>
              <w:t>总量控制指标</w:t>
            </w:r>
          </w:p>
        </w:tc>
        <w:tc>
          <w:tcPr>
            <w:tcW w:w="8069" w:type="dxa"/>
            <w:tcBorders>
              <w:top w:val="single" w:color="auto" w:sz="4" w:space="0"/>
              <w:left w:val="single" w:color="auto" w:sz="4" w:space="0"/>
              <w:bottom w:val="single" w:color="auto" w:sz="4" w:space="0"/>
              <w:right w:val="single" w:color="auto" w:sz="4" w:space="0"/>
            </w:tcBorders>
            <w:shd w:val="clear" w:color="auto" w:fill="auto"/>
          </w:tcPr>
          <w:p w14:paraId="67DC0E4C">
            <w:pPr>
              <w:ind w:firstLine="480"/>
            </w:pPr>
            <w:r>
              <w:rPr>
                <w:rFonts w:hint="eastAsia"/>
              </w:rPr>
              <w:t>根据</w:t>
            </w:r>
            <w:r>
              <w:t>《安徽省环保厅关于进一步加强建设项目新增大气污染物总量指标管理工作的通知》（皖环发〔2017〕19号），</w:t>
            </w:r>
            <w:r>
              <w:rPr>
                <w:rFonts w:hint="eastAsia"/>
              </w:rPr>
              <w:t>提出总量控制因子</w:t>
            </w:r>
            <w:r>
              <w:t>为：烟</w:t>
            </w:r>
            <w:r>
              <w:rPr>
                <w:rFonts w:hint="eastAsia"/>
              </w:rPr>
              <w:t>（</w:t>
            </w:r>
            <w:r>
              <w:t>粉</w:t>
            </w:r>
            <w:r>
              <w:rPr>
                <w:rFonts w:hint="eastAsia"/>
              </w:rPr>
              <w:t>）</w:t>
            </w:r>
            <w:r>
              <w:t>尘</w:t>
            </w:r>
            <w:r>
              <w:rPr>
                <w:rFonts w:hint="eastAsia"/>
              </w:rPr>
              <w:t>、VOCs、</w:t>
            </w:r>
            <w:r>
              <w:rPr>
                <w:kern w:val="1"/>
                <w:szCs w:val="21"/>
              </w:rPr>
              <w:t>二氧化硫、氮氧化物</w:t>
            </w:r>
            <w:r>
              <w:rPr>
                <w:rFonts w:hint="eastAsia"/>
              </w:rPr>
              <w:t>、</w:t>
            </w:r>
            <w:r>
              <w:t>CODcr、NH</w:t>
            </w:r>
            <w:r>
              <w:rPr>
                <w:vertAlign w:val="subscript"/>
              </w:rPr>
              <w:t>3</w:t>
            </w:r>
            <w:r>
              <w:t>-N。</w:t>
            </w:r>
          </w:p>
          <w:p w14:paraId="4651852E">
            <w:pPr>
              <w:ind w:firstLine="480"/>
            </w:pPr>
            <w:r>
              <w:rPr>
                <w:rFonts w:hint="eastAsia"/>
              </w:rPr>
              <w:t>1、大气</w:t>
            </w:r>
            <w:r>
              <w:t>污染物总量控制指标</w:t>
            </w:r>
          </w:p>
          <w:p w14:paraId="7220A779">
            <w:pPr>
              <w:ind w:firstLine="480"/>
              <w:rPr>
                <w:highlight w:val="red"/>
              </w:rPr>
            </w:pPr>
            <w:r>
              <w:rPr>
                <w:rFonts w:hint="eastAsia"/>
                <w:color w:val="000000" w:themeColor="text1"/>
              </w:rPr>
              <w:t>本项目排放的大气污染物为颗粒物，排放方式为无组织排放，排放量为0.014t/a。</w:t>
            </w:r>
          </w:p>
          <w:p w14:paraId="71F80180">
            <w:pPr>
              <w:ind w:firstLine="480"/>
            </w:pPr>
            <w:r>
              <w:rPr>
                <w:rFonts w:hint="eastAsia"/>
              </w:rPr>
              <w:t>2、</w:t>
            </w:r>
            <w:r>
              <w:t>水污染物总量控制指标</w:t>
            </w:r>
          </w:p>
          <w:p w14:paraId="62D5335F">
            <w:pPr>
              <w:ind w:firstLine="480"/>
            </w:pPr>
            <w:r>
              <w:rPr>
                <w:rFonts w:hint="eastAsia"/>
              </w:rPr>
              <w:t>本项目废水</w:t>
            </w:r>
            <w:r>
              <w:t>经</w:t>
            </w:r>
            <w:r>
              <w:rPr>
                <w:rFonts w:hint="eastAsia"/>
              </w:rPr>
              <w:t>处理</w:t>
            </w:r>
            <w:r>
              <w:t>达标后</w:t>
            </w:r>
            <w:r>
              <w:rPr>
                <w:rFonts w:hint="eastAsia"/>
              </w:rPr>
              <w:t>纳管排入淮南</w:t>
            </w:r>
            <w:r>
              <w:t>安成经济开发区污水处理厂</w:t>
            </w:r>
            <w:r>
              <w:rPr>
                <w:rFonts w:hint="eastAsia"/>
              </w:rPr>
              <w:t>进行深度处理，处理达标的尾水排入淮河（淮南段）；本项目废水</w:t>
            </w:r>
            <w:r>
              <w:t>总量纳入</w:t>
            </w:r>
            <w:r>
              <w:rPr>
                <w:rFonts w:hint="eastAsia"/>
              </w:rPr>
              <w:t>淮南</w:t>
            </w:r>
            <w:r>
              <w:t>安成经济开发区污水处理厂总量控制指标内</w:t>
            </w:r>
            <w:r>
              <w:rPr>
                <w:rFonts w:hint="eastAsia"/>
              </w:rPr>
              <w:t>，故不申请总量替代指标。</w:t>
            </w:r>
          </w:p>
        </w:tc>
      </w:tr>
    </w:tbl>
    <w:p w14:paraId="57D257A9">
      <w:pPr>
        <w:sectPr>
          <w:headerReference r:id="rId13" w:type="default"/>
          <w:pgSz w:w="11906" w:h="16838"/>
          <w:pgMar w:top="1440" w:right="1800" w:bottom="1440" w:left="1800" w:header="851" w:footer="992" w:gutter="0"/>
          <w:cols w:space="425" w:num="1"/>
          <w:docGrid w:type="lines" w:linePitch="312" w:charSpace="0"/>
        </w:sectPr>
      </w:pPr>
    </w:p>
    <w:p w14:paraId="3327E8E8">
      <w:pPr>
        <w:pStyle w:val="2"/>
        <w:framePr w:wrap="around"/>
      </w:pPr>
      <w:bookmarkStart w:id="58" w:name="_Toc26157"/>
      <w:r>
        <w:t>四、主要环境影响和保护措施</w:t>
      </w:r>
      <w:bookmarkEnd w:id="58"/>
    </w:p>
    <w:tbl>
      <w:tblPr>
        <w:tblStyle w:val="23"/>
        <w:tblW w:w="957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658"/>
        <w:gridCol w:w="8920"/>
      </w:tblGrid>
      <w:tr w14:paraId="455C5A0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260" w:hRule="atLeast"/>
          <w:jc w:val="center"/>
        </w:trPr>
        <w:tc>
          <w:tcPr>
            <w:tcW w:w="665" w:type="dxa"/>
            <w:tcMar>
              <w:left w:w="28" w:type="dxa"/>
              <w:right w:w="28" w:type="dxa"/>
            </w:tcMar>
            <w:vAlign w:val="center"/>
          </w:tcPr>
          <w:p w14:paraId="78971783">
            <w:pPr>
              <w:adjustRightInd w:val="0"/>
              <w:snapToGrid w:val="0"/>
              <w:jc w:val="center"/>
              <w:rPr>
                <w:color w:val="auto"/>
              </w:rPr>
            </w:pPr>
            <w:r>
              <w:rPr>
                <w:rFonts w:hint="eastAsia"/>
                <w:color w:val="auto"/>
              </w:rPr>
              <w:t>施工期</w:t>
            </w:r>
            <w:r>
              <w:rPr>
                <w:color w:val="auto"/>
              </w:rPr>
              <w:t>环</w:t>
            </w:r>
          </w:p>
          <w:p w14:paraId="0CC61EFB">
            <w:pPr>
              <w:adjustRightInd w:val="0"/>
              <w:snapToGrid w:val="0"/>
              <w:jc w:val="center"/>
              <w:rPr>
                <w:color w:val="auto"/>
              </w:rPr>
            </w:pPr>
            <w:r>
              <w:rPr>
                <w:color w:val="auto"/>
              </w:rPr>
              <w:t>境影</w:t>
            </w:r>
          </w:p>
          <w:p w14:paraId="66330528">
            <w:pPr>
              <w:adjustRightInd w:val="0"/>
              <w:snapToGrid w:val="0"/>
              <w:jc w:val="center"/>
              <w:rPr>
                <w:color w:val="auto"/>
              </w:rPr>
            </w:pPr>
            <w:r>
              <w:rPr>
                <w:color w:val="auto"/>
              </w:rPr>
              <w:t>响和</w:t>
            </w:r>
          </w:p>
          <w:p w14:paraId="6D626CF7">
            <w:pPr>
              <w:adjustRightInd w:val="0"/>
              <w:snapToGrid w:val="0"/>
              <w:jc w:val="center"/>
              <w:rPr>
                <w:color w:val="auto"/>
              </w:rPr>
            </w:pPr>
            <w:r>
              <w:rPr>
                <w:color w:val="auto"/>
              </w:rPr>
              <w:t>保护</w:t>
            </w:r>
          </w:p>
          <w:p w14:paraId="2A259839">
            <w:pPr>
              <w:adjustRightInd w:val="0"/>
              <w:snapToGrid w:val="0"/>
              <w:jc w:val="center"/>
              <w:rPr>
                <w:rFonts w:cs="宋体"/>
                <w:bCs/>
                <w:color w:val="auto"/>
              </w:rPr>
            </w:pPr>
            <w:r>
              <w:rPr>
                <w:color w:val="auto"/>
              </w:rPr>
              <w:t>措施</w:t>
            </w:r>
          </w:p>
        </w:tc>
        <w:tc>
          <w:tcPr>
            <w:tcW w:w="8913" w:type="dxa"/>
            <w:vAlign w:val="center"/>
          </w:tcPr>
          <w:p w14:paraId="1A6CB4A5">
            <w:pPr>
              <w:rPr>
                <w:color w:val="auto"/>
              </w:rPr>
            </w:pPr>
            <w:r>
              <w:rPr>
                <w:rFonts w:hint="eastAsia"/>
                <w:color w:val="auto"/>
              </w:rPr>
              <w:t>4</w:t>
            </w:r>
            <w:r>
              <w:rPr>
                <w:color w:val="auto"/>
              </w:rPr>
              <w:t>.1</w:t>
            </w:r>
            <w:r>
              <w:rPr>
                <w:rFonts w:hint="eastAsia"/>
                <w:color w:val="auto"/>
              </w:rPr>
              <w:t>施工期</w:t>
            </w:r>
          </w:p>
          <w:p w14:paraId="6782D6CC">
            <w:pPr>
              <w:ind w:firstLine="480"/>
              <w:rPr>
                <w:color w:val="auto"/>
              </w:rPr>
            </w:pPr>
            <w:r>
              <w:rPr>
                <w:color w:val="auto"/>
              </w:rPr>
              <w:t>本项目租赁</w:t>
            </w:r>
            <w:r>
              <w:rPr>
                <w:rFonts w:hint="eastAsia"/>
                <w:color w:val="auto"/>
              </w:rPr>
              <w:t>淮南市田家庵安成经济开发区（北区）6号楼现有标准化</w:t>
            </w:r>
            <w:r>
              <w:rPr>
                <w:color w:val="auto"/>
              </w:rPr>
              <w:t>厂房</w:t>
            </w:r>
            <w:r>
              <w:rPr>
                <w:rFonts w:hint="eastAsia"/>
                <w:color w:val="auto"/>
              </w:rPr>
              <w:t>进行生产建设</w:t>
            </w:r>
            <w:r>
              <w:rPr>
                <w:color w:val="auto"/>
              </w:rPr>
              <w:t>，</w:t>
            </w:r>
            <w:r>
              <w:rPr>
                <w:rFonts w:hint="eastAsia"/>
                <w:color w:val="auto"/>
              </w:rPr>
              <w:t>施工期仅对生产厂房进行内部改造、装修及设备设施安装，基本不涉及土建工程，施工期主要污染物为装修废气、建筑垃圾和噪声。本项目施工活动均在室内进行、施工期短，对环境影响较小，且设备安装噪声将随工程施工的结束而消失，故本次评价不对施工期环境影响进行分析。</w:t>
            </w:r>
          </w:p>
        </w:tc>
      </w:tr>
      <w:tr w14:paraId="063AA50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5" w:type="dxa"/>
            <w:tcMar>
              <w:left w:w="28" w:type="dxa"/>
              <w:right w:w="28" w:type="dxa"/>
            </w:tcMar>
            <w:vAlign w:val="center"/>
          </w:tcPr>
          <w:p w14:paraId="1634A8FA">
            <w:pPr>
              <w:adjustRightInd w:val="0"/>
              <w:snapToGrid w:val="0"/>
              <w:jc w:val="center"/>
              <w:rPr>
                <w:color w:val="auto"/>
              </w:rPr>
            </w:pPr>
            <w:r>
              <w:rPr>
                <w:color w:val="auto"/>
              </w:rPr>
              <w:t>运营</w:t>
            </w:r>
          </w:p>
          <w:p w14:paraId="2B6C8B1B">
            <w:pPr>
              <w:adjustRightInd w:val="0"/>
              <w:snapToGrid w:val="0"/>
              <w:jc w:val="center"/>
              <w:rPr>
                <w:color w:val="auto"/>
              </w:rPr>
            </w:pPr>
            <w:r>
              <w:rPr>
                <w:color w:val="auto"/>
              </w:rPr>
              <w:t>期环</w:t>
            </w:r>
          </w:p>
          <w:p w14:paraId="1E3A75CA">
            <w:pPr>
              <w:adjustRightInd w:val="0"/>
              <w:snapToGrid w:val="0"/>
              <w:jc w:val="center"/>
              <w:rPr>
                <w:color w:val="auto"/>
              </w:rPr>
            </w:pPr>
            <w:r>
              <w:rPr>
                <w:color w:val="auto"/>
              </w:rPr>
              <w:t>境影</w:t>
            </w:r>
          </w:p>
          <w:p w14:paraId="73F24C11">
            <w:pPr>
              <w:adjustRightInd w:val="0"/>
              <w:snapToGrid w:val="0"/>
              <w:jc w:val="center"/>
              <w:rPr>
                <w:color w:val="auto"/>
              </w:rPr>
            </w:pPr>
            <w:r>
              <w:rPr>
                <w:color w:val="auto"/>
              </w:rPr>
              <w:t>响和</w:t>
            </w:r>
          </w:p>
          <w:p w14:paraId="000AC45E">
            <w:pPr>
              <w:adjustRightInd w:val="0"/>
              <w:snapToGrid w:val="0"/>
              <w:jc w:val="center"/>
              <w:rPr>
                <w:color w:val="auto"/>
              </w:rPr>
            </w:pPr>
            <w:r>
              <w:rPr>
                <w:color w:val="auto"/>
              </w:rPr>
              <w:t>保护</w:t>
            </w:r>
          </w:p>
          <w:p w14:paraId="7D1F9845">
            <w:pPr>
              <w:adjustRightInd w:val="0"/>
              <w:snapToGrid w:val="0"/>
              <w:jc w:val="center"/>
              <w:rPr>
                <w:color w:val="auto"/>
              </w:rPr>
            </w:pPr>
            <w:r>
              <w:rPr>
                <w:color w:val="auto"/>
              </w:rPr>
              <w:t>措施</w:t>
            </w:r>
          </w:p>
        </w:tc>
        <w:tc>
          <w:tcPr>
            <w:tcW w:w="8913" w:type="dxa"/>
            <w:vAlign w:val="center"/>
          </w:tcPr>
          <w:p w14:paraId="7EE917DA">
            <w:pPr>
              <w:spacing w:line="360" w:lineRule="auto"/>
              <w:rPr>
                <w:b/>
                <w:bCs/>
                <w:color w:val="auto"/>
              </w:rPr>
            </w:pPr>
            <w:r>
              <w:rPr>
                <w:rFonts w:hint="eastAsia"/>
                <w:b/>
                <w:bCs/>
                <w:color w:val="auto"/>
              </w:rPr>
              <w:t>4</w:t>
            </w:r>
            <w:r>
              <w:rPr>
                <w:b/>
                <w:bCs/>
                <w:color w:val="auto"/>
              </w:rPr>
              <w:t>.2</w:t>
            </w:r>
            <w:r>
              <w:rPr>
                <w:rFonts w:hint="eastAsia" w:ascii="宋体" w:hAnsi="宋体" w:cs="宋体"/>
                <w:b/>
                <w:bCs/>
                <w:color w:val="auto"/>
              </w:rPr>
              <w:t>大气影响环境分析</w:t>
            </w:r>
          </w:p>
          <w:p w14:paraId="1BC70ABE">
            <w:pPr>
              <w:spacing w:line="360" w:lineRule="auto"/>
              <w:ind w:firstLine="482"/>
              <w:rPr>
                <w:b/>
                <w:bCs/>
                <w:color w:val="auto"/>
              </w:rPr>
            </w:pPr>
            <w:r>
              <w:rPr>
                <w:rFonts w:hint="eastAsia"/>
                <w:b/>
                <w:bCs/>
                <w:color w:val="auto"/>
              </w:rPr>
              <w:t>4</w:t>
            </w:r>
            <w:r>
              <w:rPr>
                <w:b/>
                <w:bCs/>
                <w:color w:val="auto"/>
              </w:rPr>
              <w:t>.2.1</w:t>
            </w:r>
            <w:r>
              <w:rPr>
                <w:rFonts w:hint="eastAsia"/>
                <w:b/>
                <w:bCs/>
                <w:color w:val="auto"/>
              </w:rPr>
              <w:t>废气污染源强</w:t>
            </w:r>
          </w:p>
          <w:p w14:paraId="12FED92D">
            <w:pPr>
              <w:spacing w:line="360" w:lineRule="auto"/>
              <w:ind w:firstLine="480"/>
              <w:rPr>
                <w:color w:val="auto"/>
              </w:rPr>
            </w:pPr>
            <w:r>
              <w:rPr>
                <w:rFonts w:hint="eastAsia"/>
                <w:color w:val="auto"/>
              </w:rPr>
              <w:t>本项目运营时产生的废气主要为面粉投料过程中产生的投料粉尘，主要污染物为颗粒物，为无组织排放。</w:t>
            </w:r>
          </w:p>
          <w:p w14:paraId="582E34A1">
            <w:pPr>
              <w:ind w:firstLine="480" w:firstLineChars="200"/>
              <w:rPr>
                <w:color w:val="auto"/>
              </w:rPr>
            </w:pPr>
            <w:r>
              <w:rPr>
                <w:rFonts w:hint="eastAsia"/>
                <w:color w:val="auto"/>
              </w:rPr>
              <w:t>1、投料粉尘废气源强分析</w:t>
            </w:r>
          </w:p>
          <w:p w14:paraId="23B98500">
            <w:pPr>
              <w:spacing w:line="360" w:lineRule="auto"/>
              <w:ind w:firstLine="480" w:firstLineChars="200"/>
              <w:rPr>
                <w:color w:val="auto"/>
              </w:rPr>
            </w:pPr>
            <w:r>
              <w:rPr>
                <w:color w:val="auto"/>
              </w:rPr>
              <w:t>（1）</w:t>
            </w:r>
            <w:r>
              <w:rPr>
                <w:rFonts w:hint="eastAsia"/>
                <w:color w:val="auto"/>
              </w:rPr>
              <w:t>投料粉尘</w:t>
            </w:r>
          </w:p>
          <w:p w14:paraId="6081DE2A">
            <w:pPr>
              <w:ind w:firstLine="480" w:firstLineChars="200"/>
              <w:rPr>
                <w:color w:val="auto"/>
              </w:rPr>
            </w:pPr>
            <w:r>
              <w:rPr>
                <w:rFonts w:hint="eastAsia"/>
                <w:color w:val="auto"/>
              </w:rPr>
              <w:t>通过查阅《排污许可证申请与核发技术规范食品制造工业一方便食品、食品及饲料添加剂制造工业》（HJ1030.3-2019）中表3-1可知，装卸料、和面废气排放形式均为无组织，因此确定本项目面粉投料废气为无组织排放。</w:t>
            </w:r>
          </w:p>
          <w:p w14:paraId="4CF0A38A">
            <w:pPr>
              <w:ind w:firstLine="480" w:firstLineChars="200"/>
              <w:rPr>
                <w:color w:val="auto"/>
              </w:rPr>
            </w:pPr>
            <w:r>
              <w:rPr>
                <w:rFonts w:hint="eastAsia"/>
                <w:color w:val="auto"/>
              </w:rPr>
              <w:t>参考《逸散性工业粉尘控制技术》（中国环境科学出版社）和同类企业运行情况，投料逸散性粉尘系数以0.15kg/t计，本项目面粉年用量为90t/a，则本项目逸散的粉尘量为0.0135t/a（0.0056kg/h）。</w:t>
            </w:r>
          </w:p>
          <w:p w14:paraId="1FAD6680">
            <w:pPr>
              <w:ind w:firstLine="480" w:firstLineChars="200"/>
              <w:rPr>
                <w:color w:val="auto"/>
              </w:rPr>
            </w:pPr>
            <w:r>
              <w:rPr>
                <w:rFonts w:hint="eastAsia"/>
                <w:color w:val="auto"/>
                <w:lang w:val="en-US" w:eastAsia="zh-CN"/>
              </w:rPr>
              <w:t>为降低面粉粉尘对周边环境的影响，建设单位拟在投料口上方布设集气罩（收集效率以8</w:t>
            </w:r>
            <w:r>
              <w:rPr>
                <w:rFonts w:hint="default"/>
                <w:color w:val="auto"/>
                <w:lang w:val="en-US" w:eastAsia="zh-CN"/>
              </w:rPr>
              <w:t>0%</w:t>
            </w:r>
            <w:r>
              <w:rPr>
                <w:rFonts w:hint="eastAsia"/>
                <w:color w:val="auto"/>
                <w:lang w:val="en-US" w:eastAsia="zh-CN"/>
              </w:rPr>
              <w:t>计）并连通集气管道接入布袋除尘器（除尘效率以</w:t>
            </w:r>
            <w:r>
              <w:rPr>
                <w:rFonts w:hint="default"/>
                <w:color w:val="auto"/>
                <w:lang w:val="en-US" w:eastAsia="zh-CN"/>
              </w:rPr>
              <w:t>9</w:t>
            </w:r>
            <w:r>
              <w:rPr>
                <w:rFonts w:hint="eastAsia"/>
                <w:color w:val="auto"/>
                <w:lang w:val="en-US" w:eastAsia="zh-CN"/>
              </w:rPr>
              <w:t>0</w:t>
            </w:r>
            <w:r>
              <w:rPr>
                <w:rFonts w:hint="default"/>
                <w:color w:val="auto"/>
                <w:lang w:val="en-US" w:eastAsia="zh-CN"/>
              </w:rPr>
              <w:t>%</w:t>
            </w:r>
            <w:r>
              <w:rPr>
                <w:rFonts w:hint="eastAsia"/>
                <w:color w:val="auto"/>
                <w:lang w:val="en-US" w:eastAsia="zh-CN"/>
              </w:rPr>
              <w:t>计），</w:t>
            </w:r>
            <w:r>
              <w:rPr>
                <w:rFonts w:hint="eastAsia" w:ascii="Segoe UI Symbol" w:hAnsi="Segoe UI Symbol" w:cs="Segoe UI Symbol"/>
                <w:color w:val="auto"/>
              </w:rPr>
              <w:t>产生的粉尘</w:t>
            </w:r>
            <w:r>
              <w:rPr>
                <w:rFonts w:hint="eastAsia" w:ascii="Segoe UI Symbol" w:hAnsi="Segoe UI Symbol" w:cs="Segoe UI Symbol"/>
                <w:color w:val="auto"/>
                <w:lang w:eastAsia="zh-CN"/>
              </w:rPr>
              <w:t>经布袋除尘器收集处理后</w:t>
            </w:r>
            <w:r>
              <w:rPr>
                <w:rFonts w:hint="eastAsia"/>
                <w:color w:val="auto"/>
              </w:rPr>
              <w:t>通过洁净车间换气系统无组织排放</w:t>
            </w:r>
            <w:r>
              <w:rPr>
                <w:rFonts w:ascii="Segoe UI Symbol" w:hAnsi="Segoe UI Symbol" w:eastAsia="Segoe UI Symbol" w:cs="Segoe UI Symbol"/>
                <w:color w:val="auto"/>
              </w:rPr>
              <w:t>，</w:t>
            </w:r>
            <w:r>
              <w:rPr>
                <w:rFonts w:hint="eastAsia"/>
                <w:color w:val="auto"/>
                <w:lang w:val="en-US" w:eastAsia="zh-CN"/>
              </w:rPr>
              <w:t>则粉尘无组织排放量约为</w:t>
            </w:r>
            <w:r>
              <w:rPr>
                <w:rFonts w:hint="default"/>
                <w:color w:val="auto"/>
                <w:lang w:val="en-US" w:eastAsia="zh-CN"/>
              </w:rPr>
              <w:t>0.0</w:t>
            </w:r>
            <w:r>
              <w:rPr>
                <w:rFonts w:hint="eastAsia"/>
                <w:color w:val="auto"/>
                <w:lang w:val="en-US" w:eastAsia="zh-CN"/>
              </w:rPr>
              <w:t>0</w:t>
            </w:r>
            <w:r>
              <w:rPr>
                <w:rFonts w:hint="default"/>
                <w:color w:val="auto"/>
                <w:lang w:val="en-US" w:eastAsia="zh-CN"/>
              </w:rPr>
              <w:t>3</w:t>
            </w:r>
            <w:r>
              <w:rPr>
                <w:rFonts w:hint="eastAsia"/>
                <w:color w:val="auto"/>
                <w:lang w:val="en-US" w:eastAsia="zh-CN"/>
              </w:rPr>
              <w:t>8</w:t>
            </w:r>
            <w:r>
              <w:rPr>
                <w:rFonts w:hint="default"/>
                <w:color w:val="auto"/>
                <w:lang w:val="en-US" w:eastAsia="zh-CN"/>
              </w:rPr>
              <w:t>t/a</w:t>
            </w:r>
            <w:r>
              <w:rPr>
                <w:rFonts w:hint="eastAsia"/>
                <w:color w:val="auto"/>
                <w:lang w:val="en-US" w:eastAsia="zh-CN"/>
              </w:rPr>
              <w:t>（0.0135×80%×（1-90%）+0.0135×（1-80%）=0.00378</w:t>
            </w:r>
            <w:r>
              <w:rPr>
                <w:rFonts w:hint="default"/>
                <w:color w:val="auto"/>
                <w:lang w:val="en-US" w:eastAsia="zh-CN"/>
              </w:rPr>
              <w:t>t/a</w:t>
            </w:r>
            <w:r>
              <w:rPr>
                <w:rFonts w:hint="eastAsia"/>
                <w:color w:val="auto"/>
                <w:lang w:val="en-US" w:eastAsia="zh-CN"/>
              </w:rPr>
              <w:t>），此部分粉尘将部分沉降在车间地面，经清扫后外售至相关单位作饲料生产，严禁将布袋收集和沉降粉尘收集投入后续加工工艺。</w:t>
            </w:r>
            <w:r>
              <w:rPr>
                <w:rFonts w:ascii="宋体" w:hAnsi="宋体" w:cs="宋体"/>
                <w:color w:val="auto"/>
              </w:rPr>
              <w:t>对周</w:t>
            </w:r>
            <w:r>
              <w:rPr>
                <w:rFonts w:hint="eastAsia"/>
                <w:color w:val="auto"/>
              </w:rPr>
              <w:t>边环境影响较小。</w:t>
            </w:r>
          </w:p>
          <w:p w14:paraId="41BBD957">
            <w:pPr>
              <w:ind w:firstLine="480" w:firstLineChars="200"/>
              <w:rPr>
                <w:color w:val="auto"/>
              </w:rPr>
            </w:pPr>
            <w:r>
              <w:rPr>
                <w:rFonts w:hint="eastAsia"/>
                <w:color w:val="auto"/>
              </w:rPr>
              <w:t>2、</w:t>
            </w:r>
            <w:r>
              <w:rPr>
                <w:color w:val="auto"/>
              </w:rPr>
              <w:t>污水处理设施恶臭</w:t>
            </w:r>
          </w:p>
          <w:p w14:paraId="415A6482">
            <w:pPr>
              <w:ind w:firstLine="480" w:firstLineChars="200"/>
              <w:rPr>
                <w:color w:val="auto"/>
              </w:rPr>
            </w:pPr>
            <w:r>
              <w:rPr>
                <w:color w:val="auto"/>
              </w:rPr>
              <w:t>项目污水处理设施沉淀池散发的恶臭气体对周围大气环境会产生一定的影响，产生的恶臭气体的成分主要是NH</w:t>
            </w:r>
            <w:r>
              <w:rPr>
                <w:color w:val="auto"/>
                <w:vertAlign w:val="subscript"/>
              </w:rPr>
              <w:t>3</w:t>
            </w:r>
            <w:r>
              <w:rPr>
                <w:rFonts w:hint="eastAsia"/>
                <w:color w:val="auto"/>
              </w:rPr>
              <w:t>、</w:t>
            </w:r>
            <w:r>
              <w:rPr>
                <w:color w:val="auto"/>
              </w:rPr>
              <w:t>硫化氢</w:t>
            </w:r>
            <w:r>
              <w:rPr>
                <w:rFonts w:hint="eastAsia"/>
                <w:color w:val="auto"/>
              </w:rPr>
              <w:t>和臭气浓度</w:t>
            </w:r>
            <w:r>
              <w:rPr>
                <w:color w:val="auto"/>
              </w:rPr>
              <w:t>。硫化氢气体具有臭鸡蛋味，有一定的刺激性。恶臭气体产生量随污水水质、气温（或水温）以及曝气量的不同而变化</w:t>
            </w:r>
            <w:r>
              <w:rPr>
                <w:rFonts w:ascii="Times New Roman" w:hAnsi="Times New Roman" w:eastAsia="宋体" w:cs="Times New Roman"/>
                <w:color w:val="auto"/>
              </w:rPr>
              <w:t>。参考美国EPA对污水处理厂恶臭污染物产生情况的研究，每去除1gBOD</w:t>
            </w:r>
            <w:r>
              <w:rPr>
                <w:rFonts w:ascii="Times New Roman" w:hAnsi="Times New Roman" w:eastAsia="宋体" w:cs="Times New Roman"/>
                <w:color w:val="auto"/>
                <w:vertAlign w:val="subscript"/>
              </w:rPr>
              <w:t>5</w:t>
            </w:r>
            <w:r>
              <w:rPr>
                <w:rFonts w:ascii="Times New Roman" w:hAnsi="Times New Roman" w:eastAsia="宋体" w:cs="Times New Roman"/>
                <w:color w:val="auto"/>
              </w:rPr>
              <w:t>可产生0.00012gH</w:t>
            </w:r>
            <w:r>
              <w:rPr>
                <w:rFonts w:ascii="Times New Roman" w:hAnsi="Times New Roman" w:eastAsia="宋体" w:cs="Times New Roman"/>
                <w:color w:val="auto"/>
                <w:vertAlign w:val="subscript"/>
              </w:rPr>
              <w:t>2</w:t>
            </w:r>
            <w:r>
              <w:rPr>
                <w:rFonts w:ascii="Times New Roman" w:hAnsi="Times New Roman" w:eastAsia="宋体" w:cs="Times New Roman"/>
                <w:color w:val="auto"/>
              </w:rPr>
              <w:t>S和0.0031gNH</w:t>
            </w:r>
            <w:r>
              <w:rPr>
                <w:rFonts w:ascii="Times New Roman" w:hAnsi="Times New Roman" w:eastAsia="宋体" w:cs="Times New Roman"/>
                <w:color w:val="auto"/>
                <w:vertAlign w:val="subscript"/>
              </w:rPr>
              <w:t>3</w:t>
            </w:r>
            <w:r>
              <w:rPr>
                <w:rFonts w:ascii="Times New Roman" w:hAnsi="Times New Roman" w:eastAsia="宋体" w:cs="Times New Roman"/>
                <w:color w:val="auto"/>
              </w:rPr>
              <w:t>，</w:t>
            </w:r>
            <w:r>
              <w:rPr>
                <w:rFonts w:hint="default" w:ascii="Times New Roman" w:hAnsi="Times New Roman" w:eastAsia="宋体" w:cs="Times New Roman"/>
                <w:color w:val="auto"/>
                <w:lang w:val="en-US" w:eastAsia="zh-CN"/>
              </w:rPr>
              <w:t>根据废水源强核算，项目污水处理站处理废水量约</w:t>
            </w:r>
            <w:r>
              <w:rPr>
                <w:rFonts w:hint="eastAsia"/>
                <w:color w:val="auto"/>
                <w:highlight w:val="none"/>
                <w:lang w:val="en-US" w:eastAsia="zh-CN"/>
              </w:rPr>
              <w:t>3122.3m</w:t>
            </w:r>
            <w:r>
              <w:rPr>
                <w:rFonts w:hint="eastAsia"/>
                <w:color w:val="auto"/>
                <w:highlight w:val="none"/>
                <w:vertAlign w:val="superscript"/>
                <w:lang w:val="en-US" w:eastAsia="zh-CN"/>
              </w:rPr>
              <w:t>3</w:t>
            </w:r>
            <w:r>
              <w:rPr>
                <w:rFonts w:hint="eastAsia"/>
                <w:color w:val="auto"/>
                <w:highlight w:val="none"/>
                <w:lang w:val="en-US" w:eastAsia="zh-CN"/>
              </w:rPr>
              <w:t>/a</w:t>
            </w:r>
            <w:r>
              <w:rPr>
                <w:rFonts w:hint="default"/>
                <w:color w:val="auto"/>
                <w:highlight w:val="none"/>
                <w:lang w:val="en-US" w:eastAsia="zh-CN"/>
              </w:rPr>
              <w:t>，BOD</w:t>
            </w:r>
            <w:r>
              <w:rPr>
                <w:rFonts w:hint="eastAsia"/>
                <w:color w:val="auto"/>
                <w:highlight w:val="none"/>
                <w:vertAlign w:val="subscript"/>
                <w:lang w:val="en-US" w:eastAsia="zh-CN"/>
              </w:rPr>
              <w:t>5</w:t>
            </w:r>
            <w:r>
              <w:rPr>
                <w:rFonts w:hint="default"/>
                <w:color w:val="auto"/>
                <w:highlight w:val="none"/>
                <w:lang w:val="en-US" w:eastAsia="zh-CN"/>
              </w:rPr>
              <w:t>去除量约</w:t>
            </w:r>
            <w:r>
              <w:rPr>
                <w:rFonts w:hint="eastAsia"/>
                <w:color w:val="auto"/>
                <w:highlight w:val="none"/>
                <w:lang w:val="en-US" w:eastAsia="zh-CN"/>
              </w:rPr>
              <w:t>0.552t/a</w:t>
            </w:r>
            <w:r>
              <w:rPr>
                <w:rFonts w:hint="default"/>
                <w:color w:val="auto"/>
                <w:highlight w:val="none"/>
                <w:lang w:val="en-US" w:eastAsia="zh-CN"/>
              </w:rPr>
              <w:t>，则污水处理臭气中NH</w:t>
            </w:r>
            <w:r>
              <w:rPr>
                <w:rFonts w:hint="eastAsia"/>
                <w:color w:val="auto"/>
                <w:highlight w:val="none"/>
                <w:vertAlign w:val="subscript"/>
                <w:lang w:val="en-US" w:eastAsia="zh-CN"/>
              </w:rPr>
              <w:t>3</w:t>
            </w:r>
            <w:r>
              <w:rPr>
                <w:rFonts w:hint="eastAsia"/>
                <w:color w:val="auto"/>
                <w:highlight w:val="none"/>
                <w:lang w:val="en-US" w:eastAsia="zh-CN"/>
              </w:rPr>
              <w:t>、</w:t>
            </w:r>
            <w:r>
              <w:rPr>
                <w:rFonts w:hint="default"/>
                <w:color w:val="auto"/>
                <w:highlight w:val="none"/>
                <w:lang w:val="en-US" w:eastAsia="zh-CN"/>
              </w:rPr>
              <w:t>H</w:t>
            </w:r>
            <w:r>
              <w:rPr>
                <w:rFonts w:hint="eastAsia"/>
                <w:color w:val="auto"/>
                <w:highlight w:val="none"/>
                <w:vertAlign w:val="subscript"/>
                <w:lang w:val="en-US" w:eastAsia="zh-CN"/>
              </w:rPr>
              <w:t>2</w:t>
            </w:r>
            <w:r>
              <w:rPr>
                <w:rFonts w:hint="default"/>
                <w:color w:val="auto"/>
                <w:highlight w:val="none"/>
                <w:lang w:val="en-US" w:eastAsia="zh-CN"/>
              </w:rPr>
              <w:t>S产生量约</w:t>
            </w:r>
            <w:r>
              <w:rPr>
                <w:rFonts w:hint="eastAsia"/>
                <w:color w:val="auto"/>
                <w:highlight w:val="none"/>
                <w:lang w:val="en-US" w:eastAsia="zh-CN"/>
              </w:rPr>
              <w:t>1.71kg</w:t>
            </w:r>
            <w:r>
              <w:rPr>
                <w:rFonts w:hint="default"/>
                <w:color w:val="auto"/>
                <w:highlight w:val="none"/>
                <w:lang w:val="en-US" w:eastAsia="zh-CN"/>
              </w:rPr>
              <w:t>/a、</w:t>
            </w:r>
            <w:r>
              <w:rPr>
                <w:rFonts w:hint="eastAsia"/>
                <w:color w:val="auto"/>
                <w:highlight w:val="none"/>
                <w:lang w:val="en-US" w:eastAsia="zh-CN"/>
              </w:rPr>
              <w:t>0.066kg</w:t>
            </w:r>
            <w:r>
              <w:rPr>
                <w:rFonts w:hint="default"/>
                <w:color w:val="auto"/>
                <w:highlight w:val="none"/>
                <w:lang w:val="en-US" w:eastAsia="zh-CN"/>
              </w:rPr>
              <w:t>/a</w:t>
            </w:r>
            <w:r>
              <w:rPr>
                <w:rFonts w:hint="default" w:ascii="Times New Roman" w:hAnsi="Times New Roman" w:eastAsia="宋体" w:cs="Times New Roman"/>
                <w:color w:val="auto"/>
                <w:highlight w:val="none"/>
                <w:lang w:val="en-US" w:eastAsia="zh-CN"/>
              </w:rPr>
              <w:t>。</w:t>
            </w:r>
            <w:r>
              <w:rPr>
                <w:rFonts w:hint="eastAsia" w:ascii="Times New Roman" w:hAnsi="Times New Roman" w:eastAsia="宋体" w:cs="Times New Roman"/>
                <w:color w:val="auto"/>
                <w:highlight w:val="none"/>
                <w:lang w:val="en-US" w:eastAsia="zh-CN"/>
              </w:rPr>
              <w:t>本</w:t>
            </w:r>
            <w:r>
              <w:rPr>
                <w:rFonts w:hint="eastAsia"/>
                <w:color w:val="auto"/>
                <w:highlight w:val="none"/>
                <w:lang w:val="en-US" w:eastAsia="zh-CN"/>
              </w:rPr>
              <w:t>项目污水处理站密闭，周边定期喷洒除臭剂。</w:t>
            </w:r>
          </w:p>
          <w:p w14:paraId="684FA0CA">
            <w:pPr>
              <w:ind w:firstLine="480" w:firstLineChars="200"/>
              <w:rPr>
                <w:color w:val="auto"/>
              </w:rPr>
            </w:pPr>
            <w:r>
              <w:rPr>
                <w:rFonts w:hint="eastAsia"/>
                <w:color w:val="auto"/>
                <w:lang w:eastAsia="zh-CN"/>
              </w:rPr>
              <w:t>综上可知，本项目</w:t>
            </w:r>
            <w:r>
              <w:rPr>
                <w:color w:val="auto"/>
              </w:rPr>
              <w:t>建成后污染物浓度较低，废气产生量较小</w:t>
            </w:r>
            <w:r>
              <w:rPr>
                <w:rFonts w:hint="eastAsia"/>
                <w:color w:val="auto"/>
                <w:highlight w:val="none"/>
                <w:lang w:val="en-US" w:eastAsia="zh-CN"/>
              </w:rPr>
              <w:t>，</w:t>
            </w:r>
            <w:r>
              <w:rPr>
                <w:rFonts w:hint="eastAsia"/>
                <w:color w:val="auto"/>
                <w:lang w:eastAsia="zh-CN"/>
              </w:rPr>
              <w:t>且</w:t>
            </w:r>
            <w:r>
              <w:rPr>
                <w:color w:val="auto"/>
              </w:rPr>
              <w:t>污水处理设施设置周边100m范围内无居民区，同时项目污水处理设施规模较小，因此污水处理站的恶臭不会对项目生产区以及周边环境敏感点产生明显影响。</w:t>
            </w:r>
          </w:p>
          <w:p w14:paraId="5AC6CCC3">
            <w:pPr>
              <w:ind w:firstLine="480" w:firstLineChars="200"/>
              <w:rPr>
                <w:color w:val="auto"/>
              </w:rPr>
            </w:pPr>
            <w:r>
              <w:rPr>
                <w:color w:val="auto"/>
              </w:rPr>
              <w:t>本项目无组织废气排放情况如下表所示。</w:t>
            </w:r>
          </w:p>
          <w:p w14:paraId="486E8997">
            <w:pPr>
              <w:pStyle w:val="6"/>
              <w:adjustRightInd w:val="0"/>
              <w:snapToGrid w:val="0"/>
              <w:rPr>
                <w:color w:val="auto"/>
              </w:rPr>
            </w:pPr>
            <w:r>
              <w:rPr>
                <w:color w:val="auto"/>
              </w:rPr>
              <w:t xml:space="preserve">表 </w:t>
            </w:r>
            <w:r>
              <w:rPr>
                <w:rFonts w:hint="eastAsia"/>
                <w:color w:val="auto"/>
              </w:rPr>
              <w:t>4-</w:t>
            </w:r>
            <w:r>
              <w:rPr>
                <w:color w:val="auto"/>
              </w:rPr>
              <w:fldChar w:fldCharType="begin"/>
            </w:r>
            <w:r>
              <w:rPr>
                <w:color w:val="auto"/>
              </w:rPr>
              <w:instrText xml:space="preserve"> SEQ 表 \* ARABIC \s 1 </w:instrText>
            </w:r>
            <w:r>
              <w:rPr>
                <w:color w:val="auto"/>
              </w:rPr>
              <w:fldChar w:fldCharType="separate"/>
            </w:r>
            <w:r>
              <w:rPr>
                <w:color w:val="auto"/>
              </w:rPr>
              <w:t>1</w:t>
            </w:r>
            <w:r>
              <w:rPr>
                <w:color w:val="auto"/>
              </w:rPr>
              <w:fldChar w:fldCharType="end"/>
            </w:r>
            <w:r>
              <w:rPr>
                <w:rFonts w:hint="eastAsia"/>
                <w:color w:val="auto"/>
              </w:rPr>
              <w:t>项目废气无组织排放情况一览表</w:t>
            </w:r>
          </w:p>
          <w:tbl>
            <w:tblPr>
              <w:tblStyle w:val="23"/>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3"/>
              <w:gridCol w:w="992"/>
              <w:gridCol w:w="1141"/>
              <w:gridCol w:w="1002"/>
              <w:gridCol w:w="2373"/>
              <w:gridCol w:w="1207"/>
              <w:gridCol w:w="1199"/>
            </w:tblGrid>
            <w:tr w14:paraId="76FDF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773" w:type="dxa"/>
                  <w:vMerge w:val="restart"/>
                  <w:noWrap/>
                  <w:vAlign w:val="center"/>
                </w:tcPr>
                <w:p w14:paraId="17ED8333">
                  <w:pPr>
                    <w:adjustRightInd w:val="0"/>
                    <w:snapToGrid w:val="0"/>
                    <w:spacing w:line="240" w:lineRule="auto"/>
                    <w:jc w:val="center"/>
                    <w:rPr>
                      <w:color w:val="auto"/>
                      <w:sz w:val="18"/>
                      <w:szCs w:val="18"/>
                    </w:rPr>
                  </w:pPr>
                  <w:r>
                    <w:rPr>
                      <w:color w:val="auto"/>
                      <w:sz w:val="18"/>
                      <w:szCs w:val="18"/>
                    </w:rPr>
                    <w:t>污染源</w:t>
                  </w:r>
                </w:p>
              </w:tc>
              <w:tc>
                <w:tcPr>
                  <w:tcW w:w="992" w:type="dxa"/>
                  <w:vMerge w:val="restart"/>
                  <w:noWrap/>
                  <w:vAlign w:val="center"/>
                </w:tcPr>
                <w:p w14:paraId="4386AE72">
                  <w:pPr>
                    <w:adjustRightInd w:val="0"/>
                    <w:snapToGrid w:val="0"/>
                    <w:spacing w:line="240" w:lineRule="auto"/>
                    <w:jc w:val="center"/>
                    <w:rPr>
                      <w:color w:val="auto"/>
                      <w:sz w:val="18"/>
                      <w:szCs w:val="18"/>
                    </w:rPr>
                  </w:pPr>
                  <w:r>
                    <w:rPr>
                      <w:color w:val="auto"/>
                      <w:sz w:val="18"/>
                      <w:szCs w:val="18"/>
                    </w:rPr>
                    <w:t>污染物名称</w:t>
                  </w:r>
                </w:p>
              </w:tc>
              <w:tc>
                <w:tcPr>
                  <w:tcW w:w="2141" w:type="dxa"/>
                  <w:gridSpan w:val="2"/>
                  <w:noWrap/>
                  <w:vAlign w:val="center"/>
                </w:tcPr>
                <w:p w14:paraId="21D0E635">
                  <w:pPr>
                    <w:adjustRightInd w:val="0"/>
                    <w:snapToGrid w:val="0"/>
                    <w:spacing w:line="240" w:lineRule="auto"/>
                    <w:jc w:val="center"/>
                    <w:rPr>
                      <w:color w:val="auto"/>
                      <w:sz w:val="18"/>
                      <w:szCs w:val="18"/>
                    </w:rPr>
                  </w:pPr>
                  <w:r>
                    <w:rPr>
                      <w:color w:val="auto"/>
                      <w:sz w:val="18"/>
                      <w:szCs w:val="18"/>
                    </w:rPr>
                    <w:t>产生情况</w:t>
                  </w:r>
                </w:p>
              </w:tc>
              <w:tc>
                <w:tcPr>
                  <w:tcW w:w="2371" w:type="dxa"/>
                  <w:vMerge w:val="restart"/>
                  <w:noWrap/>
                  <w:vAlign w:val="center"/>
                </w:tcPr>
                <w:p w14:paraId="6B4CB678">
                  <w:pPr>
                    <w:adjustRightInd w:val="0"/>
                    <w:snapToGrid w:val="0"/>
                    <w:spacing w:line="240" w:lineRule="auto"/>
                    <w:jc w:val="center"/>
                    <w:rPr>
                      <w:color w:val="auto"/>
                      <w:sz w:val="18"/>
                      <w:szCs w:val="18"/>
                    </w:rPr>
                  </w:pPr>
                  <w:r>
                    <w:rPr>
                      <w:rFonts w:hint="eastAsia"/>
                      <w:color w:val="auto"/>
                      <w:sz w:val="18"/>
                      <w:szCs w:val="18"/>
                    </w:rPr>
                    <w:t>主要污染防治措施</w:t>
                  </w:r>
                </w:p>
              </w:tc>
              <w:tc>
                <w:tcPr>
                  <w:tcW w:w="2404" w:type="dxa"/>
                  <w:gridSpan w:val="2"/>
                  <w:noWrap/>
                  <w:vAlign w:val="center"/>
                </w:tcPr>
                <w:p w14:paraId="648C1282">
                  <w:pPr>
                    <w:adjustRightInd w:val="0"/>
                    <w:snapToGrid w:val="0"/>
                    <w:spacing w:line="240" w:lineRule="auto"/>
                    <w:jc w:val="center"/>
                    <w:rPr>
                      <w:color w:val="auto"/>
                      <w:sz w:val="18"/>
                      <w:szCs w:val="18"/>
                    </w:rPr>
                  </w:pPr>
                  <w:r>
                    <w:rPr>
                      <w:color w:val="auto"/>
                      <w:sz w:val="18"/>
                      <w:szCs w:val="18"/>
                    </w:rPr>
                    <w:t>排放情况</w:t>
                  </w:r>
                </w:p>
              </w:tc>
            </w:tr>
            <w:tr w14:paraId="221C5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73" w:type="dxa"/>
                  <w:vMerge w:val="continue"/>
                  <w:noWrap/>
                  <w:vAlign w:val="center"/>
                </w:tcPr>
                <w:p w14:paraId="53B93E1C">
                  <w:pPr>
                    <w:adjustRightInd w:val="0"/>
                    <w:snapToGrid w:val="0"/>
                    <w:spacing w:line="240" w:lineRule="auto"/>
                    <w:jc w:val="center"/>
                    <w:rPr>
                      <w:color w:val="auto"/>
                      <w:sz w:val="18"/>
                      <w:szCs w:val="18"/>
                    </w:rPr>
                  </w:pPr>
                </w:p>
              </w:tc>
              <w:tc>
                <w:tcPr>
                  <w:tcW w:w="992" w:type="dxa"/>
                  <w:vMerge w:val="continue"/>
                  <w:noWrap/>
                  <w:vAlign w:val="center"/>
                </w:tcPr>
                <w:p w14:paraId="5F60A2D9">
                  <w:pPr>
                    <w:adjustRightInd w:val="0"/>
                    <w:snapToGrid w:val="0"/>
                    <w:spacing w:line="240" w:lineRule="auto"/>
                    <w:jc w:val="center"/>
                    <w:rPr>
                      <w:color w:val="auto"/>
                      <w:sz w:val="18"/>
                      <w:szCs w:val="18"/>
                    </w:rPr>
                  </w:pPr>
                </w:p>
              </w:tc>
              <w:tc>
                <w:tcPr>
                  <w:tcW w:w="1140" w:type="dxa"/>
                  <w:noWrap/>
                  <w:vAlign w:val="center"/>
                </w:tcPr>
                <w:p w14:paraId="6767CDB1">
                  <w:pPr>
                    <w:adjustRightInd w:val="0"/>
                    <w:snapToGrid w:val="0"/>
                    <w:spacing w:line="240" w:lineRule="auto"/>
                    <w:jc w:val="center"/>
                    <w:rPr>
                      <w:color w:val="auto"/>
                      <w:sz w:val="18"/>
                      <w:szCs w:val="18"/>
                    </w:rPr>
                  </w:pPr>
                  <w:r>
                    <w:rPr>
                      <w:color w:val="auto"/>
                      <w:sz w:val="18"/>
                      <w:szCs w:val="18"/>
                    </w:rPr>
                    <w:t>排放速率（kg/h）</w:t>
                  </w:r>
                </w:p>
              </w:tc>
              <w:tc>
                <w:tcPr>
                  <w:tcW w:w="1001" w:type="dxa"/>
                  <w:noWrap/>
                  <w:vAlign w:val="center"/>
                </w:tcPr>
                <w:p w14:paraId="4A2CB351">
                  <w:pPr>
                    <w:adjustRightInd w:val="0"/>
                    <w:snapToGrid w:val="0"/>
                    <w:spacing w:line="240" w:lineRule="auto"/>
                    <w:jc w:val="center"/>
                    <w:rPr>
                      <w:color w:val="auto"/>
                      <w:sz w:val="18"/>
                      <w:szCs w:val="18"/>
                    </w:rPr>
                  </w:pPr>
                  <w:r>
                    <w:rPr>
                      <w:color w:val="auto"/>
                      <w:sz w:val="18"/>
                      <w:szCs w:val="18"/>
                    </w:rPr>
                    <w:t>产生量（t/a）</w:t>
                  </w:r>
                </w:p>
              </w:tc>
              <w:tc>
                <w:tcPr>
                  <w:tcW w:w="2371" w:type="dxa"/>
                  <w:vMerge w:val="continue"/>
                  <w:noWrap/>
                  <w:vAlign w:val="center"/>
                </w:tcPr>
                <w:p w14:paraId="21C290E9">
                  <w:pPr>
                    <w:adjustRightInd w:val="0"/>
                    <w:snapToGrid w:val="0"/>
                    <w:spacing w:line="240" w:lineRule="auto"/>
                    <w:jc w:val="center"/>
                    <w:rPr>
                      <w:color w:val="auto"/>
                      <w:sz w:val="18"/>
                      <w:szCs w:val="18"/>
                    </w:rPr>
                  </w:pPr>
                </w:p>
              </w:tc>
              <w:tc>
                <w:tcPr>
                  <w:tcW w:w="1206" w:type="dxa"/>
                  <w:noWrap/>
                  <w:vAlign w:val="center"/>
                </w:tcPr>
                <w:p w14:paraId="1C4E397F">
                  <w:pPr>
                    <w:adjustRightInd w:val="0"/>
                    <w:snapToGrid w:val="0"/>
                    <w:spacing w:line="240" w:lineRule="auto"/>
                    <w:jc w:val="center"/>
                    <w:rPr>
                      <w:color w:val="auto"/>
                      <w:sz w:val="18"/>
                      <w:szCs w:val="18"/>
                    </w:rPr>
                  </w:pPr>
                  <w:r>
                    <w:rPr>
                      <w:color w:val="auto"/>
                      <w:sz w:val="18"/>
                      <w:szCs w:val="18"/>
                    </w:rPr>
                    <w:t>排放速率（kg/h）</w:t>
                  </w:r>
                </w:p>
              </w:tc>
              <w:tc>
                <w:tcPr>
                  <w:tcW w:w="1198" w:type="dxa"/>
                  <w:noWrap/>
                  <w:vAlign w:val="center"/>
                </w:tcPr>
                <w:p w14:paraId="227BF77C">
                  <w:pPr>
                    <w:adjustRightInd w:val="0"/>
                    <w:snapToGrid w:val="0"/>
                    <w:spacing w:line="240" w:lineRule="auto"/>
                    <w:jc w:val="center"/>
                    <w:rPr>
                      <w:color w:val="auto"/>
                      <w:sz w:val="18"/>
                      <w:szCs w:val="18"/>
                    </w:rPr>
                  </w:pPr>
                  <w:r>
                    <w:rPr>
                      <w:color w:val="auto"/>
                      <w:sz w:val="18"/>
                      <w:szCs w:val="18"/>
                    </w:rPr>
                    <w:t>排放量（t/a）</w:t>
                  </w:r>
                </w:p>
              </w:tc>
            </w:tr>
            <w:tr w14:paraId="604D2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73" w:type="dxa"/>
                  <w:noWrap/>
                  <w:vAlign w:val="center"/>
                </w:tcPr>
                <w:p w14:paraId="4BFC26C1">
                  <w:pPr>
                    <w:adjustRightInd w:val="0"/>
                    <w:snapToGrid w:val="0"/>
                    <w:spacing w:line="240" w:lineRule="auto"/>
                    <w:jc w:val="center"/>
                    <w:rPr>
                      <w:color w:val="auto"/>
                      <w:sz w:val="18"/>
                      <w:szCs w:val="18"/>
                    </w:rPr>
                  </w:pPr>
                  <w:r>
                    <w:rPr>
                      <w:rFonts w:hint="eastAsia"/>
                      <w:color w:val="auto"/>
                      <w:sz w:val="18"/>
                      <w:szCs w:val="18"/>
                    </w:rPr>
                    <w:t>投料粉尘</w:t>
                  </w:r>
                </w:p>
              </w:tc>
              <w:tc>
                <w:tcPr>
                  <w:tcW w:w="992" w:type="dxa"/>
                  <w:noWrap/>
                  <w:vAlign w:val="center"/>
                </w:tcPr>
                <w:p w14:paraId="44775930">
                  <w:pPr>
                    <w:adjustRightInd w:val="0"/>
                    <w:snapToGrid w:val="0"/>
                    <w:spacing w:line="240" w:lineRule="auto"/>
                    <w:jc w:val="center"/>
                    <w:rPr>
                      <w:color w:val="auto"/>
                      <w:sz w:val="18"/>
                      <w:szCs w:val="18"/>
                    </w:rPr>
                  </w:pPr>
                  <w:r>
                    <w:rPr>
                      <w:rFonts w:hint="eastAsia"/>
                      <w:color w:val="auto"/>
                      <w:sz w:val="18"/>
                      <w:szCs w:val="18"/>
                    </w:rPr>
                    <w:t>颗粒物</w:t>
                  </w:r>
                </w:p>
              </w:tc>
              <w:tc>
                <w:tcPr>
                  <w:tcW w:w="1140" w:type="dxa"/>
                  <w:noWrap/>
                  <w:vAlign w:val="center"/>
                </w:tcPr>
                <w:p w14:paraId="2F042C1A">
                  <w:pPr>
                    <w:adjustRightInd w:val="0"/>
                    <w:snapToGrid w:val="0"/>
                    <w:spacing w:line="240" w:lineRule="auto"/>
                    <w:jc w:val="center"/>
                    <w:rPr>
                      <w:color w:val="auto"/>
                      <w:sz w:val="18"/>
                      <w:szCs w:val="18"/>
                    </w:rPr>
                  </w:pPr>
                  <w:r>
                    <w:rPr>
                      <w:rFonts w:hint="eastAsia"/>
                      <w:color w:val="auto"/>
                      <w:sz w:val="18"/>
                      <w:szCs w:val="18"/>
                    </w:rPr>
                    <w:t>0.0056</w:t>
                  </w:r>
                </w:p>
              </w:tc>
              <w:tc>
                <w:tcPr>
                  <w:tcW w:w="1001" w:type="dxa"/>
                  <w:noWrap/>
                  <w:vAlign w:val="center"/>
                </w:tcPr>
                <w:p w14:paraId="7A0A440E">
                  <w:pPr>
                    <w:adjustRightInd w:val="0"/>
                    <w:snapToGrid w:val="0"/>
                    <w:spacing w:line="240" w:lineRule="auto"/>
                    <w:jc w:val="center"/>
                    <w:rPr>
                      <w:color w:val="auto"/>
                      <w:sz w:val="18"/>
                      <w:szCs w:val="18"/>
                    </w:rPr>
                  </w:pPr>
                  <w:r>
                    <w:rPr>
                      <w:rFonts w:hint="eastAsia"/>
                      <w:color w:val="auto"/>
                      <w:sz w:val="18"/>
                      <w:szCs w:val="18"/>
                    </w:rPr>
                    <w:t>0.0135</w:t>
                  </w:r>
                </w:p>
              </w:tc>
              <w:tc>
                <w:tcPr>
                  <w:tcW w:w="2371" w:type="dxa"/>
                  <w:noWrap/>
                  <w:vAlign w:val="center"/>
                </w:tcPr>
                <w:p w14:paraId="31A67FC3">
                  <w:pPr>
                    <w:adjustRightInd w:val="0"/>
                    <w:snapToGrid w:val="0"/>
                    <w:spacing w:line="240" w:lineRule="auto"/>
                    <w:jc w:val="center"/>
                    <w:rPr>
                      <w:color w:val="auto"/>
                      <w:sz w:val="18"/>
                      <w:szCs w:val="18"/>
                    </w:rPr>
                  </w:pPr>
                  <w:r>
                    <w:rPr>
                      <w:rFonts w:hint="eastAsia"/>
                      <w:color w:val="auto"/>
                      <w:sz w:val="18"/>
                      <w:szCs w:val="18"/>
                      <w:lang w:val="en-US" w:eastAsia="zh-CN"/>
                    </w:rPr>
                    <w:t>经布袋除尘器处理后</w:t>
                  </w:r>
                  <w:r>
                    <w:rPr>
                      <w:color w:val="auto"/>
                      <w:sz w:val="18"/>
                      <w:szCs w:val="18"/>
                    </w:rPr>
                    <w:t>通过洁净车间换气系统排放</w:t>
                  </w:r>
                </w:p>
              </w:tc>
              <w:tc>
                <w:tcPr>
                  <w:tcW w:w="1206" w:type="dxa"/>
                  <w:shd w:val="clear" w:color="auto" w:fill="auto"/>
                  <w:noWrap/>
                  <w:vAlign w:val="center"/>
                </w:tcPr>
                <w:p w14:paraId="109587E3">
                  <w:pPr>
                    <w:adjustRightInd w:val="0"/>
                    <w:snapToGrid w:val="0"/>
                    <w:spacing w:line="240" w:lineRule="auto"/>
                    <w:jc w:val="center"/>
                    <w:rPr>
                      <w:rFonts w:hint="default" w:eastAsia="宋体"/>
                      <w:color w:val="auto"/>
                      <w:sz w:val="18"/>
                      <w:szCs w:val="18"/>
                      <w:lang w:val="en-US" w:eastAsia="zh-CN"/>
                    </w:rPr>
                  </w:pPr>
                  <w:r>
                    <w:rPr>
                      <w:rFonts w:hint="eastAsia"/>
                      <w:color w:val="auto"/>
                      <w:sz w:val="18"/>
                      <w:szCs w:val="18"/>
                    </w:rPr>
                    <w:t>0.00</w:t>
                  </w:r>
                  <w:r>
                    <w:rPr>
                      <w:rFonts w:hint="eastAsia"/>
                      <w:color w:val="auto"/>
                      <w:sz w:val="18"/>
                      <w:szCs w:val="18"/>
                      <w:lang w:val="en-US" w:eastAsia="zh-CN"/>
                    </w:rPr>
                    <w:t>16</w:t>
                  </w:r>
                </w:p>
              </w:tc>
              <w:tc>
                <w:tcPr>
                  <w:tcW w:w="1198" w:type="dxa"/>
                  <w:shd w:val="clear" w:color="auto" w:fill="auto"/>
                  <w:noWrap/>
                  <w:vAlign w:val="center"/>
                </w:tcPr>
                <w:p w14:paraId="6785510D">
                  <w:pPr>
                    <w:adjustRightInd w:val="0"/>
                    <w:snapToGrid w:val="0"/>
                    <w:spacing w:line="240" w:lineRule="auto"/>
                    <w:jc w:val="center"/>
                    <w:rPr>
                      <w:rFonts w:hint="default" w:eastAsia="宋体"/>
                      <w:color w:val="auto"/>
                      <w:sz w:val="18"/>
                      <w:szCs w:val="18"/>
                      <w:lang w:val="en-US" w:eastAsia="zh-CN"/>
                    </w:rPr>
                  </w:pPr>
                  <w:r>
                    <w:rPr>
                      <w:rFonts w:hint="eastAsia"/>
                      <w:color w:val="auto"/>
                      <w:sz w:val="18"/>
                      <w:szCs w:val="18"/>
                    </w:rPr>
                    <w:t>0.0</w:t>
                  </w:r>
                  <w:r>
                    <w:rPr>
                      <w:rFonts w:hint="eastAsia"/>
                      <w:color w:val="auto"/>
                      <w:sz w:val="18"/>
                      <w:szCs w:val="18"/>
                      <w:lang w:val="en-US" w:eastAsia="zh-CN"/>
                    </w:rPr>
                    <w:t>038</w:t>
                  </w:r>
                </w:p>
              </w:tc>
            </w:tr>
            <w:tr w14:paraId="56D4A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773" w:type="dxa"/>
                  <w:vMerge w:val="restart"/>
                  <w:noWrap/>
                  <w:vAlign w:val="center"/>
                </w:tcPr>
                <w:p w14:paraId="793E853D">
                  <w:pPr>
                    <w:adjustRightInd w:val="0"/>
                    <w:snapToGrid w:val="0"/>
                    <w:spacing w:line="240" w:lineRule="auto"/>
                    <w:jc w:val="center"/>
                    <w:rPr>
                      <w:rFonts w:hint="eastAsia"/>
                      <w:color w:val="auto"/>
                      <w:sz w:val="18"/>
                      <w:szCs w:val="18"/>
                    </w:rPr>
                  </w:pPr>
                  <w:r>
                    <w:rPr>
                      <w:color w:val="auto"/>
                    </w:rPr>
                    <w:t>污水处理设施恶臭</w:t>
                  </w:r>
                </w:p>
              </w:tc>
              <w:tc>
                <w:tcPr>
                  <w:tcW w:w="992" w:type="dxa"/>
                  <w:shd w:val="clear" w:color="auto" w:fill="auto"/>
                  <w:noWrap/>
                  <w:vAlign w:val="center"/>
                </w:tcPr>
                <w:p w14:paraId="6AE873A5">
                  <w:pPr>
                    <w:pStyle w:val="40"/>
                    <w:bidi w:val="0"/>
                    <w:ind w:firstLine="0" w:firstLineChars="0"/>
                    <w:rPr>
                      <w:rFonts w:hint="eastAsia" w:ascii="Times New Roman" w:hAnsi="Times New Roman" w:eastAsia="宋体" w:cs="Times New Roman"/>
                      <w:color w:val="auto"/>
                      <w:sz w:val="21"/>
                      <w:szCs w:val="24"/>
                      <w:lang w:val="en-US" w:eastAsia="zh-CN" w:bidi="ar-SA"/>
                    </w:rPr>
                  </w:pPr>
                  <w:r>
                    <w:rPr>
                      <w:rFonts w:hint="eastAsia"/>
                      <w:color w:val="auto"/>
                      <w:lang w:val="en-US" w:eastAsia="zh-CN"/>
                    </w:rPr>
                    <w:t>氨</w:t>
                  </w:r>
                </w:p>
              </w:tc>
              <w:tc>
                <w:tcPr>
                  <w:tcW w:w="1140" w:type="dxa"/>
                  <w:noWrap/>
                  <w:vAlign w:val="center"/>
                </w:tcPr>
                <w:p w14:paraId="54F988FF">
                  <w:pPr>
                    <w:adjustRightInd w:val="0"/>
                    <w:snapToGrid w:val="0"/>
                    <w:spacing w:line="240" w:lineRule="auto"/>
                    <w:jc w:val="center"/>
                    <w:rPr>
                      <w:rFonts w:hint="default" w:eastAsia="宋体"/>
                      <w:color w:val="auto"/>
                      <w:sz w:val="18"/>
                      <w:szCs w:val="18"/>
                      <w:lang w:val="en-US" w:eastAsia="zh-CN"/>
                    </w:rPr>
                  </w:pPr>
                  <w:r>
                    <w:rPr>
                      <w:rFonts w:hint="eastAsia"/>
                      <w:color w:val="auto"/>
                      <w:sz w:val="18"/>
                      <w:szCs w:val="18"/>
                      <w:lang w:val="en-US" w:eastAsia="zh-CN"/>
                    </w:rPr>
                    <w:t>0.0007</w:t>
                  </w:r>
                </w:p>
              </w:tc>
              <w:tc>
                <w:tcPr>
                  <w:tcW w:w="1001" w:type="dxa"/>
                  <w:noWrap/>
                  <w:vAlign w:val="center"/>
                </w:tcPr>
                <w:p w14:paraId="677D3358">
                  <w:pPr>
                    <w:adjustRightInd w:val="0"/>
                    <w:snapToGrid w:val="0"/>
                    <w:spacing w:line="240" w:lineRule="auto"/>
                    <w:jc w:val="center"/>
                    <w:rPr>
                      <w:rFonts w:hint="default" w:eastAsia="宋体"/>
                      <w:color w:val="auto"/>
                      <w:sz w:val="18"/>
                      <w:szCs w:val="18"/>
                      <w:lang w:val="en-US" w:eastAsia="zh-CN"/>
                    </w:rPr>
                  </w:pPr>
                  <w:r>
                    <w:rPr>
                      <w:rFonts w:hint="eastAsia"/>
                      <w:color w:val="auto"/>
                      <w:sz w:val="18"/>
                      <w:szCs w:val="18"/>
                      <w:lang w:val="en-US" w:eastAsia="zh-CN"/>
                    </w:rPr>
                    <w:t>0.00171</w:t>
                  </w:r>
                </w:p>
              </w:tc>
              <w:tc>
                <w:tcPr>
                  <w:tcW w:w="2371" w:type="dxa"/>
                  <w:vMerge w:val="restart"/>
                  <w:noWrap/>
                  <w:vAlign w:val="center"/>
                </w:tcPr>
                <w:p w14:paraId="1DE682DF">
                  <w:pPr>
                    <w:adjustRightInd w:val="0"/>
                    <w:snapToGrid w:val="0"/>
                    <w:spacing w:line="240" w:lineRule="auto"/>
                    <w:jc w:val="center"/>
                    <w:rPr>
                      <w:rFonts w:hint="eastAsia"/>
                      <w:color w:val="auto"/>
                      <w:sz w:val="18"/>
                      <w:szCs w:val="18"/>
                      <w:lang w:val="en-US" w:eastAsia="zh-CN"/>
                    </w:rPr>
                  </w:pPr>
                  <w:r>
                    <w:rPr>
                      <w:rFonts w:hint="eastAsia" w:ascii="Times New Roman" w:hAnsi="Times New Roman" w:eastAsia="宋体" w:cs="Times New Roman"/>
                      <w:color w:val="auto"/>
                      <w:sz w:val="18"/>
                      <w:szCs w:val="18"/>
                      <w:lang w:val="en-US" w:eastAsia="zh-CN"/>
                    </w:rPr>
                    <w:t>密闭一体化污水处理设施</w:t>
                  </w:r>
                  <w:r>
                    <w:rPr>
                      <w:rFonts w:hint="eastAsia" w:ascii="Times New Roman" w:hAnsi="Times New Roman" w:eastAsia="宋体" w:cs="Times New Roman"/>
                      <w:color w:val="auto"/>
                      <w:sz w:val="18"/>
                      <w:szCs w:val="18"/>
                    </w:rPr>
                    <w:t>，</w:t>
                  </w:r>
                  <w:r>
                    <w:rPr>
                      <w:rFonts w:hint="eastAsia" w:ascii="Times New Roman" w:hAnsi="Times New Roman" w:eastAsia="宋体" w:cs="Times New Roman"/>
                      <w:color w:val="auto"/>
                      <w:sz w:val="18"/>
                      <w:szCs w:val="18"/>
                      <w:lang w:val="en-US" w:eastAsia="zh-CN"/>
                    </w:rPr>
                    <w:t>定期喷洒除臭剂</w:t>
                  </w:r>
                </w:p>
              </w:tc>
              <w:tc>
                <w:tcPr>
                  <w:tcW w:w="1206" w:type="dxa"/>
                  <w:shd w:val="clear" w:color="auto" w:fill="auto"/>
                  <w:noWrap/>
                  <w:vAlign w:val="center"/>
                </w:tcPr>
                <w:p w14:paraId="3671388D">
                  <w:pPr>
                    <w:adjustRightInd w:val="0"/>
                    <w:snapToGrid w:val="0"/>
                    <w:spacing w:line="240" w:lineRule="auto"/>
                    <w:jc w:val="center"/>
                    <w:rPr>
                      <w:rFonts w:hint="eastAsia"/>
                      <w:color w:val="auto"/>
                      <w:sz w:val="18"/>
                      <w:szCs w:val="18"/>
                    </w:rPr>
                  </w:pPr>
                  <w:r>
                    <w:rPr>
                      <w:rFonts w:hint="eastAsia"/>
                      <w:color w:val="auto"/>
                      <w:sz w:val="18"/>
                      <w:szCs w:val="18"/>
                      <w:lang w:val="en-US" w:eastAsia="zh-CN"/>
                    </w:rPr>
                    <w:t>0.0007</w:t>
                  </w:r>
                </w:p>
              </w:tc>
              <w:tc>
                <w:tcPr>
                  <w:tcW w:w="1198" w:type="dxa"/>
                  <w:shd w:val="clear" w:color="auto" w:fill="auto"/>
                  <w:noWrap/>
                  <w:vAlign w:val="center"/>
                </w:tcPr>
                <w:p w14:paraId="56B0B8AF">
                  <w:pPr>
                    <w:adjustRightInd w:val="0"/>
                    <w:snapToGrid w:val="0"/>
                    <w:spacing w:line="240" w:lineRule="auto"/>
                    <w:jc w:val="center"/>
                    <w:rPr>
                      <w:rFonts w:hint="eastAsia" w:ascii="Times New Roman" w:hAnsi="Times New Roman" w:eastAsia="宋体" w:cs="Times New Roman"/>
                      <w:color w:val="auto"/>
                      <w:sz w:val="18"/>
                      <w:szCs w:val="18"/>
                      <w:lang w:val="en-US" w:eastAsia="zh-CN" w:bidi="ar-SA"/>
                    </w:rPr>
                  </w:pPr>
                  <w:r>
                    <w:rPr>
                      <w:rFonts w:hint="eastAsia"/>
                      <w:color w:val="auto"/>
                      <w:sz w:val="18"/>
                      <w:szCs w:val="18"/>
                      <w:lang w:val="en-US" w:eastAsia="zh-CN"/>
                    </w:rPr>
                    <w:t>0.00171</w:t>
                  </w:r>
                </w:p>
              </w:tc>
            </w:tr>
            <w:tr w14:paraId="6E601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773" w:type="dxa"/>
                  <w:vMerge w:val="continue"/>
                  <w:noWrap/>
                  <w:vAlign w:val="center"/>
                </w:tcPr>
                <w:p w14:paraId="70AB0357">
                  <w:pPr>
                    <w:adjustRightInd w:val="0"/>
                    <w:snapToGrid w:val="0"/>
                    <w:spacing w:line="240" w:lineRule="auto"/>
                    <w:jc w:val="center"/>
                    <w:rPr>
                      <w:color w:val="auto"/>
                    </w:rPr>
                  </w:pPr>
                </w:p>
              </w:tc>
              <w:tc>
                <w:tcPr>
                  <w:tcW w:w="992" w:type="dxa"/>
                  <w:shd w:val="clear" w:color="auto" w:fill="auto"/>
                  <w:noWrap/>
                  <w:vAlign w:val="center"/>
                </w:tcPr>
                <w:p w14:paraId="73D3C131">
                  <w:pPr>
                    <w:pStyle w:val="40"/>
                    <w:bidi w:val="0"/>
                    <w:ind w:firstLine="0" w:firstLineChars="0"/>
                    <w:rPr>
                      <w:rFonts w:hint="eastAsia" w:ascii="Times New Roman" w:hAnsi="Times New Roman" w:eastAsia="宋体" w:cs="Times New Roman"/>
                      <w:color w:val="auto"/>
                      <w:sz w:val="21"/>
                      <w:szCs w:val="24"/>
                      <w:lang w:val="en-US" w:eastAsia="zh-CN" w:bidi="ar-SA"/>
                    </w:rPr>
                  </w:pPr>
                  <w:r>
                    <w:rPr>
                      <w:rFonts w:hint="eastAsia"/>
                      <w:color w:val="auto"/>
                      <w:lang w:val="en-US" w:eastAsia="zh-CN"/>
                    </w:rPr>
                    <w:t>硫化氢</w:t>
                  </w:r>
                </w:p>
              </w:tc>
              <w:tc>
                <w:tcPr>
                  <w:tcW w:w="1140" w:type="dxa"/>
                  <w:noWrap/>
                  <w:vAlign w:val="center"/>
                </w:tcPr>
                <w:p w14:paraId="685779BB">
                  <w:pPr>
                    <w:adjustRightInd w:val="0"/>
                    <w:snapToGrid w:val="0"/>
                    <w:spacing w:line="240" w:lineRule="auto"/>
                    <w:jc w:val="center"/>
                    <w:rPr>
                      <w:rFonts w:hint="default"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0.00003</w:t>
                  </w:r>
                </w:p>
              </w:tc>
              <w:tc>
                <w:tcPr>
                  <w:tcW w:w="1001" w:type="dxa"/>
                  <w:noWrap/>
                  <w:vAlign w:val="center"/>
                </w:tcPr>
                <w:p w14:paraId="2CCEDEF4">
                  <w:pPr>
                    <w:adjustRightInd w:val="0"/>
                    <w:snapToGrid w:val="0"/>
                    <w:spacing w:line="240" w:lineRule="auto"/>
                    <w:jc w:val="center"/>
                    <w:rPr>
                      <w:rFonts w:hint="default"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0.000066</w:t>
                  </w:r>
                </w:p>
              </w:tc>
              <w:tc>
                <w:tcPr>
                  <w:tcW w:w="2371" w:type="dxa"/>
                  <w:vMerge w:val="continue"/>
                  <w:noWrap/>
                  <w:vAlign w:val="center"/>
                </w:tcPr>
                <w:p w14:paraId="51E14E76">
                  <w:pPr>
                    <w:adjustRightInd w:val="0"/>
                    <w:snapToGrid w:val="0"/>
                    <w:spacing w:line="240" w:lineRule="auto"/>
                    <w:jc w:val="center"/>
                    <w:rPr>
                      <w:rFonts w:hint="eastAsia" w:ascii="Times New Roman" w:hAnsi="Times New Roman" w:eastAsia="宋体" w:cs="Times New Roman"/>
                      <w:color w:val="auto"/>
                      <w:sz w:val="18"/>
                      <w:szCs w:val="18"/>
                      <w:lang w:val="en-US" w:eastAsia="zh-CN"/>
                    </w:rPr>
                  </w:pPr>
                </w:p>
              </w:tc>
              <w:tc>
                <w:tcPr>
                  <w:tcW w:w="1206" w:type="dxa"/>
                  <w:shd w:val="clear" w:color="auto" w:fill="auto"/>
                  <w:noWrap/>
                  <w:vAlign w:val="center"/>
                </w:tcPr>
                <w:p w14:paraId="7EC2C5BF">
                  <w:pPr>
                    <w:adjustRightInd w:val="0"/>
                    <w:snapToGrid w:val="0"/>
                    <w:spacing w:line="240" w:lineRule="auto"/>
                    <w:jc w:val="center"/>
                    <w:rPr>
                      <w:rFonts w:hint="eastAsia"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0.00003</w:t>
                  </w:r>
                </w:p>
              </w:tc>
              <w:tc>
                <w:tcPr>
                  <w:tcW w:w="1198" w:type="dxa"/>
                  <w:shd w:val="clear" w:color="auto" w:fill="auto"/>
                  <w:noWrap/>
                  <w:vAlign w:val="center"/>
                </w:tcPr>
                <w:p w14:paraId="6412F4CD">
                  <w:pPr>
                    <w:adjustRightInd w:val="0"/>
                    <w:snapToGrid w:val="0"/>
                    <w:spacing w:line="240" w:lineRule="auto"/>
                    <w:jc w:val="center"/>
                    <w:rPr>
                      <w:rFonts w:hint="eastAsia" w:ascii="Times New Roman" w:hAnsi="Times New Roman" w:eastAsia="宋体" w:cs="Times New Roman"/>
                      <w:color w:val="auto"/>
                      <w:sz w:val="18"/>
                      <w:szCs w:val="18"/>
                      <w:lang w:val="en-US" w:eastAsia="zh-CN" w:bidi="ar-SA"/>
                    </w:rPr>
                  </w:pPr>
                  <w:r>
                    <w:rPr>
                      <w:rFonts w:hint="eastAsia" w:ascii="Times New Roman" w:hAnsi="Times New Roman" w:eastAsia="宋体" w:cs="Times New Roman"/>
                      <w:color w:val="auto"/>
                      <w:sz w:val="18"/>
                      <w:szCs w:val="18"/>
                      <w:lang w:val="en-US" w:eastAsia="zh-CN"/>
                    </w:rPr>
                    <w:t>0.000066</w:t>
                  </w:r>
                </w:p>
              </w:tc>
            </w:tr>
            <w:tr w14:paraId="34EE6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773" w:type="dxa"/>
                  <w:vMerge w:val="continue"/>
                  <w:noWrap/>
                  <w:vAlign w:val="center"/>
                </w:tcPr>
                <w:p w14:paraId="3A0D44AF">
                  <w:pPr>
                    <w:adjustRightInd w:val="0"/>
                    <w:snapToGrid w:val="0"/>
                    <w:spacing w:line="240" w:lineRule="auto"/>
                    <w:jc w:val="center"/>
                    <w:rPr>
                      <w:color w:val="auto"/>
                    </w:rPr>
                  </w:pPr>
                </w:p>
              </w:tc>
              <w:tc>
                <w:tcPr>
                  <w:tcW w:w="992" w:type="dxa"/>
                  <w:shd w:val="clear" w:color="auto" w:fill="auto"/>
                  <w:noWrap/>
                  <w:vAlign w:val="center"/>
                </w:tcPr>
                <w:p w14:paraId="3F7BCC24">
                  <w:pPr>
                    <w:pStyle w:val="40"/>
                    <w:bidi w:val="0"/>
                    <w:ind w:firstLine="0" w:firstLineChars="0"/>
                    <w:rPr>
                      <w:rFonts w:hint="eastAsia" w:ascii="Times New Roman" w:hAnsi="Times New Roman" w:eastAsia="宋体" w:cs="Times New Roman"/>
                      <w:color w:val="auto"/>
                      <w:sz w:val="21"/>
                      <w:szCs w:val="24"/>
                      <w:lang w:val="en-US" w:eastAsia="zh-CN" w:bidi="ar-SA"/>
                    </w:rPr>
                  </w:pPr>
                  <w:r>
                    <w:rPr>
                      <w:rFonts w:hint="eastAsia"/>
                      <w:color w:val="auto"/>
                      <w:lang w:val="en-US" w:eastAsia="zh-CN"/>
                    </w:rPr>
                    <w:t>臭气浓度</w:t>
                  </w:r>
                </w:p>
              </w:tc>
              <w:tc>
                <w:tcPr>
                  <w:tcW w:w="1140" w:type="dxa"/>
                  <w:noWrap/>
                  <w:vAlign w:val="center"/>
                </w:tcPr>
                <w:p w14:paraId="0CDAD9A9">
                  <w:pPr>
                    <w:adjustRightInd w:val="0"/>
                    <w:snapToGrid w:val="0"/>
                    <w:spacing w:line="240" w:lineRule="auto"/>
                    <w:jc w:val="center"/>
                    <w:rPr>
                      <w:rFonts w:hint="eastAsia"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w:t>
                  </w:r>
                </w:p>
              </w:tc>
              <w:tc>
                <w:tcPr>
                  <w:tcW w:w="1001" w:type="dxa"/>
                  <w:noWrap/>
                  <w:vAlign w:val="center"/>
                </w:tcPr>
                <w:p w14:paraId="163097C8">
                  <w:pPr>
                    <w:adjustRightInd w:val="0"/>
                    <w:snapToGrid w:val="0"/>
                    <w:spacing w:line="240" w:lineRule="auto"/>
                    <w:jc w:val="center"/>
                    <w:rPr>
                      <w:rFonts w:hint="default"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w:t>
                  </w:r>
                </w:p>
              </w:tc>
              <w:tc>
                <w:tcPr>
                  <w:tcW w:w="2371" w:type="dxa"/>
                  <w:vMerge w:val="continue"/>
                  <w:noWrap/>
                  <w:vAlign w:val="center"/>
                </w:tcPr>
                <w:p w14:paraId="3591A37B">
                  <w:pPr>
                    <w:adjustRightInd w:val="0"/>
                    <w:snapToGrid w:val="0"/>
                    <w:spacing w:line="240" w:lineRule="auto"/>
                    <w:jc w:val="center"/>
                    <w:rPr>
                      <w:rFonts w:hint="eastAsia" w:ascii="Times New Roman" w:hAnsi="Times New Roman" w:eastAsia="宋体" w:cs="Times New Roman"/>
                      <w:color w:val="auto"/>
                      <w:sz w:val="18"/>
                      <w:szCs w:val="18"/>
                      <w:lang w:val="en-US" w:eastAsia="zh-CN"/>
                    </w:rPr>
                  </w:pPr>
                </w:p>
              </w:tc>
              <w:tc>
                <w:tcPr>
                  <w:tcW w:w="1206" w:type="dxa"/>
                  <w:shd w:val="clear" w:color="auto" w:fill="auto"/>
                  <w:noWrap/>
                  <w:vAlign w:val="center"/>
                </w:tcPr>
                <w:p w14:paraId="4E5B40A2">
                  <w:pPr>
                    <w:adjustRightInd w:val="0"/>
                    <w:snapToGrid w:val="0"/>
                    <w:spacing w:line="240" w:lineRule="auto"/>
                    <w:jc w:val="center"/>
                    <w:rPr>
                      <w:rFonts w:hint="default"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w:t>
                  </w:r>
                </w:p>
              </w:tc>
              <w:tc>
                <w:tcPr>
                  <w:tcW w:w="1198" w:type="dxa"/>
                  <w:shd w:val="clear" w:color="auto" w:fill="auto"/>
                  <w:noWrap/>
                  <w:vAlign w:val="center"/>
                </w:tcPr>
                <w:p w14:paraId="08E04928">
                  <w:pPr>
                    <w:adjustRightInd w:val="0"/>
                    <w:snapToGrid w:val="0"/>
                    <w:spacing w:line="240" w:lineRule="auto"/>
                    <w:jc w:val="center"/>
                    <w:rPr>
                      <w:rFonts w:hint="default"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w:t>
                  </w:r>
                </w:p>
              </w:tc>
            </w:tr>
          </w:tbl>
          <w:p w14:paraId="4BDAE474">
            <w:pPr>
              <w:adjustRightInd w:val="0"/>
              <w:spacing w:line="360" w:lineRule="auto"/>
              <w:ind w:firstLine="482" w:firstLineChars="200"/>
              <w:rPr>
                <w:b/>
                <w:color w:val="auto"/>
                <w:lang w:bidi="en-US"/>
              </w:rPr>
            </w:pPr>
            <w:r>
              <w:rPr>
                <w:rFonts w:hint="eastAsia"/>
                <w:b/>
                <w:color w:val="auto"/>
                <w:lang w:bidi="en-US"/>
              </w:rPr>
              <w:t>4.2.2废气排放治理措施可行性分析</w:t>
            </w:r>
          </w:p>
          <w:p w14:paraId="74B5974B">
            <w:pPr>
              <w:ind w:firstLine="480" w:firstLineChars="200"/>
              <w:rPr>
                <w:color w:val="auto"/>
              </w:rPr>
            </w:pPr>
            <w:r>
              <w:rPr>
                <w:rFonts w:hint="eastAsia"/>
                <w:color w:val="auto"/>
              </w:rPr>
              <w:t>通过对照《排污许可证申请与核发技术规范食品制造工业一方便食品、食品及饲料添加剂制造工业》（HJ1030.3-2019），参照其“表3-1方便食品制造工业排污单位废气产污环节、污染控制项目、排放形式及污染防治设施一览表”中原料系统生产单元的相关控制要求，本项目所采取的粉尘防治措施以及排放形式均满足相关要求，污染防治措施可行。</w:t>
            </w:r>
          </w:p>
          <w:p w14:paraId="5FBA4F70">
            <w:pPr>
              <w:ind w:firstLine="480" w:firstLineChars="200"/>
              <w:rPr>
                <w:color w:val="auto"/>
              </w:rPr>
            </w:pPr>
            <w:r>
              <w:rPr>
                <w:color w:val="auto"/>
              </w:rPr>
              <w:t>具体可行性措施对照见下表：</w:t>
            </w:r>
          </w:p>
          <w:p w14:paraId="028D6803">
            <w:pPr>
              <w:pStyle w:val="6"/>
              <w:adjustRightInd w:val="0"/>
              <w:snapToGrid w:val="0"/>
              <w:rPr>
                <w:color w:val="auto"/>
              </w:rPr>
            </w:pPr>
            <w:r>
              <w:rPr>
                <w:color w:val="auto"/>
              </w:rPr>
              <w:t xml:space="preserve">表 </w:t>
            </w:r>
            <w:r>
              <w:rPr>
                <w:rFonts w:hint="eastAsia"/>
                <w:color w:val="auto"/>
              </w:rPr>
              <w:t>4-</w:t>
            </w:r>
            <w:r>
              <w:rPr>
                <w:color w:val="auto"/>
              </w:rPr>
              <w:fldChar w:fldCharType="begin"/>
            </w:r>
            <w:r>
              <w:rPr>
                <w:color w:val="auto"/>
              </w:rPr>
              <w:instrText xml:space="preserve"> SEQ 表 \* ARABIC \s 1 </w:instrText>
            </w:r>
            <w:r>
              <w:rPr>
                <w:color w:val="auto"/>
              </w:rPr>
              <w:fldChar w:fldCharType="separate"/>
            </w:r>
            <w:r>
              <w:rPr>
                <w:color w:val="auto"/>
              </w:rPr>
              <w:t>2</w:t>
            </w:r>
            <w:r>
              <w:rPr>
                <w:color w:val="auto"/>
              </w:rPr>
              <w:fldChar w:fldCharType="end"/>
            </w:r>
            <w:r>
              <w:rPr>
                <w:rFonts w:hint="eastAsia"/>
                <w:color w:val="auto"/>
                <w:szCs w:val="20"/>
              </w:rPr>
              <w:t xml:space="preserve"> 废气治理技术可行性对照表</w:t>
            </w:r>
          </w:p>
          <w:tbl>
            <w:tblPr>
              <w:tblStyle w:val="24"/>
              <w:tblW w:w="499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3"/>
              <w:gridCol w:w="933"/>
              <w:gridCol w:w="963"/>
              <w:gridCol w:w="1147"/>
              <w:gridCol w:w="2495"/>
              <w:gridCol w:w="1720"/>
              <w:gridCol w:w="691"/>
            </w:tblGrid>
            <w:tr w14:paraId="2A0DF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422" w:type="pct"/>
                  <w:vAlign w:val="center"/>
                </w:tcPr>
                <w:p w14:paraId="49733DD1">
                  <w:pPr>
                    <w:pStyle w:val="30"/>
                    <w:framePr w:hSpace="0" w:wrap="auto" w:vAnchor="margin" w:hAnchor="text" w:xAlign="left" w:yAlign="inline"/>
                    <w:rPr>
                      <w:b/>
                      <w:bCs/>
                      <w:color w:val="auto"/>
                      <w:lang w:val="en-US"/>
                    </w:rPr>
                  </w:pPr>
                  <w:r>
                    <w:rPr>
                      <w:b/>
                      <w:bCs/>
                      <w:color w:val="auto"/>
                      <w:lang w:val="en-US"/>
                    </w:rPr>
                    <w:t>生产单元</w:t>
                  </w:r>
                </w:p>
              </w:tc>
              <w:tc>
                <w:tcPr>
                  <w:tcW w:w="537" w:type="pct"/>
                  <w:vAlign w:val="center"/>
                </w:tcPr>
                <w:p w14:paraId="4A289E03">
                  <w:pPr>
                    <w:pStyle w:val="30"/>
                    <w:framePr w:hSpace="0" w:wrap="auto" w:vAnchor="margin" w:hAnchor="text" w:xAlign="left" w:yAlign="inline"/>
                    <w:rPr>
                      <w:b/>
                      <w:bCs/>
                      <w:color w:val="auto"/>
                      <w:lang w:val="en-US"/>
                    </w:rPr>
                  </w:pPr>
                  <w:r>
                    <w:rPr>
                      <w:b/>
                      <w:bCs/>
                      <w:color w:val="auto"/>
                      <w:lang w:val="en-US"/>
                    </w:rPr>
                    <w:t>生产设施</w:t>
                  </w:r>
                </w:p>
              </w:tc>
              <w:tc>
                <w:tcPr>
                  <w:tcW w:w="554" w:type="pct"/>
                  <w:vAlign w:val="center"/>
                </w:tcPr>
                <w:p w14:paraId="0AA238DC">
                  <w:pPr>
                    <w:pStyle w:val="30"/>
                    <w:framePr w:hSpace="0" w:wrap="auto" w:vAnchor="margin" w:hAnchor="text" w:xAlign="left" w:yAlign="inline"/>
                    <w:rPr>
                      <w:b/>
                      <w:bCs/>
                      <w:color w:val="auto"/>
                      <w:lang w:val="en-US"/>
                    </w:rPr>
                  </w:pPr>
                  <w:r>
                    <w:rPr>
                      <w:b/>
                      <w:bCs/>
                      <w:color w:val="auto"/>
                      <w:lang w:val="en-US"/>
                    </w:rPr>
                    <w:t>废气产污环节</w:t>
                  </w:r>
                </w:p>
              </w:tc>
              <w:tc>
                <w:tcPr>
                  <w:tcW w:w="660" w:type="pct"/>
                  <w:vAlign w:val="center"/>
                </w:tcPr>
                <w:p w14:paraId="281402C5">
                  <w:pPr>
                    <w:pStyle w:val="30"/>
                    <w:framePr w:hSpace="0" w:wrap="auto" w:vAnchor="margin" w:hAnchor="text" w:xAlign="left" w:yAlign="inline"/>
                    <w:rPr>
                      <w:b/>
                      <w:bCs/>
                      <w:color w:val="auto"/>
                      <w:lang w:val="en-US"/>
                    </w:rPr>
                  </w:pPr>
                  <w:r>
                    <w:rPr>
                      <w:b/>
                      <w:bCs/>
                      <w:color w:val="auto"/>
                      <w:lang w:val="en-US"/>
                    </w:rPr>
                    <w:t>排放形式</w:t>
                  </w:r>
                </w:p>
              </w:tc>
              <w:tc>
                <w:tcPr>
                  <w:tcW w:w="1436" w:type="pct"/>
                  <w:vAlign w:val="center"/>
                </w:tcPr>
                <w:p w14:paraId="1822F058">
                  <w:pPr>
                    <w:pStyle w:val="30"/>
                    <w:framePr w:hSpace="0" w:wrap="auto" w:vAnchor="margin" w:hAnchor="text" w:xAlign="left" w:yAlign="inline"/>
                    <w:rPr>
                      <w:b/>
                      <w:bCs/>
                      <w:color w:val="auto"/>
                      <w:lang w:val="en-US"/>
                    </w:rPr>
                  </w:pPr>
                  <w:r>
                    <w:rPr>
                      <w:b/>
                      <w:bCs/>
                      <w:color w:val="auto"/>
                      <w:lang w:val="en-US"/>
                    </w:rPr>
                    <w:t>污染防治措施</w:t>
                  </w:r>
                </w:p>
              </w:tc>
              <w:tc>
                <w:tcPr>
                  <w:tcW w:w="990" w:type="pct"/>
                  <w:vAlign w:val="center"/>
                </w:tcPr>
                <w:p w14:paraId="2A685F5C">
                  <w:pPr>
                    <w:pStyle w:val="30"/>
                    <w:framePr w:hSpace="0" w:wrap="auto" w:vAnchor="margin" w:hAnchor="text" w:xAlign="left" w:yAlign="inline"/>
                    <w:rPr>
                      <w:b/>
                      <w:bCs/>
                      <w:color w:val="auto"/>
                      <w:lang w:val="en-US"/>
                    </w:rPr>
                  </w:pPr>
                  <w:r>
                    <w:rPr>
                      <w:b/>
                      <w:bCs/>
                      <w:color w:val="auto"/>
                      <w:lang w:val="en-US"/>
                    </w:rPr>
                    <w:t>本项目建设情况</w:t>
                  </w:r>
                </w:p>
              </w:tc>
              <w:tc>
                <w:tcPr>
                  <w:tcW w:w="398" w:type="pct"/>
                  <w:vAlign w:val="center"/>
                </w:tcPr>
                <w:p w14:paraId="1A530EC0">
                  <w:pPr>
                    <w:pStyle w:val="30"/>
                    <w:framePr w:hSpace="0" w:wrap="auto" w:vAnchor="margin" w:hAnchor="text" w:xAlign="left" w:yAlign="inline"/>
                    <w:rPr>
                      <w:b/>
                      <w:bCs/>
                      <w:color w:val="auto"/>
                      <w:lang w:val="en-US"/>
                    </w:rPr>
                  </w:pPr>
                  <w:r>
                    <w:rPr>
                      <w:b/>
                      <w:bCs/>
                      <w:color w:val="auto"/>
                      <w:lang w:val="en-US"/>
                    </w:rPr>
                    <w:t>可行性</w:t>
                  </w:r>
                </w:p>
              </w:tc>
            </w:tr>
            <w:tr w14:paraId="7C60F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5" w:hRule="atLeast"/>
              </w:trPr>
              <w:tc>
                <w:tcPr>
                  <w:tcW w:w="422" w:type="pct"/>
                  <w:shd w:val="clear" w:color="auto" w:fill="auto"/>
                  <w:vAlign w:val="center"/>
                </w:tcPr>
                <w:p w14:paraId="60A1501E">
                  <w:pPr>
                    <w:pStyle w:val="30"/>
                    <w:framePr w:hSpace="0" w:wrap="auto" w:vAnchor="margin" w:hAnchor="text" w:xAlign="left" w:yAlign="inline"/>
                    <w:rPr>
                      <w:color w:val="auto"/>
                      <w:lang w:val="en-US"/>
                    </w:rPr>
                  </w:pPr>
                  <w:r>
                    <w:rPr>
                      <w:color w:val="auto"/>
                      <w:lang w:val="en-US"/>
                    </w:rPr>
                    <w:t>原料系统</w:t>
                  </w:r>
                </w:p>
              </w:tc>
              <w:tc>
                <w:tcPr>
                  <w:tcW w:w="537" w:type="pct"/>
                  <w:shd w:val="clear" w:color="auto" w:fill="auto"/>
                  <w:vAlign w:val="center"/>
                </w:tcPr>
                <w:p w14:paraId="61F71BD6">
                  <w:pPr>
                    <w:pStyle w:val="30"/>
                    <w:framePr w:hSpace="0" w:wrap="auto" w:vAnchor="margin" w:hAnchor="text" w:xAlign="left" w:yAlign="inline"/>
                    <w:rPr>
                      <w:color w:val="auto"/>
                      <w:lang w:val="en-US"/>
                    </w:rPr>
                  </w:pPr>
                  <w:r>
                    <w:rPr>
                      <w:color w:val="auto"/>
                      <w:lang w:val="en-US"/>
                    </w:rPr>
                    <w:t>装卸料设备</w:t>
                  </w:r>
                </w:p>
              </w:tc>
              <w:tc>
                <w:tcPr>
                  <w:tcW w:w="554" w:type="pct"/>
                  <w:shd w:val="clear" w:color="auto" w:fill="auto"/>
                  <w:vAlign w:val="center"/>
                </w:tcPr>
                <w:p w14:paraId="22831009">
                  <w:pPr>
                    <w:pStyle w:val="30"/>
                    <w:framePr w:hSpace="0" w:wrap="auto" w:vAnchor="margin" w:hAnchor="text" w:xAlign="left" w:yAlign="inline"/>
                    <w:rPr>
                      <w:color w:val="auto"/>
                      <w:lang w:val="en-US"/>
                    </w:rPr>
                  </w:pPr>
                  <w:r>
                    <w:rPr>
                      <w:color w:val="auto"/>
                      <w:lang w:val="en-US"/>
                    </w:rPr>
                    <w:t>装卸料废气</w:t>
                  </w:r>
                </w:p>
              </w:tc>
              <w:tc>
                <w:tcPr>
                  <w:tcW w:w="660" w:type="pct"/>
                  <w:shd w:val="clear" w:color="auto" w:fill="auto"/>
                  <w:vAlign w:val="center"/>
                </w:tcPr>
                <w:p w14:paraId="13DC809E">
                  <w:pPr>
                    <w:pStyle w:val="30"/>
                    <w:framePr w:hSpace="0" w:wrap="auto" w:vAnchor="margin" w:hAnchor="text" w:xAlign="left" w:yAlign="inline"/>
                    <w:rPr>
                      <w:color w:val="auto"/>
                      <w:lang w:val="en-US"/>
                    </w:rPr>
                  </w:pPr>
                  <w:r>
                    <w:rPr>
                      <w:color w:val="auto"/>
                      <w:lang w:val="en-US"/>
                    </w:rPr>
                    <w:t>无组织</w:t>
                  </w:r>
                </w:p>
              </w:tc>
              <w:tc>
                <w:tcPr>
                  <w:tcW w:w="1436" w:type="pct"/>
                  <w:shd w:val="clear" w:color="auto" w:fill="auto"/>
                  <w:vAlign w:val="center"/>
                </w:tcPr>
                <w:p w14:paraId="5D8AFED4">
                  <w:pPr>
                    <w:pStyle w:val="30"/>
                    <w:framePr w:hSpace="0" w:wrap="auto" w:vAnchor="margin" w:hAnchor="text" w:xAlign="left" w:yAlign="inline"/>
                    <w:rPr>
                      <w:color w:val="auto"/>
                      <w:lang w:val="en-US"/>
                    </w:rPr>
                  </w:pPr>
                  <w:r>
                    <w:rPr>
                      <w:color w:val="auto"/>
                      <w:lang w:val="en-US"/>
                    </w:rPr>
                    <w:t>加强密封或密闭；收集送除尘装置处理（喷淋系统、旋风除尘、袋式除尘、旋风除尘+袋式除尘等）后排放；其他</w:t>
                  </w:r>
                  <w:r>
                    <w:rPr>
                      <w:rFonts w:hint="eastAsia"/>
                      <w:color w:val="auto"/>
                      <w:lang w:val="en-US"/>
                    </w:rPr>
                    <w:t>。</w:t>
                  </w:r>
                </w:p>
              </w:tc>
              <w:tc>
                <w:tcPr>
                  <w:tcW w:w="990" w:type="pct"/>
                  <w:vAlign w:val="center"/>
                </w:tcPr>
                <w:p w14:paraId="510C972A">
                  <w:pPr>
                    <w:pStyle w:val="30"/>
                    <w:framePr w:hSpace="0" w:wrap="auto" w:vAnchor="margin" w:hAnchor="text" w:xAlign="left" w:yAlign="inline"/>
                    <w:rPr>
                      <w:color w:val="auto"/>
                      <w:lang w:val="en-US"/>
                    </w:rPr>
                  </w:pPr>
                  <w:r>
                    <w:rPr>
                      <w:color w:val="auto"/>
                      <w:lang w:val="en-US"/>
                    </w:rPr>
                    <w:t>本项目</w:t>
                  </w:r>
                  <w:r>
                    <w:rPr>
                      <w:rFonts w:hint="eastAsia"/>
                      <w:color w:val="auto"/>
                      <w:lang w:val="en-US"/>
                    </w:rPr>
                    <w:t>投料粉尘</w:t>
                  </w:r>
                  <w:r>
                    <w:rPr>
                      <w:rFonts w:hint="eastAsia"/>
                      <w:color w:val="auto"/>
                      <w:lang w:val="en-US" w:eastAsia="zh-CN"/>
                    </w:rPr>
                    <w:t>经布袋除尘器处理后</w:t>
                  </w:r>
                  <w:r>
                    <w:rPr>
                      <w:rFonts w:hint="eastAsia"/>
                      <w:color w:val="auto"/>
                      <w:kern w:val="0"/>
                      <w:szCs w:val="20"/>
                      <w:lang w:val="en-US"/>
                    </w:rPr>
                    <w:t>通过洁净车间换气系统排放</w:t>
                  </w:r>
                </w:p>
              </w:tc>
              <w:tc>
                <w:tcPr>
                  <w:tcW w:w="398" w:type="pct"/>
                  <w:vAlign w:val="center"/>
                </w:tcPr>
                <w:p w14:paraId="32918272">
                  <w:pPr>
                    <w:pStyle w:val="30"/>
                    <w:framePr w:hSpace="0" w:wrap="auto" w:vAnchor="margin" w:hAnchor="text" w:xAlign="left" w:yAlign="inline"/>
                    <w:rPr>
                      <w:color w:val="auto"/>
                      <w:lang w:val="en-US"/>
                    </w:rPr>
                  </w:pPr>
                  <w:r>
                    <w:rPr>
                      <w:color w:val="auto"/>
                      <w:lang w:val="en-US"/>
                    </w:rPr>
                    <w:t>可行</w:t>
                  </w:r>
                </w:p>
              </w:tc>
            </w:tr>
          </w:tbl>
          <w:p w14:paraId="611EC27C">
            <w:pPr>
              <w:ind w:firstLine="480" w:firstLineChars="200"/>
              <w:rPr>
                <w:color w:val="auto"/>
              </w:rPr>
            </w:pPr>
            <w:r>
              <w:rPr>
                <w:color w:val="auto"/>
              </w:rPr>
              <w:t>2、无组织废气管控措施</w:t>
            </w:r>
          </w:p>
          <w:p w14:paraId="27584711">
            <w:pPr>
              <w:ind w:firstLine="480" w:firstLineChars="200"/>
              <w:rPr>
                <w:color w:val="auto"/>
              </w:rPr>
            </w:pPr>
            <w:r>
              <w:rPr>
                <w:rFonts w:hint="eastAsia"/>
                <w:color w:val="auto"/>
              </w:rPr>
              <w:t>为了最大程度减小无组织废气对周边环境以及人群健康的影响，本环评提出以下防治控制措施：</w:t>
            </w:r>
          </w:p>
          <w:p w14:paraId="78FA7EC2">
            <w:pPr>
              <w:ind w:firstLine="480" w:firstLineChars="200"/>
              <w:rPr>
                <w:color w:val="auto"/>
              </w:rPr>
            </w:pPr>
            <w:r>
              <w:rPr>
                <w:rFonts w:hint="eastAsia"/>
                <w:color w:val="auto"/>
              </w:rPr>
              <w:t>①做好员工防护工作，配备必要的防护装备（如口罩、手套等）；</w:t>
            </w:r>
          </w:p>
          <w:p w14:paraId="6C753EED">
            <w:pPr>
              <w:ind w:firstLine="480" w:firstLineChars="200"/>
              <w:rPr>
                <w:color w:val="auto"/>
              </w:rPr>
            </w:pPr>
            <w:r>
              <w:rPr>
                <w:rFonts w:hint="eastAsia"/>
                <w:color w:val="auto"/>
              </w:rPr>
              <w:t>②加强生产车间通风和空气流通；</w:t>
            </w:r>
          </w:p>
          <w:p w14:paraId="04B3E9A7">
            <w:pPr>
              <w:ind w:firstLine="480" w:firstLineChars="200"/>
              <w:rPr>
                <w:color w:val="auto"/>
              </w:rPr>
            </w:pPr>
            <w:r>
              <w:rPr>
                <w:rFonts w:hint="eastAsia"/>
                <w:color w:val="auto"/>
              </w:rPr>
              <w:t>③定期对设备及工位进行清扫，减少无组织粉尘逸散；</w:t>
            </w:r>
          </w:p>
          <w:p w14:paraId="30BD058D">
            <w:pPr>
              <w:ind w:firstLine="480" w:firstLineChars="200"/>
              <w:rPr>
                <w:color w:val="auto"/>
              </w:rPr>
            </w:pPr>
            <w:r>
              <w:rPr>
                <w:rFonts w:hint="eastAsia"/>
                <w:color w:val="auto"/>
              </w:rPr>
              <w:t>④库房内部进行防腐防渗防潮，同时建设单位需加强原料和产品库房的管理，以减少无组织粉尘逸散。</w:t>
            </w:r>
          </w:p>
          <w:p w14:paraId="3AD290EF">
            <w:pPr>
              <w:ind w:firstLine="482"/>
              <w:rPr>
                <w:b/>
                <w:bCs/>
                <w:color w:val="auto"/>
              </w:rPr>
            </w:pPr>
            <w:r>
              <w:rPr>
                <w:b/>
                <w:bCs/>
                <w:color w:val="auto"/>
              </w:rPr>
              <w:t>4.2.</w:t>
            </w:r>
            <w:r>
              <w:rPr>
                <w:rFonts w:hint="eastAsia" w:eastAsiaTheme="minorEastAsia"/>
                <w:b/>
                <w:bCs/>
                <w:color w:val="auto"/>
              </w:rPr>
              <w:t>4</w:t>
            </w:r>
            <w:r>
              <w:rPr>
                <w:rFonts w:hint="eastAsia"/>
                <w:b/>
                <w:bCs/>
                <w:color w:val="auto"/>
              </w:rPr>
              <w:t>废气</w:t>
            </w:r>
            <w:r>
              <w:rPr>
                <w:rFonts w:hint="eastAsia" w:ascii="宋体" w:hAnsi="宋体" w:cs="宋体"/>
                <w:b/>
                <w:bCs/>
                <w:color w:val="auto"/>
              </w:rPr>
              <w:t>监测计划</w:t>
            </w:r>
          </w:p>
          <w:p w14:paraId="342EAD51">
            <w:pPr>
              <w:ind w:firstLine="480"/>
              <w:rPr>
                <w:color w:val="auto"/>
              </w:rPr>
            </w:pPr>
            <w:r>
              <w:rPr>
                <w:rFonts w:hint="eastAsia"/>
                <w:color w:val="auto"/>
              </w:rPr>
              <w:t>对照《排污许可证申请与核发技术规范食品制造工业一方便食品、食品及饲料添加剂制造工业》(HJ1030.3-2019)中“7.5 监测频次”相关内容以及《排污单位自行监测技术指南食品制造》(HJ1084-2020)中无组织废气排放监测要求，本项目废气监测要求如下表。</w:t>
            </w:r>
          </w:p>
          <w:p w14:paraId="6A27726A">
            <w:pPr>
              <w:pStyle w:val="9"/>
              <w:rPr>
                <w:color w:val="auto"/>
              </w:rPr>
            </w:pPr>
          </w:p>
          <w:p w14:paraId="340B956F">
            <w:pPr>
              <w:pStyle w:val="6"/>
              <w:adjustRightInd w:val="0"/>
              <w:snapToGrid w:val="0"/>
              <w:rPr>
                <w:color w:val="auto"/>
              </w:rPr>
            </w:pPr>
            <w:r>
              <w:rPr>
                <w:color w:val="auto"/>
              </w:rPr>
              <w:t xml:space="preserve">表 </w:t>
            </w:r>
            <w:r>
              <w:rPr>
                <w:rFonts w:hint="eastAsia"/>
                <w:color w:val="auto"/>
              </w:rPr>
              <w:t>4-</w:t>
            </w:r>
            <w:r>
              <w:rPr>
                <w:color w:val="auto"/>
              </w:rPr>
              <w:fldChar w:fldCharType="begin"/>
            </w:r>
            <w:r>
              <w:rPr>
                <w:color w:val="auto"/>
              </w:rPr>
              <w:instrText xml:space="preserve"> SEQ 表 \* ARABIC \s 1 </w:instrText>
            </w:r>
            <w:r>
              <w:rPr>
                <w:color w:val="auto"/>
              </w:rPr>
              <w:fldChar w:fldCharType="separate"/>
            </w:r>
            <w:r>
              <w:rPr>
                <w:color w:val="auto"/>
              </w:rPr>
              <w:t>3</w:t>
            </w:r>
            <w:r>
              <w:rPr>
                <w:color w:val="auto"/>
              </w:rPr>
              <w:fldChar w:fldCharType="end"/>
            </w:r>
            <w:r>
              <w:rPr>
                <w:rFonts w:hint="eastAsia"/>
                <w:color w:val="auto"/>
              </w:rPr>
              <w:t>项目运营期废气监测计划一览表</w:t>
            </w:r>
          </w:p>
          <w:tbl>
            <w:tblPr>
              <w:tblStyle w:val="23"/>
              <w:tblpPr w:leftFromText="180" w:rightFromText="180" w:vertAnchor="text" w:tblpXSpec="center" w:tblpY="1"/>
              <w:tblOverlap w:val="never"/>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509"/>
              <w:gridCol w:w="1387"/>
              <w:gridCol w:w="1213"/>
              <w:gridCol w:w="2040"/>
              <w:gridCol w:w="3540"/>
            </w:tblGrid>
            <w:tr w14:paraId="19904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293" w:type="pct"/>
                  <w:vAlign w:val="center"/>
                </w:tcPr>
                <w:p w14:paraId="019586A0">
                  <w:pPr>
                    <w:pStyle w:val="30"/>
                    <w:framePr w:hSpace="0" w:wrap="auto" w:vAnchor="margin" w:hAnchor="text" w:xAlign="left" w:yAlign="inline"/>
                    <w:rPr>
                      <w:color w:val="auto"/>
                    </w:rPr>
                  </w:pPr>
                  <w:r>
                    <w:rPr>
                      <w:color w:val="auto"/>
                    </w:rPr>
                    <w:t>序号</w:t>
                  </w:r>
                </w:p>
              </w:tc>
              <w:tc>
                <w:tcPr>
                  <w:tcW w:w="798" w:type="pct"/>
                  <w:vAlign w:val="center"/>
                </w:tcPr>
                <w:p w14:paraId="6AF14BA4">
                  <w:pPr>
                    <w:pStyle w:val="30"/>
                    <w:framePr w:hSpace="0" w:wrap="auto" w:vAnchor="margin" w:hAnchor="text" w:xAlign="left" w:yAlign="inline"/>
                    <w:rPr>
                      <w:color w:val="auto"/>
                    </w:rPr>
                  </w:pPr>
                  <w:r>
                    <w:rPr>
                      <w:color w:val="auto"/>
                    </w:rPr>
                    <w:t>监测点位</w:t>
                  </w:r>
                </w:p>
              </w:tc>
              <w:tc>
                <w:tcPr>
                  <w:tcW w:w="698" w:type="pct"/>
                  <w:vAlign w:val="center"/>
                </w:tcPr>
                <w:p w14:paraId="416A409E">
                  <w:pPr>
                    <w:pStyle w:val="30"/>
                    <w:framePr w:hSpace="0" w:wrap="auto" w:vAnchor="margin" w:hAnchor="text" w:xAlign="left" w:yAlign="inline"/>
                    <w:rPr>
                      <w:color w:val="auto"/>
                    </w:rPr>
                  </w:pPr>
                  <w:r>
                    <w:rPr>
                      <w:rFonts w:hint="eastAsia"/>
                      <w:color w:val="auto"/>
                    </w:rPr>
                    <w:t>监测指标</w:t>
                  </w:r>
                </w:p>
              </w:tc>
              <w:tc>
                <w:tcPr>
                  <w:tcW w:w="1173" w:type="pct"/>
                  <w:vAlign w:val="center"/>
                </w:tcPr>
                <w:p w14:paraId="6351A561">
                  <w:pPr>
                    <w:pStyle w:val="30"/>
                    <w:framePr w:hSpace="0" w:wrap="auto" w:vAnchor="margin" w:hAnchor="text" w:xAlign="left" w:yAlign="inline"/>
                    <w:rPr>
                      <w:color w:val="auto"/>
                    </w:rPr>
                  </w:pPr>
                  <w:r>
                    <w:rPr>
                      <w:color w:val="auto"/>
                    </w:rPr>
                    <w:t>监测频次</w:t>
                  </w:r>
                </w:p>
              </w:tc>
              <w:tc>
                <w:tcPr>
                  <w:tcW w:w="2036" w:type="pct"/>
                  <w:vAlign w:val="center"/>
                </w:tcPr>
                <w:p w14:paraId="050791FF">
                  <w:pPr>
                    <w:pStyle w:val="30"/>
                    <w:framePr w:hSpace="0" w:wrap="auto" w:vAnchor="margin" w:hAnchor="text" w:xAlign="left" w:yAlign="inline"/>
                    <w:rPr>
                      <w:color w:val="auto"/>
                    </w:rPr>
                  </w:pPr>
                  <w:r>
                    <w:rPr>
                      <w:color w:val="auto"/>
                    </w:rPr>
                    <w:t>执行标准</w:t>
                  </w:r>
                </w:p>
              </w:tc>
            </w:tr>
            <w:tr w14:paraId="34748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293" w:type="pct"/>
                  <w:vAlign w:val="center"/>
                </w:tcPr>
                <w:p w14:paraId="66D8D394">
                  <w:pPr>
                    <w:pStyle w:val="30"/>
                    <w:framePr w:hSpace="0" w:wrap="auto" w:vAnchor="margin" w:hAnchor="text" w:xAlign="left" w:yAlign="inline"/>
                    <w:rPr>
                      <w:color w:val="auto"/>
                    </w:rPr>
                  </w:pPr>
                  <w:r>
                    <w:rPr>
                      <w:rFonts w:hint="eastAsia"/>
                      <w:color w:val="auto"/>
                      <w:lang w:val="en-US"/>
                    </w:rPr>
                    <w:t>1</w:t>
                  </w:r>
                </w:p>
              </w:tc>
              <w:tc>
                <w:tcPr>
                  <w:tcW w:w="798" w:type="pct"/>
                  <w:shd w:val="clear" w:color="auto" w:fill="auto"/>
                  <w:vAlign w:val="center"/>
                </w:tcPr>
                <w:p w14:paraId="6414B51D">
                  <w:pPr>
                    <w:pStyle w:val="30"/>
                    <w:framePr w:hSpace="0" w:wrap="auto" w:vAnchor="margin" w:hAnchor="text" w:xAlign="left" w:yAlign="inline"/>
                    <w:rPr>
                      <w:color w:val="auto"/>
                      <w:sz w:val="21"/>
                      <w:szCs w:val="21"/>
                      <w:lang w:val="en-US"/>
                    </w:rPr>
                  </w:pPr>
                  <w:r>
                    <w:rPr>
                      <w:color w:val="auto"/>
                    </w:rPr>
                    <w:t>厂界</w:t>
                  </w:r>
                </w:p>
              </w:tc>
              <w:tc>
                <w:tcPr>
                  <w:tcW w:w="698" w:type="pct"/>
                  <w:shd w:val="clear" w:color="auto" w:fill="auto"/>
                  <w:vAlign w:val="center"/>
                </w:tcPr>
                <w:p w14:paraId="271B7414">
                  <w:pPr>
                    <w:pStyle w:val="30"/>
                    <w:framePr w:hSpace="0" w:wrap="auto" w:vAnchor="margin" w:hAnchor="text" w:xAlign="left" w:yAlign="inline"/>
                    <w:rPr>
                      <w:color w:val="auto"/>
                      <w:sz w:val="21"/>
                      <w:szCs w:val="21"/>
                    </w:rPr>
                  </w:pPr>
                  <w:r>
                    <w:rPr>
                      <w:color w:val="auto"/>
                    </w:rPr>
                    <w:t>颗粒物</w:t>
                  </w:r>
                </w:p>
              </w:tc>
              <w:tc>
                <w:tcPr>
                  <w:tcW w:w="1173" w:type="pct"/>
                  <w:shd w:val="clear" w:color="auto" w:fill="auto"/>
                  <w:vAlign w:val="center"/>
                </w:tcPr>
                <w:p w14:paraId="0524529B">
                  <w:pPr>
                    <w:pStyle w:val="30"/>
                    <w:framePr w:hSpace="0" w:wrap="auto" w:vAnchor="margin" w:hAnchor="text" w:xAlign="left" w:yAlign="inline"/>
                    <w:rPr>
                      <w:color w:val="auto"/>
                      <w:sz w:val="21"/>
                      <w:szCs w:val="21"/>
                    </w:rPr>
                  </w:pPr>
                  <w:r>
                    <w:rPr>
                      <w:color w:val="auto"/>
                    </w:rPr>
                    <w:t>1次/</w:t>
                  </w:r>
                  <w:r>
                    <w:rPr>
                      <w:rFonts w:hint="eastAsia"/>
                      <w:color w:val="auto"/>
                    </w:rPr>
                    <w:t>半</w:t>
                  </w:r>
                  <w:r>
                    <w:rPr>
                      <w:color w:val="auto"/>
                    </w:rPr>
                    <w:t>年</w:t>
                  </w:r>
                </w:p>
              </w:tc>
              <w:tc>
                <w:tcPr>
                  <w:tcW w:w="2036" w:type="pct"/>
                  <w:shd w:val="clear" w:color="auto" w:fill="auto"/>
                  <w:vAlign w:val="center"/>
                </w:tcPr>
                <w:p w14:paraId="20E9722F">
                  <w:pPr>
                    <w:pStyle w:val="30"/>
                    <w:framePr w:hSpace="0" w:wrap="auto" w:vAnchor="margin" w:hAnchor="text" w:xAlign="left" w:yAlign="inline"/>
                    <w:rPr>
                      <w:color w:val="auto"/>
                      <w:sz w:val="21"/>
                      <w:szCs w:val="21"/>
                    </w:rPr>
                  </w:pPr>
                  <w:r>
                    <w:rPr>
                      <w:color w:val="auto"/>
                    </w:rPr>
                    <w:t>《大气污染物综合排放标准》（GB16297-1996）</w:t>
                  </w:r>
                </w:p>
              </w:tc>
            </w:tr>
            <w:tr w14:paraId="2DCC8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293" w:type="pct"/>
                  <w:vAlign w:val="center"/>
                </w:tcPr>
                <w:p w14:paraId="2BAF310E">
                  <w:pPr>
                    <w:pStyle w:val="30"/>
                    <w:framePr w:hSpace="0" w:wrap="auto" w:vAnchor="margin" w:hAnchor="text" w:xAlign="left" w:yAlign="inline"/>
                    <w:rPr>
                      <w:color w:val="auto"/>
                      <w:lang w:val="en-US"/>
                    </w:rPr>
                  </w:pPr>
                  <w:r>
                    <w:rPr>
                      <w:rFonts w:hint="eastAsia"/>
                      <w:color w:val="auto"/>
                      <w:lang w:val="en-US"/>
                    </w:rPr>
                    <w:t>2</w:t>
                  </w:r>
                </w:p>
              </w:tc>
              <w:tc>
                <w:tcPr>
                  <w:tcW w:w="798" w:type="pct"/>
                  <w:shd w:val="clear" w:color="auto" w:fill="auto"/>
                  <w:vAlign w:val="center"/>
                </w:tcPr>
                <w:p w14:paraId="11D04631">
                  <w:pPr>
                    <w:pStyle w:val="30"/>
                    <w:framePr w:hSpace="0" w:wrap="auto" w:vAnchor="margin" w:hAnchor="text" w:xAlign="left" w:yAlign="inline"/>
                    <w:rPr>
                      <w:color w:val="auto"/>
                    </w:rPr>
                  </w:pPr>
                  <w:r>
                    <w:rPr>
                      <w:color w:val="auto"/>
                    </w:rPr>
                    <w:t>厂界</w:t>
                  </w:r>
                </w:p>
              </w:tc>
              <w:tc>
                <w:tcPr>
                  <w:tcW w:w="698" w:type="pct"/>
                  <w:shd w:val="clear" w:color="auto" w:fill="auto"/>
                  <w:vAlign w:val="center"/>
                </w:tcPr>
                <w:p w14:paraId="004E6555">
                  <w:pPr>
                    <w:pStyle w:val="30"/>
                    <w:framePr w:hSpace="0" w:wrap="auto" w:vAnchor="margin" w:hAnchor="text" w:xAlign="left" w:yAlign="inline"/>
                    <w:rPr>
                      <w:color w:val="auto"/>
                    </w:rPr>
                  </w:pPr>
                  <w:r>
                    <w:rPr>
                      <w:color w:val="auto"/>
                    </w:rPr>
                    <w:t>硫化氢、氨气、臭气浓度</w:t>
                  </w:r>
                </w:p>
              </w:tc>
              <w:tc>
                <w:tcPr>
                  <w:tcW w:w="1173" w:type="pct"/>
                  <w:shd w:val="clear" w:color="auto" w:fill="auto"/>
                  <w:vAlign w:val="center"/>
                </w:tcPr>
                <w:p w14:paraId="77BECE91">
                  <w:pPr>
                    <w:pStyle w:val="30"/>
                    <w:framePr w:hSpace="0" w:wrap="auto" w:vAnchor="margin" w:hAnchor="text" w:xAlign="left" w:yAlign="inline"/>
                    <w:rPr>
                      <w:color w:val="auto"/>
                    </w:rPr>
                  </w:pPr>
                  <w:r>
                    <w:rPr>
                      <w:color w:val="auto"/>
                    </w:rPr>
                    <w:t>1次/年</w:t>
                  </w:r>
                </w:p>
              </w:tc>
              <w:tc>
                <w:tcPr>
                  <w:tcW w:w="2036" w:type="pct"/>
                  <w:shd w:val="clear" w:color="auto" w:fill="auto"/>
                  <w:vAlign w:val="center"/>
                </w:tcPr>
                <w:p w14:paraId="21AEA707">
                  <w:pPr>
                    <w:pStyle w:val="30"/>
                    <w:framePr w:hSpace="0" w:wrap="auto" w:vAnchor="margin" w:hAnchor="text" w:xAlign="left" w:yAlign="inline"/>
                    <w:rPr>
                      <w:color w:val="auto"/>
                    </w:rPr>
                  </w:pPr>
                  <w:r>
                    <w:rPr>
                      <w:color w:val="auto"/>
                    </w:rPr>
                    <w:t>《恶臭污染物排放标准》（GB14554-93）</w:t>
                  </w:r>
                </w:p>
              </w:tc>
            </w:tr>
          </w:tbl>
          <w:p w14:paraId="01E34AC2">
            <w:pPr>
              <w:spacing w:beforeLines="50" w:line="360" w:lineRule="auto"/>
              <w:rPr>
                <w:b/>
                <w:bCs/>
                <w:color w:val="auto"/>
                <w:kern w:val="2"/>
              </w:rPr>
            </w:pPr>
            <w:r>
              <w:rPr>
                <w:b/>
                <w:bCs/>
                <w:color w:val="auto"/>
                <w:kern w:val="2"/>
              </w:rPr>
              <w:t>4.3废水</w:t>
            </w:r>
          </w:p>
          <w:p w14:paraId="539DC34B">
            <w:pPr>
              <w:spacing w:line="360" w:lineRule="auto"/>
              <w:ind w:firstLine="482" w:firstLineChars="200"/>
              <w:rPr>
                <w:b/>
                <w:bCs/>
                <w:color w:val="auto"/>
                <w:kern w:val="2"/>
              </w:rPr>
            </w:pPr>
            <w:r>
              <w:rPr>
                <w:b/>
                <w:bCs/>
                <w:color w:val="auto"/>
                <w:kern w:val="2"/>
              </w:rPr>
              <w:t>4.3.1</w:t>
            </w:r>
            <w:r>
              <w:rPr>
                <w:rFonts w:hint="eastAsia"/>
                <w:b/>
                <w:bCs/>
                <w:color w:val="auto"/>
                <w:kern w:val="2"/>
              </w:rPr>
              <w:t>废水污染源强</w:t>
            </w:r>
          </w:p>
          <w:p w14:paraId="3F4FAE79">
            <w:pPr>
              <w:spacing w:line="360" w:lineRule="auto"/>
              <w:ind w:firstLine="480" w:firstLineChars="200"/>
              <w:rPr>
                <w:color w:val="auto"/>
                <w:kern w:val="2"/>
              </w:rPr>
            </w:pPr>
            <w:r>
              <w:rPr>
                <w:rFonts w:hint="eastAsia"/>
                <w:color w:val="auto"/>
                <w:kern w:val="2"/>
              </w:rPr>
              <w:t>1、生活污水</w:t>
            </w:r>
          </w:p>
          <w:p w14:paraId="785A4F02">
            <w:pPr>
              <w:spacing w:line="360" w:lineRule="auto"/>
              <w:ind w:firstLine="480" w:firstLineChars="200"/>
              <w:rPr>
                <w:color w:val="auto"/>
                <w:kern w:val="2"/>
              </w:rPr>
            </w:pPr>
            <w:r>
              <w:rPr>
                <w:color w:val="auto"/>
                <w:kern w:val="2"/>
              </w:rPr>
              <w:t>本项目劳动定员为</w:t>
            </w:r>
            <w:r>
              <w:rPr>
                <w:rFonts w:hint="eastAsia"/>
                <w:color w:val="auto"/>
                <w:kern w:val="2"/>
              </w:rPr>
              <w:t>6名</w:t>
            </w:r>
            <w:r>
              <w:rPr>
                <w:rFonts w:hint="eastAsia"/>
                <w:color w:val="auto"/>
              </w:rPr>
              <w:t>，年工作300天，均不在厂区食宿</w:t>
            </w:r>
            <w:r>
              <w:rPr>
                <w:rFonts w:hint="eastAsia"/>
                <w:color w:val="auto"/>
                <w:kern w:val="2"/>
              </w:rPr>
              <w:t>，根据《安徽省行业用水定额》（DB34/T679-2025）中的相关内容，办公用水定额</w:t>
            </w:r>
            <w:r>
              <w:rPr>
                <w:rFonts w:hint="eastAsia"/>
                <w:color w:val="auto"/>
              </w:rPr>
              <w:t>以38m</w:t>
            </w:r>
            <w:r>
              <w:rPr>
                <w:rFonts w:hint="eastAsia"/>
                <w:color w:val="auto"/>
                <w:vertAlign w:val="superscript"/>
              </w:rPr>
              <w:t>3</w:t>
            </w:r>
            <w:r>
              <w:rPr>
                <w:rFonts w:hint="eastAsia"/>
                <w:color w:val="auto"/>
              </w:rPr>
              <w:t>/人·a计</w:t>
            </w:r>
            <w:r>
              <w:rPr>
                <w:rFonts w:hint="eastAsia"/>
                <w:color w:val="auto"/>
                <w:kern w:val="2"/>
              </w:rPr>
              <w:t>。则生活用水量大约为</w:t>
            </w:r>
            <w:r>
              <w:rPr>
                <w:rFonts w:hint="eastAsia"/>
                <w:color w:val="auto"/>
              </w:rPr>
              <w:t>228t/a（0.76t/d）</w:t>
            </w:r>
            <w:r>
              <w:rPr>
                <w:rFonts w:hint="eastAsia"/>
                <w:color w:val="auto"/>
                <w:kern w:val="2"/>
              </w:rPr>
              <w:t>；</w:t>
            </w:r>
            <w:r>
              <w:rPr>
                <w:color w:val="auto"/>
              </w:rPr>
              <w:t>生活污水排污系数《排放源统计调查产排污核算方法和系数手册-生活源产排污核算系数手册》中第一部分城镇生活源水污染物产生系数：人均日生活用水量≤150升/人·天时，</w:t>
            </w:r>
            <w:r>
              <w:rPr>
                <w:rFonts w:hint="eastAsia"/>
                <w:color w:val="auto"/>
              </w:rPr>
              <w:t>产</w:t>
            </w:r>
            <w:r>
              <w:rPr>
                <w:color w:val="auto"/>
              </w:rPr>
              <w:t>污系数取0.8</w:t>
            </w:r>
            <w:r>
              <w:rPr>
                <w:rFonts w:hint="eastAsia"/>
                <w:color w:val="auto"/>
                <w:kern w:val="2"/>
              </w:rPr>
              <w:t>，则生活污水产生量为</w:t>
            </w:r>
            <w:r>
              <w:rPr>
                <w:rFonts w:hint="eastAsia"/>
                <w:color w:val="auto"/>
              </w:rPr>
              <w:t>182.4t/a（0.61t/d）</w:t>
            </w:r>
            <w:r>
              <w:rPr>
                <w:color w:val="auto"/>
                <w:kern w:val="2"/>
              </w:rPr>
              <w:t>，</w:t>
            </w:r>
            <w:r>
              <w:rPr>
                <w:color w:val="auto"/>
              </w:rPr>
              <w:t>废水中各污染因子产生浓度为CODcr：340mg/L、SS：200mg/L、NH</w:t>
            </w:r>
            <w:r>
              <w:rPr>
                <w:color w:val="auto"/>
                <w:vertAlign w:val="subscript"/>
              </w:rPr>
              <w:t>3</w:t>
            </w:r>
            <w:r>
              <w:rPr>
                <w:color w:val="auto"/>
              </w:rPr>
              <w:t>-N：</w:t>
            </w:r>
            <w:r>
              <w:rPr>
                <w:rFonts w:hint="eastAsia"/>
                <w:color w:val="auto"/>
              </w:rPr>
              <w:t>30</w:t>
            </w:r>
            <w:r>
              <w:rPr>
                <w:color w:val="auto"/>
              </w:rPr>
              <w:t>mg/L</w:t>
            </w:r>
            <w:r>
              <w:rPr>
                <w:rFonts w:hint="eastAsia"/>
                <w:color w:val="auto"/>
                <w:kern w:val="2"/>
              </w:rPr>
              <w:t>。则生活污水各污染因子产生量</w:t>
            </w:r>
            <w:r>
              <w:rPr>
                <w:color w:val="auto"/>
                <w:kern w:val="2"/>
              </w:rPr>
              <w:t>COD</w:t>
            </w:r>
            <w:r>
              <w:rPr>
                <w:color w:val="auto"/>
              </w:rPr>
              <w:t>cr</w:t>
            </w:r>
            <w:r>
              <w:rPr>
                <w:rFonts w:hint="eastAsia"/>
                <w:color w:val="auto"/>
              </w:rPr>
              <w:t>为</w:t>
            </w:r>
            <w:r>
              <w:rPr>
                <w:rFonts w:hint="eastAsia"/>
                <w:color w:val="auto"/>
                <w:kern w:val="2"/>
              </w:rPr>
              <w:t>0.0979</w:t>
            </w:r>
            <w:r>
              <w:rPr>
                <w:color w:val="auto"/>
                <w:kern w:val="2"/>
              </w:rPr>
              <w:t>t/a</w:t>
            </w:r>
            <w:r>
              <w:rPr>
                <w:rFonts w:hint="eastAsia"/>
                <w:color w:val="auto"/>
                <w:kern w:val="2"/>
              </w:rPr>
              <w:t>，</w:t>
            </w:r>
            <w:r>
              <w:rPr>
                <w:color w:val="auto"/>
                <w:kern w:val="2"/>
              </w:rPr>
              <w:t>SS</w:t>
            </w:r>
            <w:r>
              <w:rPr>
                <w:rFonts w:hint="eastAsia"/>
                <w:color w:val="auto"/>
              </w:rPr>
              <w:t>为</w:t>
            </w:r>
            <w:r>
              <w:rPr>
                <w:rFonts w:hint="eastAsia"/>
                <w:color w:val="auto"/>
                <w:kern w:val="2"/>
              </w:rPr>
              <w:t>0.0576</w:t>
            </w:r>
            <w:r>
              <w:rPr>
                <w:color w:val="auto"/>
                <w:kern w:val="2"/>
              </w:rPr>
              <w:t>t/a</w:t>
            </w:r>
            <w:r>
              <w:rPr>
                <w:rFonts w:hint="eastAsia"/>
                <w:color w:val="auto"/>
                <w:kern w:val="2"/>
              </w:rPr>
              <w:t>，</w:t>
            </w:r>
            <w:r>
              <w:rPr>
                <w:color w:val="auto"/>
                <w:kern w:val="2"/>
              </w:rPr>
              <w:t>NH</w:t>
            </w:r>
            <w:r>
              <w:rPr>
                <w:rFonts w:hint="eastAsia"/>
                <w:color w:val="auto"/>
                <w:kern w:val="2"/>
                <w:vertAlign w:val="subscript"/>
              </w:rPr>
              <w:t>3</w:t>
            </w:r>
            <w:r>
              <w:rPr>
                <w:color w:val="auto"/>
                <w:kern w:val="2"/>
              </w:rPr>
              <w:t>-N</w:t>
            </w:r>
            <w:r>
              <w:rPr>
                <w:rFonts w:hint="eastAsia"/>
                <w:color w:val="auto"/>
                <w:kern w:val="2"/>
              </w:rPr>
              <w:t>为0.0086t/a。</w:t>
            </w:r>
            <w:r>
              <w:rPr>
                <w:rFonts w:hint="eastAsia" w:ascii="宋体" w:hAnsi="宋体"/>
                <w:color w:val="auto"/>
              </w:rPr>
              <w:t>生活</w:t>
            </w:r>
            <w:r>
              <w:rPr>
                <w:rFonts w:hint="eastAsia"/>
                <w:color w:val="auto"/>
                <w:kern w:val="2"/>
              </w:rPr>
              <w:t>污水经化粪池处理后由园区管网进入至安成经济开发区污水处理厂深度处理达标后，尾水排入淮河（淮南段）。</w:t>
            </w:r>
          </w:p>
          <w:p w14:paraId="33E35850">
            <w:pPr>
              <w:spacing w:line="360" w:lineRule="auto"/>
              <w:ind w:firstLine="480" w:firstLineChars="200"/>
              <w:rPr>
                <w:color w:val="auto"/>
                <w:kern w:val="2"/>
              </w:rPr>
            </w:pPr>
            <w:r>
              <w:rPr>
                <w:rFonts w:hint="eastAsia"/>
                <w:color w:val="auto"/>
                <w:kern w:val="2"/>
              </w:rPr>
              <w:t>2、</w:t>
            </w:r>
            <w:r>
              <w:rPr>
                <w:color w:val="auto"/>
                <w:kern w:val="2"/>
              </w:rPr>
              <w:t>生产废水</w:t>
            </w:r>
          </w:p>
          <w:p w14:paraId="7C775AE2">
            <w:pPr>
              <w:spacing w:line="360" w:lineRule="auto"/>
              <w:ind w:firstLine="480" w:firstLineChars="200"/>
              <w:rPr>
                <w:color w:val="auto"/>
                <w:kern w:val="2"/>
              </w:rPr>
            </w:pPr>
            <w:r>
              <w:rPr>
                <w:rFonts w:hint="eastAsia"/>
                <w:color w:val="auto"/>
              </w:rPr>
              <w:t>项目营运期</w:t>
            </w:r>
            <w:bookmarkStart w:id="59" w:name="OLE_LINK32"/>
            <w:bookmarkStart w:id="60" w:name="OLE_LINK35"/>
            <w:r>
              <w:rPr>
                <w:rFonts w:hint="eastAsia"/>
                <w:color w:val="auto"/>
              </w:rPr>
              <w:t>生产废水主要为解冻废水、清洗废水、杀菌废水、设备清洗废水和地面清洗废水</w:t>
            </w:r>
            <w:bookmarkEnd w:id="59"/>
            <w:bookmarkEnd w:id="60"/>
            <w:r>
              <w:rPr>
                <w:rFonts w:hint="eastAsia"/>
                <w:color w:val="auto"/>
              </w:rPr>
              <w:t>。</w:t>
            </w:r>
          </w:p>
          <w:p w14:paraId="6B98B98D">
            <w:pPr>
              <w:ind w:firstLine="480" w:firstLineChars="200"/>
              <w:rPr>
                <w:color w:val="auto"/>
              </w:rPr>
            </w:pPr>
            <w:r>
              <w:rPr>
                <w:rFonts w:hint="eastAsia"/>
                <w:color w:val="auto"/>
              </w:rPr>
              <w:t>①解冻废水</w:t>
            </w:r>
          </w:p>
          <w:p w14:paraId="5F23C1EA">
            <w:pPr>
              <w:ind w:firstLine="480" w:firstLineChars="200"/>
              <w:rPr>
                <w:color w:val="auto"/>
              </w:rPr>
            </w:pPr>
            <w:r>
              <w:rPr>
                <w:rFonts w:hint="eastAsia"/>
                <w:color w:val="auto"/>
              </w:rPr>
              <w:t>根据前文水平衡分析计算可知，本项目设置容积0.96m³气泡解冻池用于牛骨解冻，设备内水体循环回用，每日整体更换。生产过程中产生水量损耗，</w:t>
            </w:r>
            <w:r>
              <w:rPr>
                <w:rFonts w:ascii="Segoe UI Symbol" w:hAnsi="Segoe UI Symbol" w:eastAsia="Segoe UI Symbol" w:cs="Segoe UI Symbol"/>
                <w:color w:val="auto"/>
              </w:rPr>
              <w:t>损耗经验系数取60%~70%池容/天</w:t>
            </w:r>
            <w:r>
              <w:rPr>
                <w:rFonts w:hint="eastAsia" w:ascii="Segoe UI Symbol" w:hAnsi="Segoe UI Symbol" w:cs="Segoe UI Symbol"/>
                <w:color w:val="auto"/>
              </w:rPr>
              <w:t>，本项目取</w:t>
            </w:r>
            <w:r>
              <w:rPr>
                <w:rFonts w:hint="eastAsia"/>
                <w:color w:val="auto"/>
              </w:rPr>
              <w:t>65%，则每日需补充新鲜水约0.63m³；项目年工作300d，年解冻补水量187.2m³/a。解冻废水产生量按补水量80%计，则解冻废水产生量约为0.5m³/d，149.76m³/a。</w:t>
            </w:r>
          </w:p>
          <w:p w14:paraId="26E89DE5">
            <w:pPr>
              <w:ind w:firstLine="480" w:firstLineChars="200"/>
              <w:rPr>
                <w:color w:val="auto"/>
              </w:rPr>
            </w:pPr>
            <w:r>
              <w:rPr>
                <w:rFonts w:hint="eastAsia"/>
                <w:color w:val="auto"/>
              </w:rPr>
              <w:t>②清洗废水</w:t>
            </w:r>
          </w:p>
          <w:p w14:paraId="2F1F319A">
            <w:pPr>
              <w:ind w:firstLine="480" w:firstLineChars="200"/>
              <w:rPr>
                <w:rFonts w:eastAsiaTheme="minorEastAsia"/>
                <w:snapToGrid w:val="0"/>
                <w:color w:val="auto"/>
                <w:kern w:val="2"/>
                <w:szCs w:val="22"/>
                <w:highlight w:val="yellow"/>
              </w:rPr>
            </w:pPr>
            <w:r>
              <w:rPr>
                <w:rFonts w:hint="eastAsia"/>
                <w:color w:val="auto"/>
              </w:rPr>
              <w:t>本项目</w:t>
            </w:r>
            <w:r>
              <w:rPr>
                <w:rFonts w:hint="eastAsia" w:eastAsiaTheme="minorEastAsia"/>
                <w:snapToGrid w:val="0"/>
                <w:color w:val="auto"/>
                <w:kern w:val="2"/>
                <w:szCs w:val="22"/>
              </w:rPr>
              <w:t>清洗牛骨用水为1.5m</w:t>
            </w:r>
            <w:r>
              <w:rPr>
                <w:rFonts w:hint="eastAsia" w:eastAsiaTheme="minorEastAsia"/>
                <w:snapToGrid w:val="0"/>
                <w:color w:val="auto"/>
                <w:kern w:val="2"/>
                <w:szCs w:val="22"/>
                <w:vertAlign w:val="superscript"/>
              </w:rPr>
              <w:t>3</w:t>
            </w:r>
            <w:r>
              <w:rPr>
                <w:rFonts w:hint="eastAsia" w:eastAsiaTheme="minorEastAsia"/>
                <w:snapToGrid w:val="0"/>
                <w:color w:val="auto"/>
                <w:kern w:val="2"/>
                <w:szCs w:val="22"/>
              </w:rPr>
              <w:t>/t，项目牛骨用量约为200t/a，则清洗用水量为</w:t>
            </w:r>
            <w:r>
              <w:rPr>
                <w:rFonts w:hint="eastAsia" w:eastAsiaTheme="minorEastAsia"/>
                <w:bCs/>
                <w:color w:val="auto"/>
              </w:rPr>
              <w:t>1</w:t>
            </w:r>
            <w:r>
              <w:rPr>
                <w:rFonts w:hint="eastAsia"/>
                <w:color w:val="auto"/>
              </w:rPr>
              <w:t>m</w:t>
            </w:r>
            <w:r>
              <w:rPr>
                <w:rFonts w:hint="eastAsia"/>
                <w:color w:val="auto"/>
                <w:vertAlign w:val="superscript"/>
              </w:rPr>
              <w:t>3</w:t>
            </w:r>
            <w:r>
              <w:rPr>
                <w:rFonts w:hint="eastAsia"/>
                <w:color w:val="auto"/>
              </w:rPr>
              <w:t>/d（300m</w:t>
            </w:r>
            <w:r>
              <w:rPr>
                <w:rFonts w:hint="eastAsia"/>
                <w:color w:val="auto"/>
                <w:vertAlign w:val="superscript"/>
              </w:rPr>
              <w:t>3</w:t>
            </w:r>
            <w:r>
              <w:rPr>
                <w:rFonts w:hint="eastAsia"/>
                <w:color w:val="auto"/>
              </w:rPr>
              <w:t>/a），</w:t>
            </w:r>
            <w:r>
              <w:rPr>
                <w:color w:val="auto"/>
              </w:rPr>
              <w:t>排水量以用水量的</w:t>
            </w:r>
            <w:r>
              <w:rPr>
                <w:rFonts w:hint="eastAsia"/>
                <w:color w:val="auto"/>
              </w:rPr>
              <w:t>8</w:t>
            </w:r>
            <w:r>
              <w:rPr>
                <w:color w:val="auto"/>
              </w:rPr>
              <w:t>0%计，则</w:t>
            </w:r>
            <w:r>
              <w:rPr>
                <w:rFonts w:hint="eastAsia"/>
                <w:color w:val="auto"/>
                <w:szCs w:val="28"/>
              </w:rPr>
              <w:t>清洗废水</w:t>
            </w:r>
            <w:r>
              <w:rPr>
                <w:color w:val="auto"/>
              </w:rPr>
              <w:t>产生量为</w:t>
            </w:r>
            <w:r>
              <w:rPr>
                <w:rFonts w:hint="eastAsia"/>
                <w:color w:val="auto"/>
              </w:rPr>
              <w:t>0.8</w:t>
            </w:r>
            <w:r>
              <w:rPr>
                <w:color w:val="auto"/>
              </w:rPr>
              <w:t>m</w:t>
            </w:r>
            <w:r>
              <w:rPr>
                <w:color w:val="auto"/>
                <w:vertAlign w:val="superscript"/>
              </w:rPr>
              <w:t>3</w:t>
            </w:r>
            <w:r>
              <w:rPr>
                <w:color w:val="auto"/>
                <w:szCs w:val="28"/>
              </w:rPr>
              <w:t>/</w:t>
            </w:r>
            <w:r>
              <w:rPr>
                <w:color w:val="auto"/>
              </w:rPr>
              <w:t>d（</w:t>
            </w:r>
            <w:r>
              <w:rPr>
                <w:rFonts w:hint="eastAsia"/>
                <w:color w:val="auto"/>
              </w:rPr>
              <w:t>240</w:t>
            </w:r>
            <w:r>
              <w:rPr>
                <w:color w:val="auto"/>
              </w:rPr>
              <w:t>m</w:t>
            </w:r>
            <w:r>
              <w:rPr>
                <w:color w:val="auto"/>
                <w:vertAlign w:val="superscript"/>
              </w:rPr>
              <w:t>3</w:t>
            </w:r>
            <w:r>
              <w:rPr>
                <w:color w:val="auto"/>
              </w:rPr>
              <w:t>/a）</w:t>
            </w:r>
            <w:r>
              <w:rPr>
                <w:rFonts w:hint="eastAsia" w:eastAsiaTheme="minorEastAsia"/>
                <w:snapToGrid w:val="0"/>
                <w:color w:val="auto"/>
                <w:kern w:val="2"/>
                <w:szCs w:val="22"/>
              </w:rPr>
              <w:t>。</w:t>
            </w:r>
          </w:p>
          <w:p w14:paraId="184EEC7A">
            <w:pPr>
              <w:spacing w:line="360" w:lineRule="auto"/>
              <w:ind w:firstLine="470" w:firstLineChars="196"/>
              <w:rPr>
                <w:color w:val="auto"/>
              </w:rPr>
            </w:pPr>
            <w:r>
              <w:rPr>
                <w:rFonts w:hint="eastAsia"/>
                <w:color w:val="auto"/>
              </w:rPr>
              <w:t>③杀菌废水</w:t>
            </w:r>
          </w:p>
          <w:p w14:paraId="3AB76CAF">
            <w:pPr>
              <w:spacing w:line="360" w:lineRule="auto"/>
              <w:ind w:firstLine="480" w:firstLineChars="200"/>
              <w:rPr>
                <w:color w:val="auto"/>
                <w:highlight w:val="yellow"/>
              </w:rPr>
            </w:pPr>
            <w:r>
              <w:rPr>
                <w:rFonts w:hint="eastAsia"/>
                <w:color w:val="auto"/>
              </w:rPr>
              <w:t>本项目杀菌使用的为全自动杀菌锅，共1台，总容积约1.2m</w:t>
            </w:r>
            <w:r>
              <w:rPr>
                <w:rFonts w:hint="eastAsia"/>
                <w:color w:val="auto"/>
                <w:vertAlign w:val="superscript"/>
              </w:rPr>
              <w:t>3</w:t>
            </w:r>
            <w:r>
              <w:rPr>
                <w:rFonts w:hint="eastAsia"/>
                <w:color w:val="auto"/>
              </w:rPr>
              <w:t>，使用电加热杀菌完成后，进入冷却水箱进行降温，整个过程循环2h，每天工作4次，每日首次工作时通入水约占总容积的30%，即0.36m</w:t>
            </w:r>
            <w:r>
              <w:rPr>
                <w:rFonts w:hint="eastAsia"/>
                <w:color w:val="auto"/>
                <w:vertAlign w:val="superscript"/>
              </w:rPr>
              <w:t>3</w:t>
            </w:r>
            <w:r>
              <w:rPr>
                <w:rFonts w:hint="eastAsia"/>
                <w:color w:val="auto"/>
              </w:rPr>
              <w:t>，其中挥发损耗约20%，即0.072</w:t>
            </w:r>
            <w:r>
              <w:rPr>
                <w:color w:val="auto"/>
                <w:kern w:val="2"/>
              </w:rPr>
              <w:t>m</w:t>
            </w:r>
            <w:r>
              <w:rPr>
                <w:color w:val="auto"/>
                <w:kern w:val="2"/>
                <w:vertAlign w:val="superscript"/>
              </w:rPr>
              <w:t>3</w:t>
            </w:r>
            <w:r>
              <w:rPr>
                <w:color w:val="auto"/>
                <w:kern w:val="2"/>
              </w:rPr>
              <w:t>/d</w:t>
            </w:r>
            <w:r>
              <w:rPr>
                <w:rFonts w:hint="eastAsia"/>
                <w:color w:val="auto"/>
              </w:rPr>
              <w:t>；骨汤包装袋表面沾染10%，为0.036</w:t>
            </w:r>
            <w:r>
              <w:rPr>
                <w:color w:val="auto"/>
                <w:kern w:val="2"/>
              </w:rPr>
              <w:t>m</w:t>
            </w:r>
            <w:r>
              <w:rPr>
                <w:color w:val="auto"/>
                <w:kern w:val="2"/>
                <w:vertAlign w:val="superscript"/>
              </w:rPr>
              <w:t>3</w:t>
            </w:r>
            <w:r>
              <w:rPr>
                <w:color w:val="auto"/>
                <w:kern w:val="2"/>
              </w:rPr>
              <w:t>/d</w:t>
            </w:r>
            <w:r>
              <w:rPr>
                <w:rFonts w:hint="eastAsia"/>
                <w:color w:val="auto"/>
              </w:rPr>
              <w:t>；剩余70%循环使用。综上计算得杀菌用水为0.684</w:t>
            </w:r>
            <w:r>
              <w:rPr>
                <w:color w:val="auto"/>
                <w:kern w:val="2"/>
              </w:rPr>
              <w:t>m</w:t>
            </w:r>
            <w:r>
              <w:rPr>
                <w:color w:val="auto"/>
                <w:kern w:val="2"/>
                <w:vertAlign w:val="superscript"/>
              </w:rPr>
              <w:t>3</w:t>
            </w:r>
            <w:r>
              <w:rPr>
                <w:color w:val="auto"/>
                <w:kern w:val="2"/>
              </w:rPr>
              <w:t>/d</w:t>
            </w:r>
            <w:r>
              <w:rPr>
                <w:rFonts w:hint="eastAsia"/>
                <w:color w:val="auto"/>
                <w:kern w:val="2"/>
              </w:rPr>
              <w:t>（205.2</w:t>
            </w:r>
            <w:r>
              <w:rPr>
                <w:color w:val="auto"/>
                <w:kern w:val="2"/>
              </w:rPr>
              <w:t>m</w:t>
            </w:r>
            <w:r>
              <w:rPr>
                <w:color w:val="auto"/>
                <w:kern w:val="2"/>
                <w:vertAlign w:val="superscript"/>
              </w:rPr>
              <w:t>3</w:t>
            </w:r>
            <w:r>
              <w:rPr>
                <w:color w:val="auto"/>
                <w:kern w:val="2"/>
              </w:rPr>
              <w:t>/a</w:t>
            </w:r>
            <w:r>
              <w:rPr>
                <w:rFonts w:hint="eastAsia"/>
                <w:color w:val="auto"/>
                <w:kern w:val="2"/>
              </w:rPr>
              <w:t>），</w:t>
            </w:r>
            <w:r>
              <w:rPr>
                <w:rFonts w:hint="eastAsia"/>
                <w:color w:val="auto"/>
              </w:rPr>
              <w:t>杀菌锅用水每日更换一次，则排水量为0.252</w:t>
            </w:r>
            <w:r>
              <w:rPr>
                <w:color w:val="auto"/>
                <w:kern w:val="2"/>
              </w:rPr>
              <w:t>m</w:t>
            </w:r>
            <w:r>
              <w:rPr>
                <w:color w:val="auto"/>
                <w:kern w:val="2"/>
                <w:vertAlign w:val="superscript"/>
              </w:rPr>
              <w:t>3</w:t>
            </w:r>
            <w:r>
              <w:rPr>
                <w:color w:val="auto"/>
                <w:kern w:val="2"/>
              </w:rPr>
              <w:t>/d</w:t>
            </w:r>
            <w:r>
              <w:rPr>
                <w:rFonts w:hint="eastAsia"/>
                <w:color w:val="auto"/>
              </w:rPr>
              <w:t>（75.6</w:t>
            </w:r>
            <w:r>
              <w:rPr>
                <w:color w:val="auto"/>
                <w:kern w:val="2"/>
              </w:rPr>
              <w:t>m</w:t>
            </w:r>
            <w:r>
              <w:rPr>
                <w:color w:val="auto"/>
                <w:kern w:val="2"/>
                <w:vertAlign w:val="superscript"/>
              </w:rPr>
              <w:t>3</w:t>
            </w:r>
            <w:r>
              <w:rPr>
                <w:color w:val="auto"/>
                <w:kern w:val="2"/>
              </w:rPr>
              <w:t>/a</w:t>
            </w:r>
            <w:r>
              <w:rPr>
                <w:rFonts w:hint="eastAsia"/>
                <w:color w:val="auto"/>
              </w:rPr>
              <w:t>）</w:t>
            </w:r>
            <w:r>
              <w:rPr>
                <w:rFonts w:hint="eastAsia"/>
                <w:color w:val="auto"/>
                <w:kern w:val="2"/>
              </w:rPr>
              <w:t>。</w:t>
            </w:r>
          </w:p>
          <w:p w14:paraId="78D46EEE">
            <w:pPr>
              <w:spacing w:line="360" w:lineRule="auto"/>
              <w:ind w:firstLine="480" w:firstLineChars="200"/>
              <w:rPr>
                <w:color w:val="auto"/>
              </w:rPr>
            </w:pPr>
            <w:r>
              <w:rPr>
                <w:rFonts w:hint="eastAsia" w:eastAsiaTheme="minorEastAsia"/>
                <w:snapToGrid w:val="0"/>
                <w:color w:val="auto"/>
                <w:kern w:val="2"/>
                <w:szCs w:val="22"/>
              </w:rPr>
              <w:t>④</w:t>
            </w:r>
            <w:r>
              <w:rPr>
                <w:rFonts w:hint="eastAsia"/>
                <w:color w:val="auto"/>
              </w:rPr>
              <w:t>设备清洗废水</w:t>
            </w:r>
          </w:p>
          <w:p w14:paraId="5B75424A">
            <w:pPr>
              <w:spacing w:line="360" w:lineRule="auto"/>
              <w:ind w:firstLine="480" w:firstLineChars="200"/>
              <w:rPr>
                <w:color w:val="auto"/>
                <w:kern w:val="2"/>
              </w:rPr>
            </w:pPr>
            <w:r>
              <w:rPr>
                <w:rFonts w:hint="eastAsia"/>
                <w:color w:val="auto"/>
                <w:kern w:val="2"/>
              </w:rPr>
              <w:t>为保证设备清洁，每天生产结束时需对解冻池、清洗池、夹层锅、灌装机、风干机等设备进行清洗，根据企业设计资料，每次设备清洗约需要3</w:t>
            </w:r>
            <w:r>
              <w:rPr>
                <w:color w:val="auto"/>
                <w:kern w:val="2"/>
              </w:rPr>
              <w:t>m</w:t>
            </w:r>
            <w:r>
              <w:rPr>
                <w:color w:val="auto"/>
                <w:kern w:val="2"/>
                <w:vertAlign w:val="superscript"/>
              </w:rPr>
              <w:t>3</w:t>
            </w:r>
            <w:r>
              <w:rPr>
                <w:rFonts w:hint="eastAsia"/>
                <w:color w:val="auto"/>
                <w:kern w:val="2"/>
              </w:rPr>
              <w:t>的水，每天生产结束清洗一次，则设备清洗用水为3</w:t>
            </w:r>
            <w:r>
              <w:rPr>
                <w:color w:val="auto"/>
                <w:kern w:val="2"/>
              </w:rPr>
              <w:t>m</w:t>
            </w:r>
            <w:r>
              <w:rPr>
                <w:color w:val="auto"/>
                <w:kern w:val="2"/>
                <w:vertAlign w:val="superscript"/>
              </w:rPr>
              <w:t>3</w:t>
            </w:r>
            <w:r>
              <w:rPr>
                <w:color w:val="auto"/>
                <w:kern w:val="2"/>
              </w:rPr>
              <w:t>/d</w:t>
            </w:r>
            <w:r>
              <w:rPr>
                <w:rFonts w:hint="eastAsia"/>
                <w:color w:val="auto"/>
                <w:kern w:val="2"/>
              </w:rPr>
              <w:t>（900</w:t>
            </w:r>
            <w:r>
              <w:rPr>
                <w:color w:val="auto"/>
                <w:kern w:val="2"/>
              </w:rPr>
              <w:t>m</w:t>
            </w:r>
            <w:r>
              <w:rPr>
                <w:color w:val="auto"/>
                <w:kern w:val="2"/>
                <w:vertAlign w:val="superscript"/>
              </w:rPr>
              <w:t>3</w:t>
            </w:r>
            <w:r>
              <w:rPr>
                <w:color w:val="auto"/>
                <w:kern w:val="2"/>
              </w:rPr>
              <w:t>/a</w:t>
            </w:r>
            <w:r>
              <w:rPr>
                <w:rFonts w:hint="eastAsia"/>
                <w:color w:val="auto"/>
                <w:kern w:val="2"/>
              </w:rPr>
              <w:t>）</w:t>
            </w:r>
            <w:r>
              <w:rPr>
                <w:rFonts w:hint="eastAsia"/>
                <w:color w:val="auto"/>
              </w:rPr>
              <w:t>，</w:t>
            </w:r>
            <w:r>
              <w:rPr>
                <w:color w:val="auto"/>
              </w:rPr>
              <w:t>排水量以用水量的80%计，则</w:t>
            </w:r>
            <w:r>
              <w:rPr>
                <w:rFonts w:hint="eastAsia"/>
                <w:color w:val="auto"/>
                <w:szCs w:val="28"/>
              </w:rPr>
              <w:t>清洗废水</w:t>
            </w:r>
            <w:r>
              <w:rPr>
                <w:color w:val="auto"/>
              </w:rPr>
              <w:t>产生量为</w:t>
            </w:r>
            <w:r>
              <w:rPr>
                <w:rFonts w:hint="eastAsia"/>
                <w:color w:val="auto"/>
              </w:rPr>
              <w:t>2.4</w:t>
            </w:r>
            <w:r>
              <w:rPr>
                <w:color w:val="auto"/>
              </w:rPr>
              <w:t>m</w:t>
            </w:r>
            <w:r>
              <w:rPr>
                <w:color w:val="auto"/>
                <w:vertAlign w:val="superscript"/>
              </w:rPr>
              <w:t>3</w:t>
            </w:r>
            <w:r>
              <w:rPr>
                <w:color w:val="auto"/>
                <w:szCs w:val="28"/>
              </w:rPr>
              <w:t>/</w:t>
            </w:r>
            <w:r>
              <w:rPr>
                <w:color w:val="auto"/>
              </w:rPr>
              <w:t>d（</w:t>
            </w:r>
            <w:r>
              <w:rPr>
                <w:rFonts w:hint="eastAsia"/>
                <w:color w:val="auto"/>
              </w:rPr>
              <w:t>720</w:t>
            </w:r>
            <w:r>
              <w:rPr>
                <w:color w:val="auto"/>
              </w:rPr>
              <w:t>m</w:t>
            </w:r>
            <w:r>
              <w:rPr>
                <w:color w:val="auto"/>
                <w:vertAlign w:val="superscript"/>
              </w:rPr>
              <w:t>3</w:t>
            </w:r>
            <w:r>
              <w:rPr>
                <w:color w:val="auto"/>
              </w:rPr>
              <w:t>/a）</w:t>
            </w:r>
            <w:r>
              <w:rPr>
                <w:rFonts w:hint="eastAsia"/>
                <w:color w:val="auto"/>
                <w:kern w:val="2"/>
              </w:rPr>
              <w:t>。</w:t>
            </w:r>
          </w:p>
          <w:p w14:paraId="1F30EC1C">
            <w:pPr>
              <w:spacing w:line="360" w:lineRule="auto"/>
              <w:ind w:firstLine="480" w:firstLineChars="200"/>
              <w:rPr>
                <w:color w:val="auto"/>
              </w:rPr>
            </w:pPr>
            <w:r>
              <w:rPr>
                <w:rFonts w:hint="eastAsia"/>
                <w:color w:val="auto"/>
              </w:rPr>
              <w:t>⑤地面清洗废水</w:t>
            </w:r>
          </w:p>
          <w:p w14:paraId="0667BC04">
            <w:pPr>
              <w:widowControl/>
              <w:adjustRightInd w:val="0"/>
              <w:snapToGrid w:val="0"/>
              <w:spacing w:line="360" w:lineRule="auto"/>
              <w:ind w:firstLine="480" w:firstLineChars="200"/>
              <w:rPr>
                <w:color w:val="auto"/>
                <w:kern w:val="2"/>
              </w:rPr>
            </w:pPr>
            <w:r>
              <w:rPr>
                <w:rFonts w:hint="eastAsia"/>
                <w:color w:val="auto"/>
                <w:kern w:val="2"/>
              </w:rPr>
              <w:t>项目生产车间地面每天清洗一次，清洗方式采用拖洗，本项目建筑面积为4873.6m</w:t>
            </w:r>
            <w:r>
              <w:rPr>
                <w:rFonts w:hint="eastAsia"/>
                <w:color w:val="auto"/>
                <w:kern w:val="2"/>
                <w:vertAlign w:val="superscript"/>
              </w:rPr>
              <w:t>2</w:t>
            </w:r>
            <w:r>
              <w:rPr>
                <w:rFonts w:hint="eastAsia"/>
                <w:color w:val="auto"/>
                <w:kern w:val="2"/>
              </w:rPr>
              <w:t>。参照《安徽省行业用水定额》（DB34/T679-2025）表5中浇洒地面用水先进定额，地面清洗用水以</w:t>
            </w:r>
            <w:r>
              <w:rPr>
                <w:color w:val="auto"/>
                <w:kern w:val="2"/>
              </w:rPr>
              <w:t>1.5L/m</w:t>
            </w:r>
            <w:r>
              <w:rPr>
                <w:color w:val="auto"/>
                <w:kern w:val="2"/>
                <w:vertAlign w:val="superscript"/>
              </w:rPr>
              <w:t>2</w:t>
            </w:r>
            <w:r>
              <w:rPr>
                <w:rFonts w:hint="eastAsia"/>
                <w:color w:val="auto"/>
                <w:kern w:val="2"/>
              </w:rPr>
              <w:t>计，则地面清洗用水为7.31</w:t>
            </w:r>
            <w:r>
              <w:rPr>
                <w:color w:val="auto"/>
                <w:kern w:val="2"/>
              </w:rPr>
              <w:t>m</w:t>
            </w:r>
            <w:r>
              <w:rPr>
                <w:color w:val="auto"/>
                <w:kern w:val="2"/>
                <w:vertAlign w:val="superscript"/>
              </w:rPr>
              <w:t>3</w:t>
            </w:r>
            <w:r>
              <w:rPr>
                <w:color w:val="auto"/>
                <w:kern w:val="2"/>
              </w:rPr>
              <w:t>/d</w:t>
            </w:r>
            <w:r>
              <w:rPr>
                <w:rFonts w:hint="eastAsia"/>
                <w:color w:val="auto"/>
                <w:kern w:val="2"/>
              </w:rPr>
              <w:t>（2193</w:t>
            </w:r>
            <w:r>
              <w:rPr>
                <w:color w:val="auto"/>
                <w:kern w:val="2"/>
              </w:rPr>
              <w:t>m</w:t>
            </w:r>
            <w:r>
              <w:rPr>
                <w:color w:val="auto"/>
                <w:kern w:val="2"/>
                <w:vertAlign w:val="superscript"/>
              </w:rPr>
              <w:t>3</w:t>
            </w:r>
            <w:r>
              <w:rPr>
                <w:color w:val="auto"/>
                <w:kern w:val="2"/>
              </w:rPr>
              <w:t>/a</w:t>
            </w:r>
            <w:r>
              <w:rPr>
                <w:rFonts w:hint="eastAsia"/>
                <w:color w:val="auto"/>
                <w:kern w:val="2"/>
              </w:rPr>
              <w:t>）</w:t>
            </w:r>
            <w:r>
              <w:rPr>
                <w:rFonts w:hint="eastAsia"/>
                <w:color w:val="auto"/>
              </w:rPr>
              <w:t>，</w:t>
            </w:r>
            <w:r>
              <w:rPr>
                <w:color w:val="auto"/>
              </w:rPr>
              <w:t>排水量以用水量的80%计，则</w:t>
            </w:r>
            <w:r>
              <w:rPr>
                <w:rFonts w:hint="eastAsia"/>
                <w:color w:val="auto"/>
                <w:szCs w:val="28"/>
              </w:rPr>
              <w:t>清洗废水</w:t>
            </w:r>
            <w:r>
              <w:rPr>
                <w:color w:val="auto"/>
              </w:rPr>
              <w:t>产生量为</w:t>
            </w:r>
            <w:r>
              <w:rPr>
                <w:rFonts w:hint="eastAsia"/>
                <w:color w:val="auto"/>
              </w:rPr>
              <w:t>5.85</w:t>
            </w:r>
            <w:r>
              <w:rPr>
                <w:color w:val="auto"/>
              </w:rPr>
              <w:t>m</w:t>
            </w:r>
            <w:r>
              <w:rPr>
                <w:color w:val="auto"/>
                <w:vertAlign w:val="superscript"/>
              </w:rPr>
              <w:t>3</w:t>
            </w:r>
            <w:r>
              <w:rPr>
                <w:color w:val="auto"/>
                <w:szCs w:val="28"/>
              </w:rPr>
              <w:t>/</w:t>
            </w:r>
            <w:r>
              <w:rPr>
                <w:color w:val="auto"/>
              </w:rPr>
              <w:t>d（</w:t>
            </w:r>
            <w:r>
              <w:rPr>
                <w:rFonts w:hint="eastAsia"/>
                <w:color w:val="auto"/>
              </w:rPr>
              <w:t>1754.5</w:t>
            </w:r>
            <w:r>
              <w:rPr>
                <w:color w:val="auto"/>
              </w:rPr>
              <w:t>m</w:t>
            </w:r>
            <w:r>
              <w:rPr>
                <w:color w:val="auto"/>
                <w:vertAlign w:val="superscript"/>
              </w:rPr>
              <w:t>3</w:t>
            </w:r>
            <w:r>
              <w:rPr>
                <w:color w:val="auto"/>
              </w:rPr>
              <w:t>/a）</w:t>
            </w:r>
            <w:r>
              <w:rPr>
                <w:rFonts w:hint="eastAsia"/>
                <w:color w:val="auto"/>
                <w:kern w:val="2"/>
              </w:rPr>
              <w:t>。</w:t>
            </w:r>
          </w:p>
          <w:p w14:paraId="36BF17B4">
            <w:pPr>
              <w:widowControl/>
              <w:adjustRightInd w:val="0"/>
              <w:snapToGrid w:val="0"/>
              <w:spacing w:line="360" w:lineRule="auto"/>
              <w:ind w:firstLine="480" w:firstLineChars="200"/>
              <w:rPr>
                <w:color w:val="auto"/>
              </w:rPr>
            </w:pPr>
            <w:r>
              <w:rPr>
                <w:rFonts w:hint="eastAsia"/>
                <w:color w:val="auto"/>
                <w:kern w:val="2"/>
              </w:rPr>
              <w:t>本项目废水排放浓度主要参考《安徽淮农食品科技有限公司食品生产基地项目阶段性竣工环境保护验收监测报告表》中废水排放监测数据，本项目产品为年产300万袋牛肉汤系列产品，与安徽淮农食品科技有限公司食品生产基地项目产品（年产400万袋牛肉汤）</w:t>
            </w:r>
            <w:r>
              <w:rPr>
                <w:rFonts w:hint="eastAsia"/>
                <w:color w:val="auto"/>
              </w:rPr>
              <w:t>基本相同，本项目生产流程与其基本相似，原辅材基本相似，废水来源和污染物种类基本相似，具有可类比性。</w:t>
            </w:r>
          </w:p>
          <w:p w14:paraId="0DDDAD95">
            <w:pPr>
              <w:pStyle w:val="6"/>
              <w:rPr>
                <w:color w:val="auto"/>
              </w:rPr>
            </w:pPr>
            <w:r>
              <w:rPr>
                <w:color w:val="auto"/>
              </w:rPr>
              <w:t xml:space="preserve">表 </w:t>
            </w:r>
            <w:r>
              <w:rPr>
                <w:rFonts w:hint="eastAsia"/>
                <w:color w:val="auto"/>
              </w:rPr>
              <w:t>4-</w:t>
            </w:r>
            <w:r>
              <w:rPr>
                <w:color w:val="auto"/>
              </w:rPr>
              <w:fldChar w:fldCharType="begin"/>
            </w:r>
            <w:r>
              <w:rPr>
                <w:color w:val="auto"/>
              </w:rPr>
              <w:instrText xml:space="preserve"> SEQ 表 \* ARABIC \s 1 </w:instrText>
            </w:r>
            <w:r>
              <w:rPr>
                <w:color w:val="auto"/>
              </w:rPr>
              <w:fldChar w:fldCharType="separate"/>
            </w:r>
            <w:r>
              <w:rPr>
                <w:color w:val="auto"/>
              </w:rPr>
              <w:t>4</w:t>
            </w:r>
            <w:r>
              <w:rPr>
                <w:color w:val="auto"/>
              </w:rPr>
              <w:fldChar w:fldCharType="end"/>
            </w:r>
            <w:r>
              <w:rPr>
                <w:rFonts w:hint="eastAsia"/>
                <w:color w:val="auto"/>
              </w:rPr>
              <w:t xml:space="preserve"> 项目废水类比可行性对照表</w:t>
            </w: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71"/>
              <w:gridCol w:w="2171"/>
              <w:gridCol w:w="2171"/>
              <w:gridCol w:w="2171"/>
            </w:tblGrid>
            <w:tr w14:paraId="5D957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71" w:type="dxa"/>
                  <w:vAlign w:val="center"/>
                </w:tcPr>
                <w:p w14:paraId="0226D599">
                  <w:pPr>
                    <w:pStyle w:val="30"/>
                    <w:framePr w:hSpace="0" w:wrap="auto" w:vAnchor="margin" w:hAnchor="text" w:xAlign="left" w:yAlign="inline"/>
                    <w:rPr>
                      <w:color w:val="auto"/>
                      <w:lang w:val="en-US"/>
                    </w:rPr>
                  </w:pPr>
                  <w:r>
                    <w:rPr>
                      <w:rFonts w:hint="eastAsia"/>
                      <w:color w:val="auto"/>
                      <w:lang w:val="en-US"/>
                    </w:rPr>
                    <w:t>类别</w:t>
                  </w:r>
                </w:p>
              </w:tc>
              <w:tc>
                <w:tcPr>
                  <w:tcW w:w="2171" w:type="dxa"/>
                  <w:vAlign w:val="center"/>
                </w:tcPr>
                <w:p w14:paraId="3C6D7BF3">
                  <w:pPr>
                    <w:pStyle w:val="30"/>
                    <w:framePr w:hSpace="0" w:wrap="auto" w:vAnchor="margin" w:hAnchor="text" w:xAlign="left" w:yAlign="inline"/>
                    <w:rPr>
                      <w:color w:val="auto"/>
                      <w:lang w:val="en-US"/>
                    </w:rPr>
                  </w:pPr>
                  <w:r>
                    <w:rPr>
                      <w:rFonts w:hint="eastAsia"/>
                      <w:color w:val="auto"/>
                    </w:rPr>
                    <w:t>安徽淮农食品科技有限公司食品生产基地项目</w:t>
                  </w:r>
                </w:p>
              </w:tc>
              <w:tc>
                <w:tcPr>
                  <w:tcW w:w="2171" w:type="dxa"/>
                  <w:vAlign w:val="center"/>
                </w:tcPr>
                <w:p w14:paraId="01458C60">
                  <w:pPr>
                    <w:pStyle w:val="30"/>
                    <w:framePr w:hSpace="0" w:wrap="auto" w:vAnchor="margin" w:hAnchor="text" w:xAlign="left" w:yAlign="inline"/>
                    <w:rPr>
                      <w:color w:val="auto"/>
                      <w:lang w:val="en-US"/>
                    </w:rPr>
                  </w:pPr>
                  <w:r>
                    <w:rPr>
                      <w:rFonts w:hint="eastAsia"/>
                      <w:color w:val="auto"/>
                      <w:lang w:val="en-US"/>
                    </w:rPr>
                    <w:t>本项目</w:t>
                  </w:r>
                </w:p>
              </w:tc>
              <w:tc>
                <w:tcPr>
                  <w:tcW w:w="2171" w:type="dxa"/>
                  <w:vAlign w:val="center"/>
                </w:tcPr>
                <w:p w14:paraId="7273EF6D">
                  <w:pPr>
                    <w:pStyle w:val="30"/>
                    <w:framePr w:hSpace="0" w:wrap="auto" w:vAnchor="margin" w:hAnchor="text" w:xAlign="left" w:yAlign="inline"/>
                    <w:rPr>
                      <w:color w:val="auto"/>
                      <w:lang w:val="en-US"/>
                    </w:rPr>
                  </w:pPr>
                  <w:r>
                    <w:rPr>
                      <w:rFonts w:hint="eastAsia"/>
                      <w:color w:val="auto"/>
                      <w:lang w:val="en-US"/>
                    </w:rPr>
                    <w:t>类比可行性</w:t>
                  </w:r>
                </w:p>
              </w:tc>
            </w:tr>
            <w:tr w14:paraId="11887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71" w:type="dxa"/>
                  <w:vAlign w:val="center"/>
                </w:tcPr>
                <w:p w14:paraId="0C66C7D0">
                  <w:pPr>
                    <w:pStyle w:val="30"/>
                    <w:framePr w:hSpace="0" w:wrap="auto" w:vAnchor="margin" w:hAnchor="text" w:xAlign="left" w:yAlign="inline"/>
                    <w:rPr>
                      <w:color w:val="auto"/>
                      <w:lang w:val="en-US"/>
                    </w:rPr>
                  </w:pPr>
                  <w:r>
                    <w:rPr>
                      <w:rFonts w:hint="eastAsia"/>
                      <w:color w:val="auto"/>
                      <w:lang w:val="en-US"/>
                    </w:rPr>
                    <w:t>产品产能</w:t>
                  </w:r>
                </w:p>
              </w:tc>
              <w:tc>
                <w:tcPr>
                  <w:tcW w:w="2171" w:type="dxa"/>
                  <w:vAlign w:val="center"/>
                </w:tcPr>
                <w:p w14:paraId="1FB652D5">
                  <w:pPr>
                    <w:pStyle w:val="30"/>
                    <w:framePr w:hSpace="0" w:wrap="auto" w:vAnchor="margin" w:hAnchor="text" w:xAlign="left" w:yAlign="inline"/>
                    <w:rPr>
                      <w:color w:val="auto"/>
                      <w:lang w:val="en-US"/>
                    </w:rPr>
                  </w:pPr>
                  <w:r>
                    <w:rPr>
                      <w:rFonts w:hint="eastAsia"/>
                      <w:color w:val="auto"/>
                    </w:rPr>
                    <w:t>年产</w:t>
                  </w:r>
                  <w:r>
                    <w:rPr>
                      <w:rFonts w:hint="eastAsia"/>
                      <w:color w:val="auto"/>
                      <w:lang w:val="en-US"/>
                    </w:rPr>
                    <w:t>400万袋牛肉汤</w:t>
                  </w:r>
                </w:p>
              </w:tc>
              <w:tc>
                <w:tcPr>
                  <w:tcW w:w="2171" w:type="dxa"/>
                  <w:vAlign w:val="center"/>
                </w:tcPr>
                <w:p w14:paraId="152EA53D">
                  <w:pPr>
                    <w:pStyle w:val="30"/>
                    <w:framePr w:hSpace="0" w:wrap="auto" w:vAnchor="margin" w:hAnchor="text" w:xAlign="left" w:yAlign="inline"/>
                    <w:rPr>
                      <w:color w:val="auto"/>
                      <w:lang w:val="en-US"/>
                    </w:rPr>
                  </w:pPr>
                  <w:r>
                    <w:rPr>
                      <w:rFonts w:hint="eastAsia"/>
                      <w:color w:val="auto"/>
                    </w:rPr>
                    <w:t>年产</w:t>
                  </w:r>
                  <w:r>
                    <w:rPr>
                      <w:rFonts w:hint="eastAsia"/>
                      <w:color w:val="auto"/>
                      <w:lang w:val="en-US"/>
                    </w:rPr>
                    <w:t>300万袋牛肉汤系列产品</w:t>
                  </w:r>
                </w:p>
              </w:tc>
              <w:tc>
                <w:tcPr>
                  <w:tcW w:w="2171" w:type="dxa"/>
                  <w:vAlign w:val="center"/>
                </w:tcPr>
                <w:p w14:paraId="079B7206">
                  <w:pPr>
                    <w:pStyle w:val="30"/>
                    <w:framePr w:hSpace="0" w:wrap="auto" w:vAnchor="margin" w:hAnchor="text" w:xAlign="left" w:yAlign="inline"/>
                    <w:rPr>
                      <w:color w:val="auto"/>
                      <w:lang w:val="en-US"/>
                    </w:rPr>
                  </w:pPr>
                  <w:r>
                    <w:rPr>
                      <w:rFonts w:hint="eastAsia"/>
                      <w:color w:val="auto"/>
                      <w:lang w:val="en-US"/>
                    </w:rPr>
                    <w:t>可行</w:t>
                  </w:r>
                </w:p>
              </w:tc>
            </w:tr>
            <w:tr w14:paraId="1FE45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71" w:type="dxa"/>
                  <w:vAlign w:val="center"/>
                </w:tcPr>
                <w:p w14:paraId="2C53354B">
                  <w:pPr>
                    <w:pStyle w:val="30"/>
                    <w:framePr w:hSpace="0" w:wrap="auto" w:vAnchor="margin" w:hAnchor="text" w:xAlign="left" w:yAlign="inline"/>
                    <w:rPr>
                      <w:color w:val="auto"/>
                      <w:lang w:val="en-US"/>
                    </w:rPr>
                  </w:pPr>
                  <w:r>
                    <w:rPr>
                      <w:rFonts w:hint="eastAsia"/>
                      <w:color w:val="auto"/>
                      <w:lang w:val="en-US"/>
                    </w:rPr>
                    <w:t>主要原辅材料</w:t>
                  </w:r>
                </w:p>
              </w:tc>
              <w:tc>
                <w:tcPr>
                  <w:tcW w:w="2171" w:type="dxa"/>
                  <w:vAlign w:val="center"/>
                </w:tcPr>
                <w:p w14:paraId="0A7B8625">
                  <w:pPr>
                    <w:pStyle w:val="30"/>
                    <w:framePr w:hSpace="0" w:wrap="auto" w:vAnchor="margin" w:hAnchor="text" w:xAlign="left" w:yAlign="inline"/>
                    <w:rPr>
                      <w:color w:val="auto"/>
                    </w:rPr>
                  </w:pPr>
                  <w:r>
                    <w:rPr>
                      <w:rFonts w:hint="eastAsia"/>
                      <w:color w:val="auto"/>
                    </w:rPr>
                    <w:t>牛肉（含牛骨）、食用盐、姜、葱等</w:t>
                  </w:r>
                </w:p>
              </w:tc>
              <w:tc>
                <w:tcPr>
                  <w:tcW w:w="2171" w:type="dxa"/>
                  <w:vAlign w:val="center"/>
                </w:tcPr>
                <w:p w14:paraId="18C446E8">
                  <w:pPr>
                    <w:pStyle w:val="30"/>
                    <w:framePr w:hSpace="0" w:wrap="auto" w:vAnchor="margin" w:hAnchor="text" w:xAlign="left" w:yAlign="inline"/>
                    <w:rPr>
                      <w:color w:val="auto"/>
                    </w:rPr>
                  </w:pPr>
                  <w:r>
                    <w:rPr>
                      <w:rFonts w:hint="eastAsia"/>
                      <w:color w:val="auto"/>
                    </w:rPr>
                    <w:t>牛骨、葱、姜、味精等</w:t>
                  </w:r>
                </w:p>
              </w:tc>
              <w:tc>
                <w:tcPr>
                  <w:tcW w:w="2171" w:type="dxa"/>
                  <w:vAlign w:val="center"/>
                </w:tcPr>
                <w:p w14:paraId="330D881F">
                  <w:pPr>
                    <w:pStyle w:val="30"/>
                    <w:framePr w:hSpace="0" w:wrap="auto" w:vAnchor="margin" w:hAnchor="text" w:xAlign="left" w:yAlign="inline"/>
                    <w:rPr>
                      <w:color w:val="auto"/>
                      <w:lang w:val="en-US"/>
                    </w:rPr>
                  </w:pPr>
                  <w:r>
                    <w:rPr>
                      <w:rFonts w:hint="eastAsia"/>
                      <w:color w:val="auto"/>
                      <w:lang w:val="en-US"/>
                    </w:rPr>
                    <w:t>可行</w:t>
                  </w:r>
                </w:p>
              </w:tc>
            </w:tr>
            <w:tr w14:paraId="0D7A6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71" w:type="dxa"/>
                  <w:vAlign w:val="center"/>
                </w:tcPr>
                <w:p w14:paraId="4AB7B7B2">
                  <w:pPr>
                    <w:pStyle w:val="30"/>
                    <w:framePr w:hSpace="0" w:wrap="auto" w:vAnchor="margin" w:hAnchor="text" w:xAlign="left" w:yAlign="inline"/>
                    <w:rPr>
                      <w:color w:val="auto"/>
                      <w:lang w:val="en-US"/>
                    </w:rPr>
                  </w:pPr>
                  <w:r>
                    <w:rPr>
                      <w:rFonts w:hint="eastAsia"/>
                      <w:color w:val="auto"/>
                      <w:lang w:val="en-US"/>
                    </w:rPr>
                    <w:t>主要生产工艺流程</w:t>
                  </w:r>
                </w:p>
              </w:tc>
              <w:tc>
                <w:tcPr>
                  <w:tcW w:w="2171" w:type="dxa"/>
                  <w:vAlign w:val="center"/>
                </w:tcPr>
                <w:p w14:paraId="1D01C3DB">
                  <w:pPr>
                    <w:pStyle w:val="30"/>
                    <w:framePr w:hSpace="0" w:wrap="auto" w:vAnchor="margin" w:hAnchor="text" w:xAlign="left" w:yAlign="inline"/>
                    <w:rPr>
                      <w:color w:val="auto"/>
                      <w:lang w:val="en-US"/>
                    </w:rPr>
                  </w:pPr>
                  <w:r>
                    <w:rPr>
                      <w:rFonts w:hint="eastAsia"/>
                      <w:color w:val="auto"/>
                      <w:lang w:val="en-US"/>
                    </w:rPr>
                    <w:t>切断/分割清洗-熬汤-封装-冷却-风干</w:t>
                  </w:r>
                </w:p>
              </w:tc>
              <w:tc>
                <w:tcPr>
                  <w:tcW w:w="2171" w:type="dxa"/>
                  <w:vAlign w:val="center"/>
                </w:tcPr>
                <w:p w14:paraId="6B237969">
                  <w:pPr>
                    <w:pStyle w:val="30"/>
                    <w:framePr w:hSpace="0" w:wrap="auto" w:vAnchor="margin" w:hAnchor="text" w:xAlign="left" w:yAlign="inline"/>
                    <w:rPr>
                      <w:color w:val="auto"/>
                      <w:lang w:val="en-US"/>
                    </w:rPr>
                  </w:pPr>
                  <w:r>
                    <w:rPr>
                      <w:rFonts w:hint="eastAsia"/>
                      <w:color w:val="auto"/>
                      <w:lang w:val="en-US"/>
                    </w:rPr>
                    <w:t>解冻-清洗-紫外线（灭菌）-熬煮-灌汤-杀菌-清洗-风干</w:t>
                  </w:r>
                </w:p>
              </w:tc>
              <w:tc>
                <w:tcPr>
                  <w:tcW w:w="2171" w:type="dxa"/>
                  <w:vAlign w:val="center"/>
                </w:tcPr>
                <w:p w14:paraId="25A0D386">
                  <w:pPr>
                    <w:pStyle w:val="30"/>
                    <w:framePr w:hSpace="0" w:wrap="auto" w:vAnchor="margin" w:hAnchor="text" w:xAlign="left" w:yAlign="inline"/>
                    <w:rPr>
                      <w:color w:val="auto"/>
                      <w:lang w:val="en-US"/>
                    </w:rPr>
                  </w:pPr>
                  <w:r>
                    <w:rPr>
                      <w:rFonts w:hint="eastAsia"/>
                      <w:color w:val="auto"/>
                      <w:lang w:val="en-US"/>
                    </w:rPr>
                    <w:t>可行</w:t>
                  </w:r>
                </w:p>
              </w:tc>
            </w:tr>
            <w:tr w14:paraId="407D7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71" w:type="dxa"/>
                  <w:shd w:val="clear" w:color="auto" w:fill="auto"/>
                  <w:vAlign w:val="center"/>
                </w:tcPr>
                <w:p w14:paraId="6C58EE39">
                  <w:pPr>
                    <w:pStyle w:val="30"/>
                    <w:framePr w:hSpace="0" w:wrap="auto" w:vAnchor="margin" w:hAnchor="text" w:xAlign="left" w:yAlign="inline"/>
                    <w:rPr>
                      <w:color w:val="auto"/>
                      <w:lang w:val="en-US"/>
                    </w:rPr>
                  </w:pPr>
                  <w:r>
                    <w:rPr>
                      <w:rFonts w:hint="eastAsia"/>
                      <w:color w:val="auto"/>
                      <w:lang w:val="en-US"/>
                    </w:rPr>
                    <w:t>废水类型</w:t>
                  </w:r>
                </w:p>
              </w:tc>
              <w:tc>
                <w:tcPr>
                  <w:tcW w:w="2171" w:type="dxa"/>
                  <w:vAlign w:val="center"/>
                </w:tcPr>
                <w:p w14:paraId="733E8BD2">
                  <w:pPr>
                    <w:pStyle w:val="30"/>
                    <w:framePr w:hSpace="0" w:wrap="auto" w:vAnchor="margin" w:hAnchor="text" w:xAlign="left" w:yAlign="inline"/>
                    <w:rPr>
                      <w:color w:val="auto"/>
                      <w:lang w:val="en-US"/>
                    </w:rPr>
                  </w:pPr>
                  <w:r>
                    <w:rPr>
                      <w:rFonts w:hint="eastAsia"/>
                      <w:color w:val="auto"/>
                      <w:lang w:val="en-US"/>
                    </w:rPr>
                    <w:t>解冻废水、肉类清洗废水、设备清洗水、杀菌锅清洗水、地面清洁水、生活污水</w:t>
                  </w:r>
                </w:p>
              </w:tc>
              <w:tc>
                <w:tcPr>
                  <w:tcW w:w="2171" w:type="dxa"/>
                  <w:vAlign w:val="center"/>
                </w:tcPr>
                <w:p w14:paraId="09980AD7">
                  <w:pPr>
                    <w:pStyle w:val="30"/>
                    <w:framePr w:hSpace="0" w:wrap="auto" w:vAnchor="margin" w:hAnchor="text" w:xAlign="left" w:yAlign="inline"/>
                    <w:rPr>
                      <w:color w:val="auto"/>
                      <w:lang w:val="en-US"/>
                    </w:rPr>
                  </w:pPr>
                  <w:r>
                    <w:rPr>
                      <w:rFonts w:hint="eastAsia"/>
                      <w:color w:val="auto"/>
                      <w:lang w:val="en-US"/>
                    </w:rPr>
                    <w:t>解冻废水、清洗废水、杀菌废水、设备清洗水、地面清洗废水、生活污水</w:t>
                  </w:r>
                </w:p>
              </w:tc>
              <w:tc>
                <w:tcPr>
                  <w:tcW w:w="2171" w:type="dxa"/>
                  <w:vAlign w:val="center"/>
                </w:tcPr>
                <w:p w14:paraId="4320B41B">
                  <w:pPr>
                    <w:pStyle w:val="30"/>
                    <w:framePr w:hSpace="0" w:wrap="auto" w:vAnchor="margin" w:hAnchor="text" w:xAlign="left" w:yAlign="inline"/>
                    <w:rPr>
                      <w:color w:val="auto"/>
                      <w:lang w:val="en-US"/>
                    </w:rPr>
                  </w:pPr>
                  <w:r>
                    <w:rPr>
                      <w:rFonts w:hint="eastAsia"/>
                      <w:color w:val="auto"/>
                      <w:lang w:val="en-US"/>
                    </w:rPr>
                    <w:t>可行</w:t>
                  </w:r>
                </w:p>
              </w:tc>
            </w:tr>
            <w:tr w14:paraId="38D38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71" w:type="dxa"/>
                  <w:shd w:val="clear" w:color="auto" w:fill="auto"/>
                  <w:vAlign w:val="center"/>
                </w:tcPr>
                <w:p w14:paraId="4E7C1D9C">
                  <w:pPr>
                    <w:pStyle w:val="30"/>
                    <w:framePr w:hSpace="0" w:wrap="auto" w:vAnchor="margin" w:hAnchor="text" w:xAlign="left" w:yAlign="inline"/>
                    <w:rPr>
                      <w:color w:val="auto"/>
                      <w:lang w:val="en-US"/>
                    </w:rPr>
                  </w:pPr>
                  <w:r>
                    <w:rPr>
                      <w:rFonts w:hint="eastAsia"/>
                      <w:color w:val="auto"/>
                      <w:lang w:val="en-US"/>
                    </w:rPr>
                    <w:t>废水处理设施</w:t>
                  </w:r>
                </w:p>
              </w:tc>
              <w:tc>
                <w:tcPr>
                  <w:tcW w:w="2171" w:type="dxa"/>
                  <w:vAlign w:val="center"/>
                </w:tcPr>
                <w:p w14:paraId="506303CC">
                  <w:pPr>
                    <w:pStyle w:val="30"/>
                    <w:framePr w:hSpace="0" w:wrap="auto" w:vAnchor="margin" w:hAnchor="text" w:xAlign="left" w:yAlign="inline"/>
                    <w:rPr>
                      <w:color w:val="auto"/>
                      <w:lang w:val="en-US"/>
                    </w:rPr>
                  </w:pPr>
                  <w:r>
                    <w:rPr>
                      <w:rFonts w:hint="eastAsia"/>
                      <w:color w:val="auto"/>
                      <w:lang w:val="en-US"/>
                    </w:rPr>
                    <w:t>隔油、沉淀、调节+水解酸化 +SBR</w:t>
                  </w:r>
                </w:p>
              </w:tc>
              <w:tc>
                <w:tcPr>
                  <w:tcW w:w="2171" w:type="dxa"/>
                  <w:vAlign w:val="center"/>
                </w:tcPr>
                <w:p w14:paraId="0976B3F4">
                  <w:pPr>
                    <w:pStyle w:val="30"/>
                    <w:framePr w:hSpace="0" w:wrap="auto" w:vAnchor="margin" w:hAnchor="text" w:xAlign="left" w:yAlign="inline"/>
                    <w:rPr>
                      <w:color w:val="auto"/>
                      <w:lang w:val="en-US"/>
                    </w:rPr>
                  </w:pPr>
                  <w:r>
                    <w:rPr>
                      <w:rFonts w:hint="eastAsia"/>
                      <w:color w:val="auto"/>
                      <w:lang w:val="en-US"/>
                    </w:rPr>
                    <w:t>隔油、沉淀、水解酸化+SBR</w:t>
                  </w:r>
                </w:p>
              </w:tc>
              <w:tc>
                <w:tcPr>
                  <w:tcW w:w="2171" w:type="dxa"/>
                  <w:vAlign w:val="center"/>
                </w:tcPr>
                <w:p w14:paraId="60F84522">
                  <w:pPr>
                    <w:pStyle w:val="30"/>
                    <w:framePr w:hSpace="0" w:wrap="auto" w:vAnchor="margin" w:hAnchor="text" w:xAlign="left" w:yAlign="inline"/>
                    <w:rPr>
                      <w:color w:val="auto"/>
                      <w:lang w:val="en-US"/>
                    </w:rPr>
                  </w:pPr>
                  <w:r>
                    <w:rPr>
                      <w:rFonts w:hint="eastAsia"/>
                      <w:color w:val="auto"/>
                      <w:lang w:val="en-US"/>
                    </w:rPr>
                    <w:t>可行</w:t>
                  </w:r>
                </w:p>
              </w:tc>
            </w:tr>
          </w:tbl>
          <w:p w14:paraId="7F98E315">
            <w:pPr>
              <w:widowControl/>
              <w:adjustRightInd w:val="0"/>
              <w:snapToGrid w:val="0"/>
              <w:spacing w:line="360" w:lineRule="auto"/>
              <w:ind w:firstLine="480" w:firstLineChars="200"/>
              <w:rPr>
                <w:color w:val="auto"/>
              </w:rPr>
            </w:pPr>
            <w:r>
              <w:rPr>
                <w:color w:val="auto"/>
              </w:rPr>
              <w:t>根据上述分析，项目类比可行，根据</w:t>
            </w:r>
            <w:r>
              <w:rPr>
                <w:color w:val="auto"/>
                <w:kern w:val="2"/>
              </w:rPr>
              <w:t>《安徽淮农食品科技有限公司食品生产基地项目阶段性竣工环境保护验收监测报告表》中废水排放监测数据确定本项目排放废水中各项污染因子浓度为：</w:t>
            </w:r>
            <w:r>
              <w:rPr>
                <w:color w:val="auto"/>
              </w:rPr>
              <w:t>pH检测结果范围为7.3~7.4（无量纲），COD为147~150mg/L,BOD</w:t>
            </w:r>
            <w:r>
              <w:rPr>
                <w:color w:val="auto"/>
                <w:vertAlign w:val="subscript"/>
              </w:rPr>
              <w:t>5</w:t>
            </w:r>
            <w:r>
              <w:rPr>
                <w:color w:val="auto"/>
              </w:rPr>
              <w:t>为29.2~31.2mg/L，氨氮为0.761~0.844mg/L，SS为148~160mg/L，动植物油为4.44~4.47mg/L，则本项目综合废水主要污染物排放情况见下表。</w:t>
            </w:r>
          </w:p>
          <w:p w14:paraId="00AF664C">
            <w:pPr>
              <w:pStyle w:val="6"/>
              <w:adjustRightInd w:val="0"/>
              <w:snapToGrid w:val="0"/>
              <w:rPr>
                <w:color w:val="auto"/>
              </w:rPr>
            </w:pPr>
            <w:r>
              <w:rPr>
                <w:color w:val="auto"/>
              </w:rPr>
              <w:t xml:space="preserve">表 </w:t>
            </w:r>
            <w:r>
              <w:rPr>
                <w:rFonts w:hint="eastAsia"/>
                <w:color w:val="auto"/>
              </w:rPr>
              <w:t>4-</w:t>
            </w:r>
            <w:r>
              <w:rPr>
                <w:color w:val="auto"/>
              </w:rPr>
              <w:fldChar w:fldCharType="begin"/>
            </w:r>
            <w:r>
              <w:rPr>
                <w:color w:val="auto"/>
              </w:rPr>
              <w:instrText xml:space="preserve"> SEQ 表 \* ARABIC \s 1 </w:instrText>
            </w:r>
            <w:r>
              <w:rPr>
                <w:color w:val="auto"/>
              </w:rPr>
              <w:fldChar w:fldCharType="separate"/>
            </w:r>
            <w:r>
              <w:rPr>
                <w:color w:val="auto"/>
              </w:rPr>
              <w:t>5</w:t>
            </w:r>
            <w:r>
              <w:rPr>
                <w:color w:val="auto"/>
              </w:rPr>
              <w:fldChar w:fldCharType="end"/>
            </w:r>
            <w:r>
              <w:rPr>
                <w:rFonts w:hint="eastAsia"/>
                <w:color w:val="auto"/>
              </w:rPr>
              <w:t>项目综合</w:t>
            </w:r>
            <w:r>
              <w:rPr>
                <w:color w:val="auto"/>
              </w:rPr>
              <w:t>废水污染物</w:t>
            </w:r>
            <w:r>
              <w:rPr>
                <w:rFonts w:hint="eastAsia"/>
                <w:color w:val="auto"/>
              </w:rPr>
              <w:t>排放</w:t>
            </w:r>
            <w:r>
              <w:rPr>
                <w:color w:val="auto"/>
              </w:rPr>
              <w:t>情况一览表</w:t>
            </w:r>
          </w:p>
          <w:tbl>
            <w:tblPr>
              <w:tblStyle w:val="23"/>
              <w:tblW w:w="8694" w:type="dxa"/>
              <w:jc w:val="center"/>
              <w:tblLayout w:type="autofit"/>
              <w:tblCellMar>
                <w:top w:w="0" w:type="dxa"/>
                <w:left w:w="108" w:type="dxa"/>
                <w:bottom w:w="0" w:type="dxa"/>
                <w:right w:w="108" w:type="dxa"/>
              </w:tblCellMar>
            </w:tblPr>
            <w:tblGrid>
              <w:gridCol w:w="1397"/>
              <w:gridCol w:w="1181"/>
              <w:gridCol w:w="1578"/>
              <w:gridCol w:w="1360"/>
              <w:gridCol w:w="1625"/>
              <w:gridCol w:w="1553"/>
            </w:tblGrid>
            <w:tr w14:paraId="00914F06">
              <w:tblPrEx>
                <w:tblCellMar>
                  <w:top w:w="0" w:type="dxa"/>
                  <w:left w:w="108" w:type="dxa"/>
                  <w:bottom w:w="0" w:type="dxa"/>
                  <w:right w:w="108" w:type="dxa"/>
                </w:tblCellMar>
              </w:tblPrEx>
              <w:trPr>
                <w:trHeight w:val="340" w:hRule="atLeast"/>
                <w:jc w:val="center"/>
              </w:trPr>
              <w:tc>
                <w:tcPr>
                  <w:tcW w:w="803" w:type="pct"/>
                  <w:vMerge w:val="restart"/>
                  <w:tcBorders>
                    <w:top w:val="single" w:color="000000" w:sz="4" w:space="0"/>
                    <w:left w:val="single" w:color="000000" w:sz="4" w:space="0"/>
                    <w:right w:val="single" w:color="000000" w:sz="4" w:space="0"/>
                  </w:tcBorders>
                  <w:shd w:val="clear" w:color="auto" w:fill="auto"/>
                  <w:vAlign w:val="center"/>
                </w:tcPr>
                <w:p w14:paraId="1AF8BC0A">
                  <w:pPr>
                    <w:pStyle w:val="30"/>
                    <w:framePr w:hSpace="0" w:wrap="auto" w:vAnchor="margin" w:hAnchor="text" w:xAlign="left" w:yAlign="inline"/>
                    <w:rPr>
                      <w:color w:val="auto"/>
                    </w:rPr>
                  </w:pPr>
                  <w:r>
                    <w:rPr>
                      <w:color w:val="auto"/>
                      <w:lang w:val="en-US"/>
                    </w:rPr>
                    <w:t>废水类别</w:t>
                  </w:r>
                </w:p>
              </w:tc>
              <w:tc>
                <w:tcPr>
                  <w:tcW w:w="679" w:type="pct"/>
                  <w:vMerge w:val="restart"/>
                  <w:tcBorders>
                    <w:top w:val="single" w:color="000000" w:sz="4" w:space="0"/>
                    <w:left w:val="single" w:color="000000" w:sz="4" w:space="0"/>
                    <w:right w:val="single" w:color="000000" w:sz="4" w:space="0"/>
                  </w:tcBorders>
                  <w:shd w:val="clear" w:color="auto" w:fill="auto"/>
                  <w:vAlign w:val="center"/>
                </w:tcPr>
                <w:p w14:paraId="79614028">
                  <w:pPr>
                    <w:pStyle w:val="30"/>
                    <w:framePr w:hSpace="0" w:wrap="auto" w:vAnchor="margin" w:hAnchor="text" w:xAlign="left" w:yAlign="inline"/>
                    <w:rPr>
                      <w:color w:val="auto"/>
                    </w:rPr>
                  </w:pPr>
                  <w:r>
                    <w:rPr>
                      <w:color w:val="auto"/>
                      <w:lang w:val="en-US"/>
                    </w:rPr>
                    <w:t>主要污染物</w:t>
                  </w:r>
                </w:p>
              </w:tc>
              <w:tc>
                <w:tcPr>
                  <w:tcW w:w="1689" w:type="pct"/>
                  <w:gridSpan w:val="2"/>
                  <w:tcBorders>
                    <w:top w:val="single" w:color="000000" w:sz="4" w:space="0"/>
                    <w:left w:val="single" w:color="000000" w:sz="4" w:space="0"/>
                    <w:bottom w:val="single" w:color="auto" w:sz="4" w:space="0"/>
                    <w:right w:val="single" w:color="000000" w:sz="4" w:space="0"/>
                  </w:tcBorders>
                  <w:shd w:val="clear" w:color="auto" w:fill="auto"/>
                  <w:vAlign w:val="center"/>
                </w:tcPr>
                <w:p w14:paraId="78814F77">
                  <w:pPr>
                    <w:pStyle w:val="30"/>
                    <w:framePr w:hSpace="0" w:wrap="auto" w:vAnchor="margin" w:hAnchor="text" w:xAlign="left" w:yAlign="inline"/>
                    <w:rPr>
                      <w:color w:val="auto"/>
                      <w:lang w:val="en-US"/>
                    </w:rPr>
                  </w:pPr>
                  <w:r>
                    <w:rPr>
                      <w:color w:val="auto"/>
                    </w:rPr>
                    <w:t>排放情况</w:t>
                  </w:r>
                </w:p>
              </w:tc>
              <w:tc>
                <w:tcPr>
                  <w:tcW w:w="934" w:type="pct"/>
                  <w:vMerge w:val="restart"/>
                  <w:tcBorders>
                    <w:top w:val="single" w:color="000000" w:sz="4" w:space="0"/>
                    <w:left w:val="single" w:color="000000" w:sz="4" w:space="0"/>
                    <w:right w:val="single" w:color="000000" w:sz="4" w:space="0"/>
                  </w:tcBorders>
                  <w:shd w:val="clear" w:color="auto" w:fill="auto"/>
                  <w:vAlign w:val="center"/>
                </w:tcPr>
                <w:p w14:paraId="42F880FB">
                  <w:pPr>
                    <w:pStyle w:val="30"/>
                    <w:framePr w:hSpace="0" w:wrap="auto" w:vAnchor="margin" w:hAnchor="text" w:xAlign="left" w:yAlign="inline"/>
                    <w:rPr>
                      <w:color w:val="auto"/>
                    </w:rPr>
                  </w:pPr>
                  <w:r>
                    <w:rPr>
                      <w:rFonts w:hint="eastAsia"/>
                      <w:color w:val="auto"/>
                    </w:rPr>
                    <w:t>废水处理工艺</w:t>
                  </w:r>
                </w:p>
              </w:tc>
              <w:tc>
                <w:tcPr>
                  <w:tcW w:w="893" w:type="pct"/>
                  <w:vMerge w:val="restart"/>
                  <w:tcBorders>
                    <w:top w:val="single" w:color="000000" w:sz="4" w:space="0"/>
                    <w:left w:val="single" w:color="000000" w:sz="4" w:space="0"/>
                    <w:right w:val="single" w:color="000000" w:sz="4" w:space="0"/>
                  </w:tcBorders>
                  <w:shd w:val="clear" w:color="auto" w:fill="auto"/>
                  <w:vAlign w:val="center"/>
                </w:tcPr>
                <w:p w14:paraId="4F641FD3">
                  <w:pPr>
                    <w:pStyle w:val="30"/>
                    <w:framePr w:hSpace="0" w:wrap="auto" w:vAnchor="margin" w:hAnchor="text" w:xAlign="left" w:yAlign="inline"/>
                    <w:rPr>
                      <w:color w:val="auto"/>
                    </w:rPr>
                  </w:pPr>
                  <w:r>
                    <w:rPr>
                      <w:rFonts w:hint="eastAsia"/>
                      <w:color w:val="auto"/>
                    </w:rPr>
                    <w:t>接管标准</w:t>
                  </w:r>
                </w:p>
              </w:tc>
            </w:tr>
            <w:tr w14:paraId="6B234D8E">
              <w:tblPrEx>
                <w:tblCellMar>
                  <w:top w:w="0" w:type="dxa"/>
                  <w:left w:w="108" w:type="dxa"/>
                  <w:bottom w:w="0" w:type="dxa"/>
                  <w:right w:w="108" w:type="dxa"/>
                </w:tblCellMar>
              </w:tblPrEx>
              <w:trPr>
                <w:trHeight w:val="340" w:hRule="atLeast"/>
                <w:jc w:val="center"/>
              </w:trPr>
              <w:tc>
                <w:tcPr>
                  <w:tcW w:w="803" w:type="pct"/>
                  <w:vMerge w:val="continue"/>
                  <w:tcBorders>
                    <w:left w:val="single" w:color="000000" w:sz="4" w:space="0"/>
                    <w:bottom w:val="single" w:color="000000" w:sz="4" w:space="0"/>
                    <w:right w:val="single" w:color="000000" w:sz="4" w:space="0"/>
                  </w:tcBorders>
                  <w:shd w:val="clear" w:color="auto" w:fill="auto"/>
                  <w:vAlign w:val="center"/>
                </w:tcPr>
                <w:p w14:paraId="00AFECA9">
                  <w:pPr>
                    <w:pStyle w:val="30"/>
                    <w:framePr w:hSpace="0" w:wrap="auto" w:vAnchor="margin" w:hAnchor="text" w:xAlign="left" w:yAlign="inline"/>
                    <w:rPr>
                      <w:color w:val="auto"/>
                      <w:lang w:val="en-US"/>
                    </w:rPr>
                  </w:pPr>
                </w:p>
              </w:tc>
              <w:tc>
                <w:tcPr>
                  <w:tcW w:w="679" w:type="pct"/>
                  <w:vMerge w:val="continue"/>
                  <w:tcBorders>
                    <w:left w:val="single" w:color="000000" w:sz="4" w:space="0"/>
                    <w:bottom w:val="single" w:color="000000" w:sz="4" w:space="0"/>
                    <w:right w:val="single" w:color="000000" w:sz="4" w:space="0"/>
                  </w:tcBorders>
                  <w:shd w:val="clear" w:color="auto" w:fill="auto"/>
                  <w:vAlign w:val="center"/>
                </w:tcPr>
                <w:p w14:paraId="272A2F28">
                  <w:pPr>
                    <w:pStyle w:val="30"/>
                    <w:framePr w:hSpace="0" w:wrap="auto" w:vAnchor="margin" w:hAnchor="text" w:xAlign="left" w:yAlign="inline"/>
                    <w:rPr>
                      <w:color w:val="auto"/>
                      <w:lang w:val="en-US"/>
                    </w:rPr>
                  </w:pPr>
                </w:p>
              </w:tc>
              <w:tc>
                <w:tcPr>
                  <w:tcW w:w="907" w:type="pct"/>
                  <w:tcBorders>
                    <w:top w:val="single" w:color="auto" w:sz="4" w:space="0"/>
                    <w:left w:val="single" w:color="000000" w:sz="4" w:space="0"/>
                    <w:bottom w:val="single" w:color="auto" w:sz="4" w:space="0"/>
                    <w:right w:val="single" w:color="auto" w:sz="4" w:space="0"/>
                  </w:tcBorders>
                  <w:shd w:val="clear" w:color="auto" w:fill="auto"/>
                  <w:vAlign w:val="center"/>
                </w:tcPr>
                <w:p w14:paraId="42E54D03">
                  <w:pPr>
                    <w:pStyle w:val="30"/>
                    <w:framePr w:hSpace="0" w:wrap="auto" w:vAnchor="margin" w:hAnchor="text" w:xAlign="left" w:yAlign="inline"/>
                    <w:rPr>
                      <w:color w:val="auto"/>
                      <w:lang w:val="en-US"/>
                    </w:rPr>
                  </w:pPr>
                  <w:r>
                    <w:rPr>
                      <w:color w:val="auto"/>
                    </w:rPr>
                    <w:t>排放浓度mg/m</w:t>
                  </w:r>
                  <w:r>
                    <w:rPr>
                      <w:color w:val="auto"/>
                      <w:vertAlign w:val="superscript"/>
                      <w:lang w:val="en-US"/>
                    </w:rPr>
                    <w:t>3</w:t>
                  </w:r>
                </w:p>
              </w:tc>
              <w:tc>
                <w:tcPr>
                  <w:tcW w:w="782" w:type="pct"/>
                  <w:tcBorders>
                    <w:top w:val="single" w:color="auto" w:sz="4" w:space="0"/>
                    <w:left w:val="single" w:color="auto" w:sz="4" w:space="0"/>
                    <w:bottom w:val="single" w:color="auto" w:sz="4" w:space="0"/>
                    <w:right w:val="single" w:color="000000" w:sz="4" w:space="0"/>
                  </w:tcBorders>
                  <w:shd w:val="clear" w:color="auto" w:fill="auto"/>
                  <w:vAlign w:val="center"/>
                </w:tcPr>
                <w:p w14:paraId="2DBD4C76">
                  <w:pPr>
                    <w:pStyle w:val="30"/>
                    <w:framePr w:hSpace="0" w:wrap="auto" w:vAnchor="margin" w:hAnchor="text" w:xAlign="left" w:yAlign="inline"/>
                    <w:rPr>
                      <w:color w:val="auto"/>
                      <w:lang w:val="en-US"/>
                    </w:rPr>
                  </w:pPr>
                  <w:r>
                    <w:rPr>
                      <w:color w:val="auto"/>
                    </w:rPr>
                    <w:t>排放量t/a</w:t>
                  </w:r>
                </w:p>
              </w:tc>
              <w:tc>
                <w:tcPr>
                  <w:tcW w:w="934" w:type="pct"/>
                  <w:vMerge w:val="continue"/>
                  <w:tcBorders>
                    <w:left w:val="single" w:color="000000" w:sz="4" w:space="0"/>
                    <w:bottom w:val="single" w:color="auto" w:sz="4" w:space="0"/>
                    <w:right w:val="single" w:color="000000" w:sz="4" w:space="0"/>
                  </w:tcBorders>
                  <w:shd w:val="clear" w:color="auto" w:fill="auto"/>
                  <w:vAlign w:val="center"/>
                </w:tcPr>
                <w:p w14:paraId="455D7CC8">
                  <w:pPr>
                    <w:pStyle w:val="30"/>
                    <w:framePr w:hSpace="0" w:wrap="auto" w:vAnchor="margin" w:hAnchor="text" w:xAlign="left" w:yAlign="inline"/>
                    <w:rPr>
                      <w:color w:val="auto"/>
                    </w:rPr>
                  </w:pPr>
                </w:p>
              </w:tc>
              <w:tc>
                <w:tcPr>
                  <w:tcW w:w="893" w:type="pct"/>
                  <w:vMerge w:val="continue"/>
                  <w:tcBorders>
                    <w:left w:val="single" w:color="000000" w:sz="4" w:space="0"/>
                    <w:bottom w:val="single" w:color="auto" w:sz="4" w:space="0"/>
                    <w:right w:val="single" w:color="000000" w:sz="4" w:space="0"/>
                  </w:tcBorders>
                  <w:shd w:val="clear" w:color="auto" w:fill="auto"/>
                  <w:vAlign w:val="center"/>
                </w:tcPr>
                <w:p w14:paraId="31758134">
                  <w:pPr>
                    <w:pStyle w:val="30"/>
                    <w:framePr w:hSpace="0" w:wrap="auto" w:vAnchor="margin" w:hAnchor="text" w:xAlign="left" w:yAlign="inline"/>
                    <w:rPr>
                      <w:color w:val="auto"/>
                    </w:rPr>
                  </w:pPr>
                </w:p>
              </w:tc>
            </w:tr>
            <w:tr w14:paraId="23A4D6C9">
              <w:tblPrEx>
                <w:tblCellMar>
                  <w:top w:w="0" w:type="dxa"/>
                  <w:left w:w="108" w:type="dxa"/>
                  <w:bottom w:w="0" w:type="dxa"/>
                  <w:right w:w="108" w:type="dxa"/>
                </w:tblCellMar>
              </w:tblPrEx>
              <w:trPr>
                <w:trHeight w:val="340" w:hRule="atLeast"/>
                <w:jc w:val="center"/>
              </w:trPr>
              <w:tc>
                <w:tcPr>
                  <w:tcW w:w="803" w:type="pct"/>
                  <w:vMerge w:val="restart"/>
                  <w:tcBorders>
                    <w:top w:val="single" w:color="000000" w:sz="4" w:space="0"/>
                    <w:left w:val="single" w:color="000000" w:sz="4" w:space="0"/>
                    <w:right w:val="single" w:color="000000" w:sz="4" w:space="0"/>
                  </w:tcBorders>
                  <w:shd w:val="clear" w:color="auto" w:fill="auto"/>
                  <w:vAlign w:val="center"/>
                </w:tcPr>
                <w:p w14:paraId="129D0453">
                  <w:pPr>
                    <w:pStyle w:val="30"/>
                    <w:framePr w:hSpace="0" w:wrap="auto" w:vAnchor="margin" w:hAnchor="text" w:xAlign="left" w:yAlign="inline"/>
                    <w:rPr>
                      <w:color w:val="auto"/>
                      <w:lang w:val="en-US"/>
                    </w:rPr>
                  </w:pPr>
                  <w:r>
                    <w:rPr>
                      <w:color w:val="auto"/>
                      <w:lang w:val="en-US"/>
                    </w:rPr>
                    <w:t>综合废水</w:t>
                  </w:r>
                  <w:r>
                    <w:rPr>
                      <w:rFonts w:hint="eastAsia"/>
                      <w:color w:val="auto"/>
                      <w:lang w:val="en-US"/>
                    </w:rPr>
                    <w:t>（3122.3</w:t>
                  </w:r>
                  <w:r>
                    <w:rPr>
                      <w:color w:val="auto"/>
                      <w:lang w:val="en-US"/>
                    </w:rPr>
                    <w:t>m³/a</w:t>
                  </w:r>
                  <w:r>
                    <w:rPr>
                      <w:rFonts w:hint="eastAsia"/>
                      <w:color w:val="auto"/>
                      <w:lang w:val="en-US"/>
                    </w:rPr>
                    <w:t>）</w:t>
                  </w:r>
                </w:p>
              </w:tc>
              <w:tc>
                <w:tcPr>
                  <w:tcW w:w="6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53B907">
                  <w:pPr>
                    <w:pStyle w:val="30"/>
                    <w:framePr w:hSpace="0" w:wrap="auto" w:vAnchor="margin" w:hAnchor="text" w:xAlign="left" w:yAlign="inline"/>
                    <w:rPr>
                      <w:color w:val="auto"/>
                      <w:lang w:val="en-US"/>
                    </w:rPr>
                  </w:pPr>
                  <w:r>
                    <w:rPr>
                      <w:color w:val="auto"/>
                      <w:lang w:val="en-US"/>
                    </w:rPr>
                    <w:t>CODcr</w:t>
                  </w:r>
                </w:p>
              </w:tc>
              <w:tc>
                <w:tcPr>
                  <w:tcW w:w="907" w:type="pct"/>
                  <w:tcBorders>
                    <w:top w:val="single" w:color="auto" w:sz="4" w:space="0"/>
                    <w:left w:val="single" w:color="auto" w:sz="4" w:space="0"/>
                    <w:bottom w:val="single" w:color="auto" w:sz="4" w:space="0"/>
                    <w:right w:val="single" w:color="auto" w:sz="4" w:space="0"/>
                  </w:tcBorders>
                  <w:shd w:val="clear" w:color="auto" w:fill="auto"/>
                  <w:vAlign w:val="center"/>
                </w:tcPr>
                <w:p w14:paraId="4583A6A1">
                  <w:pPr>
                    <w:pStyle w:val="30"/>
                    <w:framePr w:hSpace="0" w:wrap="auto" w:vAnchor="margin" w:hAnchor="text" w:xAlign="left" w:yAlign="inline"/>
                    <w:rPr>
                      <w:color w:val="auto"/>
                      <w:lang w:val="en-US"/>
                    </w:rPr>
                  </w:pPr>
                  <w:r>
                    <w:rPr>
                      <w:color w:val="auto"/>
                      <w:lang w:val="en-US"/>
                    </w:rPr>
                    <w:t>150</w:t>
                  </w:r>
                </w:p>
              </w:tc>
              <w:tc>
                <w:tcPr>
                  <w:tcW w:w="782" w:type="pct"/>
                  <w:tcBorders>
                    <w:top w:val="single" w:color="auto" w:sz="4" w:space="0"/>
                    <w:left w:val="single" w:color="auto" w:sz="4" w:space="0"/>
                    <w:bottom w:val="single" w:color="auto" w:sz="4" w:space="0"/>
                    <w:right w:val="single" w:color="auto" w:sz="4" w:space="0"/>
                  </w:tcBorders>
                  <w:shd w:val="clear" w:color="auto" w:fill="auto"/>
                  <w:vAlign w:val="center"/>
                </w:tcPr>
                <w:p w14:paraId="6F7C0D98">
                  <w:pPr>
                    <w:pStyle w:val="30"/>
                    <w:framePr w:hSpace="0" w:wrap="auto" w:vAnchor="margin" w:hAnchor="text" w:xAlign="left" w:yAlign="inline"/>
                    <w:rPr>
                      <w:color w:val="auto"/>
                      <w:lang w:val="en-US"/>
                    </w:rPr>
                  </w:pPr>
                  <w:r>
                    <w:rPr>
                      <w:color w:val="auto"/>
                      <w:lang w:val="en-US"/>
                    </w:rPr>
                    <w:t xml:space="preserve">0.468 </w:t>
                  </w:r>
                </w:p>
              </w:tc>
              <w:tc>
                <w:tcPr>
                  <w:tcW w:w="934" w:type="pct"/>
                  <w:vMerge w:val="restart"/>
                  <w:tcBorders>
                    <w:top w:val="single" w:color="auto" w:sz="4" w:space="0"/>
                    <w:left w:val="single" w:color="auto" w:sz="4" w:space="0"/>
                    <w:right w:val="single" w:color="auto" w:sz="4" w:space="0"/>
                  </w:tcBorders>
                  <w:shd w:val="clear" w:color="auto" w:fill="auto"/>
                  <w:vAlign w:val="center"/>
                </w:tcPr>
                <w:p w14:paraId="525F54CA">
                  <w:pPr>
                    <w:pStyle w:val="30"/>
                    <w:framePr w:hSpace="0" w:wrap="auto" w:vAnchor="margin" w:hAnchor="text" w:xAlign="left" w:yAlign="inline"/>
                    <w:rPr>
                      <w:color w:val="auto"/>
                      <w:lang w:val="en-US"/>
                    </w:rPr>
                  </w:pPr>
                  <w:r>
                    <w:rPr>
                      <w:rFonts w:hint="eastAsia"/>
                      <w:color w:val="auto"/>
                      <w:lang w:val="en-US"/>
                    </w:rPr>
                    <w:t>隔油、沉淀、水解酸化+SBR</w:t>
                  </w:r>
                </w:p>
              </w:tc>
              <w:tc>
                <w:tcPr>
                  <w:tcW w:w="893" w:type="pct"/>
                  <w:tcBorders>
                    <w:top w:val="single" w:color="auto" w:sz="4" w:space="0"/>
                    <w:left w:val="single" w:color="auto" w:sz="4" w:space="0"/>
                    <w:bottom w:val="single" w:color="auto" w:sz="4" w:space="0"/>
                    <w:right w:val="single" w:color="auto" w:sz="4" w:space="0"/>
                  </w:tcBorders>
                  <w:shd w:val="clear" w:color="auto" w:fill="auto"/>
                  <w:vAlign w:val="center"/>
                </w:tcPr>
                <w:p w14:paraId="6FEE44A4">
                  <w:pPr>
                    <w:pStyle w:val="30"/>
                    <w:framePr w:hSpace="0" w:wrap="auto" w:vAnchor="margin" w:hAnchor="text" w:xAlign="left" w:yAlign="inline"/>
                    <w:rPr>
                      <w:color w:val="auto"/>
                      <w:lang w:val="en-US"/>
                    </w:rPr>
                  </w:pPr>
                  <w:r>
                    <w:rPr>
                      <w:rFonts w:hint="eastAsia"/>
                      <w:color w:val="auto"/>
                      <w:lang w:val="en-US"/>
                    </w:rPr>
                    <w:t>400</w:t>
                  </w:r>
                </w:p>
              </w:tc>
            </w:tr>
            <w:tr w14:paraId="6EC27EF4">
              <w:tblPrEx>
                <w:tblCellMar>
                  <w:top w:w="0" w:type="dxa"/>
                  <w:left w:w="108" w:type="dxa"/>
                  <w:bottom w:w="0" w:type="dxa"/>
                  <w:right w:w="108" w:type="dxa"/>
                </w:tblCellMar>
              </w:tblPrEx>
              <w:trPr>
                <w:trHeight w:val="340" w:hRule="atLeast"/>
                <w:jc w:val="center"/>
              </w:trPr>
              <w:tc>
                <w:tcPr>
                  <w:tcW w:w="803" w:type="pct"/>
                  <w:vMerge w:val="continue"/>
                  <w:tcBorders>
                    <w:left w:val="single" w:color="000000" w:sz="4" w:space="0"/>
                    <w:right w:val="single" w:color="000000" w:sz="4" w:space="0"/>
                  </w:tcBorders>
                  <w:shd w:val="clear" w:color="auto" w:fill="auto"/>
                  <w:vAlign w:val="center"/>
                </w:tcPr>
                <w:p w14:paraId="38605795">
                  <w:pPr>
                    <w:pStyle w:val="30"/>
                    <w:framePr w:hSpace="0" w:wrap="auto" w:vAnchor="margin" w:hAnchor="text" w:xAlign="left" w:yAlign="inline"/>
                    <w:rPr>
                      <w:color w:val="auto"/>
                      <w:lang w:val="en-US"/>
                    </w:rPr>
                  </w:pPr>
                </w:p>
              </w:tc>
              <w:tc>
                <w:tcPr>
                  <w:tcW w:w="6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7FB07E">
                  <w:pPr>
                    <w:pStyle w:val="30"/>
                    <w:framePr w:hSpace="0" w:wrap="auto" w:vAnchor="margin" w:hAnchor="text" w:xAlign="left" w:yAlign="inline"/>
                    <w:rPr>
                      <w:color w:val="auto"/>
                      <w:lang w:val="en-US"/>
                    </w:rPr>
                  </w:pPr>
                  <w:r>
                    <w:rPr>
                      <w:color w:val="auto"/>
                      <w:lang w:val="en-US"/>
                    </w:rPr>
                    <w:t>BOD</w:t>
                  </w:r>
                  <w:r>
                    <w:rPr>
                      <w:color w:val="auto"/>
                      <w:vertAlign w:val="subscript"/>
                      <w:lang w:val="en-US"/>
                    </w:rPr>
                    <w:t>5</w:t>
                  </w:r>
                </w:p>
              </w:tc>
              <w:tc>
                <w:tcPr>
                  <w:tcW w:w="907" w:type="pct"/>
                  <w:tcBorders>
                    <w:top w:val="single" w:color="auto" w:sz="4" w:space="0"/>
                    <w:left w:val="single" w:color="auto" w:sz="4" w:space="0"/>
                    <w:bottom w:val="single" w:color="auto" w:sz="4" w:space="0"/>
                    <w:right w:val="single" w:color="auto" w:sz="4" w:space="0"/>
                  </w:tcBorders>
                  <w:shd w:val="clear" w:color="auto" w:fill="auto"/>
                  <w:vAlign w:val="center"/>
                </w:tcPr>
                <w:p w14:paraId="67D55AB1">
                  <w:pPr>
                    <w:pStyle w:val="30"/>
                    <w:framePr w:hSpace="0" w:wrap="auto" w:vAnchor="margin" w:hAnchor="text" w:xAlign="left" w:yAlign="inline"/>
                    <w:rPr>
                      <w:color w:val="auto"/>
                      <w:lang w:val="en-US"/>
                    </w:rPr>
                  </w:pPr>
                  <w:r>
                    <w:rPr>
                      <w:color w:val="auto"/>
                      <w:lang w:val="en-US"/>
                    </w:rPr>
                    <w:t>31.2</w:t>
                  </w:r>
                </w:p>
              </w:tc>
              <w:tc>
                <w:tcPr>
                  <w:tcW w:w="782" w:type="pct"/>
                  <w:tcBorders>
                    <w:top w:val="single" w:color="auto" w:sz="4" w:space="0"/>
                    <w:left w:val="single" w:color="auto" w:sz="4" w:space="0"/>
                    <w:bottom w:val="single" w:color="auto" w:sz="4" w:space="0"/>
                    <w:right w:val="single" w:color="auto" w:sz="4" w:space="0"/>
                  </w:tcBorders>
                  <w:shd w:val="clear" w:color="auto" w:fill="auto"/>
                  <w:vAlign w:val="center"/>
                </w:tcPr>
                <w:p w14:paraId="52302CA8">
                  <w:pPr>
                    <w:pStyle w:val="30"/>
                    <w:framePr w:hSpace="0" w:wrap="auto" w:vAnchor="margin" w:hAnchor="text" w:xAlign="left" w:yAlign="inline"/>
                    <w:rPr>
                      <w:color w:val="auto"/>
                      <w:lang w:val="en-US"/>
                    </w:rPr>
                  </w:pPr>
                  <w:r>
                    <w:rPr>
                      <w:color w:val="auto"/>
                      <w:lang w:val="en-US"/>
                    </w:rPr>
                    <w:t xml:space="preserve">0.097 </w:t>
                  </w:r>
                </w:p>
              </w:tc>
              <w:tc>
                <w:tcPr>
                  <w:tcW w:w="934" w:type="pct"/>
                  <w:vMerge w:val="continue"/>
                  <w:tcBorders>
                    <w:left w:val="single" w:color="auto" w:sz="4" w:space="0"/>
                    <w:right w:val="single" w:color="auto" w:sz="4" w:space="0"/>
                  </w:tcBorders>
                  <w:shd w:val="clear" w:color="auto" w:fill="auto"/>
                  <w:vAlign w:val="center"/>
                </w:tcPr>
                <w:p w14:paraId="02B34810">
                  <w:pPr>
                    <w:pStyle w:val="30"/>
                    <w:framePr w:hSpace="0" w:wrap="auto" w:vAnchor="margin" w:hAnchor="text" w:xAlign="left" w:yAlign="inline"/>
                    <w:rPr>
                      <w:color w:val="auto"/>
                      <w:lang w:val="en-US"/>
                    </w:rPr>
                  </w:pPr>
                </w:p>
              </w:tc>
              <w:tc>
                <w:tcPr>
                  <w:tcW w:w="893" w:type="pct"/>
                  <w:tcBorders>
                    <w:top w:val="single" w:color="auto" w:sz="4" w:space="0"/>
                    <w:left w:val="single" w:color="auto" w:sz="4" w:space="0"/>
                    <w:bottom w:val="single" w:color="auto" w:sz="4" w:space="0"/>
                    <w:right w:val="single" w:color="auto" w:sz="4" w:space="0"/>
                  </w:tcBorders>
                  <w:shd w:val="clear" w:color="auto" w:fill="auto"/>
                  <w:vAlign w:val="center"/>
                </w:tcPr>
                <w:p w14:paraId="714D396B">
                  <w:pPr>
                    <w:pStyle w:val="30"/>
                    <w:framePr w:hSpace="0" w:wrap="auto" w:vAnchor="margin" w:hAnchor="text" w:xAlign="left" w:yAlign="inline"/>
                    <w:rPr>
                      <w:color w:val="auto"/>
                      <w:lang w:val="en-US"/>
                    </w:rPr>
                  </w:pPr>
                  <w:r>
                    <w:rPr>
                      <w:rFonts w:hint="eastAsia"/>
                      <w:color w:val="auto"/>
                      <w:lang w:val="en-US"/>
                    </w:rPr>
                    <w:t>150</w:t>
                  </w:r>
                </w:p>
              </w:tc>
            </w:tr>
            <w:tr w14:paraId="0FF31B95">
              <w:tblPrEx>
                <w:tblCellMar>
                  <w:top w:w="0" w:type="dxa"/>
                  <w:left w:w="108" w:type="dxa"/>
                  <w:bottom w:w="0" w:type="dxa"/>
                  <w:right w:w="108" w:type="dxa"/>
                </w:tblCellMar>
              </w:tblPrEx>
              <w:trPr>
                <w:trHeight w:val="340" w:hRule="atLeast"/>
                <w:jc w:val="center"/>
              </w:trPr>
              <w:tc>
                <w:tcPr>
                  <w:tcW w:w="803" w:type="pct"/>
                  <w:vMerge w:val="continue"/>
                  <w:tcBorders>
                    <w:left w:val="single" w:color="000000" w:sz="4" w:space="0"/>
                    <w:right w:val="single" w:color="000000" w:sz="4" w:space="0"/>
                  </w:tcBorders>
                  <w:shd w:val="clear" w:color="auto" w:fill="auto"/>
                  <w:vAlign w:val="center"/>
                </w:tcPr>
                <w:p w14:paraId="24014E13">
                  <w:pPr>
                    <w:pStyle w:val="30"/>
                    <w:framePr w:hSpace="0" w:wrap="auto" w:vAnchor="margin" w:hAnchor="text" w:xAlign="left" w:yAlign="inline"/>
                    <w:rPr>
                      <w:color w:val="auto"/>
                      <w:lang w:val="en-US"/>
                    </w:rPr>
                  </w:pPr>
                </w:p>
              </w:tc>
              <w:tc>
                <w:tcPr>
                  <w:tcW w:w="6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9B88BB">
                  <w:pPr>
                    <w:pStyle w:val="30"/>
                    <w:framePr w:hSpace="0" w:wrap="auto" w:vAnchor="margin" w:hAnchor="text" w:xAlign="left" w:yAlign="inline"/>
                    <w:rPr>
                      <w:color w:val="auto"/>
                      <w:lang w:val="en-US"/>
                    </w:rPr>
                  </w:pPr>
                  <w:r>
                    <w:rPr>
                      <w:color w:val="auto"/>
                      <w:lang w:val="en-US"/>
                    </w:rPr>
                    <w:t>SS</w:t>
                  </w:r>
                </w:p>
              </w:tc>
              <w:tc>
                <w:tcPr>
                  <w:tcW w:w="907" w:type="pct"/>
                  <w:tcBorders>
                    <w:top w:val="single" w:color="auto" w:sz="4" w:space="0"/>
                    <w:left w:val="single" w:color="auto" w:sz="4" w:space="0"/>
                    <w:bottom w:val="single" w:color="auto" w:sz="4" w:space="0"/>
                    <w:right w:val="single" w:color="auto" w:sz="4" w:space="0"/>
                  </w:tcBorders>
                  <w:shd w:val="clear" w:color="auto" w:fill="auto"/>
                  <w:vAlign w:val="center"/>
                </w:tcPr>
                <w:p w14:paraId="5C167D14">
                  <w:pPr>
                    <w:pStyle w:val="30"/>
                    <w:framePr w:hSpace="0" w:wrap="auto" w:vAnchor="margin" w:hAnchor="text" w:xAlign="left" w:yAlign="inline"/>
                    <w:rPr>
                      <w:color w:val="auto"/>
                      <w:lang w:val="en-US"/>
                    </w:rPr>
                  </w:pPr>
                  <w:r>
                    <w:rPr>
                      <w:color w:val="auto"/>
                      <w:lang w:val="en-US"/>
                    </w:rPr>
                    <w:t>159</w:t>
                  </w:r>
                </w:p>
              </w:tc>
              <w:tc>
                <w:tcPr>
                  <w:tcW w:w="782" w:type="pct"/>
                  <w:tcBorders>
                    <w:top w:val="single" w:color="auto" w:sz="4" w:space="0"/>
                    <w:left w:val="single" w:color="auto" w:sz="4" w:space="0"/>
                    <w:bottom w:val="single" w:color="auto" w:sz="4" w:space="0"/>
                    <w:right w:val="single" w:color="auto" w:sz="4" w:space="0"/>
                  </w:tcBorders>
                  <w:shd w:val="clear" w:color="auto" w:fill="auto"/>
                  <w:vAlign w:val="center"/>
                </w:tcPr>
                <w:p w14:paraId="70BD08D8">
                  <w:pPr>
                    <w:pStyle w:val="30"/>
                    <w:framePr w:hSpace="0" w:wrap="auto" w:vAnchor="margin" w:hAnchor="text" w:xAlign="left" w:yAlign="inline"/>
                    <w:rPr>
                      <w:color w:val="auto"/>
                      <w:lang w:val="en-US"/>
                    </w:rPr>
                  </w:pPr>
                  <w:r>
                    <w:rPr>
                      <w:color w:val="auto"/>
                      <w:lang w:val="en-US"/>
                    </w:rPr>
                    <w:t xml:space="preserve">0.496 </w:t>
                  </w:r>
                </w:p>
              </w:tc>
              <w:tc>
                <w:tcPr>
                  <w:tcW w:w="934" w:type="pct"/>
                  <w:vMerge w:val="continue"/>
                  <w:tcBorders>
                    <w:left w:val="single" w:color="auto" w:sz="4" w:space="0"/>
                    <w:right w:val="single" w:color="auto" w:sz="4" w:space="0"/>
                  </w:tcBorders>
                  <w:shd w:val="clear" w:color="auto" w:fill="auto"/>
                  <w:vAlign w:val="center"/>
                </w:tcPr>
                <w:p w14:paraId="4DCE99A2">
                  <w:pPr>
                    <w:pStyle w:val="30"/>
                    <w:framePr w:hSpace="0" w:wrap="auto" w:vAnchor="margin" w:hAnchor="text" w:xAlign="left" w:yAlign="inline"/>
                    <w:rPr>
                      <w:color w:val="auto"/>
                      <w:lang w:val="en-US"/>
                    </w:rPr>
                  </w:pPr>
                </w:p>
              </w:tc>
              <w:tc>
                <w:tcPr>
                  <w:tcW w:w="893" w:type="pct"/>
                  <w:tcBorders>
                    <w:top w:val="single" w:color="auto" w:sz="4" w:space="0"/>
                    <w:left w:val="single" w:color="auto" w:sz="4" w:space="0"/>
                    <w:bottom w:val="single" w:color="auto" w:sz="4" w:space="0"/>
                    <w:right w:val="single" w:color="auto" w:sz="4" w:space="0"/>
                  </w:tcBorders>
                  <w:shd w:val="clear" w:color="auto" w:fill="auto"/>
                  <w:vAlign w:val="center"/>
                </w:tcPr>
                <w:p w14:paraId="2C4797E8">
                  <w:pPr>
                    <w:pStyle w:val="30"/>
                    <w:framePr w:hSpace="0" w:wrap="auto" w:vAnchor="margin" w:hAnchor="text" w:xAlign="left" w:yAlign="inline"/>
                    <w:rPr>
                      <w:color w:val="auto"/>
                      <w:lang w:val="en-US"/>
                    </w:rPr>
                  </w:pPr>
                  <w:r>
                    <w:rPr>
                      <w:rFonts w:hint="eastAsia"/>
                      <w:color w:val="auto"/>
                      <w:lang w:val="en-US"/>
                    </w:rPr>
                    <w:t>200</w:t>
                  </w:r>
                </w:p>
              </w:tc>
            </w:tr>
            <w:tr w14:paraId="47AA4680">
              <w:tblPrEx>
                <w:tblCellMar>
                  <w:top w:w="0" w:type="dxa"/>
                  <w:left w:w="108" w:type="dxa"/>
                  <w:bottom w:w="0" w:type="dxa"/>
                  <w:right w:w="108" w:type="dxa"/>
                </w:tblCellMar>
              </w:tblPrEx>
              <w:trPr>
                <w:trHeight w:val="340" w:hRule="atLeast"/>
                <w:jc w:val="center"/>
              </w:trPr>
              <w:tc>
                <w:tcPr>
                  <w:tcW w:w="803" w:type="pct"/>
                  <w:vMerge w:val="continue"/>
                  <w:tcBorders>
                    <w:left w:val="single" w:color="000000" w:sz="4" w:space="0"/>
                    <w:right w:val="single" w:color="000000" w:sz="4" w:space="0"/>
                  </w:tcBorders>
                  <w:shd w:val="clear" w:color="auto" w:fill="auto"/>
                  <w:vAlign w:val="center"/>
                </w:tcPr>
                <w:p w14:paraId="52FC83E5">
                  <w:pPr>
                    <w:pStyle w:val="30"/>
                    <w:framePr w:hSpace="0" w:wrap="auto" w:vAnchor="margin" w:hAnchor="text" w:xAlign="left" w:yAlign="inline"/>
                    <w:rPr>
                      <w:color w:val="auto"/>
                      <w:lang w:val="en-US"/>
                    </w:rPr>
                  </w:pPr>
                </w:p>
              </w:tc>
              <w:tc>
                <w:tcPr>
                  <w:tcW w:w="6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B4F2AF">
                  <w:pPr>
                    <w:pStyle w:val="30"/>
                    <w:framePr w:hSpace="0" w:wrap="auto" w:vAnchor="margin" w:hAnchor="text" w:xAlign="left" w:yAlign="inline"/>
                    <w:rPr>
                      <w:color w:val="auto"/>
                      <w:lang w:val="en-US"/>
                    </w:rPr>
                  </w:pPr>
                  <w:r>
                    <w:rPr>
                      <w:color w:val="auto"/>
                      <w:lang w:val="en-US"/>
                    </w:rPr>
                    <w:t>NH₃-N</w:t>
                  </w:r>
                </w:p>
              </w:tc>
              <w:tc>
                <w:tcPr>
                  <w:tcW w:w="907" w:type="pct"/>
                  <w:tcBorders>
                    <w:top w:val="single" w:color="auto" w:sz="4" w:space="0"/>
                    <w:left w:val="single" w:color="auto" w:sz="4" w:space="0"/>
                    <w:bottom w:val="single" w:color="auto" w:sz="4" w:space="0"/>
                    <w:right w:val="single" w:color="auto" w:sz="4" w:space="0"/>
                  </w:tcBorders>
                  <w:shd w:val="clear" w:color="auto" w:fill="auto"/>
                  <w:vAlign w:val="center"/>
                </w:tcPr>
                <w:p w14:paraId="155F2C0B">
                  <w:pPr>
                    <w:pStyle w:val="30"/>
                    <w:framePr w:hSpace="0" w:wrap="auto" w:vAnchor="margin" w:hAnchor="text" w:xAlign="left" w:yAlign="inline"/>
                    <w:rPr>
                      <w:color w:val="auto"/>
                      <w:lang w:val="en-US"/>
                    </w:rPr>
                  </w:pPr>
                  <w:r>
                    <w:rPr>
                      <w:color w:val="auto"/>
                      <w:lang w:val="en-US"/>
                    </w:rPr>
                    <w:t>0.844</w:t>
                  </w:r>
                </w:p>
              </w:tc>
              <w:tc>
                <w:tcPr>
                  <w:tcW w:w="782" w:type="pct"/>
                  <w:tcBorders>
                    <w:top w:val="single" w:color="auto" w:sz="4" w:space="0"/>
                    <w:left w:val="single" w:color="auto" w:sz="4" w:space="0"/>
                    <w:bottom w:val="single" w:color="auto" w:sz="4" w:space="0"/>
                    <w:right w:val="single" w:color="auto" w:sz="4" w:space="0"/>
                  </w:tcBorders>
                  <w:shd w:val="clear" w:color="auto" w:fill="auto"/>
                  <w:vAlign w:val="center"/>
                </w:tcPr>
                <w:p w14:paraId="3F41B89F">
                  <w:pPr>
                    <w:pStyle w:val="30"/>
                    <w:framePr w:hSpace="0" w:wrap="auto" w:vAnchor="margin" w:hAnchor="text" w:xAlign="left" w:yAlign="inline"/>
                    <w:rPr>
                      <w:color w:val="auto"/>
                      <w:lang w:val="en-US"/>
                    </w:rPr>
                  </w:pPr>
                  <w:r>
                    <w:rPr>
                      <w:color w:val="auto"/>
                      <w:lang w:val="en-US"/>
                    </w:rPr>
                    <w:t xml:space="preserve">0.003 </w:t>
                  </w:r>
                </w:p>
              </w:tc>
              <w:tc>
                <w:tcPr>
                  <w:tcW w:w="934" w:type="pct"/>
                  <w:vMerge w:val="continue"/>
                  <w:tcBorders>
                    <w:left w:val="single" w:color="auto" w:sz="4" w:space="0"/>
                    <w:right w:val="single" w:color="auto" w:sz="4" w:space="0"/>
                  </w:tcBorders>
                  <w:shd w:val="clear" w:color="auto" w:fill="auto"/>
                  <w:vAlign w:val="center"/>
                </w:tcPr>
                <w:p w14:paraId="04D8504A">
                  <w:pPr>
                    <w:pStyle w:val="30"/>
                    <w:framePr w:hSpace="0" w:wrap="auto" w:vAnchor="margin" w:hAnchor="text" w:xAlign="left" w:yAlign="inline"/>
                    <w:rPr>
                      <w:color w:val="auto"/>
                      <w:lang w:val="en-US"/>
                    </w:rPr>
                  </w:pPr>
                </w:p>
              </w:tc>
              <w:tc>
                <w:tcPr>
                  <w:tcW w:w="893" w:type="pct"/>
                  <w:tcBorders>
                    <w:top w:val="single" w:color="auto" w:sz="4" w:space="0"/>
                    <w:left w:val="single" w:color="auto" w:sz="4" w:space="0"/>
                    <w:bottom w:val="single" w:color="auto" w:sz="4" w:space="0"/>
                    <w:right w:val="single" w:color="auto" w:sz="4" w:space="0"/>
                  </w:tcBorders>
                  <w:shd w:val="clear" w:color="auto" w:fill="auto"/>
                  <w:vAlign w:val="center"/>
                </w:tcPr>
                <w:p w14:paraId="20FF2C5F">
                  <w:pPr>
                    <w:pStyle w:val="30"/>
                    <w:framePr w:hSpace="0" w:wrap="auto" w:vAnchor="margin" w:hAnchor="text" w:xAlign="left" w:yAlign="inline"/>
                    <w:rPr>
                      <w:color w:val="auto"/>
                      <w:lang w:val="en-US"/>
                    </w:rPr>
                  </w:pPr>
                  <w:r>
                    <w:rPr>
                      <w:rFonts w:hint="eastAsia"/>
                      <w:color w:val="auto"/>
                      <w:lang w:val="en-US"/>
                    </w:rPr>
                    <w:t>55</w:t>
                  </w:r>
                </w:p>
              </w:tc>
            </w:tr>
            <w:tr w14:paraId="3659FCE1">
              <w:tblPrEx>
                <w:tblCellMar>
                  <w:top w:w="0" w:type="dxa"/>
                  <w:left w:w="108" w:type="dxa"/>
                  <w:bottom w:w="0" w:type="dxa"/>
                  <w:right w:w="108" w:type="dxa"/>
                </w:tblCellMar>
              </w:tblPrEx>
              <w:trPr>
                <w:trHeight w:val="340" w:hRule="atLeast"/>
                <w:jc w:val="center"/>
              </w:trPr>
              <w:tc>
                <w:tcPr>
                  <w:tcW w:w="803" w:type="pct"/>
                  <w:vMerge w:val="continue"/>
                  <w:tcBorders>
                    <w:left w:val="single" w:color="000000" w:sz="4" w:space="0"/>
                    <w:bottom w:val="single" w:color="000000" w:sz="4" w:space="0"/>
                    <w:right w:val="single" w:color="000000" w:sz="4" w:space="0"/>
                  </w:tcBorders>
                  <w:shd w:val="clear" w:color="auto" w:fill="auto"/>
                  <w:vAlign w:val="center"/>
                </w:tcPr>
                <w:p w14:paraId="3A6FB52E">
                  <w:pPr>
                    <w:pStyle w:val="30"/>
                    <w:framePr w:hSpace="0" w:wrap="auto" w:vAnchor="margin" w:hAnchor="text" w:xAlign="left" w:yAlign="inline"/>
                    <w:rPr>
                      <w:color w:val="auto"/>
                      <w:lang w:val="en-US"/>
                    </w:rPr>
                  </w:pPr>
                </w:p>
              </w:tc>
              <w:tc>
                <w:tcPr>
                  <w:tcW w:w="6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6D6643">
                  <w:pPr>
                    <w:pStyle w:val="30"/>
                    <w:framePr w:hSpace="0" w:wrap="auto" w:vAnchor="margin" w:hAnchor="text" w:xAlign="left" w:yAlign="inline"/>
                    <w:rPr>
                      <w:color w:val="auto"/>
                      <w:lang w:val="en-US"/>
                    </w:rPr>
                  </w:pPr>
                  <w:r>
                    <w:rPr>
                      <w:rFonts w:hint="eastAsia"/>
                      <w:color w:val="auto"/>
                      <w:lang w:val="en-US"/>
                    </w:rPr>
                    <w:t>动植物油</w:t>
                  </w:r>
                </w:p>
              </w:tc>
              <w:tc>
                <w:tcPr>
                  <w:tcW w:w="907" w:type="pct"/>
                  <w:tcBorders>
                    <w:top w:val="single" w:color="auto" w:sz="4" w:space="0"/>
                    <w:left w:val="single" w:color="auto" w:sz="4" w:space="0"/>
                    <w:bottom w:val="single" w:color="auto" w:sz="4" w:space="0"/>
                    <w:right w:val="single" w:color="auto" w:sz="4" w:space="0"/>
                  </w:tcBorders>
                  <w:shd w:val="clear" w:color="auto" w:fill="auto"/>
                  <w:vAlign w:val="center"/>
                </w:tcPr>
                <w:p w14:paraId="24DE5284">
                  <w:pPr>
                    <w:pStyle w:val="30"/>
                    <w:framePr w:hSpace="0" w:wrap="auto" w:vAnchor="margin" w:hAnchor="text" w:xAlign="left" w:yAlign="inline"/>
                    <w:rPr>
                      <w:color w:val="auto"/>
                      <w:lang w:val="en-US"/>
                    </w:rPr>
                  </w:pPr>
                  <w:r>
                    <w:rPr>
                      <w:color w:val="auto"/>
                      <w:lang w:val="en-US"/>
                    </w:rPr>
                    <w:t>4.47</w:t>
                  </w:r>
                </w:p>
              </w:tc>
              <w:tc>
                <w:tcPr>
                  <w:tcW w:w="782" w:type="pct"/>
                  <w:tcBorders>
                    <w:top w:val="single" w:color="auto" w:sz="4" w:space="0"/>
                    <w:left w:val="single" w:color="auto" w:sz="4" w:space="0"/>
                    <w:bottom w:val="single" w:color="auto" w:sz="4" w:space="0"/>
                    <w:right w:val="single" w:color="auto" w:sz="4" w:space="0"/>
                  </w:tcBorders>
                  <w:shd w:val="clear" w:color="auto" w:fill="auto"/>
                  <w:vAlign w:val="center"/>
                </w:tcPr>
                <w:p w14:paraId="10A50798">
                  <w:pPr>
                    <w:pStyle w:val="30"/>
                    <w:framePr w:hSpace="0" w:wrap="auto" w:vAnchor="margin" w:hAnchor="text" w:xAlign="left" w:yAlign="inline"/>
                    <w:rPr>
                      <w:color w:val="auto"/>
                      <w:lang w:val="en-US"/>
                    </w:rPr>
                  </w:pPr>
                  <w:r>
                    <w:rPr>
                      <w:color w:val="auto"/>
                      <w:lang w:val="en-US"/>
                    </w:rPr>
                    <w:t xml:space="preserve">0.014 </w:t>
                  </w:r>
                </w:p>
              </w:tc>
              <w:tc>
                <w:tcPr>
                  <w:tcW w:w="934" w:type="pct"/>
                  <w:vMerge w:val="continue"/>
                  <w:tcBorders>
                    <w:left w:val="single" w:color="auto" w:sz="4" w:space="0"/>
                    <w:bottom w:val="single" w:color="auto" w:sz="4" w:space="0"/>
                    <w:right w:val="single" w:color="auto" w:sz="4" w:space="0"/>
                  </w:tcBorders>
                  <w:shd w:val="clear" w:color="auto" w:fill="auto"/>
                  <w:vAlign w:val="center"/>
                </w:tcPr>
                <w:p w14:paraId="7D3E2AE0">
                  <w:pPr>
                    <w:pStyle w:val="30"/>
                    <w:framePr w:hSpace="0" w:wrap="auto" w:vAnchor="margin" w:hAnchor="text" w:xAlign="left" w:yAlign="inline"/>
                    <w:rPr>
                      <w:color w:val="auto"/>
                      <w:lang w:val="en-US"/>
                    </w:rPr>
                  </w:pPr>
                </w:p>
              </w:tc>
              <w:tc>
                <w:tcPr>
                  <w:tcW w:w="893" w:type="pct"/>
                  <w:tcBorders>
                    <w:top w:val="single" w:color="auto" w:sz="4" w:space="0"/>
                    <w:left w:val="single" w:color="auto" w:sz="4" w:space="0"/>
                    <w:bottom w:val="single" w:color="auto" w:sz="4" w:space="0"/>
                    <w:right w:val="single" w:color="auto" w:sz="4" w:space="0"/>
                  </w:tcBorders>
                  <w:shd w:val="clear" w:color="auto" w:fill="auto"/>
                  <w:vAlign w:val="center"/>
                </w:tcPr>
                <w:p w14:paraId="58E8A2E8">
                  <w:pPr>
                    <w:pStyle w:val="30"/>
                    <w:framePr w:hSpace="0" w:wrap="auto" w:vAnchor="margin" w:hAnchor="text" w:xAlign="left" w:yAlign="inline"/>
                    <w:rPr>
                      <w:color w:val="auto"/>
                      <w:lang w:val="en-US"/>
                    </w:rPr>
                  </w:pPr>
                  <w:r>
                    <w:rPr>
                      <w:rFonts w:hint="eastAsia"/>
                      <w:color w:val="auto"/>
                      <w:lang w:val="en-US"/>
                    </w:rPr>
                    <w:t>20</w:t>
                  </w:r>
                </w:p>
              </w:tc>
            </w:tr>
          </w:tbl>
          <w:p w14:paraId="26DCCC24">
            <w:pPr>
              <w:ind w:firstLine="482" w:firstLineChars="200"/>
              <w:rPr>
                <w:b/>
                <w:bCs/>
                <w:color w:val="auto"/>
              </w:rPr>
            </w:pPr>
            <w:r>
              <w:rPr>
                <w:b/>
                <w:bCs/>
                <w:color w:val="auto"/>
              </w:rPr>
              <w:t>4.3.2</w:t>
            </w:r>
            <w:r>
              <w:rPr>
                <w:rFonts w:hint="eastAsia"/>
                <w:b/>
                <w:bCs/>
                <w:color w:val="auto"/>
              </w:rPr>
              <w:t>废水排放去向</w:t>
            </w:r>
          </w:p>
          <w:p w14:paraId="091A2345">
            <w:pPr>
              <w:ind w:firstLine="480" w:firstLineChars="200"/>
              <w:rPr>
                <w:color w:val="auto"/>
              </w:rPr>
            </w:pPr>
            <w:r>
              <w:rPr>
                <w:color w:val="auto"/>
              </w:rPr>
              <w:t>本项目废水主要为生活污水和生产废水，废水总排放量为</w:t>
            </w:r>
            <w:r>
              <w:rPr>
                <w:rFonts w:hint="eastAsia"/>
                <w:color w:val="auto"/>
              </w:rPr>
              <w:t>2792</w:t>
            </w:r>
            <w:r>
              <w:rPr>
                <w:color w:val="auto"/>
              </w:rPr>
              <w:t>t/a（</w:t>
            </w:r>
            <w:r>
              <w:rPr>
                <w:rFonts w:hint="eastAsia"/>
                <w:color w:val="auto"/>
              </w:rPr>
              <w:t>9.3</w:t>
            </w:r>
            <w:r>
              <w:rPr>
                <w:color w:val="auto"/>
              </w:rPr>
              <w:t>t/d），</w:t>
            </w:r>
            <w:r>
              <w:rPr>
                <w:rFonts w:hint="eastAsia"/>
                <w:color w:val="auto"/>
              </w:rPr>
              <w:t>生活污水依托园区化粪池预处理，生产废水经废水处理设施（隔油池+沉淀池+水解酸化+SBR）处理达标后汇同生活污水经园区污水管网接入市政污水管网，纳管至安成经济开发区污水处理厂</w:t>
            </w:r>
            <w:r>
              <w:rPr>
                <w:color w:val="auto"/>
              </w:rPr>
              <w:t>集中处理，尾水处理达标后排入淮河（淮南段）；</w:t>
            </w:r>
            <w:r>
              <w:rPr>
                <w:rFonts w:hint="eastAsia"/>
                <w:color w:val="auto"/>
              </w:rPr>
              <w:t>项目综合废水排放从严执行</w:t>
            </w:r>
            <w:r>
              <w:rPr>
                <w:color w:val="auto"/>
              </w:rPr>
              <w:t>《污水综合排放标准》（GB8978-1996）中三级标准和</w:t>
            </w:r>
            <w:r>
              <w:rPr>
                <w:rFonts w:hint="eastAsia"/>
                <w:color w:val="auto"/>
                <w:szCs w:val="21"/>
              </w:rPr>
              <w:t>淮南安成经济开发区污水处理厂</w:t>
            </w:r>
            <w:r>
              <w:rPr>
                <w:color w:val="auto"/>
                <w:szCs w:val="21"/>
              </w:rPr>
              <w:t>接管标准</w:t>
            </w:r>
            <w:r>
              <w:rPr>
                <w:rFonts w:hint="eastAsia"/>
                <w:color w:val="auto"/>
              </w:rPr>
              <w:t>。安成经济开发区污水处理厂</w:t>
            </w:r>
            <w:r>
              <w:rPr>
                <w:color w:val="auto"/>
              </w:rPr>
              <w:t>尾水出水水质执行《城镇污水处理厂污染物排放标准》（GB18918-2002）一级A标准</w:t>
            </w:r>
            <w:r>
              <w:rPr>
                <w:color w:val="auto"/>
                <w:szCs w:val="21"/>
              </w:rPr>
              <w:t>后排入</w:t>
            </w:r>
            <w:r>
              <w:rPr>
                <w:rFonts w:hint="eastAsia"/>
                <w:color w:val="auto"/>
                <w:szCs w:val="21"/>
              </w:rPr>
              <w:t>中心沟，尾水最终排入淮河</w:t>
            </w:r>
            <w:r>
              <w:rPr>
                <w:color w:val="auto"/>
                <w:szCs w:val="21"/>
              </w:rPr>
              <w:t>。</w:t>
            </w:r>
          </w:p>
          <w:p w14:paraId="56BD1B11">
            <w:pPr>
              <w:adjustRightInd w:val="0"/>
              <w:snapToGrid w:val="0"/>
              <w:spacing w:line="360" w:lineRule="auto"/>
              <w:ind w:firstLine="482" w:firstLineChars="200"/>
              <w:rPr>
                <w:rFonts w:hint="eastAsia" w:ascii="Times New Roman" w:hAnsi="Times New Roman" w:eastAsia="宋体" w:cs="Times New Roman"/>
                <w:b/>
                <w:bCs w:val="0"/>
                <w:color w:val="auto"/>
                <w:szCs w:val="21"/>
              </w:rPr>
            </w:pPr>
            <w:r>
              <w:rPr>
                <w:rFonts w:hint="eastAsia" w:ascii="Times New Roman" w:hAnsi="Times New Roman" w:eastAsia="宋体" w:cs="Times New Roman"/>
                <w:b/>
                <w:bCs w:val="0"/>
                <w:color w:val="auto"/>
                <w:szCs w:val="21"/>
              </w:rPr>
              <w:t>4.3.3废水治理设施技术可行性分析</w:t>
            </w:r>
          </w:p>
          <w:p w14:paraId="45F2CB3F">
            <w:pPr>
              <w:adjustRightInd w:val="0"/>
              <w:snapToGrid w:val="0"/>
              <w:spacing w:line="360" w:lineRule="auto"/>
              <w:ind w:firstLine="482" w:firstLineChars="200"/>
              <w:rPr>
                <w:rFonts w:hint="eastAsia" w:ascii="Times New Roman" w:hAnsi="Times New Roman" w:eastAsia="宋体" w:cs="Times New Roman"/>
                <w:b/>
                <w:bCs w:val="0"/>
                <w:color w:val="auto"/>
                <w:szCs w:val="21"/>
                <w:lang w:val="en-US" w:eastAsia="zh-CN"/>
              </w:rPr>
            </w:pPr>
            <w:r>
              <w:rPr>
                <w:rFonts w:hint="eastAsia" w:ascii="Times New Roman" w:hAnsi="Times New Roman" w:eastAsia="宋体" w:cs="Times New Roman"/>
                <w:b/>
                <w:bCs w:val="0"/>
                <w:color w:val="auto"/>
                <w:szCs w:val="21"/>
                <w:lang w:val="en-US" w:eastAsia="zh-CN"/>
              </w:rPr>
              <w:t>1、污水处理设施可行性</w:t>
            </w:r>
          </w:p>
          <w:p w14:paraId="4DFA5CFF">
            <w:pPr>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（1）</w:t>
            </w:r>
            <w:r>
              <w:rPr>
                <w:rFonts w:ascii="Times New Roman" w:hAnsi="Times New Roman" w:eastAsia="宋体" w:cs="Times New Roman"/>
                <w:color w:val="auto"/>
              </w:rPr>
              <w:t>雨、污分流排水</w:t>
            </w:r>
            <w:r>
              <w:rPr>
                <w:rFonts w:hint="eastAsia" w:ascii="Times New Roman" w:hAnsi="Times New Roman" w:eastAsia="宋体" w:cs="Times New Roman"/>
                <w:color w:val="auto"/>
              </w:rPr>
              <w:t>系统</w:t>
            </w:r>
          </w:p>
          <w:p w14:paraId="05C58CF7">
            <w:pPr>
              <w:ind w:firstLine="480" w:firstLineChars="200"/>
              <w:rPr>
                <w:rFonts w:hint="eastAsia" w:ascii="Times New Roman" w:hAnsi="Times New Roman" w:eastAsia="宋体" w:cs="Times New Roman"/>
                <w:color w:val="auto"/>
                <w:lang w:val="en-US" w:eastAsia="zh-CN"/>
              </w:rPr>
            </w:pPr>
            <w:r>
              <w:rPr>
                <w:rFonts w:ascii="Times New Roman" w:hAnsi="Times New Roman" w:eastAsia="宋体" w:cs="Times New Roman"/>
                <w:color w:val="auto"/>
                <w:lang w:eastAsia="zh-Hans"/>
              </w:rPr>
              <w:t>本项目采用雨污分流，</w:t>
            </w:r>
            <w:r>
              <w:rPr>
                <w:rFonts w:hint="eastAsia" w:ascii="Times New Roman" w:hAnsi="Times New Roman" w:eastAsia="宋体" w:cs="Times New Roman"/>
                <w:color w:val="auto"/>
                <w:lang w:val="en-US" w:eastAsia="zh-CN"/>
              </w:rPr>
              <w:t>租赁标准化厂房已建设完善雨污分流系统，</w:t>
            </w:r>
            <w:r>
              <w:rPr>
                <w:rFonts w:ascii="Times New Roman" w:hAnsi="Times New Roman" w:eastAsia="宋体" w:cs="Times New Roman"/>
                <w:color w:val="auto"/>
                <w:lang w:eastAsia="zh-Hans"/>
              </w:rPr>
              <w:t>雨水经厂区雨水管道收集后排入市政雨水管网；生活污水经</w:t>
            </w:r>
            <w:r>
              <w:rPr>
                <w:rFonts w:hint="eastAsia" w:ascii="Times New Roman" w:hAnsi="Times New Roman" w:eastAsia="宋体" w:cs="Times New Roman"/>
                <w:color w:val="auto"/>
                <w:lang w:val="en-US" w:eastAsia="zh-CN"/>
              </w:rPr>
              <w:t>园区</w:t>
            </w:r>
            <w:r>
              <w:rPr>
                <w:rFonts w:ascii="Times New Roman" w:hAnsi="Times New Roman" w:eastAsia="宋体" w:cs="Times New Roman"/>
                <w:color w:val="auto"/>
                <w:lang w:eastAsia="zh-Hans"/>
              </w:rPr>
              <w:t>化粪池处理后排入</w:t>
            </w:r>
            <w:r>
              <w:rPr>
                <w:rFonts w:hint="eastAsia" w:ascii="Times New Roman" w:hAnsi="Times New Roman" w:eastAsia="宋体" w:cs="Times New Roman"/>
                <w:color w:val="auto"/>
                <w:lang w:val="en-US" w:eastAsia="zh-CN"/>
              </w:rPr>
              <w:t>园区</w:t>
            </w:r>
            <w:r>
              <w:rPr>
                <w:rFonts w:ascii="Times New Roman" w:hAnsi="Times New Roman" w:eastAsia="宋体" w:cs="Times New Roman"/>
                <w:color w:val="auto"/>
                <w:lang w:eastAsia="zh-Hans"/>
              </w:rPr>
              <w:t>污水管网，</w:t>
            </w:r>
            <w:r>
              <w:rPr>
                <w:rFonts w:hint="eastAsia" w:ascii="Times New Roman" w:hAnsi="Times New Roman" w:eastAsia="宋体" w:cs="Times New Roman"/>
                <w:color w:val="auto"/>
                <w:lang w:val="en-US" w:eastAsia="zh-CN"/>
              </w:rPr>
              <w:t>生产废水经自建污水处理设施处理达标后接管</w:t>
            </w:r>
            <w:r>
              <w:rPr>
                <w:rFonts w:hint="eastAsia" w:ascii="Times New Roman" w:hAnsi="Times New Roman" w:eastAsia="宋体" w:cs="Times New Roman"/>
                <w:color w:val="auto"/>
                <w:lang w:eastAsia="zh-Hans"/>
              </w:rPr>
              <w:t>安成经济开发区污水处理厂</w:t>
            </w:r>
            <w:r>
              <w:rPr>
                <w:rFonts w:hint="eastAsia" w:ascii="Times New Roman" w:hAnsi="Times New Roman" w:eastAsia="宋体" w:cs="Times New Roman"/>
                <w:color w:val="auto"/>
                <w:lang w:val="en-US" w:eastAsia="zh-CN"/>
              </w:rPr>
              <w:t>。</w:t>
            </w:r>
          </w:p>
          <w:p w14:paraId="02F510BA">
            <w:pPr>
              <w:bidi w:val="0"/>
              <w:ind w:firstLine="480" w:firstLineChars="200"/>
              <w:rPr>
                <w:rFonts w:hint="default"/>
                <w:color w:val="auto"/>
                <w:lang w:val="en-US" w:eastAsia="zh-CN"/>
              </w:rPr>
            </w:pPr>
            <w:r>
              <w:rPr>
                <w:rFonts w:hint="eastAsia"/>
                <w:color w:val="auto"/>
                <w:lang w:val="en-US" w:eastAsia="zh-CN"/>
              </w:rPr>
              <w:t>（2）污水处理工艺可行性</w:t>
            </w:r>
          </w:p>
          <w:p w14:paraId="1F436592">
            <w:pPr>
              <w:bidi w:val="0"/>
              <w:ind w:firstLine="480" w:firstLineChars="200"/>
              <w:rPr>
                <w:rFonts w:hint="eastAsia" w:eastAsia="宋体"/>
                <w:color w:val="auto"/>
                <w:lang w:val="en-US" w:eastAsia="zh-CN"/>
              </w:rPr>
            </w:pPr>
            <w:r>
              <w:rPr>
                <w:color w:val="auto"/>
              </w:rPr>
              <w:t>本项目为淮南牛肉汤系列产品加工项目，废水主要来源于解冻、清洗、蒸煮等</w:t>
            </w:r>
            <w:r>
              <w:rPr>
                <w:rFonts w:hint="eastAsia"/>
                <w:color w:val="auto"/>
                <w:lang w:eastAsia="zh-CN"/>
              </w:rPr>
              <w:t>过程中产生的</w:t>
            </w:r>
            <w:r>
              <w:rPr>
                <w:color w:val="auto"/>
              </w:rPr>
              <w:t>综合废水。该类废水具有有机物浓度较高</w:t>
            </w:r>
            <w:r>
              <w:rPr>
                <w:rFonts w:hint="eastAsia"/>
                <w:color w:val="auto"/>
                <w:lang w:eastAsia="zh-CN"/>
              </w:rPr>
              <w:t>、</w:t>
            </w:r>
            <w:r>
              <w:rPr>
                <w:rFonts w:hint="default"/>
                <w:color w:val="auto"/>
              </w:rPr>
              <w:t>悬浮物含量高</w:t>
            </w:r>
            <w:r>
              <w:rPr>
                <w:rFonts w:hint="eastAsia"/>
                <w:color w:val="auto"/>
                <w:lang w:eastAsia="zh-CN"/>
              </w:rPr>
              <w:t>、</w:t>
            </w:r>
            <w:r>
              <w:rPr>
                <w:rFonts w:hint="default"/>
                <w:color w:val="auto"/>
              </w:rPr>
              <w:t>可生化性较好</w:t>
            </w:r>
            <w:r>
              <w:rPr>
                <w:rFonts w:hint="eastAsia"/>
                <w:color w:val="auto"/>
                <w:lang w:eastAsia="zh-CN"/>
              </w:rPr>
              <w:t>、</w:t>
            </w:r>
            <w:r>
              <w:rPr>
                <w:rFonts w:hint="default"/>
                <w:color w:val="auto"/>
              </w:rPr>
              <w:t>油含量较高</w:t>
            </w:r>
            <w:r>
              <w:rPr>
                <w:rFonts w:hint="eastAsia"/>
                <w:color w:val="auto"/>
                <w:lang w:eastAsia="zh-CN"/>
              </w:rPr>
              <w:t>等特点</w:t>
            </w:r>
            <w:r>
              <w:rPr>
                <w:rFonts w:hint="default"/>
                <w:color w:val="auto"/>
              </w:rPr>
              <w:t>。</w:t>
            </w:r>
            <w:r>
              <w:rPr>
                <w:rFonts w:hint="eastAsia"/>
                <w:color w:val="auto"/>
                <w:lang w:eastAsia="zh-CN"/>
              </w:rPr>
              <w:t>本项目采用</w:t>
            </w:r>
            <w:r>
              <w:rPr>
                <w:rFonts w:ascii="Segoe UI" w:hAnsi="Segoe UI" w:eastAsia="Segoe UI" w:cs="Segoe UI"/>
                <w:b/>
                <w:bCs/>
                <w:i w:val="0"/>
                <w:iCs w:val="0"/>
                <w:caps w:val="0"/>
                <w:color w:val="auto"/>
                <w:spacing w:val="0"/>
                <w:sz w:val="24"/>
                <w:szCs w:val="24"/>
                <w:shd w:val="clear" w:fill="FFFFFF"/>
              </w:rPr>
              <w:t>隔油、沉淀、调节+水解酸化+SBR一体化废水处理工艺</w:t>
            </w:r>
            <w:r>
              <w:rPr>
                <w:rFonts w:hint="eastAsia" w:ascii="Segoe UI" w:hAnsi="Segoe UI" w:eastAsia="宋体" w:cs="Segoe UI"/>
                <w:b/>
                <w:bCs/>
                <w:i w:val="0"/>
                <w:iCs w:val="0"/>
                <w:caps w:val="0"/>
                <w:color w:val="auto"/>
                <w:spacing w:val="0"/>
                <w:sz w:val="24"/>
                <w:szCs w:val="24"/>
                <w:shd w:val="clear" w:fill="FFFFFF"/>
                <w:lang w:val="en-US" w:eastAsia="zh-CN"/>
              </w:rPr>
              <w:t>。</w:t>
            </w:r>
          </w:p>
          <w:p w14:paraId="25DC7CAA">
            <w:pPr>
              <w:keepNext w:val="0"/>
              <w:keepLines w:val="0"/>
              <w:pageBreakBefore w:val="0"/>
              <w:widowControl w:val="0"/>
              <w:kinsoku/>
              <w:wordWrap/>
              <w:overflowPunct/>
              <w:topLinePunct w:val="0"/>
              <w:autoSpaceDE/>
              <w:autoSpaceDN/>
              <w:bidi w:val="0"/>
              <w:adjustRightInd/>
              <w:snapToGrid/>
              <w:ind w:firstLine="480" w:firstLineChars="200"/>
              <w:textAlignment w:val="auto"/>
              <w:rPr>
                <w:color w:val="auto"/>
              </w:rPr>
            </w:pPr>
            <w:r>
              <w:rPr>
                <w:rFonts w:hint="default"/>
                <w:color w:val="auto"/>
              </w:rPr>
              <w:t>1）隔油池</w:t>
            </w:r>
          </w:p>
          <w:p w14:paraId="056DA93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color w:val="auto"/>
              </w:rPr>
            </w:pPr>
            <w:r>
              <w:rPr>
                <w:rFonts w:hint="default"/>
                <w:color w:val="auto"/>
              </w:rPr>
              <w:t>利用油水密度差，通过重力分离去除废水中的浮油和分散油，降低动植物油含量，为后续生化处理创造条件。隔油沉淀池产生的废动植物油收集后交由有资质的餐厨垃圾处置单位综合利用</w:t>
            </w:r>
            <w:r>
              <w:rPr>
                <w:rFonts w:hint="default"/>
                <w:color w:val="auto"/>
              </w:rPr>
              <w:fldChar w:fldCharType="begin"/>
            </w:r>
            <w:r>
              <w:rPr>
                <w:rFonts w:hint="default"/>
                <w:color w:val="auto"/>
              </w:rPr>
              <w:instrText xml:space="preserve"> HYPERLINK "https://sthjj.huainan.gov.cn/group4/M00/09/C3/rB40qWPt6TuAKnU8AACQyCfY1X482.docx" \l "1#1" \t "https://chat.deepseek.com/a/chat/s/_blank" </w:instrText>
            </w:r>
            <w:r>
              <w:rPr>
                <w:rFonts w:hint="default"/>
                <w:color w:val="auto"/>
              </w:rPr>
              <w:fldChar w:fldCharType="separate"/>
            </w:r>
            <w:r>
              <w:rPr>
                <w:rFonts w:hint="default"/>
                <w:color w:val="auto"/>
              </w:rPr>
              <w:fldChar w:fldCharType="end"/>
            </w:r>
            <w:r>
              <w:rPr>
                <w:rFonts w:hint="default"/>
                <w:color w:val="auto"/>
              </w:rPr>
              <w:t>。</w:t>
            </w:r>
          </w:p>
          <w:p w14:paraId="38FC45C5">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color w:val="auto"/>
              </w:rPr>
            </w:pPr>
            <w:r>
              <w:rPr>
                <w:rFonts w:hint="default"/>
                <w:color w:val="auto"/>
              </w:rPr>
              <w:t>2）沉淀池</w:t>
            </w:r>
          </w:p>
          <w:p w14:paraId="1C4FA0F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color w:val="auto"/>
              </w:rPr>
            </w:pPr>
            <w:r>
              <w:rPr>
                <w:rFonts w:hint="default"/>
                <w:color w:val="auto"/>
              </w:rPr>
              <w:t>通过重力沉降作用，去除废水中的悬浮物（SS）及部分有机物，减轻后续生化处理负荷。</w:t>
            </w:r>
          </w:p>
          <w:p w14:paraId="104032B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color w:val="auto"/>
              </w:rPr>
            </w:pPr>
            <w:r>
              <w:rPr>
                <w:rFonts w:hint="default"/>
                <w:color w:val="auto"/>
              </w:rPr>
              <w:t>3）调节池</w:t>
            </w:r>
          </w:p>
          <w:p w14:paraId="777FBEAC">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color w:val="auto"/>
              </w:rPr>
            </w:pPr>
            <w:r>
              <w:rPr>
                <w:rFonts w:hint="default"/>
                <w:color w:val="auto"/>
              </w:rPr>
              <w:t>由于本项目废水水质水量随生产批次波动较大</w:t>
            </w:r>
            <w:r>
              <w:rPr>
                <w:rFonts w:hint="default"/>
                <w:color w:val="auto"/>
              </w:rPr>
              <w:fldChar w:fldCharType="begin"/>
            </w:r>
            <w:r>
              <w:rPr>
                <w:rFonts w:hint="default"/>
                <w:color w:val="auto"/>
              </w:rPr>
              <w:instrText xml:space="preserve"> HYPERLINK "http://envsaf.alljournals.cn/view_abstract.aspx?pcid=3FF3ABA7486768130C3FF830376F43B398E0C97F0FF2DD53&amp;aid=4E534BB8E6A4B8CD8206012BFA88FF6E" \t "https://chat.deepseek.com/a/chat/s/_blank" </w:instrText>
            </w:r>
            <w:r>
              <w:rPr>
                <w:rFonts w:hint="default"/>
                <w:color w:val="auto"/>
              </w:rPr>
              <w:fldChar w:fldCharType="separate"/>
            </w:r>
            <w:r>
              <w:rPr>
                <w:rFonts w:hint="default"/>
                <w:color w:val="auto"/>
              </w:rPr>
              <w:fldChar w:fldCharType="end"/>
            </w:r>
            <w:r>
              <w:rPr>
                <w:rFonts w:hint="default"/>
                <w:color w:val="auto"/>
              </w:rPr>
              <w:t>，设置调节池可均衡水质、调节水量，保证后续处理设施的稳定运行。</w:t>
            </w:r>
          </w:p>
          <w:p w14:paraId="7C2D5702">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color w:val="auto"/>
              </w:rPr>
            </w:pPr>
            <w:r>
              <w:rPr>
                <w:rFonts w:hint="default"/>
                <w:color w:val="auto"/>
              </w:rPr>
              <w:t>4）水解酸化</w:t>
            </w:r>
          </w:p>
          <w:p w14:paraId="180288A5">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color w:val="auto"/>
              </w:rPr>
            </w:pPr>
            <w:r>
              <w:rPr>
                <w:rFonts w:hint="default"/>
                <w:color w:val="auto"/>
              </w:rPr>
              <w:t>水解酸化是厌氧处理的前阶段，通过水解酸化菌的作用，将废水中难降解的大分子有机物（如蛋白质、脂肪等）分解为小分子有机物，提高废水的可生化性（BOD₅/CODcr比值）。水解酸化处理不仅可以去除部分COD，还能使后续好氧处理（SBR）效果和效率大幅提高。</w:t>
            </w:r>
          </w:p>
          <w:p w14:paraId="6A813F3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color w:val="auto"/>
              </w:rPr>
            </w:pPr>
            <w:r>
              <w:rPr>
                <w:rFonts w:hint="default"/>
                <w:color w:val="auto"/>
              </w:rPr>
              <w:t>5）SBR（序批式活性污泥法）</w:t>
            </w:r>
          </w:p>
          <w:p w14:paraId="53AE02D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color w:val="auto"/>
              </w:rPr>
            </w:pPr>
            <w:r>
              <w:rPr>
                <w:rFonts w:hint="default"/>
                <w:color w:val="auto"/>
              </w:rPr>
              <w:t>SBR是好氧生物处理单元，在一个反应池中按时间顺序完成进水、曝气、沉淀、排水、闲置五个阶段。SBR工艺对去除有机物具有较好的处理效果，能有效降解废水中的CODcr、BOD₅等有机污染物，同时具有一定的脱氮除磷能力。</w:t>
            </w:r>
          </w:p>
          <w:p w14:paraId="7667221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color w:val="auto"/>
              </w:rPr>
            </w:pPr>
            <w:r>
              <w:rPr>
                <w:rFonts w:hint="default"/>
                <w:color w:val="auto"/>
              </w:rPr>
              <w:t>6）一体化设计</w:t>
            </w:r>
          </w:p>
          <w:p w14:paraId="2C54DB2F">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color w:val="auto"/>
              </w:rPr>
            </w:pPr>
            <w:r>
              <w:rPr>
                <w:rFonts w:hint="default"/>
                <w:color w:val="auto"/>
              </w:rPr>
              <w:t>本项目采用一体化污水处理设备，将各处理单元集成于封闭式设备内，可有效控制污水处理过程中恶臭气体的无组织排放</w:t>
            </w:r>
          </w:p>
          <w:p w14:paraId="03FB355E">
            <w:pPr>
              <w:bidi w:val="0"/>
              <w:ind w:firstLine="480" w:firstLineChars="200"/>
              <w:jc w:val="both"/>
              <w:rPr>
                <w:rFonts w:hint="eastAsia"/>
                <w:color w:val="auto"/>
                <w:highlight w:val="none"/>
                <w:lang w:val="en-US" w:eastAsia="zh-CN"/>
              </w:rPr>
            </w:pPr>
            <w:r>
              <w:rPr>
                <w:rFonts w:hint="eastAsia"/>
                <w:color w:val="auto"/>
                <w:highlight w:val="none"/>
                <w:lang w:val="en-US" w:eastAsia="zh-CN"/>
              </w:rPr>
              <w:t>类比同类型的采用相同污水处理工艺的项目，</w:t>
            </w:r>
            <w:r>
              <w:rPr>
                <w:rFonts w:ascii="Segoe UI" w:hAnsi="Segoe UI" w:eastAsia="Segoe UI" w:cs="Segoe UI"/>
                <w:i w:val="0"/>
                <w:iCs w:val="0"/>
                <w:caps w:val="0"/>
                <w:color w:val="auto"/>
                <w:spacing w:val="0"/>
                <w:sz w:val="24"/>
                <w:szCs w:val="24"/>
                <w:shd w:val="clear" w:fill="FFFFFF"/>
              </w:rPr>
              <w:t>结合本项目废水水质特点，各处理单元预期去除效率</w:t>
            </w:r>
            <w:r>
              <w:rPr>
                <w:rFonts w:hint="eastAsia"/>
                <w:color w:val="auto"/>
                <w:highlight w:val="none"/>
                <w:lang w:val="en-US" w:eastAsia="zh-CN"/>
              </w:rPr>
              <w:t>详见下表。</w:t>
            </w:r>
          </w:p>
          <w:p w14:paraId="619F1537">
            <w:pPr>
              <w:pStyle w:val="6"/>
              <w:rPr>
                <w:rFonts w:hint="eastAsia" w:eastAsia="宋体"/>
                <w:color w:val="auto"/>
                <w:lang w:val="en-US" w:eastAsia="zh-CN"/>
              </w:rPr>
            </w:pPr>
            <w:r>
              <w:rPr>
                <w:color w:val="auto"/>
              </w:rPr>
              <w:t xml:space="preserve">表 </w:t>
            </w:r>
            <w:r>
              <w:rPr>
                <w:rFonts w:hint="eastAsia"/>
                <w:color w:val="auto"/>
                <w:lang w:val="en-US" w:eastAsia="zh-CN"/>
              </w:rPr>
              <w:t>4</w:t>
            </w:r>
            <w:r>
              <w:rPr>
                <w:rFonts w:hint="eastAsia"/>
                <w:color w:val="auto"/>
                <w:lang w:eastAsia="zh-CN"/>
              </w:rPr>
              <w:t>-</w:t>
            </w:r>
            <w:r>
              <w:rPr>
                <w:color w:val="auto"/>
              </w:rPr>
              <w:fldChar w:fldCharType="begin"/>
            </w:r>
            <w:r>
              <w:rPr>
                <w:color w:val="auto"/>
              </w:rPr>
              <w:instrText xml:space="preserve"> SEQ 表 \* ARABIC \s 1 </w:instrText>
            </w:r>
            <w:r>
              <w:rPr>
                <w:color w:val="auto"/>
              </w:rPr>
              <w:fldChar w:fldCharType="separate"/>
            </w:r>
            <w:r>
              <w:rPr>
                <w:color w:val="auto"/>
              </w:rPr>
              <w:t>6</w:t>
            </w:r>
            <w:r>
              <w:rPr>
                <w:color w:val="auto"/>
              </w:rPr>
              <w:fldChar w:fldCharType="end"/>
            </w:r>
            <w:r>
              <w:rPr>
                <w:rFonts w:hint="eastAsia"/>
                <w:color w:val="auto"/>
                <w:lang w:val="en-US" w:eastAsia="zh-CN"/>
              </w:rPr>
              <w:t xml:space="preserve"> 各单元</w:t>
            </w:r>
            <w:r>
              <w:rPr>
                <w:rFonts w:hint="eastAsia"/>
                <w:color w:val="auto"/>
                <w:highlight w:val="none"/>
                <w:lang w:val="en-US" w:eastAsia="zh-CN"/>
              </w:rPr>
              <w:t>处理效果一览表</w:t>
            </w:r>
          </w:p>
          <w:tbl>
            <w:tblPr>
              <w:tblStyle w:val="24"/>
              <w:tblW w:w="869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7"/>
              <w:gridCol w:w="930"/>
              <w:gridCol w:w="1372"/>
              <w:gridCol w:w="1334"/>
              <w:gridCol w:w="1268"/>
              <w:gridCol w:w="1207"/>
              <w:gridCol w:w="1456"/>
            </w:tblGrid>
            <w:tr w14:paraId="39BA2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48" w:type="pct"/>
                  <w:vAlign w:val="center"/>
                </w:tcPr>
                <w:p w14:paraId="6D78304A">
                  <w:pPr>
                    <w:pStyle w:val="35"/>
                    <w:bidi w:val="0"/>
                    <w:jc w:val="center"/>
                    <w:rPr>
                      <w:rFonts w:hint="eastAsia"/>
                      <w:b/>
                      <w:bCs/>
                      <w:color w:val="auto"/>
                      <w:lang w:val="en-US" w:eastAsia="zh-CN"/>
                    </w:rPr>
                  </w:pPr>
                  <w:r>
                    <w:rPr>
                      <w:b/>
                      <w:bCs/>
                      <w:color w:val="auto"/>
                    </w:rPr>
                    <w:t>处理单元</w:t>
                  </w:r>
                </w:p>
              </w:tc>
              <w:tc>
                <w:tcPr>
                  <w:tcW w:w="534" w:type="pct"/>
                  <w:vAlign w:val="center"/>
                </w:tcPr>
                <w:p w14:paraId="58B4A950">
                  <w:pPr>
                    <w:pStyle w:val="35"/>
                    <w:bidi w:val="0"/>
                    <w:jc w:val="center"/>
                    <w:rPr>
                      <w:rFonts w:hint="eastAsia"/>
                      <w:b/>
                      <w:bCs/>
                      <w:color w:val="auto"/>
                      <w:lang w:val="en-US" w:eastAsia="zh-CN"/>
                    </w:rPr>
                  </w:pPr>
                  <w:r>
                    <w:rPr>
                      <w:b/>
                      <w:bCs/>
                      <w:color w:val="auto"/>
                    </w:rPr>
                    <w:t>指标</w:t>
                  </w:r>
                </w:p>
              </w:tc>
              <w:tc>
                <w:tcPr>
                  <w:tcW w:w="788" w:type="pct"/>
                  <w:vAlign w:val="center"/>
                </w:tcPr>
                <w:p w14:paraId="3D6A450B">
                  <w:pPr>
                    <w:pStyle w:val="35"/>
                    <w:bidi w:val="0"/>
                    <w:jc w:val="center"/>
                    <w:rPr>
                      <w:rFonts w:hint="eastAsia"/>
                      <w:b/>
                      <w:bCs/>
                      <w:color w:val="auto"/>
                      <w:lang w:val="en-US" w:eastAsia="zh-CN"/>
                    </w:rPr>
                  </w:pPr>
                  <w:r>
                    <w:rPr>
                      <w:rFonts w:hint="default"/>
                      <w:b/>
                      <w:bCs/>
                      <w:color w:val="auto"/>
                      <w:lang w:val="en-US" w:eastAsia="zh-CN"/>
                    </w:rPr>
                    <w:t>COD</w:t>
                  </w:r>
                </w:p>
              </w:tc>
              <w:tc>
                <w:tcPr>
                  <w:tcW w:w="766" w:type="pct"/>
                  <w:vAlign w:val="center"/>
                </w:tcPr>
                <w:p w14:paraId="3D481610">
                  <w:pPr>
                    <w:pStyle w:val="35"/>
                    <w:bidi w:val="0"/>
                    <w:jc w:val="center"/>
                    <w:rPr>
                      <w:rFonts w:hint="eastAsia"/>
                      <w:b/>
                      <w:bCs/>
                      <w:color w:val="auto"/>
                      <w:lang w:val="en-US" w:eastAsia="zh-CN"/>
                    </w:rPr>
                  </w:pPr>
                  <w:r>
                    <w:rPr>
                      <w:rFonts w:hint="default"/>
                      <w:b/>
                      <w:bCs/>
                      <w:color w:val="auto"/>
                      <w:lang w:val="en-US" w:eastAsia="zh-CN"/>
                    </w:rPr>
                    <w:t>BOD</w:t>
                  </w:r>
                  <w:r>
                    <w:rPr>
                      <w:b/>
                      <w:bCs/>
                      <w:color w:val="auto"/>
                      <w:vertAlign w:val="subscript"/>
                      <w:lang w:val="en-US" w:eastAsia="zh-CN"/>
                    </w:rPr>
                    <w:t>5</w:t>
                  </w:r>
                </w:p>
              </w:tc>
              <w:tc>
                <w:tcPr>
                  <w:tcW w:w="728" w:type="pct"/>
                  <w:vAlign w:val="center"/>
                </w:tcPr>
                <w:p w14:paraId="5E059740">
                  <w:pPr>
                    <w:pStyle w:val="35"/>
                    <w:bidi w:val="0"/>
                    <w:jc w:val="center"/>
                    <w:rPr>
                      <w:rFonts w:hint="eastAsia"/>
                      <w:b/>
                      <w:bCs/>
                      <w:color w:val="auto"/>
                      <w:lang w:val="en-US" w:eastAsia="zh-CN"/>
                    </w:rPr>
                  </w:pPr>
                  <w:r>
                    <w:rPr>
                      <w:rFonts w:hint="default"/>
                      <w:b/>
                      <w:bCs/>
                      <w:color w:val="auto"/>
                      <w:lang w:val="en-US" w:eastAsia="zh-CN"/>
                    </w:rPr>
                    <w:t>SS</w:t>
                  </w:r>
                </w:p>
              </w:tc>
              <w:tc>
                <w:tcPr>
                  <w:tcW w:w="693" w:type="pct"/>
                  <w:vAlign w:val="center"/>
                </w:tcPr>
                <w:p w14:paraId="0223423E">
                  <w:pPr>
                    <w:pStyle w:val="35"/>
                    <w:bidi w:val="0"/>
                    <w:jc w:val="center"/>
                    <w:rPr>
                      <w:rFonts w:hint="eastAsia"/>
                      <w:b/>
                      <w:bCs/>
                      <w:color w:val="auto"/>
                      <w:lang w:val="en-US" w:eastAsia="zh-CN"/>
                    </w:rPr>
                  </w:pPr>
                  <w:r>
                    <w:rPr>
                      <w:rFonts w:hint="default"/>
                      <w:b/>
                      <w:bCs/>
                      <w:color w:val="auto"/>
                      <w:lang w:val="en-US" w:eastAsia="zh-CN"/>
                    </w:rPr>
                    <w:t>NH</w:t>
                  </w:r>
                  <w:r>
                    <w:rPr>
                      <w:b/>
                      <w:bCs/>
                      <w:color w:val="auto"/>
                      <w:vertAlign w:val="subscript"/>
                      <w:lang w:val="en-US" w:eastAsia="zh-CN"/>
                    </w:rPr>
                    <w:t>3</w:t>
                  </w:r>
                  <w:r>
                    <w:rPr>
                      <w:b/>
                      <w:bCs/>
                      <w:color w:val="auto"/>
                      <w:lang w:val="en-US" w:eastAsia="zh-CN"/>
                    </w:rPr>
                    <w:t>-N</w:t>
                  </w:r>
                </w:p>
              </w:tc>
              <w:tc>
                <w:tcPr>
                  <w:tcW w:w="836" w:type="pct"/>
                  <w:vAlign w:val="center"/>
                </w:tcPr>
                <w:p w14:paraId="7CFF2C51">
                  <w:pPr>
                    <w:pStyle w:val="35"/>
                    <w:bidi w:val="0"/>
                    <w:jc w:val="center"/>
                    <w:rPr>
                      <w:rFonts w:hint="eastAsia"/>
                      <w:b/>
                      <w:bCs/>
                      <w:color w:val="auto"/>
                      <w:lang w:val="en-US" w:eastAsia="zh-CN"/>
                    </w:rPr>
                  </w:pPr>
                  <w:r>
                    <w:rPr>
                      <w:b/>
                      <w:bCs/>
                      <w:color w:val="auto"/>
                    </w:rPr>
                    <w:t>动植物油</w:t>
                  </w:r>
                </w:p>
              </w:tc>
            </w:tr>
            <w:tr w14:paraId="5D8E4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48" w:type="pct"/>
                  <w:vAlign w:val="center"/>
                </w:tcPr>
                <w:p w14:paraId="7B899F5B">
                  <w:pPr>
                    <w:pStyle w:val="35"/>
                    <w:bidi w:val="0"/>
                    <w:jc w:val="center"/>
                    <w:rPr>
                      <w:rFonts w:hint="eastAsia"/>
                      <w:color w:val="auto"/>
                      <w:lang w:val="en-US" w:eastAsia="zh-CN"/>
                    </w:rPr>
                  </w:pPr>
                  <w:r>
                    <w:rPr>
                      <w:color w:val="auto"/>
                    </w:rPr>
                    <w:t>隔油+沉淀</w:t>
                  </w:r>
                </w:p>
              </w:tc>
              <w:tc>
                <w:tcPr>
                  <w:tcW w:w="534" w:type="pct"/>
                  <w:vAlign w:val="center"/>
                </w:tcPr>
                <w:p w14:paraId="6460912A">
                  <w:pPr>
                    <w:pStyle w:val="35"/>
                    <w:bidi w:val="0"/>
                    <w:jc w:val="center"/>
                    <w:rPr>
                      <w:rFonts w:hint="eastAsia"/>
                      <w:color w:val="auto"/>
                      <w:lang w:val="en-US" w:eastAsia="zh-CN"/>
                    </w:rPr>
                  </w:pPr>
                  <w:r>
                    <w:rPr>
                      <w:color w:val="auto"/>
                    </w:rPr>
                    <w:t>去除率</w:t>
                  </w:r>
                </w:p>
              </w:tc>
              <w:tc>
                <w:tcPr>
                  <w:tcW w:w="788" w:type="pct"/>
                  <w:vAlign w:val="center"/>
                </w:tcPr>
                <w:p w14:paraId="5926317E">
                  <w:pPr>
                    <w:pStyle w:val="35"/>
                    <w:bidi w:val="0"/>
                    <w:jc w:val="center"/>
                    <w:rPr>
                      <w:rFonts w:hint="eastAsia"/>
                      <w:color w:val="auto"/>
                      <w:lang w:val="en-US" w:eastAsia="zh-CN"/>
                    </w:rPr>
                  </w:pPr>
                  <w:r>
                    <w:rPr>
                      <w:color w:val="auto"/>
                    </w:rPr>
                    <w:t>15%~20%</w:t>
                  </w:r>
                </w:p>
              </w:tc>
              <w:tc>
                <w:tcPr>
                  <w:tcW w:w="766" w:type="pct"/>
                  <w:vAlign w:val="center"/>
                </w:tcPr>
                <w:p w14:paraId="14F48A6B">
                  <w:pPr>
                    <w:pStyle w:val="35"/>
                    <w:bidi w:val="0"/>
                    <w:jc w:val="center"/>
                    <w:rPr>
                      <w:rFonts w:hint="eastAsia"/>
                      <w:color w:val="auto"/>
                      <w:lang w:val="en-US" w:eastAsia="zh-CN"/>
                    </w:rPr>
                  </w:pPr>
                  <w:r>
                    <w:rPr>
                      <w:color w:val="auto"/>
                    </w:rPr>
                    <w:t>10%~15%</w:t>
                  </w:r>
                </w:p>
              </w:tc>
              <w:tc>
                <w:tcPr>
                  <w:tcW w:w="728" w:type="pct"/>
                  <w:vAlign w:val="center"/>
                </w:tcPr>
                <w:p w14:paraId="259AC670">
                  <w:pPr>
                    <w:pStyle w:val="35"/>
                    <w:bidi w:val="0"/>
                    <w:jc w:val="center"/>
                    <w:rPr>
                      <w:rFonts w:hint="eastAsia"/>
                      <w:color w:val="auto"/>
                      <w:lang w:val="en-US" w:eastAsia="zh-CN"/>
                    </w:rPr>
                  </w:pPr>
                  <w:r>
                    <w:rPr>
                      <w:color w:val="auto"/>
                    </w:rPr>
                    <w:t>40%~50%</w:t>
                  </w:r>
                </w:p>
              </w:tc>
              <w:tc>
                <w:tcPr>
                  <w:tcW w:w="693" w:type="pct"/>
                  <w:vAlign w:val="center"/>
                </w:tcPr>
                <w:p w14:paraId="784D9621">
                  <w:pPr>
                    <w:pStyle w:val="35"/>
                    <w:bidi w:val="0"/>
                    <w:jc w:val="center"/>
                    <w:rPr>
                      <w:rFonts w:hint="eastAsia"/>
                      <w:color w:val="auto"/>
                      <w:lang w:val="en-US" w:eastAsia="zh-CN"/>
                    </w:rPr>
                  </w:pPr>
                  <w:r>
                    <w:rPr>
                      <w:color w:val="auto"/>
                    </w:rPr>
                    <w:t>—</w:t>
                  </w:r>
                </w:p>
              </w:tc>
              <w:tc>
                <w:tcPr>
                  <w:tcW w:w="836" w:type="pct"/>
                  <w:vAlign w:val="center"/>
                </w:tcPr>
                <w:p w14:paraId="208DDABB">
                  <w:pPr>
                    <w:pStyle w:val="35"/>
                    <w:bidi w:val="0"/>
                    <w:jc w:val="center"/>
                    <w:rPr>
                      <w:rFonts w:hint="eastAsia"/>
                      <w:color w:val="auto"/>
                      <w:lang w:val="en-US" w:eastAsia="zh-CN"/>
                    </w:rPr>
                  </w:pPr>
                  <w:r>
                    <w:rPr>
                      <w:color w:val="auto"/>
                    </w:rPr>
                    <w:t>80%~90%</w:t>
                  </w:r>
                </w:p>
              </w:tc>
            </w:tr>
            <w:tr w14:paraId="50BF6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48" w:type="pct"/>
                  <w:vAlign w:val="center"/>
                </w:tcPr>
                <w:p w14:paraId="4FF41D20">
                  <w:pPr>
                    <w:pStyle w:val="35"/>
                    <w:bidi w:val="0"/>
                    <w:jc w:val="center"/>
                    <w:rPr>
                      <w:rFonts w:hint="eastAsia"/>
                      <w:color w:val="auto"/>
                      <w:lang w:val="en-US" w:eastAsia="zh-CN"/>
                    </w:rPr>
                  </w:pPr>
                  <w:r>
                    <w:rPr>
                      <w:color w:val="auto"/>
                    </w:rPr>
                    <w:t>水解酸化</w:t>
                  </w:r>
                </w:p>
              </w:tc>
              <w:tc>
                <w:tcPr>
                  <w:tcW w:w="534" w:type="pct"/>
                  <w:vAlign w:val="center"/>
                </w:tcPr>
                <w:p w14:paraId="76F4112D">
                  <w:pPr>
                    <w:pStyle w:val="35"/>
                    <w:bidi w:val="0"/>
                    <w:jc w:val="center"/>
                    <w:rPr>
                      <w:rFonts w:hint="eastAsia"/>
                      <w:color w:val="auto"/>
                      <w:lang w:val="en-US" w:eastAsia="zh-CN"/>
                    </w:rPr>
                  </w:pPr>
                  <w:r>
                    <w:rPr>
                      <w:color w:val="auto"/>
                    </w:rPr>
                    <w:t>去除率</w:t>
                  </w:r>
                </w:p>
              </w:tc>
              <w:tc>
                <w:tcPr>
                  <w:tcW w:w="788" w:type="pct"/>
                  <w:vAlign w:val="center"/>
                </w:tcPr>
                <w:p w14:paraId="33028BE8">
                  <w:pPr>
                    <w:pStyle w:val="35"/>
                    <w:bidi w:val="0"/>
                    <w:jc w:val="center"/>
                    <w:rPr>
                      <w:rFonts w:hint="eastAsia"/>
                      <w:color w:val="auto"/>
                      <w:lang w:val="en-US" w:eastAsia="zh-CN"/>
                    </w:rPr>
                  </w:pPr>
                  <w:r>
                    <w:rPr>
                      <w:color w:val="auto"/>
                    </w:rPr>
                    <w:t>20%~30%</w:t>
                  </w:r>
                </w:p>
              </w:tc>
              <w:tc>
                <w:tcPr>
                  <w:tcW w:w="766" w:type="pct"/>
                  <w:vAlign w:val="center"/>
                </w:tcPr>
                <w:p w14:paraId="76EF45D4">
                  <w:pPr>
                    <w:pStyle w:val="35"/>
                    <w:bidi w:val="0"/>
                    <w:jc w:val="center"/>
                    <w:rPr>
                      <w:rFonts w:hint="eastAsia"/>
                      <w:color w:val="auto"/>
                      <w:lang w:val="en-US" w:eastAsia="zh-CN"/>
                    </w:rPr>
                  </w:pPr>
                  <w:r>
                    <w:rPr>
                      <w:color w:val="auto"/>
                    </w:rPr>
                    <w:t>15%~25%</w:t>
                  </w:r>
                </w:p>
              </w:tc>
              <w:tc>
                <w:tcPr>
                  <w:tcW w:w="728" w:type="pct"/>
                  <w:vAlign w:val="center"/>
                </w:tcPr>
                <w:p w14:paraId="294C8D87">
                  <w:pPr>
                    <w:pStyle w:val="35"/>
                    <w:bidi w:val="0"/>
                    <w:jc w:val="center"/>
                    <w:rPr>
                      <w:rFonts w:hint="eastAsia"/>
                      <w:color w:val="auto"/>
                      <w:lang w:val="en-US" w:eastAsia="zh-CN"/>
                    </w:rPr>
                  </w:pPr>
                  <w:r>
                    <w:rPr>
                      <w:color w:val="auto"/>
                    </w:rPr>
                    <w:t>—</w:t>
                  </w:r>
                </w:p>
              </w:tc>
              <w:tc>
                <w:tcPr>
                  <w:tcW w:w="693" w:type="pct"/>
                  <w:vAlign w:val="center"/>
                </w:tcPr>
                <w:p w14:paraId="7428E0A3">
                  <w:pPr>
                    <w:pStyle w:val="35"/>
                    <w:bidi w:val="0"/>
                    <w:jc w:val="center"/>
                    <w:rPr>
                      <w:rFonts w:hint="eastAsia"/>
                      <w:color w:val="auto"/>
                      <w:lang w:val="en-US" w:eastAsia="zh-CN"/>
                    </w:rPr>
                  </w:pPr>
                  <w:r>
                    <w:rPr>
                      <w:color w:val="auto"/>
                    </w:rPr>
                    <w:t>—</w:t>
                  </w:r>
                </w:p>
              </w:tc>
              <w:tc>
                <w:tcPr>
                  <w:tcW w:w="836" w:type="pct"/>
                  <w:vAlign w:val="center"/>
                </w:tcPr>
                <w:p w14:paraId="261286F9">
                  <w:pPr>
                    <w:pStyle w:val="35"/>
                    <w:bidi w:val="0"/>
                    <w:jc w:val="center"/>
                    <w:rPr>
                      <w:rFonts w:hint="eastAsia"/>
                      <w:color w:val="auto"/>
                      <w:lang w:val="en-US" w:eastAsia="zh-CN"/>
                    </w:rPr>
                  </w:pPr>
                  <w:r>
                    <w:rPr>
                      <w:color w:val="auto"/>
                    </w:rPr>
                    <w:t>—</w:t>
                  </w:r>
                </w:p>
              </w:tc>
            </w:tr>
            <w:tr w14:paraId="3F7FD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48" w:type="pct"/>
                  <w:vAlign w:val="center"/>
                </w:tcPr>
                <w:p w14:paraId="398467F2">
                  <w:pPr>
                    <w:pStyle w:val="35"/>
                    <w:bidi w:val="0"/>
                    <w:jc w:val="center"/>
                    <w:rPr>
                      <w:rFonts w:hint="eastAsia"/>
                      <w:color w:val="auto"/>
                      <w:lang w:val="en-US" w:eastAsia="zh-CN"/>
                    </w:rPr>
                  </w:pPr>
                  <w:r>
                    <w:rPr>
                      <w:color w:val="auto"/>
                    </w:rPr>
                    <w:t>SBR</w:t>
                  </w:r>
                </w:p>
              </w:tc>
              <w:tc>
                <w:tcPr>
                  <w:tcW w:w="534" w:type="pct"/>
                  <w:vAlign w:val="center"/>
                </w:tcPr>
                <w:p w14:paraId="5D936B2C">
                  <w:pPr>
                    <w:pStyle w:val="35"/>
                    <w:bidi w:val="0"/>
                    <w:jc w:val="center"/>
                    <w:rPr>
                      <w:rFonts w:hint="eastAsia"/>
                      <w:color w:val="auto"/>
                      <w:lang w:val="en-US" w:eastAsia="zh-CN"/>
                    </w:rPr>
                  </w:pPr>
                  <w:r>
                    <w:rPr>
                      <w:color w:val="auto"/>
                    </w:rPr>
                    <w:t>去除率</w:t>
                  </w:r>
                </w:p>
              </w:tc>
              <w:tc>
                <w:tcPr>
                  <w:tcW w:w="788" w:type="pct"/>
                  <w:vAlign w:val="center"/>
                </w:tcPr>
                <w:p w14:paraId="68F5F9E5">
                  <w:pPr>
                    <w:pStyle w:val="35"/>
                    <w:bidi w:val="0"/>
                    <w:jc w:val="center"/>
                    <w:rPr>
                      <w:rFonts w:hint="eastAsia"/>
                      <w:color w:val="auto"/>
                      <w:lang w:val="en-US" w:eastAsia="zh-CN"/>
                    </w:rPr>
                  </w:pPr>
                  <w:r>
                    <w:rPr>
                      <w:color w:val="auto"/>
                    </w:rPr>
                    <w:t>85%~90%</w:t>
                  </w:r>
                </w:p>
              </w:tc>
              <w:tc>
                <w:tcPr>
                  <w:tcW w:w="766" w:type="pct"/>
                  <w:vAlign w:val="center"/>
                </w:tcPr>
                <w:p w14:paraId="12250E73">
                  <w:pPr>
                    <w:pStyle w:val="35"/>
                    <w:bidi w:val="0"/>
                    <w:jc w:val="center"/>
                    <w:rPr>
                      <w:rFonts w:hint="eastAsia"/>
                      <w:color w:val="auto"/>
                      <w:lang w:val="en-US" w:eastAsia="zh-CN"/>
                    </w:rPr>
                  </w:pPr>
                  <w:r>
                    <w:rPr>
                      <w:color w:val="auto"/>
                    </w:rPr>
                    <w:t>85%~90%</w:t>
                  </w:r>
                </w:p>
              </w:tc>
              <w:tc>
                <w:tcPr>
                  <w:tcW w:w="728" w:type="pct"/>
                  <w:vAlign w:val="center"/>
                </w:tcPr>
                <w:p w14:paraId="610106D2">
                  <w:pPr>
                    <w:pStyle w:val="35"/>
                    <w:bidi w:val="0"/>
                    <w:jc w:val="center"/>
                    <w:rPr>
                      <w:rFonts w:hint="eastAsia"/>
                      <w:color w:val="auto"/>
                      <w:lang w:val="en-US" w:eastAsia="zh-CN"/>
                    </w:rPr>
                  </w:pPr>
                  <w:r>
                    <w:rPr>
                      <w:color w:val="auto"/>
                    </w:rPr>
                    <w:t>70%~80%</w:t>
                  </w:r>
                </w:p>
              </w:tc>
              <w:tc>
                <w:tcPr>
                  <w:tcW w:w="693" w:type="pct"/>
                  <w:vAlign w:val="center"/>
                </w:tcPr>
                <w:p w14:paraId="705F2447">
                  <w:pPr>
                    <w:pStyle w:val="35"/>
                    <w:bidi w:val="0"/>
                    <w:jc w:val="center"/>
                    <w:rPr>
                      <w:rFonts w:hint="eastAsia"/>
                      <w:color w:val="auto"/>
                      <w:lang w:val="en-US" w:eastAsia="zh-CN"/>
                    </w:rPr>
                  </w:pPr>
                  <w:r>
                    <w:rPr>
                      <w:color w:val="auto"/>
                    </w:rPr>
                    <w:t>60%~75%</w:t>
                  </w:r>
                </w:p>
              </w:tc>
              <w:tc>
                <w:tcPr>
                  <w:tcW w:w="836" w:type="pct"/>
                  <w:vAlign w:val="center"/>
                </w:tcPr>
                <w:p w14:paraId="3D3FFFA7">
                  <w:pPr>
                    <w:pStyle w:val="35"/>
                    <w:bidi w:val="0"/>
                    <w:jc w:val="center"/>
                    <w:rPr>
                      <w:rFonts w:hint="eastAsia"/>
                      <w:color w:val="auto"/>
                      <w:lang w:val="en-US" w:eastAsia="zh-CN"/>
                    </w:rPr>
                  </w:pPr>
                  <w:r>
                    <w:rPr>
                      <w:color w:val="auto"/>
                    </w:rPr>
                    <w:t>—</w:t>
                  </w:r>
                </w:p>
              </w:tc>
            </w:tr>
            <w:tr w14:paraId="79DEF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82" w:type="pct"/>
                  <w:gridSpan w:val="2"/>
                  <w:vAlign w:val="center"/>
                </w:tcPr>
                <w:p w14:paraId="16336A51">
                  <w:pPr>
                    <w:pStyle w:val="35"/>
                    <w:bidi w:val="0"/>
                    <w:jc w:val="center"/>
                    <w:rPr>
                      <w:rFonts w:hint="eastAsia"/>
                      <w:color w:val="auto"/>
                      <w:lang w:val="en-US" w:eastAsia="zh-CN"/>
                    </w:rPr>
                  </w:pPr>
                  <w:r>
                    <w:rPr>
                      <w:color w:val="auto"/>
                    </w:rPr>
                    <w:t>综合去除率</w:t>
                  </w:r>
                </w:p>
              </w:tc>
              <w:tc>
                <w:tcPr>
                  <w:tcW w:w="788" w:type="pct"/>
                  <w:vAlign w:val="center"/>
                </w:tcPr>
                <w:p w14:paraId="19899EBC">
                  <w:pPr>
                    <w:pStyle w:val="35"/>
                    <w:bidi w:val="0"/>
                    <w:jc w:val="center"/>
                    <w:rPr>
                      <w:rFonts w:hint="eastAsia"/>
                      <w:color w:val="auto"/>
                      <w:lang w:val="en-US" w:eastAsia="zh-CN"/>
                    </w:rPr>
                  </w:pPr>
                  <w:r>
                    <w:rPr>
                      <w:color w:val="auto"/>
                    </w:rPr>
                    <w:t>≥90%</w:t>
                  </w:r>
                </w:p>
              </w:tc>
              <w:tc>
                <w:tcPr>
                  <w:tcW w:w="766" w:type="pct"/>
                  <w:vAlign w:val="center"/>
                </w:tcPr>
                <w:p w14:paraId="6380AD9A">
                  <w:pPr>
                    <w:pStyle w:val="35"/>
                    <w:bidi w:val="0"/>
                    <w:jc w:val="center"/>
                    <w:rPr>
                      <w:rFonts w:hint="eastAsia"/>
                      <w:color w:val="auto"/>
                      <w:lang w:val="en-US" w:eastAsia="zh-CN"/>
                    </w:rPr>
                  </w:pPr>
                  <w:r>
                    <w:rPr>
                      <w:color w:val="auto"/>
                    </w:rPr>
                    <w:t>≥85%</w:t>
                  </w:r>
                </w:p>
              </w:tc>
              <w:tc>
                <w:tcPr>
                  <w:tcW w:w="728" w:type="pct"/>
                  <w:vAlign w:val="center"/>
                </w:tcPr>
                <w:p w14:paraId="74F8ECFF">
                  <w:pPr>
                    <w:pStyle w:val="35"/>
                    <w:bidi w:val="0"/>
                    <w:jc w:val="center"/>
                    <w:rPr>
                      <w:rFonts w:hint="eastAsia"/>
                      <w:color w:val="auto"/>
                      <w:lang w:val="en-US" w:eastAsia="zh-CN"/>
                    </w:rPr>
                  </w:pPr>
                  <w:r>
                    <w:rPr>
                      <w:color w:val="auto"/>
                    </w:rPr>
                    <w:t>≥80%</w:t>
                  </w:r>
                </w:p>
              </w:tc>
              <w:tc>
                <w:tcPr>
                  <w:tcW w:w="693" w:type="pct"/>
                  <w:vAlign w:val="center"/>
                </w:tcPr>
                <w:p w14:paraId="14EBE107">
                  <w:pPr>
                    <w:pStyle w:val="35"/>
                    <w:bidi w:val="0"/>
                    <w:jc w:val="center"/>
                    <w:rPr>
                      <w:rFonts w:hint="eastAsia"/>
                      <w:color w:val="auto"/>
                      <w:lang w:val="en-US" w:eastAsia="zh-CN"/>
                    </w:rPr>
                  </w:pPr>
                  <w:r>
                    <w:rPr>
                      <w:color w:val="auto"/>
                    </w:rPr>
                    <w:t>≥70%</w:t>
                  </w:r>
                </w:p>
              </w:tc>
              <w:tc>
                <w:tcPr>
                  <w:tcW w:w="836" w:type="pct"/>
                  <w:vAlign w:val="center"/>
                </w:tcPr>
                <w:p w14:paraId="66E27ABD">
                  <w:pPr>
                    <w:pStyle w:val="35"/>
                    <w:bidi w:val="0"/>
                    <w:jc w:val="center"/>
                    <w:rPr>
                      <w:rFonts w:hint="eastAsia"/>
                      <w:color w:val="auto"/>
                      <w:lang w:val="en-US" w:eastAsia="zh-CN"/>
                    </w:rPr>
                  </w:pPr>
                  <w:r>
                    <w:rPr>
                      <w:color w:val="auto"/>
                    </w:rPr>
                    <w:t>≥95%</w:t>
                  </w:r>
                </w:p>
              </w:tc>
            </w:tr>
          </w:tbl>
          <w:p w14:paraId="3FDB6395">
            <w:pPr>
              <w:pStyle w:val="6"/>
              <w:rPr>
                <w:rFonts w:hint="eastAsia" w:eastAsia="宋体"/>
                <w:color w:val="auto"/>
                <w:lang w:val="en-US" w:eastAsia="zh-CN"/>
              </w:rPr>
            </w:pPr>
            <w:r>
              <w:rPr>
                <w:color w:val="auto"/>
              </w:rPr>
              <w:t xml:space="preserve">表 </w:t>
            </w:r>
            <w:r>
              <w:rPr>
                <w:rFonts w:hint="eastAsia"/>
                <w:color w:val="auto"/>
                <w:lang w:val="en-US" w:eastAsia="zh-CN"/>
              </w:rPr>
              <w:t>4</w:t>
            </w:r>
            <w:r>
              <w:rPr>
                <w:rFonts w:hint="eastAsia"/>
                <w:color w:val="auto"/>
                <w:lang w:eastAsia="zh-CN"/>
              </w:rPr>
              <w:t>-</w:t>
            </w:r>
            <w:r>
              <w:rPr>
                <w:color w:val="auto"/>
              </w:rPr>
              <w:fldChar w:fldCharType="begin"/>
            </w:r>
            <w:r>
              <w:rPr>
                <w:color w:val="auto"/>
              </w:rPr>
              <w:instrText xml:space="preserve"> SEQ 表 \* ARABIC \s 1 </w:instrText>
            </w:r>
            <w:r>
              <w:rPr>
                <w:color w:val="auto"/>
              </w:rPr>
              <w:fldChar w:fldCharType="separate"/>
            </w:r>
            <w:r>
              <w:rPr>
                <w:color w:val="auto"/>
              </w:rPr>
              <w:t>7</w:t>
            </w:r>
            <w:r>
              <w:rPr>
                <w:color w:val="auto"/>
              </w:rPr>
              <w:fldChar w:fldCharType="end"/>
            </w:r>
            <w:r>
              <w:rPr>
                <w:rFonts w:hint="eastAsia"/>
                <w:color w:val="auto"/>
                <w:lang w:val="en-US" w:eastAsia="zh-CN"/>
              </w:rPr>
              <w:t xml:space="preserve"> 本项目生产废水排放浓度一览表</w:t>
            </w:r>
          </w:p>
          <w:tbl>
            <w:tblPr>
              <w:tblStyle w:val="23"/>
              <w:tblW w:w="8694" w:type="dxa"/>
              <w:jc w:val="center"/>
              <w:tblLayout w:type="autofit"/>
              <w:tblCellMar>
                <w:top w:w="0" w:type="dxa"/>
                <w:left w:w="108" w:type="dxa"/>
                <w:bottom w:w="0" w:type="dxa"/>
                <w:right w:w="108" w:type="dxa"/>
              </w:tblCellMar>
            </w:tblPr>
            <w:tblGrid>
              <w:gridCol w:w="1397"/>
              <w:gridCol w:w="1181"/>
              <w:gridCol w:w="1578"/>
              <w:gridCol w:w="1360"/>
              <w:gridCol w:w="1625"/>
              <w:gridCol w:w="1553"/>
            </w:tblGrid>
            <w:tr w14:paraId="5948818E">
              <w:tblPrEx>
                <w:tblCellMar>
                  <w:top w:w="0" w:type="dxa"/>
                  <w:left w:w="108" w:type="dxa"/>
                  <w:bottom w:w="0" w:type="dxa"/>
                  <w:right w:w="108" w:type="dxa"/>
                </w:tblCellMar>
              </w:tblPrEx>
              <w:trPr>
                <w:trHeight w:val="340" w:hRule="atLeast"/>
                <w:jc w:val="center"/>
              </w:trPr>
              <w:tc>
                <w:tcPr>
                  <w:tcW w:w="803" w:type="pct"/>
                  <w:vMerge w:val="restart"/>
                  <w:tcBorders>
                    <w:top w:val="single" w:color="000000" w:sz="4" w:space="0"/>
                    <w:left w:val="single" w:color="000000" w:sz="4" w:space="0"/>
                    <w:right w:val="single" w:color="000000" w:sz="4" w:space="0"/>
                  </w:tcBorders>
                  <w:shd w:val="clear" w:color="auto" w:fill="auto"/>
                  <w:vAlign w:val="center"/>
                </w:tcPr>
                <w:p w14:paraId="585AA111">
                  <w:pPr>
                    <w:pStyle w:val="30"/>
                    <w:framePr w:hSpace="0" w:wrap="auto" w:vAnchor="margin" w:hAnchor="text" w:xAlign="left" w:yAlign="inline"/>
                    <w:rPr>
                      <w:color w:val="auto"/>
                    </w:rPr>
                  </w:pPr>
                  <w:r>
                    <w:rPr>
                      <w:color w:val="auto"/>
                      <w:lang w:val="en-US"/>
                    </w:rPr>
                    <w:t>废水类别</w:t>
                  </w:r>
                </w:p>
              </w:tc>
              <w:tc>
                <w:tcPr>
                  <w:tcW w:w="679" w:type="pct"/>
                  <w:vMerge w:val="restart"/>
                  <w:tcBorders>
                    <w:top w:val="single" w:color="000000" w:sz="4" w:space="0"/>
                    <w:left w:val="single" w:color="000000" w:sz="4" w:space="0"/>
                    <w:right w:val="single" w:color="000000" w:sz="4" w:space="0"/>
                  </w:tcBorders>
                  <w:shd w:val="clear" w:color="auto" w:fill="auto"/>
                  <w:vAlign w:val="center"/>
                </w:tcPr>
                <w:p w14:paraId="543BF857">
                  <w:pPr>
                    <w:pStyle w:val="30"/>
                    <w:framePr w:hSpace="0" w:wrap="auto" w:vAnchor="margin" w:hAnchor="text" w:xAlign="left" w:yAlign="inline"/>
                    <w:rPr>
                      <w:color w:val="auto"/>
                    </w:rPr>
                  </w:pPr>
                  <w:r>
                    <w:rPr>
                      <w:color w:val="auto"/>
                      <w:lang w:val="en-US"/>
                    </w:rPr>
                    <w:t>主要污染物</w:t>
                  </w:r>
                </w:p>
              </w:tc>
              <w:tc>
                <w:tcPr>
                  <w:tcW w:w="1689" w:type="pct"/>
                  <w:gridSpan w:val="2"/>
                  <w:tcBorders>
                    <w:top w:val="single" w:color="000000" w:sz="4" w:space="0"/>
                    <w:left w:val="single" w:color="000000" w:sz="4" w:space="0"/>
                    <w:bottom w:val="single" w:color="auto" w:sz="4" w:space="0"/>
                    <w:right w:val="single" w:color="000000" w:sz="4" w:space="0"/>
                  </w:tcBorders>
                  <w:shd w:val="clear" w:color="auto" w:fill="auto"/>
                  <w:vAlign w:val="center"/>
                </w:tcPr>
                <w:p w14:paraId="06642142">
                  <w:pPr>
                    <w:pStyle w:val="30"/>
                    <w:framePr w:hSpace="0" w:wrap="auto" w:vAnchor="margin" w:hAnchor="text" w:xAlign="left" w:yAlign="inline"/>
                    <w:rPr>
                      <w:color w:val="auto"/>
                      <w:lang w:val="en-US"/>
                    </w:rPr>
                  </w:pPr>
                  <w:r>
                    <w:rPr>
                      <w:color w:val="auto"/>
                    </w:rPr>
                    <w:t>排放情况</w:t>
                  </w:r>
                </w:p>
              </w:tc>
              <w:tc>
                <w:tcPr>
                  <w:tcW w:w="934" w:type="pct"/>
                  <w:vMerge w:val="restart"/>
                  <w:tcBorders>
                    <w:top w:val="single" w:color="000000" w:sz="4" w:space="0"/>
                    <w:left w:val="single" w:color="000000" w:sz="4" w:space="0"/>
                    <w:right w:val="single" w:color="000000" w:sz="4" w:space="0"/>
                  </w:tcBorders>
                  <w:shd w:val="clear" w:color="auto" w:fill="auto"/>
                  <w:vAlign w:val="center"/>
                </w:tcPr>
                <w:p w14:paraId="04CEF9B7">
                  <w:pPr>
                    <w:pStyle w:val="30"/>
                    <w:framePr w:hSpace="0" w:wrap="auto" w:vAnchor="margin" w:hAnchor="text" w:xAlign="left" w:yAlign="inline"/>
                    <w:rPr>
                      <w:color w:val="auto"/>
                    </w:rPr>
                  </w:pPr>
                  <w:r>
                    <w:rPr>
                      <w:rFonts w:hint="eastAsia"/>
                      <w:color w:val="auto"/>
                    </w:rPr>
                    <w:t>废水处理工艺</w:t>
                  </w:r>
                </w:p>
              </w:tc>
              <w:tc>
                <w:tcPr>
                  <w:tcW w:w="893" w:type="pct"/>
                  <w:vMerge w:val="restart"/>
                  <w:tcBorders>
                    <w:top w:val="single" w:color="000000" w:sz="4" w:space="0"/>
                    <w:left w:val="single" w:color="000000" w:sz="4" w:space="0"/>
                    <w:right w:val="single" w:color="000000" w:sz="4" w:space="0"/>
                  </w:tcBorders>
                  <w:shd w:val="clear" w:color="auto" w:fill="auto"/>
                  <w:vAlign w:val="center"/>
                </w:tcPr>
                <w:p w14:paraId="0F3C6290">
                  <w:pPr>
                    <w:pStyle w:val="30"/>
                    <w:framePr w:hSpace="0" w:wrap="auto" w:vAnchor="margin" w:hAnchor="text" w:xAlign="left" w:yAlign="inline"/>
                    <w:rPr>
                      <w:color w:val="auto"/>
                    </w:rPr>
                  </w:pPr>
                  <w:r>
                    <w:rPr>
                      <w:rFonts w:hint="eastAsia"/>
                      <w:color w:val="auto"/>
                    </w:rPr>
                    <w:t>接管标准</w:t>
                  </w:r>
                </w:p>
              </w:tc>
            </w:tr>
            <w:tr w14:paraId="25A2FF3A">
              <w:tblPrEx>
                <w:tblCellMar>
                  <w:top w:w="0" w:type="dxa"/>
                  <w:left w:w="108" w:type="dxa"/>
                  <w:bottom w:w="0" w:type="dxa"/>
                  <w:right w:w="108" w:type="dxa"/>
                </w:tblCellMar>
              </w:tblPrEx>
              <w:trPr>
                <w:trHeight w:val="340" w:hRule="atLeast"/>
                <w:jc w:val="center"/>
              </w:trPr>
              <w:tc>
                <w:tcPr>
                  <w:tcW w:w="803" w:type="pct"/>
                  <w:vMerge w:val="continue"/>
                  <w:tcBorders>
                    <w:left w:val="single" w:color="000000" w:sz="4" w:space="0"/>
                    <w:bottom w:val="single" w:color="000000" w:sz="4" w:space="0"/>
                    <w:right w:val="single" w:color="000000" w:sz="4" w:space="0"/>
                  </w:tcBorders>
                  <w:shd w:val="clear" w:color="auto" w:fill="auto"/>
                  <w:vAlign w:val="center"/>
                </w:tcPr>
                <w:p w14:paraId="4C22B87D">
                  <w:pPr>
                    <w:pStyle w:val="30"/>
                    <w:framePr w:hSpace="0" w:wrap="auto" w:vAnchor="margin" w:hAnchor="text" w:xAlign="left" w:yAlign="inline"/>
                    <w:rPr>
                      <w:color w:val="auto"/>
                      <w:lang w:val="en-US"/>
                    </w:rPr>
                  </w:pPr>
                </w:p>
              </w:tc>
              <w:tc>
                <w:tcPr>
                  <w:tcW w:w="679" w:type="pct"/>
                  <w:vMerge w:val="continue"/>
                  <w:tcBorders>
                    <w:left w:val="single" w:color="000000" w:sz="4" w:space="0"/>
                    <w:bottom w:val="single" w:color="000000" w:sz="4" w:space="0"/>
                    <w:right w:val="single" w:color="000000" w:sz="4" w:space="0"/>
                  </w:tcBorders>
                  <w:shd w:val="clear" w:color="auto" w:fill="auto"/>
                  <w:vAlign w:val="center"/>
                </w:tcPr>
                <w:p w14:paraId="3ACDC640">
                  <w:pPr>
                    <w:pStyle w:val="30"/>
                    <w:framePr w:hSpace="0" w:wrap="auto" w:vAnchor="margin" w:hAnchor="text" w:xAlign="left" w:yAlign="inline"/>
                    <w:rPr>
                      <w:color w:val="auto"/>
                      <w:lang w:val="en-US"/>
                    </w:rPr>
                  </w:pPr>
                </w:p>
              </w:tc>
              <w:tc>
                <w:tcPr>
                  <w:tcW w:w="907" w:type="pct"/>
                  <w:tcBorders>
                    <w:top w:val="single" w:color="auto" w:sz="4" w:space="0"/>
                    <w:left w:val="single" w:color="000000" w:sz="4" w:space="0"/>
                    <w:bottom w:val="single" w:color="auto" w:sz="4" w:space="0"/>
                    <w:right w:val="single" w:color="auto" w:sz="4" w:space="0"/>
                  </w:tcBorders>
                  <w:shd w:val="clear" w:color="auto" w:fill="auto"/>
                  <w:vAlign w:val="center"/>
                </w:tcPr>
                <w:p w14:paraId="150D738C">
                  <w:pPr>
                    <w:pStyle w:val="30"/>
                    <w:framePr w:hSpace="0" w:wrap="auto" w:vAnchor="margin" w:hAnchor="text" w:xAlign="left" w:yAlign="inline"/>
                    <w:rPr>
                      <w:color w:val="auto"/>
                      <w:lang w:val="en-US"/>
                    </w:rPr>
                  </w:pPr>
                  <w:r>
                    <w:rPr>
                      <w:color w:val="auto"/>
                    </w:rPr>
                    <w:t>排放浓度mg/m</w:t>
                  </w:r>
                  <w:r>
                    <w:rPr>
                      <w:color w:val="auto"/>
                      <w:vertAlign w:val="superscript"/>
                      <w:lang w:val="en-US"/>
                    </w:rPr>
                    <w:t>3</w:t>
                  </w:r>
                </w:p>
              </w:tc>
              <w:tc>
                <w:tcPr>
                  <w:tcW w:w="782" w:type="pct"/>
                  <w:tcBorders>
                    <w:top w:val="single" w:color="auto" w:sz="4" w:space="0"/>
                    <w:left w:val="single" w:color="auto" w:sz="4" w:space="0"/>
                    <w:bottom w:val="single" w:color="auto" w:sz="4" w:space="0"/>
                    <w:right w:val="single" w:color="000000" w:sz="4" w:space="0"/>
                  </w:tcBorders>
                  <w:shd w:val="clear" w:color="auto" w:fill="auto"/>
                  <w:vAlign w:val="center"/>
                </w:tcPr>
                <w:p w14:paraId="52502DE6">
                  <w:pPr>
                    <w:pStyle w:val="30"/>
                    <w:framePr w:hSpace="0" w:wrap="auto" w:vAnchor="margin" w:hAnchor="text" w:xAlign="left" w:yAlign="inline"/>
                    <w:rPr>
                      <w:color w:val="auto"/>
                      <w:lang w:val="en-US"/>
                    </w:rPr>
                  </w:pPr>
                  <w:r>
                    <w:rPr>
                      <w:color w:val="auto"/>
                    </w:rPr>
                    <w:t>排放量t/a</w:t>
                  </w:r>
                </w:p>
              </w:tc>
              <w:tc>
                <w:tcPr>
                  <w:tcW w:w="934" w:type="pct"/>
                  <w:vMerge w:val="continue"/>
                  <w:tcBorders>
                    <w:left w:val="single" w:color="000000" w:sz="4" w:space="0"/>
                    <w:bottom w:val="single" w:color="auto" w:sz="4" w:space="0"/>
                    <w:right w:val="single" w:color="000000" w:sz="4" w:space="0"/>
                  </w:tcBorders>
                  <w:shd w:val="clear" w:color="auto" w:fill="auto"/>
                  <w:vAlign w:val="center"/>
                </w:tcPr>
                <w:p w14:paraId="298C3806">
                  <w:pPr>
                    <w:pStyle w:val="30"/>
                    <w:framePr w:hSpace="0" w:wrap="auto" w:vAnchor="margin" w:hAnchor="text" w:xAlign="left" w:yAlign="inline"/>
                    <w:rPr>
                      <w:color w:val="auto"/>
                    </w:rPr>
                  </w:pPr>
                </w:p>
              </w:tc>
              <w:tc>
                <w:tcPr>
                  <w:tcW w:w="893" w:type="pct"/>
                  <w:vMerge w:val="continue"/>
                  <w:tcBorders>
                    <w:left w:val="single" w:color="000000" w:sz="4" w:space="0"/>
                    <w:bottom w:val="single" w:color="auto" w:sz="4" w:space="0"/>
                    <w:right w:val="single" w:color="000000" w:sz="4" w:space="0"/>
                  </w:tcBorders>
                  <w:shd w:val="clear" w:color="auto" w:fill="auto"/>
                  <w:vAlign w:val="center"/>
                </w:tcPr>
                <w:p w14:paraId="5508C0D9">
                  <w:pPr>
                    <w:pStyle w:val="30"/>
                    <w:framePr w:hSpace="0" w:wrap="auto" w:vAnchor="margin" w:hAnchor="text" w:xAlign="left" w:yAlign="inline"/>
                    <w:rPr>
                      <w:color w:val="auto"/>
                    </w:rPr>
                  </w:pPr>
                </w:p>
              </w:tc>
            </w:tr>
            <w:tr w14:paraId="78139442">
              <w:tblPrEx>
                <w:tblCellMar>
                  <w:top w:w="0" w:type="dxa"/>
                  <w:left w:w="108" w:type="dxa"/>
                  <w:bottom w:w="0" w:type="dxa"/>
                  <w:right w:w="108" w:type="dxa"/>
                </w:tblCellMar>
              </w:tblPrEx>
              <w:trPr>
                <w:trHeight w:val="340" w:hRule="atLeast"/>
                <w:jc w:val="center"/>
              </w:trPr>
              <w:tc>
                <w:tcPr>
                  <w:tcW w:w="803" w:type="pct"/>
                  <w:vMerge w:val="restart"/>
                  <w:tcBorders>
                    <w:top w:val="single" w:color="000000" w:sz="4" w:space="0"/>
                    <w:left w:val="single" w:color="000000" w:sz="4" w:space="0"/>
                    <w:right w:val="single" w:color="000000" w:sz="4" w:space="0"/>
                  </w:tcBorders>
                  <w:shd w:val="clear" w:color="auto" w:fill="auto"/>
                  <w:vAlign w:val="center"/>
                </w:tcPr>
                <w:p w14:paraId="2FA586D9">
                  <w:pPr>
                    <w:pStyle w:val="30"/>
                    <w:framePr w:hSpace="0" w:wrap="auto" w:vAnchor="margin" w:hAnchor="text" w:xAlign="left" w:yAlign="inline"/>
                    <w:rPr>
                      <w:color w:val="auto"/>
                      <w:lang w:val="en-US"/>
                    </w:rPr>
                  </w:pPr>
                  <w:r>
                    <w:rPr>
                      <w:color w:val="auto"/>
                      <w:lang w:val="en-US"/>
                    </w:rPr>
                    <w:t>综合废水</w:t>
                  </w:r>
                  <w:r>
                    <w:rPr>
                      <w:rFonts w:hint="eastAsia"/>
                      <w:color w:val="auto"/>
                      <w:lang w:val="en-US"/>
                    </w:rPr>
                    <w:t>（3122.3</w:t>
                  </w:r>
                  <w:r>
                    <w:rPr>
                      <w:color w:val="auto"/>
                      <w:lang w:val="en-US"/>
                    </w:rPr>
                    <w:t>m³/a</w:t>
                  </w:r>
                  <w:r>
                    <w:rPr>
                      <w:rFonts w:hint="eastAsia"/>
                      <w:color w:val="auto"/>
                      <w:lang w:val="en-US"/>
                    </w:rPr>
                    <w:t>）</w:t>
                  </w:r>
                </w:p>
              </w:tc>
              <w:tc>
                <w:tcPr>
                  <w:tcW w:w="6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7E7A1A">
                  <w:pPr>
                    <w:pStyle w:val="30"/>
                    <w:framePr w:hSpace="0" w:wrap="auto" w:vAnchor="margin" w:hAnchor="text" w:xAlign="left" w:yAlign="inline"/>
                    <w:rPr>
                      <w:color w:val="auto"/>
                      <w:lang w:val="en-US"/>
                    </w:rPr>
                  </w:pPr>
                  <w:r>
                    <w:rPr>
                      <w:color w:val="auto"/>
                      <w:lang w:val="en-US"/>
                    </w:rPr>
                    <w:t>CODcr</w:t>
                  </w:r>
                </w:p>
              </w:tc>
              <w:tc>
                <w:tcPr>
                  <w:tcW w:w="907" w:type="pct"/>
                  <w:tcBorders>
                    <w:top w:val="single" w:color="auto" w:sz="4" w:space="0"/>
                    <w:left w:val="single" w:color="auto" w:sz="4" w:space="0"/>
                    <w:bottom w:val="single" w:color="auto" w:sz="4" w:space="0"/>
                    <w:right w:val="single" w:color="auto" w:sz="4" w:space="0"/>
                  </w:tcBorders>
                  <w:shd w:val="clear" w:color="auto" w:fill="auto"/>
                  <w:vAlign w:val="center"/>
                </w:tcPr>
                <w:p w14:paraId="0D6E2133">
                  <w:pPr>
                    <w:pStyle w:val="30"/>
                    <w:framePr w:hSpace="0" w:wrap="auto" w:vAnchor="margin" w:hAnchor="text" w:xAlign="left" w:yAlign="inline"/>
                    <w:rPr>
                      <w:color w:val="auto"/>
                      <w:lang w:val="en-US"/>
                    </w:rPr>
                  </w:pPr>
                  <w:r>
                    <w:rPr>
                      <w:color w:val="auto"/>
                      <w:lang w:val="en-US"/>
                    </w:rPr>
                    <w:t>150</w:t>
                  </w:r>
                </w:p>
              </w:tc>
              <w:tc>
                <w:tcPr>
                  <w:tcW w:w="782" w:type="pct"/>
                  <w:tcBorders>
                    <w:top w:val="single" w:color="auto" w:sz="4" w:space="0"/>
                    <w:left w:val="single" w:color="auto" w:sz="4" w:space="0"/>
                    <w:bottom w:val="single" w:color="auto" w:sz="4" w:space="0"/>
                    <w:right w:val="single" w:color="auto" w:sz="4" w:space="0"/>
                  </w:tcBorders>
                  <w:shd w:val="clear" w:color="auto" w:fill="auto"/>
                  <w:vAlign w:val="center"/>
                </w:tcPr>
                <w:p w14:paraId="44EC80E4">
                  <w:pPr>
                    <w:pStyle w:val="30"/>
                    <w:framePr w:hSpace="0" w:wrap="auto" w:vAnchor="margin" w:hAnchor="text" w:xAlign="left" w:yAlign="inline"/>
                    <w:rPr>
                      <w:color w:val="auto"/>
                      <w:lang w:val="en-US"/>
                    </w:rPr>
                  </w:pPr>
                  <w:r>
                    <w:rPr>
                      <w:color w:val="auto"/>
                      <w:lang w:val="en-US"/>
                    </w:rPr>
                    <w:t xml:space="preserve">0.468 </w:t>
                  </w:r>
                </w:p>
              </w:tc>
              <w:tc>
                <w:tcPr>
                  <w:tcW w:w="934" w:type="pct"/>
                  <w:vMerge w:val="restart"/>
                  <w:tcBorders>
                    <w:top w:val="single" w:color="auto" w:sz="4" w:space="0"/>
                    <w:left w:val="single" w:color="auto" w:sz="4" w:space="0"/>
                    <w:right w:val="single" w:color="auto" w:sz="4" w:space="0"/>
                  </w:tcBorders>
                  <w:shd w:val="clear" w:color="auto" w:fill="auto"/>
                  <w:vAlign w:val="center"/>
                </w:tcPr>
                <w:p w14:paraId="5B6B911F">
                  <w:pPr>
                    <w:pStyle w:val="30"/>
                    <w:framePr w:hSpace="0" w:wrap="auto" w:vAnchor="margin" w:hAnchor="text" w:xAlign="left" w:yAlign="inline"/>
                    <w:rPr>
                      <w:color w:val="auto"/>
                      <w:lang w:val="en-US"/>
                    </w:rPr>
                  </w:pPr>
                  <w:r>
                    <w:rPr>
                      <w:rFonts w:hint="eastAsia"/>
                      <w:color w:val="auto"/>
                      <w:lang w:val="en-US"/>
                    </w:rPr>
                    <w:t>隔油、沉淀、水解酸化+SBR</w:t>
                  </w:r>
                </w:p>
              </w:tc>
              <w:tc>
                <w:tcPr>
                  <w:tcW w:w="893" w:type="pct"/>
                  <w:tcBorders>
                    <w:top w:val="single" w:color="auto" w:sz="4" w:space="0"/>
                    <w:left w:val="single" w:color="auto" w:sz="4" w:space="0"/>
                    <w:bottom w:val="single" w:color="auto" w:sz="4" w:space="0"/>
                    <w:right w:val="single" w:color="auto" w:sz="4" w:space="0"/>
                  </w:tcBorders>
                  <w:shd w:val="clear" w:color="auto" w:fill="auto"/>
                  <w:vAlign w:val="center"/>
                </w:tcPr>
                <w:p w14:paraId="66039EBE">
                  <w:pPr>
                    <w:pStyle w:val="30"/>
                    <w:framePr w:hSpace="0" w:wrap="auto" w:vAnchor="margin" w:hAnchor="text" w:xAlign="left" w:yAlign="inline"/>
                    <w:rPr>
                      <w:color w:val="auto"/>
                      <w:lang w:val="en-US"/>
                    </w:rPr>
                  </w:pPr>
                  <w:r>
                    <w:rPr>
                      <w:rFonts w:hint="eastAsia"/>
                      <w:color w:val="auto"/>
                      <w:lang w:val="en-US"/>
                    </w:rPr>
                    <w:t>400</w:t>
                  </w:r>
                </w:p>
              </w:tc>
            </w:tr>
            <w:tr w14:paraId="185CE2BB">
              <w:tblPrEx>
                <w:tblCellMar>
                  <w:top w:w="0" w:type="dxa"/>
                  <w:left w:w="108" w:type="dxa"/>
                  <w:bottom w:w="0" w:type="dxa"/>
                  <w:right w:w="108" w:type="dxa"/>
                </w:tblCellMar>
              </w:tblPrEx>
              <w:trPr>
                <w:trHeight w:val="340" w:hRule="atLeast"/>
                <w:jc w:val="center"/>
              </w:trPr>
              <w:tc>
                <w:tcPr>
                  <w:tcW w:w="803" w:type="pct"/>
                  <w:vMerge w:val="continue"/>
                  <w:tcBorders>
                    <w:left w:val="single" w:color="000000" w:sz="4" w:space="0"/>
                    <w:right w:val="single" w:color="000000" w:sz="4" w:space="0"/>
                  </w:tcBorders>
                  <w:shd w:val="clear" w:color="auto" w:fill="auto"/>
                  <w:vAlign w:val="center"/>
                </w:tcPr>
                <w:p w14:paraId="31B7DEDD">
                  <w:pPr>
                    <w:pStyle w:val="30"/>
                    <w:framePr w:hSpace="0" w:wrap="auto" w:vAnchor="margin" w:hAnchor="text" w:xAlign="left" w:yAlign="inline"/>
                    <w:rPr>
                      <w:color w:val="auto"/>
                      <w:lang w:val="en-US"/>
                    </w:rPr>
                  </w:pPr>
                </w:p>
              </w:tc>
              <w:tc>
                <w:tcPr>
                  <w:tcW w:w="6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6746AB">
                  <w:pPr>
                    <w:pStyle w:val="30"/>
                    <w:framePr w:hSpace="0" w:wrap="auto" w:vAnchor="margin" w:hAnchor="text" w:xAlign="left" w:yAlign="inline"/>
                    <w:rPr>
                      <w:color w:val="auto"/>
                      <w:lang w:val="en-US"/>
                    </w:rPr>
                  </w:pPr>
                  <w:r>
                    <w:rPr>
                      <w:color w:val="auto"/>
                      <w:lang w:val="en-US"/>
                    </w:rPr>
                    <w:t>BOD</w:t>
                  </w:r>
                  <w:r>
                    <w:rPr>
                      <w:color w:val="auto"/>
                      <w:vertAlign w:val="subscript"/>
                      <w:lang w:val="en-US"/>
                    </w:rPr>
                    <w:t>5</w:t>
                  </w:r>
                </w:p>
              </w:tc>
              <w:tc>
                <w:tcPr>
                  <w:tcW w:w="907" w:type="pct"/>
                  <w:tcBorders>
                    <w:top w:val="single" w:color="auto" w:sz="4" w:space="0"/>
                    <w:left w:val="single" w:color="auto" w:sz="4" w:space="0"/>
                    <w:bottom w:val="single" w:color="auto" w:sz="4" w:space="0"/>
                    <w:right w:val="single" w:color="auto" w:sz="4" w:space="0"/>
                  </w:tcBorders>
                  <w:shd w:val="clear" w:color="auto" w:fill="auto"/>
                  <w:vAlign w:val="center"/>
                </w:tcPr>
                <w:p w14:paraId="1DD161AD">
                  <w:pPr>
                    <w:pStyle w:val="30"/>
                    <w:framePr w:hSpace="0" w:wrap="auto" w:vAnchor="margin" w:hAnchor="text" w:xAlign="left" w:yAlign="inline"/>
                    <w:rPr>
                      <w:color w:val="auto"/>
                      <w:lang w:val="en-US"/>
                    </w:rPr>
                  </w:pPr>
                  <w:r>
                    <w:rPr>
                      <w:color w:val="auto"/>
                      <w:lang w:val="en-US"/>
                    </w:rPr>
                    <w:t>31.2</w:t>
                  </w:r>
                </w:p>
              </w:tc>
              <w:tc>
                <w:tcPr>
                  <w:tcW w:w="782" w:type="pct"/>
                  <w:tcBorders>
                    <w:top w:val="single" w:color="auto" w:sz="4" w:space="0"/>
                    <w:left w:val="single" w:color="auto" w:sz="4" w:space="0"/>
                    <w:bottom w:val="single" w:color="auto" w:sz="4" w:space="0"/>
                    <w:right w:val="single" w:color="auto" w:sz="4" w:space="0"/>
                  </w:tcBorders>
                  <w:shd w:val="clear" w:color="auto" w:fill="auto"/>
                  <w:vAlign w:val="center"/>
                </w:tcPr>
                <w:p w14:paraId="6A9EFFF6">
                  <w:pPr>
                    <w:pStyle w:val="30"/>
                    <w:framePr w:hSpace="0" w:wrap="auto" w:vAnchor="margin" w:hAnchor="text" w:xAlign="left" w:yAlign="inline"/>
                    <w:rPr>
                      <w:color w:val="auto"/>
                      <w:lang w:val="en-US"/>
                    </w:rPr>
                  </w:pPr>
                  <w:r>
                    <w:rPr>
                      <w:color w:val="auto"/>
                      <w:lang w:val="en-US"/>
                    </w:rPr>
                    <w:t xml:space="preserve">0.097 </w:t>
                  </w:r>
                </w:p>
              </w:tc>
              <w:tc>
                <w:tcPr>
                  <w:tcW w:w="934" w:type="pct"/>
                  <w:vMerge w:val="continue"/>
                  <w:tcBorders>
                    <w:left w:val="single" w:color="auto" w:sz="4" w:space="0"/>
                    <w:right w:val="single" w:color="auto" w:sz="4" w:space="0"/>
                  </w:tcBorders>
                  <w:shd w:val="clear" w:color="auto" w:fill="auto"/>
                  <w:vAlign w:val="center"/>
                </w:tcPr>
                <w:p w14:paraId="37EF0AE5">
                  <w:pPr>
                    <w:pStyle w:val="30"/>
                    <w:framePr w:hSpace="0" w:wrap="auto" w:vAnchor="margin" w:hAnchor="text" w:xAlign="left" w:yAlign="inline"/>
                    <w:rPr>
                      <w:color w:val="auto"/>
                      <w:lang w:val="en-US"/>
                    </w:rPr>
                  </w:pPr>
                </w:p>
              </w:tc>
              <w:tc>
                <w:tcPr>
                  <w:tcW w:w="893" w:type="pct"/>
                  <w:tcBorders>
                    <w:top w:val="single" w:color="auto" w:sz="4" w:space="0"/>
                    <w:left w:val="single" w:color="auto" w:sz="4" w:space="0"/>
                    <w:bottom w:val="single" w:color="auto" w:sz="4" w:space="0"/>
                    <w:right w:val="single" w:color="auto" w:sz="4" w:space="0"/>
                  </w:tcBorders>
                  <w:shd w:val="clear" w:color="auto" w:fill="auto"/>
                  <w:vAlign w:val="center"/>
                </w:tcPr>
                <w:p w14:paraId="7AAE538D">
                  <w:pPr>
                    <w:pStyle w:val="30"/>
                    <w:framePr w:hSpace="0" w:wrap="auto" w:vAnchor="margin" w:hAnchor="text" w:xAlign="left" w:yAlign="inline"/>
                    <w:rPr>
                      <w:color w:val="auto"/>
                      <w:lang w:val="en-US"/>
                    </w:rPr>
                  </w:pPr>
                  <w:r>
                    <w:rPr>
                      <w:rFonts w:hint="eastAsia"/>
                      <w:color w:val="auto"/>
                      <w:lang w:val="en-US"/>
                    </w:rPr>
                    <w:t>150</w:t>
                  </w:r>
                </w:p>
              </w:tc>
            </w:tr>
            <w:tr w14:paraId="24208188">
              <w:tblPrEx>
                <w:tblCellMar>
                  <w:top w:w="0" w:type="dxa"/>
                  <w:left w:w="108" w:type="dxa"/>
                  <w:bottom w:w="0" w:type="dxa"/>
                  <w:right w:w="108" w:type="dxa"/>
                </w:tblCellMar>
              </w:tblPrEx>
              <w:trPr>
                <w:trHeight w:val="340" w:hRule="atLeast"/>
                <w:jc w:val="center"/>
              </w:trPr>
              <w:tc>
                <w:tcPr>
                  <w:tcW w:w="803" w:type="pct"/>
                  <w:vMerge w:val="continue"/>
                  <w:tcBorders>
                    <w:left w:val="single" w:color="000000" w:sz="4" w:space="0"/>
                    <w:right w:val="single" w:color="000000" w:sz="4" w:space="0"/>
                  </w:tcBorders>
                  <w:shd w:val="clear" w:color="auto" w:fill="auto"/>
                  <w:vAlign w:val="center"/>
                </w:tcPr>
                <w:p w14:paraId="4E977836">
                  <w:pPr>
                    <w:pStyle w:val="30"/>
                    <w:framePr w:hSpace="0" w:wrap="auto" w:vAnchor="margin" w:hAnchor="text" w:xAlign="left" w:yAlign="inline"/>
                    <w:rPr>
                      <w:color w:val="auto"/>
                      <w:lang w:val="en-US"/>
                    </w:rPr>
                  </w:pPr>
                </w:p>
              </w:tc>
              <w:tc>
                <w:tcPr>
                  <w:tcW w:w="6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14B9F6">
                  <w:pPr>
                    <w:pStyle w:val="30"/>
                    <w:framePr w:hSpace="0" w:wrap="auto" w:vAnchor="margin" w:hAnchor="text" w:xAlign="left" w:yAlign="inline"/>
                    <w:rPr>
                      <w:color w:val="auto"/>
                      <w:lang w:val="en-US"/>
                    </w:rPr>
                  </w:pPr>
                  <w:r>
                    <w:rPr>
                      <w:color w:val="auto"/>
                      <w:lang w:val="en-US"/>
                    </w:rPr>
                    <w:t>SS</w:t>
                  </w:r>
                </w:p>
              </w:tc>
              <w:tc>
                <w:tcPr>
                  <w:tcW w:w="907" w:type="pct"/>
                  <w:tcBorders>
                    <w:top w:val="single" w:color="auto" w:sz="4" w:space="0"/>
                    <w:left w:val="single" w:color="auto" w:sz="4" w:space="0"/>
                    <w:bottom w:val="single" w:color="auto" w:sz="4" w:space="0"/>
                    <w:right w:val="single" w:color="auto" w:sz="4" w:space="0"/>
                  </w:tcBorders>
                  <w:shd w:val="clear" w:color="auto" w:fill="auto"/>
                  <w:vAlign w:val="center"/>
                </w:tcPr>
                <w:p w14:paraId="4D08004E">
                  <w:pPr>
                    <w:pStyle w:val="30"/>
                    <w:framePr w:hSpace="0" w:wrap="auto" w:vAnchor="margin" w:hAnchor="text" w:xAlign="left" w:yAlign="inline"/>
                    <w:rPr>
                      <w:color w:val="auto"/>
                      <w:lang w:val="en-US"/>
                    </w:rPr>
                  </w:pPr>
                  <w:r>
                    <w:rPr>
                      <w:color w:val="auto"/>
                      <w:lang w:val="en-US"/>
                    </w:rPr>
                    <w:t>159</w:t>
                  </w:r>
                </w:p>
              </w:tc>
              <w:tc>
                <w:tcPr>
                  <w:tcW w:w="782" w:type="pct"/>
                  <w:tcBorders>
                    <w:top w:val="single" w:color="auto" w:sz="4" w:space="0"/>
                    <w:left w:val="single" w:color="auto" w:sz="4" w:space="0"/>
                    <w:bottom w:val="single" w:color="auto" w:sz="4" w:space="0"/>
                    <w:right w:val="single" w:color="auto" w:sz="4" w:space="0"/>
                  </w:tcBorders>
                  <w:shd w:val="clear" w:color="auto" w:fill="auto"/>
                  <w:vAlign w:val="center"/>
                </w:tcPr>
                <w:p w14:paraId="2025E5B0">
                  <w:pPr>
                    <w:pStyle w:val="30"/>
                    <w:framePr w:hSpace="0" w:wrap="auto" w:vAnchor="margin" w:hAnchor="text" w:xAlign="left" w:yAlign="inline"/>
                    <w:rPr>
                      <w:color w:val="auto"/>
                      <w:lang w:val="en-US"/>
                    </w:rPr>
                  </w:pPr>
                  <w:r>
                    <w:rPr>
                      <w:color w:val="auto"/>
                      <w:lang w:val="en-US"/>
                    </w:rPr>
                    <w:t xml:space="preserve">0.496 </w:t>
                  </w:r>
                </w:p>
              </w:tc>
              <w:tc>
                <w:tcPr>
                  <w:tcW w:w="934" w:type="pct"/>
                  <w:vMerge w:val="continue"/>
                  <w:tcBorders>
                    <w:left w:val="single" w:color="auto" w:sz="4" w:space="0"/>
                    <w:right w:val="single" w:color="auto" w:sz="4" w:space="0"/>
                  </w:tcBorders>
                  <w:shd w:val="clear" w:color="auto" w:fill="auto"/>
                  <w:vAlign w:val="center"/>
                </w:tcPr>
                <w:p w14:paraId="290B7B47">
                  <w:pPr>
                    <w:pStyle w:val="30"/>
                    <w:framePr w:hSpace="0" w:wrap="auto" w:vAnchor="margin" w:hAnchor="text" w:xAlign="left" w:yAlign="inline"/>
                    <w:rPr>
                      <w:color w:val="auto"/>
                      <w:lang w:val="en-US"/>
                    </w:rPr>
                  </w:pPr>
                </w:p>
              </w:tc>
              <w:tc>
                <w:tcPr>
                  <w:tcW w:w="893" w:type="pct"/>
                  <w:tcBorders>
                    <w:top w:val="single" w:color="auto" w:sz="4" w:space="0"/>
                    <w:left w:val="single" w:color="auto" w:sz="4" w:space="0"/>
                    <w:bottom w:val="single" w:color="auto" w:sz="4" w:space="0"/>
                    <w:right w:val="single" w:color="auto" w:sz="4" w:space="0"/>
                  </w:tcBorders>
                  <w:shd w:val="clear" w:color="auto" w:fill="auto"/>
                  <w:vAlign w:val="center"/>
                </w:tcPr>
                <w:p w14:paraId="04BD7C87">
                  <w:pPr>
                    <w:pStyle w:val="30"/>
                    <w:framePr w:hSpace="0" w:wrap="auto" w:vAnchor="margin" w:hAnchor="text" w:xAlign="left" w:yAlign="inline"/>
                    <w:rPr>
                      <w:color w:val="auto"/>
                      <w:lang w:val="en-US"/>
                    </w:rPr>
                  </w:pPr>
                  <w:r>
                    <w:rPr>
                      <w:rFonts w:hint="eastAsia"/>
                      <w:color w:val="auto"/>
                      <w:lang w:val="en-US"/>
                    </w:rPr>
                    <w:t>200</w:t>
                  </w:r>
                </w:p>
              </w:tc>
            </w:tr>
            <w:tr w14:paraId="7D8E782C">
              <w:tblPrEx>
                <w:tblCellMar>
                  <w:top w:w="0" w:type="dxa"/>
                  <w:left w:w="108" w:type="dxa"/>
                  <w:bottom w:w="0" w:type="dxa"/>
                  <w:right w:w="108" w:type="dxa"/>
                </w:tblCellMar>
              </w:tblPrEx>
              <w:trPr>
                <w:trHeight w:val="340" w:hRule="atLeast"/>
                <w:jc w:val="center"/>
              </w:trPr>
              <w:tc>
                <w:tcPr>
                  <w:tcW w:w="803" w:type="pct"/>
                  <w:vMerge w:val="continue"/>
                  <w:tcBorders>
                    <w:left w:val="single" w:color="000000" w:sz="4" w:space="0"/>
                    <w:right w:val="single" w:color="000000" w:sz="4" w:space="0"/>
                  </w:tcBorders>
                  <w:shd w:val="clear" w:color="auto" w:fill="auto"/>
                  <w:vAlign w:val="center"/>
                </w:tcPr>
                <w:p w14:paraId="4D508DD3">
                  <w:pPr>
                    <w:pStyle w:val="30"/>
                    <w:framePr w:hSpace="0" w:wrap="auto" w:vAnchor="margin" w:hAnchor="text" w:xAlign="left" w:yAlign="inline"/>
                    <w:rPr>
                      <w:color w:val="auto"/>
                      <w:lang w:val="en-US"/>
                    </w:rPr>
                  </w:pPr>
                </w:p>
              </w:tc>
              <w:tc>
                <w:tcPr>
                  <w:tcW w:w="6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B34713">
                  <w:pPr>
                    <w:pStyle w:val="30"/>
                    <w:framePr w:hSpace="0" w:wrap="auto" w:vAnchor="margin" w:hAnchor="text" w:xAlign="left" w:yAlign="inline"/>
                    <w:rPr>
                      <w:color w:val="auto"/>
                      <w:lang w:val="en-US"/>
                    </w:rPr>
                  </w:pPr>
                  <w:r>
                    <w:rPr>
                      <w:color w:val="auto"/>
                      <w:lang w:val="en-US"/>
                    </w:rPr>
                    <w:t>NH₃-N</w:t>
                  </w:r>
                </w:p>
              </w:tc>
              <w:tc>
                <w:tcPr>
                  <w:tcW w:w="907" w:type="pct"/>
                  <w:tcBorders>
                    <w:top w:val="single" w:color="auto" w:sz="4" w:space="0"/>
                    <w:left w:val="single" w:color="auto" w:sz="4" w:space="0"/>
                    <w:bottom w:val="single" w:color="auto" w:sz="4" w:space="0"/>
                    <w:right w:val="single" w:color="auto" w:sz="4" w:space="0"/>
                  </w:tcBorders>
                  <w:shd w:val="clear" w:color="auto" w:fill="auto"/>
                  <w:vAlign w:val="center"/>
                </w:tcPr>
                <w:p w14:paraId="7FDB9C94">
                  <w:pPr>
                    <w:pStyle w:val="30"/>
                    <w:framePr w:hSpace="0" w:wrap="auto" w:vAnchor="margin" w:hAnchor="text" w:xAlign="left" w:yAlign="inline"/>
                    <w:rPr>
                      <w:color w:val="auto"/>
                      <w:lang w:val="en-US"/>
                    </w:rPr>
                  </w:pPr>
                  <w:r>
                    <w:rPr>
                      <w:color w:val="auto"/>
                      <w:lang w:val="en-US"/>
                    </w:rPr>
                    <w:t>0.844</w:t>
                  </w:r>
                </w:p>
              </w:tc>
              <w:tc>
                <w:tcPr>
                  <w:tcW w:w="782" w:type="pct"/>
                  <w:tcBorders>
                    <w:top w:val="single" w:color="auto" w:sz="4" w:space="0"/>
                    <w:left w:val="single" w:color="auto" w:sz="4" w:space="0"/>
                    <w:bottom w:val="single" w:color="auto" w:sz="4" w:space="0"/>
                    <w:right w:val="single" w:color="auto" w:sz="4" w:space="0"/>
                  </w:tcBorders>
                  <w:shd w:val="clear" w:color="auto" w:fill="auto"/>
                  <w:vAlign w:val="center"/>
                </w:tcPr>
                <w:p w14:paraId="25F3320A">
                  <w:pPr>
                    <w:pStyle w:val="30"/>
                    <w:framePr w:hSpace="0" w:wrap="auto" w:vAnchor="margin" w:hAnchor="text" w:xAlign="left" w:yAlign="inline"/>
                    <w:rPr>
                      <w:color w:val="auto"/>
                      <w:lang w:val="en-US"/>
                    </w:rPr>
                  </w:pPr>
                  <w:r>
                    <w:rPr>
                      <w:color w:val="auto"/>
                      <w:lang w:val="en-US"/>
                    </w:rPr>
                    <w:t xml:space="preserve">0.003 </w:t>
                  </w:r>
                </w:p>
              </w:tc>
              <w:tc>
                <w:tcPr>
                  <w:tcW w:w="934" w:type="pct"/>
                  <w:vMerge w:val="continue"/>
                  <w:tcBorders>
                    <w:left w:val="single" w:color="auto" w:sz="4" w:space="0"/>
                    <w:right w:val="single" w:color="auto" w:sz="4" w:space="0"/>
                  </w:tcBorders>
                  <w:shd w:val="clear" w:color="auto" w:fill="auto"/>
                  <w:vAlign w:val="center"/>
                </w:tcPr>
                <w:p w14:paraId="4EFD3068">
                  <w:pPr>
                    <w:pStyle w:val="30"/>
                    <w:framePr w:hSpace="0" w:wrap="auto" w:vAnchor="margin" w:hAnchor="text" w:xAlign="left" w:yAlign="inline"/>
                    <w:rPr>
                      <w:color w:val="auto"/>
                      <w:lang w:val="en-US"/>
                    </w:rPr>
                  </w:pPr>
                </w:p>
              </w:tc>
              <w:tc>
                <w:tcPr>
                  <w:tcW w:w="893" w:type="pct"/>
                  <w:tcBorders>
                    <w:top w:val="single" w:color="auto" w:sz="4" w:space="0"/>
                    <w:left w:val="single" w:color="auto" w:sz="4" w:space="0"/>
                    <w:bottom w:val="single" w:color="auto" w:sz="4" w:space="0"/>
                    <w:right w:val="single" w:color="auto" w:sz="4" w:space="0"/>
                  </w:tcBorders>
                  <w:shd w:val="clear" w:color="auto" w:fill="auto"/>
                  <w:vAlign w:val="center"/>
                </w:tcPr>
                <w:p w14:paraId="6E1AF14F">
                  <w:pPr>
                    <w:pStyle w:val="30"/>
                    <w:framePr w:hSpace="0" w:wrap="auto" w:vAnchor="margin" w:hAnchor="text" w:xAlign="left" w:yAlign="inline"/>
                    <w:rPr>
                      <w:color w:val="auto"/>
                      <w:lang w:val="en-US"/>
                    </w:rPr>
                  </w:pPr>
                  <w:r>
                    <w:rPr>
                      <w:rFonts w:hint="eastAsia"/>
                      <w:color w:val="auto"/>
                      <w:lang w:val="en-US"/>
                    </w:rPr>
                    <w:t>55</w:t>
                  </w:r>
                </w:p>
              </w:tc>
            </w:tr>
            <w:tr w14:paraId="4E5D5543">
              <w:tblPrEx>
                <w:tblCellMar>
                  <w:top w:w="0" w:type="dxa"/>
                  <w:left w:w="108" w:type="dxa"/>
                  <w:bottom w:w="0" w:type="dxa"/>
                  <w:right w:w="108" w:type="dxa"/>
                </w:tblCellMar>
              </w:tblPrEx>
              <w:trPr>
                <w:trHeight w:val="340" w:hRule="atLeast"/>
                <w:jc w:val="center"/>
              </w:trPr>
              <w:tc>
                <w:tcPr>
                  <w:tcW w:w="803" w:type="pct"/>
                  <w:vMerge w:val="continue"/>
                  <w:tcBorders>
                    <w:left w:val="single" w:color="000000" w:sz="4" w:space="0"/>
                    <w:bottom w:val="single" w:color="000000" w:sz="4" w:space="0"/>
                    <w:right w:val="single" w:color="000000" w:sz="4" w:space="0"/>
                  </w:tcBorders>
                  <w:shd w:val="clear" w:color="auto" w:fill="auto"/>
                  <w:vAlign w:val="center"/>
                </w:tcPr>
                <w:p w14:paraId="7AAD1152">
                  <w:pPr>
                    <w:pStyle w:val="30"/>
                    <w:framePr w:hSpace="0" w:wrap="auto" w:vAnchor="margin" w:hAnchor="text" w:xAlign="left" w:yAlign="inline"/>
                    <w:rPr>
                      <w:color w:val="auto"/>
                      <w:lang w:val="en-US"/>
                    </w:rPr>
                  </w:pPr>
                </w:p>
              </w:tc>
              <w:tc>
                <w:tcPr>
                  <w:tcW w:w="6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75D579">
                  <w:pPr>
                    <w:pStyle w:val="30"/>
                    <w:framePr w:hSpace="0" w:wrap="auto" w:vAnchor="margin" w:hAnchor="text" w:xAlign="left" w:yAlign="inline"/>
                    <w:rPr>
                      <w:color w:val="auto"/>
                      <w:lang w:val="en-US"/>
                    </w:rPr>
                  </w:pPr>
                  <w:r>
                    <w:rPr>
                      <w:rFonts w:hint="eastAsia"/>
                      <w:color w:val="auto"/>
                      <w:lang w:val="en-US"/>
                    </w:rPr>
                    <w:t>动植物油</w:t>
                  </w:r>
                </w:p>
              </w:tc>
              <w:tc>
                <w:tcPr>
                  <w:tcW w:w="907" w:type="pct"/>
                  <w:tcBorders>
                    <w:top w:val="single" w:color="auto" w:sz="4" w:space="0"/>
                    <w:left w:val="single" w:color="auto" w:sz="4" w:space="0"/>
                    <w:bottom w:val="single" w:color="auto" w:sz="4" w:space="0"/>
                    <w:right w:val="single" w:color="auto" w:sz="4" w:space="0"/>
                  </w:tcBorders>
                  <w:shd w:val="clear" w:color="auto" w:fill="auto"/>
                  <w:vAlign w:val="center"/>
                </w:tcPr>
                <w:p w14:paraId="5D03B1B2">
                  <w:pPr>
                    <w:pStyle w:val="30"/>
                    <w:framePr w:hSpace="0" w:wrap="auto" w:vAnchor="margin" w:hAnchor="text" w:xAlign="left" w:yAlign="inline"/>
                    <w:rPr>
                      <w:color w:val="auto"/>
                      <w:lang w:val="en-US"/>
                    </w:rPr>
                  </w:pPr>
                  <w:r>
                    <w:rPr>
                      <w:color w:val="auto"/>
                      <w:lang w:val="en-US"/>
                    </w:rPr>
                    <w:t>4.47</w:t>
                  </w:r>
                </w:p>
              </w:tc>
              <w:tc>
                <w:tcPr>
                  <w:tcW w:w="782" w:type="pct"/>
                  <w:tcBorders>
                    <w:top w:val="single" w:color="auto" w:sz="4" w:space="0"/>
                    <w:left w:val="single" w:color="auto" w:sz="4" w:space="0"/>
                    <w:bottom w:val="single" w:color="auto" w:sz="4" w:space="0"/>
                    <w:right w:val="single" w:color="auto" w:sz="4" w:space="0"/>
                  </w:tcBorders>
                  <w:shd w:val="clear" w:color="auto" w:fill="auto"/>
                  <w:vAlign w:val="center"/>
                </w:tcPr>
                <w:p w14:paraId="0AEBA28C">
                  <w:pPr>
                    <w:pStyle w:val="30"/>
                    <w:framePr w:hSpace="0" w:wrap="auto" w:vAnchor="margin" w:hAnchor="text" w:xAlign="left" w:yAlign="inline"/>
                    <w:rPr>
                      <w:color w:val="auto"/>
                      <w:lang w:val="en-US"/>
                    </w:rPr>
                  </w:pPr>
                  <w:r>
                    <w:rPr>
                      <w:color w:val="auto"/>
                      <w:lang w:val="en-US"/>
                    </w:rPr>
                    <w:t xml:space="preserve">0.014 </w:t>
                  </w:r>
                </w:p>
              </w:tc>
              <w:tc>
                <w:tcPr>
                  <w:tcW w:w="934" w:type="pct"/>
                  <w:vMerge w:val="continue"/>
                  <w:tcBorders>
                    <w:left w:val="single" w:color="auto" w:sz="4" w:space="0"/>
                    <w:bottom w:val="single" w:color="auto" w:sz="4" w:space="0"/>
                    <w:right w:val="single" w:color="auto" w:sz="4" w:space="0"/>
                  </w:tcBorders>
                  <w:shd w:val="clear" w:color="auto" w:fill="auto"/>
                  <w:vAlign w:val="center"/>
                </w:tcPr>
                <w:p w14:paraId="0C551B31">
                  <w:pPr>
                    <w:pStyle w:val="30"/>
                    <w:framePr w:hSpace="0" w:wrap="auto" w:vAnchor="margin" w:hAnchor="text" w:xAlign="left" w:yAlign="inline"/>
                    <w:rPr>
                      <w:color w:val="auto"/>
                      <w:lang w:val="en-US"/>
                    </w:rPr>
                  </w:pPr>
                </w:p>
              </w:tc>
              <w:tc>
                <w:tcPr>
                  <w:tcW w:w="893" w:type="pct"/>
                  <w:tcBorders>
                    <w:top w:val="single" w:color="auto" w:sz="4" w:space="0"/>
                    <w:left w:val="single" w:color="auto" w:sz="4" w:space="0"/>
                    <w:bottom w:val="single" w:color="auto" w:sz="4" w:space="0"/>
                    <w:right w:val="single" w:color="auto" w:sz="4" w:space="0"/>
                  </w:tcBorders>
                  <w:shd w:val="clear" w:color="auto" w:fill="auto"/>
                  <w:vAlign w:val="center"/>
                </w:tcPr>
                <w:p w14:paraId="7F4A40BE">
                  <w:pPr>
                    <w:pStyle w:val="30"/>
                    <w:framePr w:hSpace="0" w:wrap="auto" w:vAnchor="margin" w:hAnchor="text" w:xAlign="left" w:yAlign="inline"/>
                    <w:rPr>
                      <w:color w:val="auto"/>
                      <w:lang w:val="en-US"/>
                    </w:rPr>
                  </w:pPr>
                  <w:r>
                    <w:rPr>
                      <w:rFonts w:hint="eastAsia"/>
                      <w:color w:val="auto"/>
                      <w:lang w:val="en-US"/>
                    </w:rPr>
                    <w:t>20</w:t>
                  </w:r>
                </w:p>
              </w:tc>
            </w:tr>
          </w:tbl>
          <w:p w14:paraId="296BDFB6">
            <w:pPr>
              <w:bidi w:val="0"/>
              <w:ind w:firstLine="480" w:firstLineChars="200"/>
              <w:jc w:val="both"/>
              <w:rPr>
                <w:rFonts w:hint="default"/>
                <w:color w:val="auto"/>
                <w:highlight w:val="none"/>
                <w:lang w:val="en-US" w:eastAsia="zh-CN"/>
              </w:rPr>
            </w:pPr>
            <w:r>
              <w:rPr>
                <w:rFonts w:hint="eastAsia"/>
                <w:color w:val="auto"/>
                <w:highlight w:val="none"/>
                <w:lang w:val="en-US" w:eastAsia="zh-CN"/>
              </w:rPr>
              <w:t>由上表可知，本项目生产废水经污水处理设施能够达到</w:t>
            </w:r>
            <w:r>
              <w:rPr>
                <w:rFonts w:hint="eastAsia" w:ascii="Times New Roman" w:hAnsi="Times New Roman" w:eastAsia="宋体" w:cs="Times New Roman"/>
                <w:color w:val="auto"/>
                <w:lang w:eastAsia="zh-Hans"/>
              </w:rPr>
              <w:t>安成经济开发区污水处理厂</w:t>
            </w:r>
            <w:r>
              <w:rPr>
                <w:rFonts w:hint="eastAsia" w:cs="Times New Roman"/>
                <w:color w:val="auto"/>
                <w:highlight w:val="none"/>
                <w:lang w:val="en-US" w:eastAsia="zh-CN"/>
              </w:rPr>
              <w:t>接管标准，因此，本项目污水处理工艺可行。</w:t>
            </w:r>
          </w:p>
          <w:p w14:paraId="24E79E1E">
            <w:pPr>
              <w:adjustRightInd w:val="0"/>
              <w:snapToGrid w:val="0"/>
              <w:spacing w:line="360" w:lineRule="auto"/>
              <w:ind w:firstLine="482" w:firstLineChars="200"/>
              <w:rPr>
                <w:rFonts w:hint="eastAsia" w:ascii="Times New Roman" w:hAnsi="Times New Roman" w:eastAsia="宋体" w:cs="Times New Roman"/>
                <w:b/>
                <w:bCs w:val="0"/>
                <w:color w:val="auto"/>
                <w:szCs w:val="21"/>
                <w:lang w:val="en-US" w:eastAsia="zh-CN"/>
              </w:rPr>
            </w:pPr>
            <w:r>
              <w:rPr>
                <w:rFonts w:hint="eastAsia" w:ascii="Times New Roman" w:hAnsi="Times New Roman" w:eastAsia="宋体" w:cs="Times New Roman"/>
                <w:b/>
                <w:bCs w:val="0"/>
                <w:color w:val="auto"/>
                <w:szCs w:val="21"/>
                <w:lang w:val="en-US" w:eastAsia="zh-CN"/>
              </w:rPr>
              <w:t>2、</w:t>
            </w:r>
            <w:r>
              <w:rPr>
                <w:rFonts w:hint="eastAsia" w:ascii="Times New Roman" w:hAnsi="Times New Roman" w:eastAsia="宋体" w:cs="Times New Roman"/>
                <w:b/>
                <w:bCs w:val="0"/>
                <w:color w:val="auto"/>
                <w:szCs w:val="21"/>
              </w:rPr>
              <w:t>淮南安成经济开发区污水处理厂</w:t>
            </w:r>
          </w:p>
          <w:p w14:paraId="31BFA4EF">
            <w:pPr>
              <w:adjustRightInd w:val="0"/>
              <w:snapToGrid w:val="0"/>
              <w:spacing w:line="360" w:lineRule="auto"/>
              <w:ind w:firstLine="480" w:firstLineChars="200"/>
              <w:rPr>
                <w:rFonts w:hint="eastAsia" w:ascii="Times New Roman" w:hAnsi="Times New Roman" w:eastAsia="宋体" w:cs="Times New Roman"/>
                <w:bCs/>
                <w:color w:val="auto"/>
                <w:szCs w:val="21"/>
              </w:rPr>
            </w:pPr>
            <w:r>
              <w:rPr>
                <w:rFonts w:hint="eastAsia" w:ascii="Times New Roman" w:hAnsi="Times New Roman" w:eastAsia="宋体" w:cs="Times New Roman"/>
                <w:bCs/>
                <w:color w:val="auto"/>
                <w:szCs w:val="21"/>
                <w:lang w:eastAsia="zh-CN"/>
              </w:rPr>
              <w:t>（</w:t>
            </w:r>
            <w:r>
              <w:rPr>
                <w:rFonts w:hint="eastAsia" w:ascii="Times New Roman" w:hAnsi="Times New Roman" w:eastAsia="宋体" w:cs="Times New Roman"/>
                <w:bCs/>
                <w:color w:val="auto"/>
                <w:szCs w:val="21"/>
                <w:lang w:val="en-US" w:eastAsia="zh-CN"/>
              </w:rPr>
              <w:t>1</w:t>
            </w:r>
            <w:r>
              <w:rPr>
                <w:rFonts w:hint="eastAsia" w:ascii="Times New Roman" w:hAnsi="Times New Roman" w:eastAsia="宋体" w:cs="Times New Roman"/>
                <w:bCs/>
                <w:color w:val="auto"/>
                <w:szCs w:val="21"/>
                <w:lang w:eastAsia="zh-CN"/>
              </w:rPr>
              <w:t>）</w:t>
            </w:r>
            <w:r>
              <w:rPr>
                <w:rFonts w:hint="eastAsia" w:ascii="Times New Roman" w:hAnsi="Times New Roman" w:eastAsia="宋体" w:cs="Times New Roman"/>
                <w:bCs/>
                <w:color w:val="auto"/>
                <w:szCs w:val="21"/>
              </w:rPr>
              <w:t>淮南安成经济开发区污水处理厂概况</w:t>
            </w:r>
          </w:p>
          <w:p w14:paraId="103E5E2A">
            <w:pPr>
              <w:adjustRightInd w:val="0"/>
              <w:snapToGrid w:val="0"/>
              <w:spacing w:line="360" w:lineRule="auto"/>
              <w:ind w:firstLine="480" w:firstLineChars="200"/>
              <w:rPr>
                <w:bCs/>
                <w:color w:val="auto"/>
                <w:szCs w:val="21"/>
              </w:rPr>
            </w:pPr>
            <w:r>
              <w:rPr>
                <w:rFonts w:hint="eastAsia" w:ascii="Times New Roman" w:hAnsi="Times New Roman" w:eastAsia="宋体" w:cs="Times New Roman"/>
                <w:bCs/>
                <w:color w:val="auto"/>
                <w:szCs w:val="21"/>
              </w:rPr>
              <w:t>淮南安成经济开发区污水处理厂位于学校路西侧，日处理污水500t，采用“格栅沉砂池+调节池+兼氧MBR膜技</w:t>
            </w:r>
            <w:r>
              <w:rPr>
                <w:rFonts w:hint="eastAsia"/>
                <w:bCs/>
                <w:color w:val="auto"/>
                <w:szCs w:val="21"/>
              </w:rPr>
              <w:t>术+沉淀+消毒”处理工艺，占地面积231.2m</w:t>
            </w:r>
            <w:r>
              <w:rPr>
                <w:rFonts w:hint="eastAsia"/>
                <w:bCs/>
                <w:color w:val="auto"/>
                <w:szCs w:val="21"/>
                <w:vertAlign w:val="superscript"/>
              </w:rPr>
              <w:t>2</w:t>
            </w:r>
            <w:r>
              <w:rPr>
                <w:rFonts w:hint="eastAsia"/>
                <w:bCs/>
                <w:color w:val="auto"/>
                <w:szCs w:val="21"/>
              </w:rPr>
              <w:t>。污水处理厂已于2017年12月正式运营。污水处理厂尾水经排洪沟最终排入淮河，排洪沟入淮河排口位置附近没有饮用水源取水口。开发区污水处理厂处理工艺见下图。</w:t>
            </w:r>
          </w:p>
          <w:p w14:paraId="263393FB">
            <w:pPr>
              <w:pStyle w:val="6"/>
              <w:adjustRightInd w:val="0"/>
              <w:snapToGrid w:val="0"/>
              <w:rPr>
                <w:color w:val="auto"/>
              </w:rPr>
            </w:pPr>
            <w:r>
              <w:rPr>
                <w:color w:val="auto"/>
              </w:rPr>
              <w:drawing>
                <wp:inline distT="0" distB="0" distL="114300" distR="114300">
                  <wp:extent cx="3458210" cy="3615055"/>
                  <wp:effectExtent l="0" t="0" r="8890" b="4445"/>
                  <wp:docPr id="3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1"/>
                          <pic:cNvPicPr>
                            <a:picLocks noChangeAspect="1"/>
                          </pic:cNvPicPr>
                        </pic:nvPicPr>
                        <pic:blipFill>
                          <a:blip r:embed="rId31"/>
                          <a:stretch>
                            <a:fillRect/>
                          </a:stretch>
                        </pic:blipFill>
                        <pic:spPr>
                          <a:xfrm>
                            <a:off x="0" y="0"/>
                            <a:ext cx="3458210" cy="3615055"/>
                          </a:xfrm>
                          <a:prstGeom prst="rect">
                            <a:avLst/>
                          </a:prstGeom>
                          <a:noFill/>
                          <a:ln>
                            <a:noFill/>
                          </a:ln>
                        </pic:spPr>
                      </pic:pic>
                    </a:graphicData>
                  </a:graphic>
                </wp:inline>
              </w:drawing>
            </w:r>
          </w:p>
          <w:p w14:paraId="4B6AAA11">
            <w:pPr>
              <w:pStyle w:val="6"/>
              <w:rPr>
                <w:color w:val="auto"/>
              </w:rPr>
            </w:pPr>
            <w:r>
              <w:rPr>
                <w:color w:val="auto"/>
              </w:rPr>
              <w:t xml:space="preserve">图 </w:t>
            </w:r>
            <w:r>
              <w:rPr>
                <w:rFonts w:hint="eastAsia"/>
                <w:color w:val="auto"/>
              </w:rPr>
              <w:t>4-</w:t>
            </w:r>
            <w:r>
              <w:rPr>
                <w:color w:val="auto"/>
              </w:rPr>
              <w:fldChar w:fldCharType="begin"/>
            </w:r>
            <w:r>
              <w:rPr>
                <w:color w:val="auto"/>
              </w:rPr>
              <w:instrText xml:space="preserve"> SEQ 图 \* ARABIC \s 1 </w:instrText>
            </w:r>
            <w:r>
              <w:rPr>
                <w:color w:val="auto"/>
              </w:rPr>
              <w:fldChar w:fldCharType="separate"/>
            </w:r>
            <w:r>
              <w:rPr>
                <w:color w:val="auto"/>
              </w:rPr>
              <w:t>1</w:t>
            </w:r>
            <w:r>
              <w:rPr>
                <w:color w:val="auto"/>
              </w:rPr>
              <w:fldChar w:fldCharType="end"/>
            </w:r>
            <w:r>
              <w:rPr>
                <w:rFonts w:hint="eastAsia"/>
                <w:bCs w:val="0"/>
                <w:color w:val="auto"/>
              </w:rPr>
              <w:t>污水处理工艺流程图</w:t>
            </w:r>
          </w:p>
          <w:p w14:paraId="31324CB3">
            <w:pPr>
              <w:ind w:firstLine="480" w:firstLineChars="200"/>
              <w:rPr>
                <w:color w:val="auto"/>
              </w:rPr>
            </w:pPr>
            <w:r>
              <w:rPr>
                <w:rFonts w:hint="eastAsia"/>
                <w:color w:val="auto"/>
                <w:lang w:eastAsia="zh-CN"/>
              </w:rPr>
              <w:t>（</w:t>
            </w:r>
            <w:r>
              <w:rPr>
                <w:rFonts w:hint="eastAsia"/>
                <w:color w:val="auto"/>
                <w:lang w:val="en-US" w:eastAsia="zh-CN"/>
              </w:rPr>
              <w:t>2</w:t>
            </w:r>
            <w:r>
              <w:rPr>
                <w:rFonts w:hint="eastAsia"/>
                <w:color w:val="auto"/>
                <w:lang w:eastAsia="zh-CN"/>
              </w:rPr>
              <w:t>）</w:t>
            </w:r>
            <w:r>
              <w:rPr>
                <w:rFonts w:hint="eastAsia" w:hAnsi="宋体"/>
                <w:color w:val="auto"/>
                <w:szCs w:val="21"/>
              </w:rPr>
              <w:t>淮南</w:t>
            </w:r>
            <w:r>
              <w:rPr>
                <w:rFonts w:hint="eastAsia"/>
                <w:bCs/>
                <w:color w:val="auto"/>
                <w:szCs w:val="21"/>
              </w:rPr>
              <w:t>安成经济开发区污水处理厂</w:t>
            </w:r>
            <w:r>
              <w:rPr>
                <w:rFonts w:hAnsi="宋体"/>
                <w:color w:val="auto"/>
                <w:szCs w:val="21"/>
              </w:rPr>
              <w:t>服务范围</w:t>
            </w:r>
          </w:p>
          <w:p w14:paraId="6F5B2F8E">
            <w:pPr>
              <w:ind w:firstLine="480" w:firstLineChars="200"/>
              <w:rPr>
                <w:color w:val="auto"/>
              </w:rPr>
            </w:pPr>
            <w:r>
              <w:rPr>
                <w:rFonts w:hint="eastAsia"/>
                <w:bCs/>
                <w:color w:val="auto"/>
                <w:szCs w:val="21"/>
              </w:rPr>
              <w:t>淮南安成经济开发区污水处理厂</w:t>
            </w:r>
            <w:r>
              <w:rPr>
                <w:rFonts w:hAnsi="宋体"/>
                <w:color w:val="auto"/>
                <w:szCs w:val="21"/>
              </w:rPr>
              <w:t>服务范围主要为负责收集、输送并处理</w:t>
            </w:r>
            <w:r>
              <w:rPr>
                <w:rFonts w:hint="eastAsia" w:hAnsi="宋体"/>
                <w:color w:val="auto"/>
                <w:szCs w:val="21"/>
              </w:rPr>
              <w:t>工业集聚区全部污水，污水处理达标后排放至城市管网。</w:t>
            </w:r>
            <w:r>
              <w:rPr>
                <w:rFonts w:hAnsi="宋体"/>
                <w:color w:val="auto"/>
                <w:szCs w:val="21"/>
              </w:rPr>
              <w:t>本项目建设地点位于</w:t>
            </w:r>
            <w:r>
              <w:rPr>
                <w:rFonts w:hint="eastAsia" w:hAnsi="宋体"/>
                <w:color w:val="auto"/>
                <w:szCs w:val="21"/>
              </w:rPr>
              <w:t>淮南安成经济开发区</w:t>
            </w:r>
            <w:r>
              <w:rPr>
                <w:rFonts w:hAnsi="宋体"/>
                <w:color w:val="auto"/>
                <w:szCs w:val="21"/>
              </w:rPr>
              <w:t>，所在区域属于</w:t>
            </w:r>
            <w:r>
              <w:rPr>
                <w:rFonts w:hint="eastAsia"/>
                <w:bCs/>
                <w:color w:val="auto"/>
                <w:szCs w:val="21"/>
              </w:rPr>
              <w:t>安成经济开发区污水处理厂</w:t>
            </w:r>
            <w:r>
              <w:rPr>
                <w:rFonts w:hAnsi="宋体"/>
                <w:color w:val="auto"/>
                <w:szCs w:val="21"/>
              </w:rPr>
              <w:t>收水范围。目前，项目区域污水管网已配套建设，废水接入</w:t>
            </w:r>
            <w:r>
              <w:rPr>
                <w:rFonts w:hint="eastAsia" w:hAnsi="宋体"/>
                <w:color w:val="auto"/>
                <w:szCs w:val="21"/>
              </w:rPr>
              <w:t>园区</w:t>
            </w:r>
            <w:r>
              <w:rPr>
                <w:rFonts w:hAnsi="宋体"/>
                <w:color w:val="auto"/>
                <w:szCs w:val="21"/>
              </w:rPr>
              <w:t>污水管网，最终进入</w:t>
            </w:r>
            <w:r>
              <w:rPr>
                <w:rFonts w:hint="eastAsia"/>
                <w:bCs/>
                <w:color w:val="auto"/>
                <w:szCs w:val="21"/>
              </w:rPr>
              <w:t>安成经济开发区污水处理厂</w:t>
            </w:r>
            <w:r>
              <w:rPr>
                <w:rFonts w:hAnsi="宋体"/>
                <w:color w:val="auto"/>
                <w:szCs w:val="21"/>
              </w:rPr>
              <w:t>。</w:t>
            </w:r>
          </w:p>
          <w:p w14:paraId="53EDCEA3">
            <w:pPr>
              <w:ind w:firstLine="480" w:firstLineChars="200"/>
              <w:rPr>
                <w:color w:val="auto"/>
              </w:rPr>
            </w:pPr>
            <w:r>
              <w:rPr>
                <w:rFonts w:hint="eastAsia"/>
                <w:color w:val="auto"/>
                <w:lang w:eastAsia="zh-CN"/>
              </w:rPr>
              <w:t>（</w:t>
            </w:r>
            <w:r>
              <w:rPr>
                <w:rFonts w:hint="eastAsia"/>
                <w:color w:val="auto"/>
                <w:lang w:val="en-US" w:eastAsia="zh-CN"/>
              </w:rPr>
              <w:t>3</w:t>
            </w:r>
            <w:r>
              <w:rPr>
                <w:rFonts w:hint="eastAsia"/>
                <w:color w:val="auto"/>
                <w:lang w:eastAsia="zh-CN"/>
              </w:rPr>
              <w:t>）</w:t>
            </w:r>
            <w:r>
              <w:rPr>
                <w:color w:val="auto"/>
              </w:rPr>
              <w:t>接管可行性分析</w:t>
            </w:r>
          </w:p>
          <w:p w14:paraId="77576A14">
            <w:pPr>
              <w:ind w:firstLine="480" w:firstLineChars="200"/>
              <w:rPr>
                <w:color w:val="auto"/>
              </w:rPr>
            </w:pPr>
            <w:r>
              <w:rPr>
                <w:rFonts w:hint="eastAsia"/>
                <w:color w:val="auto"/>
              </w:rPr>
              <w:t>1）处理规模的可行性</w:t>
            </w:r>
          </w:p>
          <w:p w14:paraId="6C82F88F">
            <w:pPr>
              <w:ind w:firstLine="480" w:firstLineChars="200"/>
              <w:rPr>
                <w:color w:val="auto"/>
              </w:rPr>
            </w:pPr>
            <w:r>
              <w:rPr>
                <w:rFonts w:hint="eastAsia" w:hAnsi="宋体"/>
                <w:color w:val="auto"/>
                <w:szCs w:val="21"/>
              </w:rPr>
              <w:t>开发区</w:t>
            </w:r>
            <w:r>
              <w:rPr>
                <w:rFonts w:hAnsi="宋体"/>
                <w:color w:val="auto"/>
                <w:szCs w:val="21"/>
              </w:rPr>
              <w:t>污水处理厂污水设计处理量为</w:t>
            </w:r>
            <w:r>
              <w:rPr>
                <w:rFonts w:hint="eastAsia" w:hAnsi="宋体"/>
                <w:color w:val="auto"/>
                <w:szCs w:val="21"/>
              </w:rPr>
              <w:t>500</w:t>
            </w:r>
            <w:r>
              <w:rPr>
                <w:rFonts w:hAnsi="宋体"/>
                <w:color w:val="auto"/>
                <w:szCs w:val="21"/>
              </w:rPr>
              <w:t>m</w:t>
            </w:r>
            <w:r>
              <w:rPr>
                <w:rFonts w:hAnsi="宋体"/>
                <w:color w:val="auto"/>
                <w:szCs w:val="21"/>
                <w:vertAlign w:val="superscript"/>
              </w:rPr>
              <w:t>3</w:t>
            </w:r>
            <w:r>
              <w:rPr>
                <w:rFonts w:hAnsi="宋体"/>
                <w:color w:val="auto"/>
                <w:szCs w:val="21"/>
              </w:rPr>
              <w:t>/d，</w:t>
            </w:r>
            <w:r>
              <w:rPr>
                <w:rFonts w:hint="eastAsia" w:hAnsi="宋体"/>
                <w:color w:val="auto"/>
                <w:szCs w:val="21"/>
              </w:rPr>
              <w:t>目前污水处理规模为300</w:t>
            </w:r>
            <w:r>
              <w:rPr>
                <w:rFonts w:hAnsi="宋体"/>
                <w:color w:val="auto"/>
                <w:szCs w:val="21"/>
              </w:rPr>
              <w:t>m</w:t>
            </w:r>
            <w:r>
              <w:rPr>
                <w:rFonts w:hAnsi="宋体"/>
                <w:color w:val="auto"/>
                <w:szCs w:val="21"/>
                <w:vertAlign w:val="superscript"/>
              </w:rPr>
              <w:t>3</w:t>
            </w:r>
            <w:r>
              <w:rPr>
                <w:rFonts w:hAnsi="宋体"/>
                <w:color w:val="auto"/>
                <w:szCs w:val="21"/>
              </w:rPr>
              <w:t>/d</w:t>
            </w:r>
            <w:r>
              <w:rPr>
                <w:rFonts w:hint="eastAsia" w:hAnsi="宋体"/>
                <w:color w:val="auto"/>
                <w:szCs w:val="21"/>
              </w:rPr>
              <w:t>，最大日处理规模为380</w:t>
            </w:r>
            <w:r>
              <w:rPr>
                <w:rFonts w:hAnsi="宋体"/>
                <w:color w:val="auto"/>
                <w:szCs w:val="21"/>
              </w:rPr>
              <w:t>m</w:t>
            </w:r>
            <w:r>
              <w:rPr>
                <w:rFonts w:hAnsi="宋体"/>
                <w:color w:val="auto"/>
                <w:szCs w:val="21"/>
                <w:vertAlign w:val="superscript"/>
              </w:rPr>
              <w:t>3</w:t>
            </w:r>
            <w:r>
              <w:rPr>
                <w:rFonts w:hAnsi="宋体"/>
                <w:color w:val="auto"/>
                <w:szCs w:val="21"/>
              </w:rPr>
              <w:t>/d</w:t>
            </w:r>
            <w:r>
              <w:rPr>
                <w:rFonts w:hint="eastAsia" w:hAnsi="宋体"/>
                <w:color w:val="auto"/>
                <w:szCs w:val="21"/>
              </w:rPr>
              <w:t>，剩余最小处理能力为120</w:t>
            </w:r>
            <w:r>
              <w:rPr>
                <w:rFonts w:hAnsi="宋体"/>
                <w:color w:val="auto"/>
                <w:szCs w:val="21"/>
              </w:rPr>
              <w:t>m</w:t>
            </w:r>
            <w:r>
              <w:rPr>
                <w:rFonts w:hAnsi="宋体"/>
                <w:color w:val="auto"/>
                <w:szCs w:val="21"/>
                <w:vertAlign w:val="superscript"/>
              </w:rPr>
              <w:t>3</w:t>
            </w:r>
            <w:r>
              <w:rPr>
                <w:rFonts w:hAnsi="宋体"/>
                <w:color w:val="auto"/>
                <w:szCs w:val="21"/>
              </w:rPr>
              <w:t>/d。本项目运行后，新增废水排放量为</w:t>
            </w:r>
            <w:r>
              <w:rPr>
                <w:rFonts w:hint="eastAsia" w:hAnsi="宋体"/>
                <w:color w:val="auto"/>
                <w:szCs w:val="21"/>
              </w:rPr>
              <w:t>9.3</w:t>
            </w:r>
            <w:r>
              <w:rPr>
                <w:rFonts w:hAnsi="宋体"/>
                <w:color w:val="auto"/>
                <w:szCs w:val="21"/>
              </w:rPr>
              <w:t>t/d，废水量较小，占污水处理厂</w:t>
            </w:r>
            <w:r>
              <w:rPr>
                <w:rFonts w:hint="eastAsia" w:hAnsi="宋体"/>
                <w:color w:val="auto"/>
                <w:szCs w:val="21"/>
              </w:rPr>
              <w:t>剩余处理能力的7.8%</w:t>
            </w:r>
            <w:r>
              <w:rPr>
                <w:rFonts w:hAnsi="宋体"/>
                <w:color w:val="auto"/>
                <w:szCs w:val="21"/>
              </w:rPr>
              <w:t>，因此从污水量上考虑，项目接管可行。</w:t>
            </w:r>
          </w:p>
          <w:p w14:paraId="04316169">
            <w:pPr>
              <w:ind w:firstLine="480" w:firstLineChars="200"/>
              <w:rPr>
                <w:color w:val="auto"/>
              </w:rPr>
            </w:pPr>
            <w:r>
              <w:rPr>
                <w:rFonts w:hint="eastAsia"/>
                <w:color w:val="auto"/>
              </w:rPr>
              <w:t>2）工艺及接管标准上的可行性分析</w:t>
            </w:r>
          </w:p>
          <w:p w14:paraId="5ECBD30A">
            <w:pPr>
              <w:spacing w:line="360" w:lineRule="auto"/>
              <w:ind w:firstLine="480" w:firstLineChars="200"/>
              <w:jc w:val="left"/>
              <w:rPr>
                <w:rFonts w:hAnsi="宋体"/>
                <w:color w:val="auto"/>
                <w:szCs w:val="21"/>
              </w:rPr>
            </w:pPr>
            <w:r>
              <w:rPr>
                <w:rFonts w:hint="eastAsia"/>
                <w:bCs/>
                <w:color w:val="auto"/>
                <w:szCs w:val="21"/>
              </w:rPr>
              <w:t>淮南安成经济开发区污水处理厂采用“格栅沉砂池+调节池+兼氧MBR膜技术+沉淀+消毒”处理工艺对开发区内生活污水及生产废水进行接管处理，本项目废水水质满足接管标准要求，同时本项目取得了开发区管委会关于本项目污水纳管的证明（详见附件6）。</w:t>
            </w:r>
            <w:r>
              <w:rPr>
                <w:rFonts w:hAnsi="宋体"/>
                <w:color w:val="auto"/>
                <w:szCs w:val="21"/>
              </w:rPr>
              <w:t>本项目处理后的废（污）水可达到</w:t>
            </w:r>
            <w:r>
              <w:rPr>
                <w:rFonts w:hint="eastAsia" w:hAnsi="宋体"/>
                <w:color w:val="auto"/>
                <w:szCs w:val="21"/>
              </w:rPr>
              <w:t>淮南</w:t>
            </w:r>
            <w:r>
              <w:rPr>
                <w:rFonts w:hint="eastAsia"/>
                <w:bCs/>
                <w:color w:val="auto"/>
                <w:szCs w:val="21"/>
              </w:rPr>
              <w:t>安成经济开发区污水处理厂</w:t>
            </w:r>
            <w:r>
              <w:rPr>
                <w:rFonts w:hAnsi="宋体"/>
                <w:color w:val="auto"/>
                <w:szCs w:val="21"/>
              </w:rPr>
              <w:t>接管标准</w:t>
            </w:r>
            <w:r>
              <w:rPr>
                <w:rFonts w:hint="eastAsia" w:hAnsi="宋体"/>
                <w:color w:val="auto"/>
                <w:szCs w:val="21"/>
              </w:rPr>
              <w:t>，</w:t>
            </w:r>
            <w:r>
              <w:rPr>
                <w:rFonts w:hAnsi="宋体"/>
                <w:color w:val="auto"/>
                <w:szCs w:val="21"/>
              </w:rPr>
              <w:t>该污水处理厂采用技术成熟、处理效率稳定的城市污水二级处理系统，经过处理后的污水</w:t>
            </w:r>
            <w:r>
              <w:rPr>
                <w:rFonts w:hint="eastAsia" w:hAnsi="宋体"/>
                <w:color w:val="auto"/>
                <w:szCs w:val="21"/>
              </w:rPr>
              <w:t>可以</w:t>
            </w:r>
            <w:r>
              <w:rPr>
                <w:rFonts w:hAnsi="宋体"/>
                <w:color w:val="auto"/>
                <w:szCs w:val="21"/>
              </w:rPr>
              <w:t>达到《城镇污水处理厂污染控制标准》（GB18918-2002）中一级A标准。本项目外排废水</w:t>
            </w:r>
            <w:r>
              <w:rPr>
                <w:rFonts w:hint="eastAsia" w:hAnsi="宋体"/>
                <w:color w:val="auto"/>
                <w:szCs w:val="21"/>
              </w:rPr>
              <w:t>水质简单，</w:t>
            </w:r>
            <w:r>
              <w:rPr>
                <w:rFonts w:hAnsi="宋体"/>
                <w:color w:val="auto"/>
                <w:szCs w:val="21"/>
              </w:rPr>
              <w:t>不含重金属、难降解有机物等污染物，可生化性好，排入污水处理厂处理，从水质上也是可行的，可以满足该污水处理厂接管标准要求。</w:t>
            </w:r>
          </w:p>
          <w:p w14:paraId="59EEBF39">
            <w:pPr>
              <w:spacing w:line="360" w:lineRule="auto"/>
              <w:ind w:firstLine="480" w:firstLineChars="200"/>
              <w:jc w:val="left"/>
              <w:rPr>
                <w:rFonts w:hAnsi="宋体"/>
                <w:color w:val="auto"/>
                <w:szCs w:val="21"/>
              </w:rPr>
            </w:pPr>
            <w:r>
              <w:rPr>
                <w:rFonts w:hAnsi="宋体"/>
                <w:color w:val="auto"/>
                <w:szCs w:val="21"/>
              </w:rPr>
              <w:t>综上所述，本项目外排废水污染物排放浓度符合</w:t>
            </w:r>
            <w:r>
              <w:rPr>
                <w:rFonts w:hint="eastAsia" w:hAnsi="宋体"/>
                <w:color w:val="auto"/>
                <w:szCs w:val="21"/>
              </w:rPr>
              <w:t>淮南</w:t>
            </w:r>
            <w:r>
              <w:rPr>
                <w:rFonts w:hint="eastAsia"/>
                <w:bCs/>
                <w:color w:val="auto"/>
                <w:szCs w:val="21"/>
              </w:rPr>
              <w:t>安成经济开发区污水处理厂</w:t>
            </w:r>
            <w:r>
              <w:rPr>
                <w:rFonts w:hAnsi="宋体"/>
                <w:color w:val="auto"/>
                <w:szCs w:val="21"/>
              </w:rPr>
              <w:t>接管标准，污水经市政污水管网排入</w:t>
            </w:r>
            <w:r>
              <w:rPr>
                <w:rFonts w:hint="eastAsia" w:hAnsi="宋体"/>
                <w:color w:val="auto"/>
                <w:szCs w:val="21"/>
              </w:rPr>
              <w:t>淮南</w:t>
            </w:r>
            <w:r>
              <w:rPr>
                <w:rFonts w:hint="eastAsia"/>
                <w:bCs/>
                <w:color w:val="auto"/>
                <w:szCs w:val="21"/>
              </w:rPr>
              <w:t>安成经济开发区污水处理厂</w:t>
            </w:r>
            <w:r>
              <w:rPr>
                <w:rFonts w:hAnsi="宋体"/>
                <w:color w:val="auto"/>
                <w:szCs w:val="21"/>
              </w:rPr>
              <w:t>处理达标后外排，该污水处理厂有能力接纳项目运营后增加的废水，并且成熟的处理工艺可以确保达标排放，不会降低地表水现有水环境功能，对项目周边水体水质的影响较小。</w:t>
            </w:r>
          </w:p>
          <w:p w14:paraId="084131BA">
            <w:pPr>
              <w:spacing w:line="360" w:lineRule="auto"/>
              <w:ind w:firstLine="480" w:firstLineChars="200"/>
              <w:jc w:val="left"/>
              <w:rPr>
                <w:rFonts w:hAnsi="宋体"/>
                <w:color w:val="auto"/>
                <w:szCs w:val="21"/>
              </w:rPr>
            </w:pPr>
            <w:r>
              <w:rPr>
                <w:rFonts w:hAnsi="宋体"/>
                <w:color w:val="auto"/>
                <w:szCs w:val="21"/>
              </w:rPr>
              <w:t>3）废水类别、污染物项目、排放形式及污染防治设施</w:t>
            </w:r>
          </w:p>
          <w:p w14:paraId="620D13DF">
            <w:pPr>
              <w:ind w:firstLine="480" w:firstLineChars="200"/>
              <w:rPr>
                <w:color w:val="auto"/>
              </w:rPr>
            </w:pPr>
            <w:r>
              <w:rPr>
                <w:rFonts w:hAnsi="宋体"/>
                <w:color w:val="auto"/>
                <w:szCs w:val="21"/>
              </w:rPr>
              <w:t>本项目采用雨污分流，雨水经厂区雨水管道收集后排入市政雨水管网；生活污水经化粪池处理后在满足</w:t>
            </w:r>
            <w:r>
              <w:rPr>
                <w:rFonts w:hint="eastAsia" w:hAnsi="宋体"/>
                <w:color w:val="auto"/>
                <w:szCs w:val="21"/>
              </w:rPr>
              <w:t>淮南安成经济开发区污水处理厂</w:t>
            </w:r>
            <w:r>
              <w:rPr>
                <w:rFonts w:hAnsi="宋体"/>
                <w:color w:val="auto"/>
                <w:szCs w:val="21"/>
              </w:rPr>
              <w:t>接管标准（接管标准中未包含的污染物执行《污水综合排放标准》（GB8978-1996）中三级</w:t>
            </w:r>
            <w:r>
              <w:rPr>
                <w:color w:val="auto"/>
              </w:rPr>
              <w:t>标准</w:t>
            </w:r>
            <w:r>
              <w:rPr>
                <w:rFonts w:hAnsi="宋体"/>
                <w:color w:val="auto"/>
                <w:szCs w:val="21"/>
              </w:rPr>
              <w:t>的前提下排入</w:t>
            </w:r>
            <w:r>
              <w:rPr>
                <w:rFonts w:hint="eastAsia" w:hAnsi="宋体"/>
                <w:color w:val="auto"/>
                <w:szCs w:val="21"/>
              </w:rPr>
              <w:t>园区</w:t>
            </w:r>
            <w:r>
              <w:rPr>
                <w:rFonts w:hAnsi="宋体"/>
                <w:color w:val="auto"/>
                <w:szCs w:val="21"/>
              </w:rPr>
              <w:t>污水管网，外排废水经污水处理厂处理后达到《城镇污水处理厂污染物排放标准》（GB18918-2002）表1中一级A标准后排入</w:t>
            </w:r>
            <w:r>
              <w:rPr>
                <w:rFonts w:hint="eastAsia" w:hAnsi="宋体"/>
                <w:color w:val="auto"/>
                <w:szCs w:val="21"/>
              </w:rPr>
              <w:t>淮河</w:t>
            </w:r>
            <w:r>
              <w:rPr>
                <w:rFonts w:hAnsi="宋体"/>
                <w:color w:val="auto"/>
                <w:szCs w:val="21"/>
              </w:rPr>
              <w:t>。</w:t>
            </w:r>
          </w:p>
          <w:p w14:paraId="79C8300A">
            <w:pPr>
              <w:rPr>
                <w:b/>
                <w:bCs/>
                <w:color w:val="auto"/>
              </w:rPr>
            </w:pPr>
            <w:r>
              <w:rPr>
                <w:b/>
                <w:bCs/>
                <w:color w:val="auto"/>
              </w:rPr>
              <w:t xml:space="preserve">4.3.5 </w:t>
            </w:r>
            <w:r>
              <w:rPr>
                <w:rFonts w:hint="eastAsia"/>
                <w:b/>
                <w:bCs/>
                <w:color w:val="auto"/>
              </w:rPr>
              <w:t>废水污染物自行监测计划</w:t>
            </w:r>
          </w:p>
          <w:p w14:paraId="40D825F2">
            <w:pPr>
              <w:ind w:firstLine="480" w:firstLineChars="200"/>
              <w:rPr>
                <w:rFonts w:hAnsiTheme="minorEastAsia"/>
                <w:color w:val="auto"/>
              </w:rPr>
            </w:pPr>
            <w:r>
              <w:rPr>
                <w:rFonts w:hint="eastAsia"/>
                <w:color w:val="auto"/>
                <w:szCs w:val="22"/>
              </w:rPr>
              <w:t>根据《固定污染源排污许可分类管理名录（</w:t>
            </w:r>
            <w:r>
              <w:rPr>
                <w:color w:val="auto"/>
                <w:szCs w:val="22"/>
              </w:rPr>
              <w:t>2019</w:t>
            </w:r>
            <w:r>
              <w:rPr>
                <w:rFonts w:hint="eastAsia"/>
                <w:color w:val="auto"/>
                <w:szCs w:val="22"/>
              </w:rPr>
              <w:t>年版）》，本项目属于简化管理</w:t>
            </w:r>
            <w:r>
              <w:rPr>
                <w:rFonts w:hint="eastAsia" w:eastAsiaTheme="minorEastAsia"/>
                <w:color w:val="auto"/>
                <w:kern w:val="2"/>
                <w:szCs w:val="22"/>
              </w:rPr>
              <w:t>，</w:t>
            </w:r>
            <w:r>
              <w:rPr>
                <w:rFonts w:hint="eastAsia"/>
                <w:color w:val="auto"/>
              </w:rPr>
              <w:t>根据《</w:t>
            </w:r>
            <w:r>
              <w:rPr>
                <w:color w:val="auto"/>
              </w:rPr>
              <w:t>排污许可证申请与核发技术规范食品制造工业一方便食品、食品及饲料添加剂制造工业</w:t>
            </w:r>
            <w:r>
              <w:rPr>
                <w:rFonts w:hint="eastAsia"/>
                <w:color w:val="auto"/>
              </w:rPr>
              <w:t>》（HJ1030.3-2019）中规定的监测分析方法对污染源进行日常例行监测，设置环境保护图形标志牌，本项目有关废水污染源监测点、监测项目及监测频次见下表。</w:t>
            </w:r>
            <w:r>
              <w:rPr>
                <w:rFonts w:hint="eastAsia" w:hAnsiTheme="minorEastAsia"/>
                <w:color w:val="auto"/>
              </w:rPr>
              <w:t>本项目废水监测计划见下表。</w:t>
            </w:r>
          </w:p>
          <w:p w14:paraId="2FAE6AE6">
            <w:pPr>
              <w:pStyle w:val="6"/>
              <w:rPr>
                <w:color w:val="auto"/>
              </w:rPr>
            </w:pPr>
            <w:r>
              <w:rPr>
                <w:color w:val="auto"/>
              </w:rPr>
              <w:t xml:space="preserve">表 </w:t>
            </w:r>
            <w:r>
              <w:rPr>
                <w:rFonts w:hint="eastAsia"/>
                <w:color w:val="auto"/>
              </w:rPr>
              <w:t>4-</w:t>
            </w:r>
            <w:r>
              <w:rPr>
                <w:color w:val="auto"/>
              </w:rPr>
              <w:fldChar w:fldCharType="begin"/>
            </w:r>
            <w:r>
              <w:rPr>
                <w:color w:val="auto"/>
              </w:rPr>
              <w:instrText xml:space="preserve"> SEQ 表 \* ARABIC \s 1 </w:instrText>
            </w:r>
            <w:r>
              <w:rPr>
                <w:color w:val="auto"/>
              </w:rPr>
              <w:fldChar w:fldCharType="separate"/>
            </w:r>
            <w:r>
              <w:rPr>
                <w:color w:val="auto"/>
              </w:rPr>
              <w:t>8</w:t>
            </w:r>
            <w:r>
              <w:rPr>
                <w:color w:val="auto"/>
              </w:rPr>
              <w:fldChar w:fldCharType="end"/>
            </w:r>
            <w:r>
              <w:rPr>
                <w:rFonts w:hint="eastAsia"/>
                <w:color w:val="auto"/>
              </w:rPr>
              <w:t>废水监测计划一览表</w:t>
            </w:r>
          </w:p>
          <w:tbl>
            <w:tblPr>
              <w:tblStyle w:val="2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897"/>
              <w:gridCol w:w="1466"/>
              <w:gridCol w:w="3722"/>
              <w:gridCol w:w="1303"/>
              <w:gridCol w:w="1303"/>
            </w:tblGrid>
            <w:tr w14:paraId="18C3B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516" w:type="pct"/>
                  <w:vAlign w:val="center"/>
                </w:tcPr>
                <w:p w14:paraId="6EC0BF15">
                  <w:pPr>
                    <w:pStyle w:val="30"/>
                    <w:framePr w:hSpace="0" w:wrap="auto" w:vAnchor="margin" w:hAnchor="text" w:xAlign="left" w:yAlign="inline"/>
                    <w:rPr>
                      <w:color w:val="auto"/>
                    </w:rPr>
                  </w:pPr>
                  <w:r>
                    <w:rPr>
                      <w:rFonts w:hint="eastAsia"/>
                      <w:color w:val="auto"/>
                    </w:rPr>
                    <w:t>类别</w:t>
                  </w:r>
                </w:p>
              </w:tc>
              <w:tc>
                <w:tcPr>
                  <w:tcW w:w="843" w:type="pct"/>
                  <w:vAlign w:val="center"/>
                </w:tcPr>
                <w:p w14:paraId="2A2C9AC7">
                  <w:pPr>
                    <w:pStyle w:val="30"/>
                    <w:framePr w:hSpace="0" w:wrap="auto" w:vAnchor="margin" w:hAnchor="text" w:xAlign="left" w:yAlign="inline"/>
                    <w:rPr>
                      <w:color w:val="auto"/>
                    </w:rPr>
                  </w:pPr>
                  <w:r>
                    <w:rPr>
                      <w:rFonts w:hint="eastAsia"/>
                      <w:color w:val="auto"/>
                    </w:rPr>
                    <w:t>监测点位</w:t>
                  </w:r>
                </w:p>
              </w:tc>
              <w:tc>
                <w:tcPr>
                  <w:tcW w:w="2140" w:type="pct"/>
                  <w:vAlign w:val="center"/>
                </w:tcPr>
                <w:p w14:paraId="1EBC82D2">
                  <w:pPr>
                    <w:pStyle w:val="30"/>
                    <w:framePr w:hSpace="0" w:wrap="auto" w:vAnchor="margin" w:hAnchor="text" w:xAlign="left" w:yAlign="inline"/>
                    <w:rPr>
                      <w:color w:val="auto"/>
                    </w:rPr>
                  </w:pPr>
                  <w:r>
                    <w:rPr>
                      <w:rFonts w:hint="eastAsia"/>
                      <w:color w:val="auto"/>
                    </w:rPr>
                    <w:t>监测指标</w:t>
                  </w:r>
                </w:p>
              </w:tc>
              <w:tc>
                <w:tcPr>
                  <w:tcW w:w="749" w:type="pct"/>
                  <w:vAlign w:val="center"/>
                </w:tcPr>
                <w:p w14:paraId="1BE6FD7F">
                  <w:pPr>
                    <w:pStyle w:val="30"/>
                    <w:framePr w:hSpace="0" w:wrap="auto" w:vAnchor="margin" w:hAnchor="text" w:xAlign="left" w:yAlign="inline"/>
                    <w:rPr>
                      <w:color w:val="auto"/>
                    </w:rPr>
                  </w:pPr>
                  <w:r>
                    <w:rPr>
                      <w:rFonts w:hint="eastAsia"/>
                      <w:color w:val="auto"/>
                    </w:rPr>
                    <w:t>监测频次</w:t>
                  </w:r>
                </w:p>
              </w:tc>
              <w:tc>
                <w:tcPr>
                  <w:tcW w:w="749" w:type="pct"/>
                  <w:vAlign w:val="center"/>
                </w:tcPr>
                <w:p w14:paraId="2BB8F2CF">
                  <w:pPr>
                    <w:pStyle w:val="30"/>
                    <w:framePr w:hSpace="0" w:wrap="auto" w:vAnchor="margin" w:hAnchor="text" w:xAlign="left" w:yAlign="inline"/>
                    <w:rPr>
                      <w:color w:val="auto"/>
                    </w:rPr>
                  </w:pPr>
                  <w:r>
                    <w:rPr>
                      <w:rFonts w:hint="eastAsia"/>
                      <w:color w:val="auto"/>
                    </w:rPr>
                    <w:t>监测点</w:t>
                  </w:r>
                </w:p>
              </w:tc>
            </w:tr>
            <w:tr w14:paraId="1105E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516" w:type="pct"/>
                  <w:vAlign w:val="center"/>
                </w:tcPr>
                <w:p w14:paraId="3D3892E8">
                  <w:pPr>
                    <w:pStyle w:val="30"/>
                    <w:framePr w:hSpace="0" w:wrap="auto" w:vAnchor="margin" w:hAnchor="text" w:xAlign="left" w:yAlign="inline"/>
                    <w:rPr>
                      <w:color w:val="auto"/>
                    </w:rPr>
                  </w:pPr>
                  <w:r>
                    <w:rPr>
                      <w:rFonts w:hint="eastAsia"/>
                      <w:color w:val="auto"/>
                    </w:rPr>
                    <w:t>废水</w:t>
                  </w:r>
                </w:p>
              </w:tc>
              <w:tc>
                <w:tcPr>
                  <w:tcW w:w="843" w:type="pct"/>
                  <w:vAlign w:val="center"/>
                </w:tcPr>
                <w:p w14:paraId="7C90A9BF">
                  <w:pPr>
                    <w:pStyle w:val="30"/>
                    <w:framePr w:hSpace="0" w:wrap="auto" w:vAnchor="margin" w:hAnchor="text" w:xAlign="left" w:yAlign="inline"/>
                    <w:rPr>
                      <w:color w:val="auto"/>
                    </w:rPr>
                  </w:pPr>
                  <w:r>
                    <w:rPr>
                      <w:color w:val="auto"/>
                    </w:rPr>
                    <w:t>DW001</w:t>
                  </w:r>
                </w:p>
              </w:tc>
              <w:tc>
                <w:tcPr>
                  <w:tcW w:w="2140" w:type="pct"/>
                  <w:vAlign w:val="center"/>
                </w:tcPr>
                <w:p w14:paraId="0BE10242">
                  <w:pPr>
                    <w:pStyle w:val="30"/>
                    <w:framePr w:hSpace="0" w:wrap="auto" w:vAnchor="margin" w:hAnchor="text" w:xAlign="left" w:yAlign="inline"/>
                    <w:rPr>
                      <w:color w:val="auto"/>
                    </w:rPr>
                  </w:pPr>
                  <w:r>
                    <w:rPr>
                      <w:color w:val="auto"/>
                    </w:rPr>
                    <w:t>pH</w:t>
                  </w:r>
                  <w:r>
                    <w:rPr>
                      <w:rFonts w:hint="eastAsia"/>
                      <w:color w:val="auto"/>
                    </w:rPr>
                    <w:t>值、</w:t>
                  </w:r>
                  <w:r>
                    <w:rPr>
                      <w:color w:val="auto"/>
                    </w:rPr>
                    <w:t>CODCr</w:t>
                  </w:r>
                  <w:r>
                    <w:rPr>
                      <w:rFonts w:hint="eastAsia"/>
                      <w:color w:val="auto"/>
                    </w:rPr>
                    <w:t>、</w:t>
                  </w:r>
                  <w:r>
                    <w:rPr>
                      <w:color w:val="auto"/>
                    </w:rPr>
                    <w:t>NH</w:t>
                  </w:r>
                  <w:r>
                    <w:rPr>
                      <w:color w:val="auto"/>
                      <w:vertAlign w:val="subscript"/>
                    </w:rPr>
                    <w:t>3</w:t>
                  </w:r>
                  <w:r>
                    <w:rPr>
                      <w:color w:val="auto"/>
                    </w:rPr>
                    <w:t>-N</w:t>
                  </w:r>
                  <w:r>
                    <w:rPr>
                      <w:rFonts w:hint="eastAsia"/>
                      <w:color w:val="auto"/>
                    </w:rPr>
                    <w:t>、</w:t>
                  </w:r>
                  <w:r>
                    <w:rPr>
                      <w:color w:val="auto"/>
                    </w:rPr>
                    <w:t>SS</w:t>
                  </w:r>
                  <w:r>
                    <w:rPr>
                      <w:rFonts w:hint="eastAsia"/>
                      <w:color w:val="auto"/>
                    </w:rPr>
                    <w:t>、动植物油、</w:t>
                  </w:r>
                  <w:r>
                    <w:rPr>
                      <w:color w:val="auto"/>
                    </w:rPr>
                    <w:t>TN</w:t>
                  </w:r>
                  <w:r>
                    <w:rPr>
                      <w:rFonts w:hint="eastAsia"/>
                      <w:color w:val="auto"/>
                    </w:rPr>
                    <w:t>、</w:t>
                  </w:r>
                  <w:r>
                    <w:rPr>
                      <w:color w:val="auto"/>
                    </w:rPr>
                    <w:t>TP</w:t>
                  </w:r>
                  <w:r>
                    <w:rPr>
                      <w:rFonts w:hint="eastAsia"/>
                      <w:color w:val="auto"/>
                    </w:rPr>
                    <w:t>、</w:t>
                  </w:r>
                  <w:r>
                    <w:rPr>
                      <w:color w:val="auto"/>
                    </w:rPr>
                    <w:t>BOD</w:t>
                  </w:r>
                  <w:r>
                    <w:rPr>
                      <w:color w:val="auto"/>
                      <w:vertAlign w:val="subscript"/>
                    </w:rPr>
                    <w:t>5</w:t>
                  </w:r>
                </w:p>
              </w:tc>
              <w:tc>
                <w:tcPr>
                  <w:tcW w:w="749" w:type="pct"/>
                  <w:vAlign w:val="center"/>
                </w:tcPr>
                <w:p w14:paraId="16C1F218">
                  <w:pPr>
                    <w:pStyle w:val="30"/>
                    <w:framePr w:hSpace="0" w:wrap="auto" w:vAnchor="margin" w:hAnchor="text" w:xAlign="left" w:yAlign="inline"/>
                    <w:rPr>
                      <w:color w:val="auto"/>
                    </w:rPr>
                  </w:pPr>
                  <w:r>
                    <w:rPr>
                      <w:color w:val="auto"/>
                    </w:rPr>
                    <w:t>1</w:t>
                  </w:r>
                  <w:r>
                    <w:rPr>
                      <w:rFonts w:hint="eastAsia"/>
                      <w:color w:val="auto"/>
                    </w:rPr>
                    <w:t>次</w:t>
                  </w:r>
                  <w:r>
                    <w:rPr>
                      <w:color w:val="auto"/>
                    </w:rPr>
                    <w:t>/</w:t>
                  </w:r>
                  <w:r>
                    <w:rPr>
                      <w:rFonts w:hint="eastAsia"/>
                      <w:color w:val="auto"/>
                    </w:rPr>
                    <w:t>半年</w:t>
                  </w:r>
                </w:p>
              </w:tc>
              <w:tc>
                <w:tcPr>
                  <w:tcW w:w="749" w:type="pct"/>
                  <w:vAlign w:val="center"/>
                </w:tcPr>
                <w:p w14:paraId="4F76F6D2">
                  <w:pPr>
                    <w:pStyle w:val="30"/>
                    <w:framePr w:hSpace="0" w:wrap="auto" w:vAnchor="margin" w:hAnchor="text" w:xAlign="left" w:yAlign="inline"/>
                    <w:rPr>
                      <w:color w:val="auto"/>
                    </w:rPr>
                  </w:pPr>
                  <w:r>
                    <w:rPr>
                      <w:rFonts w:hint="eastAsia"/>
                      <w:color w:val="auto"/>
                    </w:rPr>
                    <w:t>废水排放口</w:t>
                  </w:r>
                </w:p>
              </w:tc>
            </w:tr>
          </w:tbl>
          <w:p w14:paraId="66391FC7">
            <w:pPr>
              <w:ind w:firstLine="480" w:firstLineChars="200"/>
              <w:rPr>
                <w:rFonts w:hAnsiTheme="minorEastAsia"/>
                <w:color w:val="auto"/>
              </w:rPr>
            </w:pPr>
          </w:p>
          <w:p w14:paraId="71EDC164">
            <w:pPr>
              <w:ind w:firstLine="480" w:firstLineChars="200"/>
              <w:rPr>
                <w:rFonts w:hAnsiTheme="minorEastAsia"/>
                <w:color w:val="auto"/>
              </w:rPr>
            </w:pPr>
          </w:p>
        </w:tc>
      </w:tr>
    </w:tbl>
    <w:p w14:paraId="1563DC9D">
      <w:pPr>
        <w:sectPr>
          <w:headerReference r:id="rId14" w:type="default"/>
          <w:pgSz w:w="11906" w:h="16838"/>
          <w:pgMar w:top="1440" w:right="1800" w:bottom="1440" w:left="1800" w:header="851" w:footer="992" w:gutter="0"/>
          <w:cols w:space="425" w:num="1"/>
          <w:docGrid w:type="lines" w:linePitch="312" w:charSpace="0"/>
        </w:sectPr>
      </w:pPr>
    </w:p>
    <w:tbl>
      <w:tblPr>
        <w:tblStyle w:val="23"/>
        <w:tblW w:w="502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54"/>
        <w:gridCol w:w="13696"/>
      </w:tblGrid>
      <w:tr w14:paraId="6802E5F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771" w:hRule="atLeast"/>
          <w:jc w:val="center"/>
        </w:trPr>
        <w:tc>
          <w:tcPr>
            <w:tcW w:w="470" w:type="dxa"/>
            <w:tcMar>
              <w:left w:w="28" w:type="dxa"/>
              <w:right w:w="28" w:type="dxa"/>
            </w:tcMar>
            <w:vAlign w:val="center"/>
          </w:tcPr>
          <w:p w14:paraId="7CE02C0E">
            <w:pPr>
              <w:adjustRightInd w:val="0"/>
              <w:snapToGrid w:val="0"/>
              <w:jc w:val="center"/>
              <w:rPr>
                <w:rFonts w:ascii="Calibri" w:hAnsi="Calibri"/>
                <w:kern w:val="2"/>
                <w:sz w:val="21"/>
                <w:szCs w:val="21"/>
              </w:rPr>
            </w:pPr>
            <w:r>
              <w:rPr>
                <w:rFonts w:ascii="Calibri" w:hAnsi="Calibri"/>
                <w:kern w:val="2"/>
                <w:sz w:val="21"/>
                <w:szCs w:val="21"/>
              </w:rPr>
              <w:t>运营期环境影响和保护措施</w:t>
            </w:r>
          </w:p>
        </w:tc>
        <w:tc>
          <w:tcPr>
            <w:tcW w:w="14194" w:type="dxa"/>
          </w:tcPr>
          <w:p w14:paraId="60A51275">
            <w:r>
              <w:t>4.4</w:t>
            </w:r>
            <w:r>
              <w:rPr>
                <w:rFonts w:hint="eastAsia"/>
                <w:bCs/>
              </w:rPr>
              <w:t>营运期噪声治理措施和环境影响分析</w:t>
            </w:r>
          </w:p>
          <w:p w14:paraId="0BEA3753">
            <w:pPr>
              <w:ind w:firstLine="482"/>
            </w:pPr>
            <w:r>
              <w:t>4.4.1 噪声污染源强情况</w:t>
            </w:r>
            <w:r>
              <w:rPr>
                <w:rFonts w:hint="eastAsia"/>
              </w:rPr>
              <w:t>及降噪措施</w:t>
            </w:r>
          </w:p>
          <w:p w14:paraId="7EBAFA7A">
            <w:pPr>
              <w:ind w:firstLine="480"/>
            </w:pPr>
            <w:r>
              <w:rPr>
                <w:rFonts w:hint="eastAsia"/>
              </w:rPr>
              <w:t>本项目营运期噪声主要为生湿面制品、凉皮、年糕、鲜面条、饼丝、扯面、豆饼等生产设备在自动化生产线上运行噪声，噪声值为</w:t>
            </w:r>
            <w:r>
              <w:t>70</w:t>
            </w:r>
            <w:r>
              <w:rPr>
                <w:rFonts w:hint="eastAsia"/>
              </w:rPr>
              <w:t>～</w:t>
            </w:r>
            <w:r>
              <w:t>85dB</w:t>
            </w:r>
            <w:r>
              <w:rPr>
                <w:rFonts w:hint="eastAsia"/>
              </w:rPr>
              <w:t>（</w:t>
            </w:r>
            <w:r>
              <w:t>A</w:t>
            </w:r>
            <w:r>
              <w:rPr>
                <w:rFonts w:hint="eastAsia"/>
              </w:rPr>
              <w:t>）。</w:t>
            </w:r>
          </w:p>
          <w:p w14:paraId="48C0FC61">
            <w:pPr>
              <w:ind w:firstLine="480"/>
            </w:pPr>
            <w:r>
              <w:t>本项目采取降噪措施如下：</w:t>
            </w:r>
            <w:r>
              <w:rPr>
                <w:rFonts w:hint="eastAsia" w:ascii="宋体" w:hAnsi="宋体" w:cs="宋体"/>
              </w:rPr>
              <w:t>①</w:t>
            </w:r>
            <w:r>
              <w:t>在设备选型时采用低噪声设备；</w:t>
            </w:r>
            <w:r>
              <w:rPr>
                <w:rFonts w:hint="eastAsia" w:ascii="宋体" w:hAnsi="宋体" w:cs="宋体"/>
              </w:rPr>
              <w:t>②</w:t>
            </w:r>
            <w:r>
              <w:t>合理布局，基础减振；</w:t>
            </w:r>
            <w:r>
              <w:rPr>
                <w:rFonts w:hint="eastAsia" w:ascii="宋体" w:hAnsi="宋体" w:cs="宋体"/>
              </w:rPr>
              <w:t>③</w:t>
            </w:r>
            <w:r>
              <w:t>所有高噪声设备均安置在室内进行隔声处理，同时加强设备的维护保养，并定期检修。</w:t>
            </w:r>
          </w:p>
          <w:p w14:paraId="1869BC20">
            <w:pPr>
              <w:ind w:firstLine="480"/>
            </w:pPr>
            <w:r>
              <w:rPr>
                <w:rFonts w:eastAsiaTheme="minorEastAsia"/>
              </w:rPr>
              <w:t>项目产生噪声的噪声源强调查清单见</w:t>
            </w:r>
            <w:r>
              <w:rPr>
                <w:rFonts w:hint="eastAsia" w:eastAsiaTheme="minorEastAsia"/>
              </w:rPr>
              <w:t>下表</w:t>
            </w:r>
            <w:r>
              <w:rPr>
                <w:rFonts w:eastAsiaTheme="minorEastAsia"/>
              </w:rPr>
              <w:t>。</w:t>
            </w:r>
          </w:p>
          <w:p w14:paraId="7ECA5B23">
            <w:pPr>
              <w:pStyle w:val="6"/>
              <w:adjustRightInd w:val="0"/>
              <w:snapToGrid w:val="0"/>
              <w:rPr>
                <w:rFonts w:hint="eastAsia" w:eastAsia="宋体"/>
                <w:b/>
                <w:bCs/>
                <w:lang w:eastAsia="zh-CN"/>
              </w:rPr>
            </w:pPr>
            <w:bookmarkStart w:id="61" w:name="PT_6"/>
            <w:r>
              <w:t xml:space="preserve">表 </w:t>
            </w:r>
            <w:r>
              <w:rPr>
                <w:rFonts w:hint="eastAsia"/>
              </w:rPr>
              <w:t>4-</w:t>
            </w:r>
            <w:r>
              <w:fldChar w:fldCharType="begin"/>
            </w:r>
            <w:r>
              <w:instrText xml:space="preserve"> SEQ 表 \* ARABIC \s 1 </w:instrText>
            </w:r>
            <w:r>
              <w:fldChar w:fldCharType="separate"/>
            </w:r>
            <w:r>
              <w:t>9</w:t>
            </w:r>
            <w:r>
              <w:fldChar w:fldCharType="end"/>
            </w:r>
            <w:r>
              <w:t xml:space="preserve"> 项目工业企业噪声源强调查清单</w:t>
            </w:r>
            <w:r>
              <w:rPr>
                <w:rStyle w:val="29"/>
                <w:rFonts w:hint="eastAsia"/>
                <w:b/>
                <w:bCs/>
                <w:lang w:eastAsia="zh-CN"/>
              </w:rPr>
              <w:t>（室内声源）</w:t>
            </w:r>
          </w:p>
          <w:tbl>
            <w:tblPr>
              <w:tblStyle w:val="23"/>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369"/>
              <w:gridCol w:w="507"/>
              <w:gridCol w:w="846"/>
              <w:gridCol w:w="725"/>
              <w:gridCol w:w="461"/>
              <w:gridCol w:w="313"/>
              <w:gridCol w:w="598"/>
              <w:gridCol w:w="604"/>
              <w:gridCol w:w="496"/>
              <w:gridCol w:w="496"/>
              <w:gridCol w:w="496"/>
              <w:gridCol w:w="509"/>
              <w:gridCol w:w="493"/>
              <w:gridCol w:w="493"/>
              <w:gridCol w:w="493"/>
              <w:gridCol w:w="493"/>
              <w:gridCol w:w="426"/>
              <w:gridCol w:w="474"/>
              <w:gridCol w:w="474"/>
              <w:gridCol w:w="474"/>
              <w:gridCol w:w="477"/>
              <w:gridCol w:w="504"/>
              <w:gridCol w:w="504"/>
              <w:gridCol w:w="504"/>
              <w:gridCol w:w="507"/>
              <w:gridCol w:w="729"/>
            </w:tblGrid>
            <w:tr w14:paraId="440B7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137" w:type="pct"/>
                  <w:vMerge w:val="restart"/>
                  <w:vAlign w:val="center"/>
                </w:tcPr>
                <w:p w14:paraId="3CF9FEBA">
                  <w:pPr>
                    <w:pStyle w:val="30"/>
                    <w:framePr w:hSpace="0" w:wrap="auto" w:vAnchor="margin" w:hAnchor="text" w:xAlign="left" w:yAlign="inline"/>
                  </w:pPr>
                  <w:r>
                    <w:t>序号</w:t>
                  </w:r>
                </w:p>
              </w:tc>
              <w:tc>
                <w:tcPr>
                  <w:tcW w:w="188" w:type="pct"/>
                  <w:vMerge w:val="restart"/>
                  <w:vAlign w:val="center"/>
                </w:tcPr>
                <w:p w14:paraId="5D9781FC">
                  <w:pPr>
                    <w:pStyle w:val="30"/>
                    <w:framePr w:hSpace="0" w:wrap="auto" w:vAnchor="margin" w:hAnchor="text" w:xAlign="left" w:yAlign="inline"/>
                  </w:pPr>
                  <w:r>
                    <w:t>建筑物名称</w:t>
                  </w:r>
                </w:p>
              </w:tc>
              <w:tc>
                <w:tcPr>
                  <w:tcW w:w="314" w:type="pct"/>
                  <w:vMerge w:val="restart"/>
                  <w:vAlign w:val="center"/>
                </w:tcPr>
                <w:p w14:paraId="1B83D174">
                  <w:pPr>
                    <w:pStyle w:val="30"/>
                    <w:framePr w:hSpace="0" w:wrap="auto" w:vAnchor="margin" w:hAnchor="text" w:xAlign="left" w:yAlign="inline"/>
                  </w:pPr>
                  <w:r>
                    <w:t>声源</w:t>
                  </w:r>
                </w:p>
                <w:p w14:paraId="2F2C38C7">
                  <w:pPr>
                    <w:pStyle w:val="30"/>
                    <w:framePr w:hSpace="0" w:wrap="auto" w:vAnchor="margin" w:hAnchor="text" w:xAlign="left" w:yAlign="inline"/>
                  </w:pPr>
                  <w:r>
                    <w:t>名称</w:t>
                  </w:r>
                </w:p>
              </w:tc>
              <w:tc>
                <w:tcPr>
                  <w:tcW w:w="269" w:type="pct"/>
                  <w:vMerge w:val="restart"/>
                  <w:vAlign w:val="center"/>
                </w:tcPr>
                <w:p w14:paraId="136F834F">
                  <w:pPr>
                    <w:pStyle w:val="30"/>
                    <w:framePr w:hSpace="0" w:wrap="auto" w:vAnchor="margin" w:hAnchor="text" w:xAlign="left" w:yAlign="inline"/>
                  </w:pPr>
                  <w:r>
                    <w:t>声功率级/dB（A）</w:t>
                  </w:r>
                </w:p>
              </w:tc>
              <w:tc>
                <w:tcPr>
                  <w:tcW w:w="171" w:type="pct"/>
                  <w:vMerge w:val="restart"/>
                  <w:vAlign w:val="center"/>
                </w:tcPr>
                <w:p w14:paraId="08FD7C83">
                  <w:pPr>
                    <w:pStyle w:val="30"/>
                    <w:framePr w:hSpace="0" w:wrap="auto" w:vAnchor="margin" w:hAnchor="text" w:xAlign="left" w:yAlign="inline"/>
                  </w:pPr>
                  <w:r>
                    <w:t>声源控制措施</w:t>
                  </w:r>
                </w:p>
              </w:tc>
              <w:tc>
                <w:tcPr>
                  <w:tcW w:w="562" w:type="pct"/>
                  <w:gridSpan w:val="3"/>
                  <w:vAlign w:val="center"/>
                </w:tcPr>
                <w:p w14:paraId="4F48994A">
                  <w:pPr>
                    <w:pStyle w:val="30"/>
                    <w:framePr w:hSpace="0" w:wrap="auto" w:vAnchor="margin" w:hAnchor="text" w:xAlign="left" w:yAlign="inline"/>
                  </w:pPr>
                  <w:r>
                    <w:t>空间相对位置/m</w:t>
                  </w:r>
                </w:p>
              </w:tc>
              <w:tc>
                <w:tcPr>
                  <w:tcW w:w="741" w:type="pct"/>
                  <w:gridSpan w:val="4"/>
                  <w:vAlign w:val="center"/>
                </w:tcPr>
                <w:p w14:paraId="28B1E9FE">
                  <w:pPr>
                    <w:pStyle w:val="30"/>
                    <w:framePr w:hSpace="0" w:wrap="auto" w:vAnchor="margin" w:hAnchor="text" w:xAlign="left" w:yAlign="inline"/>
                  </w:pPr>
                  <w:r>
                    <w:t>距室内边界距离/m</w:t>
                  </w:r>
                </w:p>
              </w:tc>
              <w:tc>
                <w:tcPr>
                  <w:tcW w:w="732" w:type="pct"/>
                  <w:gridSpan w:val="4"/>
                  <w:vAlign w:val="center"/>
                </w:tcPr>
                <w:p w14:paraId="3EFA5B89">
                  <w:pPr>
                    <w:pStyle w:val="30"/>
                    <w:framePr w:hSpace="0" w:wrap="auto" w:vAnchor="margin" w:hAnchor="text" w:xAlign="left" w:yAlign="inline"/>
                  </w:pPr>
                  <w:r>
                    <w:t>室内边界声级/dB（A）</w:t>
                  </w:r>
                </w:p>
              </w:tc>
              <w:tc>
                <w:tcPr>
                  <w:tcW w:w="158" w:type="pct"/>
                  <w:vMerge w:val="restart"/>
                  <w:vAlign w:val="center"/>
                </w:tcPr>
                <w:p w14:paraId="61E41804">
                  <w:pPr>
                    <w:pStyle w:val="30"/>
                    <w:framePr w:hSpace="0" w:wrap="auto" w:vAnchor="margin" w:hAnchor="text" w:xAlign="left" w:yAlign="inline"/>
                  </w:pPr>
                  <w:r>
                    <w:t>运行时段</w:t>
                  </w:r>
                </w:p>
              </w:tc>
              <w:tc>
                <w:tcPr>
                  <w:tcW w:w="705" w:type="pct"/>
                  <w:gridSpan w:val="4"/>
                  <w:vAlign w:val="center"/>
                </w:tcPr>
                <w:p w14:paraId="101141DE">
                  <w:pPr>
                    <w:pStyle w:val="30"/>
                    <w:framePr w:hSpace="0" w:wrap="auto" w:vAnchor="margin" w:hAnchor="text" w:xAlign="left" w:yAlign="inline"/>
                  </w:pPr>
                  <w:r>
                    <w:t>建筑物插入损失 / dB（A</w:t>
                  </w:r>
                  <w:bookmarkStart w:id="62" w:name="PT_10"/>
                  <w:bookmarkEnd w:id="62"/>
                  <w:r>
                    <w:t>）</w:t>
                  </w:r>
                </w:p>
              </w:tc>
              <w:tc>
                <w:tcPr>
                  <w:tcW w:w="1019" w:type="pct"/>
                  <w:gridSpan w:val="5"/>
                  <w:vAlign w:val="center"/>
                </w:tcPr>
                <w:p w14:paraId="7903C2AE">
                  <w:pPr>
                    <w:pStyle w:val="30"/>
                    <w:framePr w:hSpace="0" w:wrap="auto" w:vAnchor="margin" w:hAnchor="text" w:xAlign="left" w:yAlign="inline"/>
                  </w:pPr>
                  <w:r>
                    <w:t>建筑物外噪声声压级/dB（A）</w:t>
                  </w:r>
                </w:p>
              </w:tc>
            </w:tr>
            <w:tr w14:paraId="135CA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340" w:hRule="atLeast"/>
                <w:jc w:val="center"/>
              </w:trPr>
              <w:tc>
                <w:tcPr>
                  <w:tcW w:w="137" w:type="pct"/>
                  <w:vMerge w:val="continue"/>
                  <w:shd w:val="clear" w:color="auto" w:fill="FFFFFF"/>
                  <w:tcMar>
                    <w:top w:w="0" w:type="dxa"/>
                    <w:left w:w="0" w:type="dxa"/>
                    <w:bottom w:w="0" w:type="dxa"/>
                    <w:right w:w="0" w:type="dxa"/>
                  </w:tcMar>
                  <w:vAlign w:val="center"/>
                </w:tcPr>
                <w:p w14:paraId="4E76BA06">
                  <w:pPr>
                    <w:pStyle w:val="30"/>
                    <w:framePr w:hSpace="0" w:wrap="auto" w:vAnchor="margin" w:hAnchor="text" w:xAlign="left" w:yAlign="inline"/>
                  </w:pPr>
                </w:p>
              </w:tc>
              <w:tc>
                <w:tcPr>
                  <w:tcW w:w="188" w:type="pct"/>
                  <w:vMerge w:val="continue"/>
                  <w:shd w:val="clear" w:color="auto" w:fill="FFFFFF"/>
                  <w:tcMar>
                    <w:top w:w="0" w:type="dxa"/>
                    <w:left w:w="0" w:type="dxa"/>
                    <w:bottom w:w="0" w:type="dxa"/>
                    <w:right w:w="0" w:type="dxa"/>
                  </w:tcMar>
                  <w:vAlign w:val="center"/>
                </w:tcPr>
                <w:p w14:paraId="6BBD4E25">
                  <w:pPr>
                    <w:pStyle w:val="30"/>
                    <w:framePr w:hSpace="0" w:wrap="auto" w:vAnchor="margin" w:hAnchor="text" w:xAlign="left" w:yAlign="inline"/>
                  </w:pPr>
                </w:p>
              </w:tc>
              <w:tc>
                <w:tcPr>
                  <w:tcW w:w="314" w:type="pct"/>
                  <w:vMerge w:val="continue"/>
                  <w:shd w:val="clear" w:color="auto" w:fill="FFFFFF"/>
                  <w:tcMar>
                    <w:top w:w="0" w:type="dxa"/>
                    <w:left w:w="0" w:type="dxa"/>
                    <w:bottom w:w="0" w:type="dxa"/>
                    <w:right w:w="0" w:type="dxa"/>
                  </w:tcMar>
                  <w:vAlign w:val="center"/>
                </w:tcPr>
                <w:p w14:paraId="0B5B81A7">
                  <w:pPr>
                    <w:pStyle w:val="30"/>
                    <w:framePr w:hSpace="0" w:wrap="auto" w:vAnchor="margin" w:hAnchor="text" w:xAlign="left" w:yAlign="inline"/>
                  </w:pPr>
                </w:p>
              </w:tc>
              <w:tc>
                <w:tcPr>
                  <w:tcW w:w="269" w:type="pct"/>
                  <w:vMerge w:val="continue"/>
                  <w:shd w:val="clear" w:color="auto" w:fill="FFFFFF"/>
                  <w:tcMar>
                    <w:top w:w="0" w:type="dxa"/>
                    <w:left w:w="0" w:type="dxa"/>
                    <w:bottom w:w="0" w:type="dxa"/>
                    <w:right w:w="0" w:type="dxa"/>
                  </w:tcMar>
                  <w:vAlign w:val="center"/>
                </w:tcPr>
                <w:p w14:paraId="2A9431A2">
                  <w:pPr>
                    <w:pStyle w:val="30"/>
                    <w:framePr w:hSpace="0" w:wrap="auto" w:vAnchor="margin" w:hAnchor="text" w:xAlign="left" w:yAlign="inline"/>
                  </w:pPr>
                </w:p>
              </w:tc>
              <w:tc>
                <w:tcPr>
                  <w:tcW w:w="171" w:type="pct"/>
                  <w:vMerge w:val="continue"/>
                  <w:shd w:val="clear" w:color="auto" w:fill="FFFFFF"/>
                  <w:tcMar>
                    <w:top w:w="0" w:type="dxa"/>
                    <w:left w:w="0" w:type="dxa"/>
                    <w:bottom w:w="0" w:type="dxa"/>
                    <w:right w:w="0" w:type="dxa"/>
                  </w:tcMar>
                  <w:vAlign w:val="center"/>
                </w:tcPr>
                <w:p w14:paraId="4ED29833">
                  <w:pPr>
                    <w:pStyle w:val="30"/>
                    <w:framePr w:hSpace="0" w:wrap="auto" w:vAnchor="margin" w:hAnchor="text" w:xAlign="left" w:yAlign="inline"/>
                  </w:pPr>
                </w:p>
              </w:tc>
              <w:tc>
                <w:tcPr>
                  <w:tcW w:w="116" w:type="pct"/>
                  <w:shd w:val="clear" w:color="auto" w:fill="FFFFFF"/>
                  <w:tcMar>
                    <w:top w:w="0" w:type="dxa"/>
                    <w:left w:w="0" w:type="dxa"/>
                    <w:bottom w:w="0" w:type="dxa"/>
                    <w:right w:w="0" w:type="dxa"/>
                  </w:tcMar>
                  <w:vAlign w:val="center"/>
                </w:tcPr>
                <w:p w14:paraId="0A8C9BAD">
                  <w:pPr>
                    <w:pStyle w:val="30"/>
                    <w:framePr w:hSpace="0" w:wrap="auto" w:vAnchor="margin" w:hAnchor="text" w:xAlign="left" w:yAlign="inline"/>
                  </w:pPr>
                  <w:r>
                    <w:t>X</w:t>
                  </w:r>
                </w:p>
              </w:tc>
              <w:tc>
                <w:tcPr>
                  <w:tcW w:w="222" w:type="pct"/>
                  <w:shd w:val="clear" w:color="auto" w:fill="FFFFFF"/>
                  <w:tcMar>
                    <w:top w:w="0" w:type="dxa"/>
                    <w:left w:w="0" w:type="dxa"/>
                    <w:bottom w:w="0" w:type="dxa"/>
                    <w:right w:w="0" w:type="dxa"/>
                  </w:tcMar>
                  <w:vAlign w:val="center"/>
                </w:tcPr>
                <w:p w14:paraId="10253788">
                  <w:pPr>
                    <w:pStyle w:val="30"/>
                    <w:framePr w:hSpace="0" w:wrap="auto" w:vAnchor="margin" w:hAnchor="text" w:xAlign="left" w:yAlign="inline"/>
                  </w:pPr>
                  <w:r>
                    <w:t>Y</w:t>
                  </w:r>
                </w:p>
              </w:tc>
              <w:tc>
                <w:tcPr>
                  <w:tcW w:w="224" w:type="pct"/>
                  <w:shd w:val="clear" w:color="auto" w:fill="FFFFFF"/>
                  <w:tcMar>
                    <w:top w:w="0" w:type="dxa"/>
                    <w:left w:w="0" w:type="dxa"/>
                    <w:bottom w:w="0" w:type="dxa"/>
                    <w:right w:w="0" w:type="dxa"/>
                  </w:tcMar>
                  <w:vAlign w:val="center"/>
                </w:tcPr>
                <w:p w14:paraId="33348635">
                  <w:pPr>
                    <w:pStyle w:val="30"/>
                    <w:framePr w:hSpace="0" w:wrap="auto" w:vAnchor="margin" w:hAnchor="text" w:xAlign="left" w:yAlign="inline"/>
                  </w:pPr>
                  <w:r>
                    <w:t>Z</w:t>
                  </w:r>
                </w:p>
              </w:tc>
              <w:tc>
                <w:tcPr>
                  <w:tcW w:w="184" w:type="pct"/>
                  <w:shd w:val="clear" w:color="auto" w:fill="FFFFFF"/>
                  <w:tcMar>
                    <w:top w:w="0" w:type="dxa"/>
                    <w:left w:w="0" w:type="dxa"/>
                    <w:bottom w:w="0" w:type="dxa"/>
                    <w:right w:w="0" w:type="dxa"/>
                  </w:tcMar>
                  <w:vAlign w:val="center"/>
                </w:tcPr>
                <w:p w14:paraId="18F18B7B">
                  <w:pPr>
                    <w:pStyle w:val="30"/>
                    <w:framePr w:hSpace="0" w:wrap="auto" w:vAnchor="margin" w:hAnchor="text" w:xAlign="left" w:yAlign="inline"/>
                  </w:pPr>
                  <w:r>
                    <w:t>东</w:t>
                  </w:r>
                </w:p>
              </w:tc>
              <w:tc>
                <w:tcPr>
                  <w:tcW w:w="184" w:type="pct"/>
                  <w:shd w:val="clear" w:color="auto" w:fill="FFFFFF"/>
                  <w:tcMar>
                    <w:top w:w="0" w:type="dxa"/>
                    <w:left w:w="0" w:type="dxa"/>
                    <w:bottom w:w="0" w:type="dxa"/>
                    <w:right w:w="0" w:type="dxa"/>
                  </w:tcMar>
                  <w:vAlign w:val="center"/>
                </w:tcPr>
                <w:p w14:paraId="180E9A81">
                  <w:pPr>
                    <w:pStyle w:val="30"/>
                    <w:framePr w:hSpace="0" w:wrap="auto" w:vAnchor="margin" w:hAnchor="text" w:xAlign="left" w:yAlign="inline"/>
                  </w:pPr>
                  <w:r>
                    <w:t>南</w:t>
                  </w:r>
                </w:p>
              </w:tc>
              <w:tc>
                <w:tcPr>
                  <w:tcW w:w="184" w:type="pct"/>
                  <w:shd w:val="clear" w:color="auto" w:fill="FFFFFF"/>
                  <w:tcMar>
                    <w:top w:w="0" w:type="dxa"/>
                    <w:left w:w="0" w:type="dxa"/>
                    <w:bottom w:w="0" w:type="dxa"/>
                    <w:right w:w="0" w:type="dxa"/>
                  </w:tcMar>
                  <w:vAlign w:val="center"/>
                </w:tcPr>
                <w:p w14:paraId="1734B3E1">
                  <w:pPr>
                    <w:pStyle w:val="30"/>
                    <w:framePr w:hSpace="0" w:wrap="auto" w:vAnchor="margin" w:hAnchor="text" w:xAlign="left" w:yAlign="inline"/>
                  </w:pPr>
                  <w:r>
                    <w:t>西</w:t>
                  </w:r>
                </w:p>
              </w:tc>
              <w:tc>
                <w:tcPr>
                  <w:tcW w:w="189" w:type="pct"/>
                  <w:shd w:val="clear" w:color="auto" w:fill="FFFFFF"/>
                  <w:tcMar>
                    <w:top w:w="0" w:type="dxa"/>
                    <w:left w:w="0" w:type="dxa"/>
                    <w:bottom w:w="0" w:type="dxa"/>
                    <w:right w:w="0" w:type="dxa"/>
                  </w:tcMar>
                  <w:vAlign w:val="center"/>
                </w:tcPr>
                <w:p w14:paraId="3AFBB5AA">
                  <w:pPr>
                    <w:pStyle w:val="30"/>
                    <w:framePr w:hSpace="0" w:wrap="auto" w:vAnchor="margin" w:hAnchor="text" w:xAlign="left" w:yAlign="inline"/>
                  </w:pPr>
                  <w:r>
                    <w:t>北</w:t>
                  </w:r>
                </w:p>
              </w:tc>
              <w:tc>
                <w:tcPr>
                  <w:tcW w:w="183" w:type="pct"/>
                  <w:shd w:val="clear" w:color="auto" w:fill="FFFFFF"/>
                  <w:tcMar>
                    <w:top w:w="0" w:type="dxa"/>
                    <w:left w:w="0" w:type="dxa"/>
                    <w:bottom w:w="0" w:type="dxa"/>
                    <w:right w:w="0" w:type="dxa"/>
                  </w:tcMar>
                  <w:vAlign w:val="center"/>
                </w:tcPr>
                <w:p w14:paraId="596D81C9">
                  <w:pPr>
                    <w:pStyle w:val="30"/>
                    <w:framePr w:hSpace="0" w:wrap="auto" w:vAnchor="margin" w:hAnchor="text" w:xAlign="left" w:yAlign="inline"/>
                  </w:pPr>
                  <w:r>
                    <w:t>东</w:t>
                  </w:r>
                </w:p>
              </w:tc>
              <w:tc>
                <w:tcPr>
                  <w:tcW w:w="183" w:type="pct"/>
                  <w:shd w:val="clear" w:color="auto" w:fill="FFFFFF"/>
                  <w:tcMar>
                    <w:top w:w="0" w:type="dxa"/>
                    <w:left w:w="0" w:type="dxa"/>
                    <w:bottom w:w="0" w:type="dxa"/>
                    <w:right w:w="0" w:type="dxa"/>
                  </w:tcMar>
                  <w:vAlign w:val="center"/>
                </w:tcPr>
                <w:p w14:paraId="740D67D2">
                  <w:pPr>
                    <w:pStyle w:val="30"/>
                    <w:framePr w:hSpace="0" w:wrap="auto" w:vAnchor="margin" w:hAnchor="text" w:xAlign="left" w:yAlign="inline"/>
                  </w:pPr>
                  <w:r>
                    <w:t>南</w:t>
                  </w:r>
                </w:p>
              </w:tc>
              <w:tc>
                <w:tcPr>
                  <w:tcW w:w="183" w:type="pct"/>
                  <w:shd w:val="clear" w:color="auto" w:fill="FFFFFF"/>
                  <w:tcMar>
                    <w:top w:w="0" w:type="dxa"/>
                    <w:left w:w="0" w:type="dxa"/>
                    <w:bottom w:w="0" w:type="dxa"/>
                    <w:right w:w="0" w:type="dxa"/>
                  </w:tcMar>
                  <w:vAlign w:val="center"/>
                </w:tcPr>
                <w:p w14:paraId="4B849E5D">
                  <w:pPr>
                    <w:pStyle w:val="30"/>
                    <w:framePr w:hSpace="0" w:wrap="auto" w:vAnchor="margin" w:hAnchor="text" w:xAlign="left" w:yAlign="inline"/>
                  </w:pPr>
                  <w:r>
                    <w:t>西</w:t>
                  </w:r>
                </w:p>
              </w:tc>
              <w:tc>
                <w:tcPr>
                  <w:tcW w:w="183" w:type="pct"/>
                  <w:shd w:val="clear" w:color="auto" w:fill="FFFFFF"/>
                  <w:tcMar>
                    <w:top w:w="0" w:type="dxa"/>
                    <w:left w:w="0" w:type="dxa"/>
                    <w:bottom w:w="0" w:type="dxa"/>
                    <w:right w:w="0" w:type="dxa"/>
                  </w:tcMar>
                  <w:vAlign w:val="center"/>
                </w:tcPr>
                <w:p w14:paraId="5C385536">
                  <w:pPr>
                    <w:pStyle w:val="30"/>
                    <w:framePr w:hSpace="0" w:wrap="auto" w:vAnchor="margin" w:hAnchor="text" w:xAlign="left" w:yAlign="inline"/>
                  </w:pPr>
                  <w:r>
                    <w:t>北</w:t>
                  </w:r>
                </w:p>
              </w:tc>
              <w:tc>
                <w:tcPr>
                  <w:tcW w:w="158" w:type="pct"/>
                  <w:vMerge w:val="continue"/>
                  <w:shd w:val="clear" w:color="auto" w:fill="FFFFFF"/>
                  <w:tcMar>
                    <w:top w:w="0" w:type="dxa"/>
                    <w:left w:w="0" w:type="dxa"/>
                    <w:bottom w:w="0" w:type="dxa"/>
                    <w:right w:w="0" w:type="dxa"/>
                  </w:tcMar>
                  <w:vAlign w:val="center"/>
                </w:tcPr>
                <w:p w14:paraId="43A08D6C">
                  <w:pPr>
                    <w:pStyle w:val="30"/>
                    <w:framePr w:hSpace="0" w:wrap="auto" w:vAnchor="margin" w:hAnchor="text" w:xAlign="left" w:yAlign="inline"/>
                  </w:pPr>
                </w:p>
              </w:tc>
              <w:tc>
                <w:tcPr>
                  <w:tcW w:w="176" w:type="pct"/>
                  <w:shd w:val="clear" w:color="auto" w:fill="FFFFFF"/>
                  <w:tcMar>
                    <w:top w:w="0" w:type="dxa"/>
                    <w:left w:w="0" w:type="dxa"/>
                    <w:bottom w:w="0" w:type="dxa"/>
                    <w:right w:w="0" w:type="dxa"/>
                  </w:tcMar>
                  <w:vAlign w:val="center"/>
                </w:tcPr>
                <w:p w14:paraId="691297F4">
                  <w:pPr>
                    <w:pStyle w:val="30"/>
                    <w:framePr w:hSpace="0" w:wrap="auto" w:vAnchor="margin" w:hAnchor="text" w:xAlign="left" w:yAlign="inline"/>
                  </w:pPr>
                  <w:r>
                    <w:t>东</w:t>
                  </w:r>
                </w:p>
              </w:tc>
              <w:tc>
                <w:tcPr>
                  <w:tcW w:w="176" w:type="pct"/>
                  <w:shd w:val="clear" w:color="auto" w:fill="FFFFFF"/>
                  <w:tcMar>
                    <w:top w:w="0" w:type="dxa"/>
                    <w:left w:w="0" w:type="dxa"/>
                    <w:bottom w:w="0" w:type="dxa"/>
                    <w:right w:w="0" w:type="dxa"/>
                  </w:tcMar>
                  <w:vAlign w:val="center"/>
                </w:tcPr>
                <w:p w14:paraId="29E338D7">
                  <w:pPr>
                    <w:pStyle w:val="30"/>
                    <w:framePr w:hSpace="0" w:wrap="auto" w:vAnchor="margin" w:hAnchor="text" w:xAlign="left" w:yAlign="inline"/>
                  </w:pPr>
                  <w:r>
                    <w:t>南</w:t>
                  </w:r>
                </w:p>
              </w:tc>
              <w:tc>
                <w:tcPr>
                  <w:tcW w:w="176" w:type="pct"/>
                  <w:shd w:val="clear" w:color="auto" w:fill="FFFFFF"/>
                  <w:tcMar>
                    <w:top w:w="0" w:type="dxa"/>
                    <w:left w:w="0" w:type="dxa"/>
                    <w:bottom w:w="0" w:type="dxa"/>
                    <w:right w:w="0" w:type="dxa"/>
                  </w:tcMar>
                  <w:vAlign w:val="center"/>
                </w:tcPr>
                <w:p w14:paraId="6C8D6794">
                  <w:pPr>
                    <w:pStyle w:val="30"/>
                    <w:framePr w:hSpace="0" w:wrap="auto" w:vAnchor="margin" w:hAnchor="text" w:xAlign="left" w:yAlign="inline"/>
                  </w:pPr>
                  <w:r>
                    <w:t>西</w:t>
                  </w:r>
                </w:p>
              </w:tc>
              <w:tc>
                <w:tcPr>
                  <w:tcW w:w="177" w:type="pct"/>
                  <w:shd w:val="clear" w:color="auto" w:fill="FFFFFF"/>
                  <w:tcMar>
                    <w:top w:w="0" w:type="dxa"/>
                    <w:left w:w="0" w:type="dxa"/>
                    <w:bottom w:w="0" w:type="dxa"/>
                    <w:right w:w="0" w:type="dxa"/>
                  </w:tcMar>
                  <w:vAlign w:val="center"/>
                </w:tcPr>
                <w:p w14:paraId="410A973B">
                  <w:pPr>
                    <w:pStyle w:val="30"/>
                    <w:framePr w:hSpace="0" w:wrap="auto" w:vAnchor="margin" w:hAnchor="text" w:xAlign="left" w:yAlign="inline"/>
                  </w:pPr>
                  <w:r>
                    <w:t>北</w:t>
                  </w:r>
                </w:p>
              </w:tc>
              <w:tc>
                <w:tcPr>
                  <w:tcW w:w="187" w:type="pct"/>
                  <w:shd w:val="clear" w:color="auto" w:fill="FFFFFF"/>
                  <w:tcMar>
                    <w:top w:w="0" w:type="dxa"/>
                    <w:left w:w="0" w:type="dxa"/>
                    <w:bottom w:w="0" w:type="dxa"/>
                    <w:right w:w="0" w:type="dxa"/>
                  </w:tcMar>
                  <w:vAlign w:val="center"/>
                </w:tcPr>
                <w:p w14:paraId="7DB20157">
                  <w:pPr>
                    <w:pStyle w:val="30"/>
                    <w:framePr w:hSpace="0" w:wrap="auto" w:vAnchor="margin" w:hAnchor="text" w:xAlign="left" w:yAlign="inline"/>
                  </w:pPr>
                  <w:r>
                    <w:t>东</w:t>
                  </w:r>
                </w:p>
              </w:tc>
              <w:tc>
                <w:tcPr>
                  <w:tcW w:w="187" w:type="pct"/>
                  <w:shd w:val="clear" w:color="auto" w:fill="FFFFFF"/>
                  <w:tcMar>
                    <w:top w:w="0" w:type="dxa"/>
                    <w:left w:w="0" w:type="dxa"/>
                    <w:bottom w:w="0" w:type="dxa"/>
                    <w:right w:w="0" w:type="dxa"/>
                  </w:tcMar>
                  <w:vAlign w:val="center"/>
                </w:tcPr>
                <w:p w14:paraId="12394B75">
                  <w:pPr>
                    <w:pStyle w:val="30"/>
                    <w:framePr w:hSpace="0" w:wrap="auto" w:vAnchor="margin" w:hAnchor="text" w:xAlign="left" w:yAlign="inline"/>
                  </w:pPr>
                  <w:r>
                    <w:t>南</w:t>
                  </w:r>
                </w:p>
              </w:tc>
              <w:tc>
                <w:tcPr>
                  <w:tcW w:w="187" w:type="pct"/>
                  <w:shd w:val="clear" w:color="auto" w:fill="FFFFFF"/>
                  <w:tcMar>
                    <w:top w:w="0" w:type="dxa"/>
                    <w:left w:w="0" w:type="dxa"/>
                    <w:bottom w:w="0" w:type="dxa"/>
                    <w:right w:w="0" w:type="dxa"/>
                  </w:tcMar>
                  <w:vAlign w:val="center"/>
                </w:tcPr>
                <w:p w14:paraId="34082241">
                  <w:pPr>
                    <w:pStyle w:val="30"/>
                    <w:framePr w:hSpace="0" w:wrap="auto" w:vAnchor="margin" w:hAnchor="text" w:xAlign="left" w:yAlign="inline"/>
                  </w:pPr>
                  <w:r>
                    <w:t>西</w:t>
                  </w:r>
                </w:p>
              </w:tc>
              <w:tc>
                <w:tcPr>
                  <w:tcW w:w="188" w:type="pct"/>
                  <w:shd w:val="clear" w:color="auto" w:fill="FFFFFF"/>
                  <w:tcMar>
                    <w:top w:w="0" w:type="dxa"/>
                    <w:left w:w="0" w:type="dxa"/>
                    <w:bottom w:w="0" w:type="dxa"/>
                    <w:right w:w="0" w:type="dxa"/>
                  </w:tcMar>
                  <w:vAlign w:val="center"/>
                </w:tcPr>
                <w:p w14:paraId="74D297B1">
                  <w:pPr>
                    <w:pStyle w:val="30"/>
                    <w:framePr w:hSpace="0" w:wrap="auto" w:vAnchor="margin" w:hAnchor="text" w:xAlign="left" w:yAlign="inline"/>
                  </w:pPr>
                  <w:r>
                    <w:t>北</w:t>
                  </w:r>
                </w:p>
              </w:tc>
              <w:tc>
                <w:tcPr>
                  <w:tcW w:w="269" w:type="pct"/>
                  <w:shd w:val="clear" w:color="auto" w:fill="FFFFFF"/>
                  <w:tcMar>
                    <w:top w:w="0" w:type="dxa"/>
                    <w:left w:w="0" w:type="dxa"/>
                    <w:bottom w:w="0" w:type="dxa"/>
                    <w:right w:w="0" w:type="dxa"/>
                  </w:tcMar>
                  <w:vAlign w:val="center"/>
                </w:tcPr>
                <w:p w14:paraId="6CAA8AE4">
                  <w:pPr>
                    <w:pStyle w:val="30"/>
                    <w:framePr w:hSpace="0" w:wrap="auto" w:vAnchor="margin" w:hAnchor="text" w:xAlign="left" w:yAlign="inline"/>
                  </w:pPr>
                  <w:r>
                    <w:t>建筑物外距离</w:t>
                  </w:r>
                </w:p>
              </w:tc>
            </w:tr>
            <w:tr w14:paraId="2B0F6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340" w:hRule="atLeast"/>
                <w:jc w:val="center"/>
              </w:trPr>
              <w:tc>
                <w:tcPr>
                  <w:tcW w:w="137" w:type="pct"/>
                  <w:shd w:val="clear" w:color="auto" w:fill="FFFFFF"/>
                  <w:tcMar>
                    <w:top w:w="0" w:type="dxa"/>
                    <w:left w:w="0" w:type="dxa"/>
                    <w:bottom w:w="0" w:type="dxa"/>
                    <w:right w:w="0" w:type="dxa"/>
                  </w:tcMar>
                  <w:vAlign w:val="center"/>
                </w:tcPr>
                <w:p w14:paraId="0E996EB4">
                  <w:pPr>
                    <w:pStyle w:val="30"/>
                    <w:framePr w:hSpace="0" w:wrap="auto" w:vAnchor="margin" w:hAnchor="text" w:xAlign="left" w:yAlign="inline"/>
                    <w:numPr>
                      <w:ilvl w:val="0"/>
                      <w:numId w:val="2"/>
                    </w:numPr>
                    <w:rPr>
                      <w:lang w:val="en-US"/>
                    </w:rPr>
                  </w:pPr>
                </w:p>
              </w:tc>
              <w:tc>
                <w:tcPr>
                  <w:tcW w:w="188" w:type="pct"/>
                  <w:vMerge w:val="restart"/>
                  <w:shd w:val="clear" w:color="auto" w:fill="FFFFFF"/>
                  <w:tcMar>
                    <w:top w:w="0" w:type="dxa"/>
                    <w:left w:w="0" w:type="dxa"/>
                    <w:bottom w:w="0" w:type="dxa"/>
                    <w:right w:w="0" w:type="dxa"/>
                  </w:tcMar>
                  <w:vAlign w:val="center"/>
                </w:tcPr>
                <w:p w14:paraId="31768C01">
                  <w:pPr>
                    <w:pStyle w:val="30"/>
                    <w:framePr w:hSpace="0" w:wrap="auto" w:vAnchor="margin" w:hAnchor="text" w:xAlign="left" w:yAlign="inline"/>
                  </w:pPr>
                  <w:r>
                    <w:rPr>
                      <w:rFonts w:hint="eastAsia"/>
                    </w:rPr>
                    <w:t>一层</w:t>
                  </w:r>
                  <w:r>
                    <w:t>车间</w:t>
                  </w:r>
                </w:p>
              </w:tc>
              <w:tc>
                <w:tcPr>
                  <w:tcW w:w="314" w:type="pct"/>
                  <w:shd w:val="clear" w:color="auto" w:fill="auto"/>
                  <w:tcMar>
                    <w:top w:w="0" w:type="dxa"/>
                    <w:left w:w="0" w:type="dxa"/>
                    <w:bottom w:w="0" w:type="dxa"/>
                    <w:right w:w="0" w:type="dxa"/>
                  </w:tcMar>
                  <w:vAlign w:val="center"/>
                </w:tcPr>
                <w:p w14:paraId="402318A4">
                  <w:pPr>
                    <w:pStyle w:val="30"/>
                    <w:framePr w:hSpace="0" w:wrap="auto" w:vAnchor="margin" w:hAnchor="text" w:xAlign="left" w:yAlign="inline"/>
                    <w:rPr>
                      <w:lang w:val="en-US"/>
                    </w:rPr>
                  </w:pPr>
                  <w:r>
                    <w:rPr>
                      <w:rFonts w:hint="eastAsia"/>
                      <w:lang w:val="en-US"/>
                    </w:rPr>
                    <w:t>真空</w:t>
                  </w:r>
                  <w:r>
                    <w:rPr>
                      <w:rFonts w:hint="eastAsia"/>
                    </w:rPr>
                    <w:t>和面机</w:t>
                  </w:r>
                </w:p>
              </w:tc>
              <w:tc>
                <w:tcPr>
                  <w:tcW w:w="725" w:type="dxa"/>
                  <w:shd w:val="clear" w:color="auto" w:fill="FFFFFF"/>
                  <w:tcMar>
                    <w:top w:w="0" w:type="dxa"/>
                    <w:left w:w="0" w:type="dxa"/>
                    <w:bottom w:w="0" w:type="dxa"/>
                    <w:right w:w="0" w:type="dxa"/>
                  </w:tcMar>
                  <w:vAlign w:val="center"/>
                </w:tcPr>
                <w:p w14:paraId="2DBF48FB">
                  <w:pPr>
                    <w:pStyle w:val="30"/>
                    <w:framePr w:hSpace="0" w:wrap="auto" w:vAnchor="margin" w:hAnchor="text" w:xAlign="left" w:yAlign="inline"/>
                    <w:rPr>
                      <w:lang w:val="en-US"/>
                    </w:rPr>
                  </w:pPr>
                  <w:r>
                    <w:rPr>
                      <w:lang w:val="en-US"/>
                    </w:rPr>
                    <w:t>80</w:t>
                  </w:r>
                </w:p>
              </w:tc>
              <w:tc>
                <w:tcPr>
                  <w:tcW w:w="171" w:type="pct"/>
                  <w:vMerge w:val="restart"/>
                  <w:shd w:val="clear" w:color="auto" w:fill="FFFFFF"/>
                  <w:tcMar>
                    <w:top w:w="0" w:type="dxa"/>
                    <w:left w:w="0" w:type="dxa"/>
                    <w:bottom w:w="0" w:type="dxa"/>
                    <w:right w:w="0" w:type="dxa"/>
                  </w:tcMar>
                  <w:vAlign w:val="center"/>
                </w:tcPr>
                <w:p w14:paraId="7A9EC271">
                  <w:pPr>
                    <w:pStyle w:val="30"/>
                    <w:framePr w:hSpace="0" w:wrap="auto" w:vAnchor="margin" w:hAnchor="text" w:xAlign="left" w:yAlign="inline"/>
                    <w:rPr>
                      <w:lang w:val="en-US"/>
                    </w:rPr>
                  </w:pPr>
                  <w:r>
                    <w:t>采用低噪声设备，安装减震基座</w:t>
                  </w:r>
                </w:p>
              </w:tc>
              <w:tc>
                <w:tcPr>
                  <w:tcW w:w="313" w:type="dxa"/>
                  <w:shd w:val="clear" w:color="auto" w:fill="FFFFFF"/>
                  <w:tcMar>
                    <w:top w:w="0" w:type="dxa"/>
                    <w:left w:w="0" w:type="dxa"/>
                    <w:bottom w:w="0" w:type="dxa"/>
                    <w:right w:w="0" w:type="dxa"/>
                  </w:tcMar>
                  <w:vAlign w:val="center"/>
                </w:tcPr>
                <w:p w14:paraId="14D5F67A">
                  <w:pPr>
                    <w:pStyle w:val="30"/>
                    <w:framePr w:hSpace="0" w:wrap="auto" w:vAnchor="margin" w:hAnchor="text" w:xAlign="left" w:yAlign="inline"/>
                    <w:rPr>
                      <w:lang w:val="en-US"/>
                    </w:rPr>
                  </w:pPr>
                  <w:r>
                    <w:rPr>
                      <w:lang w:val="en-US"/>
                    </w:rPr>
                    <w:t>20</w:t>
                  </w:r>
                </w:p>
              </w:tc>
              <w:tc>
                <w:tcPr>
                  <w:tcW w:w="598" w:type="dxa"/>
                  <w:shd w:val="clear" w:color="auto" w:fill="FFFFFF"/>
                  <w:tcMar>
                    <w:top w:w="0" w:type="dxa"/>
                    <w:left w:w="0" w:type="dxa"/>
                    <w:bottom w:w="0" w:type="dxa"/>
                    <w:right w:w="0" w:type="dxa"/>
                  </w:tcMar>
                  <w:vAlign w:val="center"/>
                </w:tcPr>
                <w:p w14:paraId="7A9A06AC">
                  <w:pPr>
                    <w:pStyle w:val="30"/>
                    <w:framePr w:hSpace="0" w:wrap="auto" w:vAnchor="margin" w:hAnchor="text" w:xAlign="left" w:yAlign="inline"/>
                    <w:rPr>
                      <w:lang w:val="en-US"/>
                    </w:rPr>
                  </w:pPr>
                  <w:r>
                    <w:rPr>
                      <w:lang w:val="en-US"/>
                    </w:rPr>
                    <w:t>10</w:t>
                  </w:r>
                </w:p>
              </w:tc>
              <w:tc>
                <w:tcPr>
                  <w:tcW w:w="604" w:type="dxa"/>
                  <w:shd w:val="clear" w:color="auto" w:fill="FFFFFF"/>
                  <w:tcMar>
                    <w:top w:w="0" w:type="dxa"/>
                    <w:left w:w="0" w:type="dxa"/>
                    <w:bottom w:w="0" w:type="dxa"/>
                    <w:right w:w="0" w:type="dxa"/>
                  </w:tcMar>
                  <w:vAlign w:val="center"/>
                </w:tcPr>
                <w:p w14:paraId="7A263AED">
                  <w:pPr>
                    <w:pStyle w:val="30"/>
                    <w:framePr w:hSpace="0" w:wrap="auto" w:vAnchor="margin" w:hAnchor="text" w:xAlign="left" w:yAlign="inline"/>
                    <w:rPr>
                      <w:lang w:val="en-US"/>
                    </w:rPr>
                  </w:pPr>
                  <w:r>
                    <w:rPr>
                      <w:lang w:val="en-US"/>
                    </w:rPr>
                    <w:t>1.2</w:t>
                  </w:r>
                </w:p>
              </w:tc>
              <w:tc>
                <w:tcPr>
                  <w:tcW w:w="496" w:type="dxa"/>
                  <w:shd w:val="clear" w:color="auto" w:fill="FFFFFF"/>
                  <w:tcMar>
                    <w:top w:w="0" w:type="dxa"/>
                    <w:left w:w="0" w:type="dxa"/>
                    <w:bottom w:w="0" w:type="dxa"/>
                    <w:right w:w="0" w:type="dxa"/>
                  </w:tcMar>
                  <w:vAlign w:val="center"/>
                </w:tcPr>
                <w:p w14:paraId="66A82C4B">
                  <w:pPr>
                    <w:pStyle w:val="30"/>
                    <w:framePr w:hSpace="0" w:wrap="auto" w:vAnchor="margin" w:hAnchor="text" w:xAlign="left" w:yAlign="inline"/>
                    <w:rPr>
                      <w:lang w:val="en-US"/>
                    </w:rPr>
                  </w:pPr>
                  <w:r>
                    <w:rPr>
                      <w:lang w:val="en-US"/>
                    </w:rPr>
                    <w:t>21</w:t>
                  </w:r>
                </w:p>
              </w:tc>
              <w:tc>
                <w:tcPr>
                  <w:tcW w:w="496" w:type="dxa"/>
                  <w:shd w:val="clear" w:color="auto" w:fill="FFFFFF"/>
                  <w:tcMar>
                    <w:top w:w="0" w:type="dxa"/>
                    <w:left w:w="0" w:type="dxa"/>
                    <w:bottom w:w="0" w:type="dxa"/>
                    <w:right w:w="0" w:type="dxa"/>
                  </w:tcMar>
                  <w:vAlign w:val="center"/>
                </w:tcPr>
                <w:p w14:paraId="20D67048">
                  <w:pPr>
                    <w:pStyle w:val="30"/>
                    <w:framePr w:hSpace="0" w:wrap="auto" w:vAnchor="margin" w:hAnchor="text" w:xAlign="left" w:yAlign="inline"/>
                    <w:rPr>
                      <w:lang w:val="en-US"/>
                    </w:rPr>
                  </w:pPr>
                  <w:r>
                    <w:rPr>
                      <w:lang w:val="en-US"/>
                    </w:rPr>
                    <w:t>10</w:t>
                  </w:r>
                </w:p>
              </w:tc>
              <w:tc>
                <w:tcPr>
                  <w:tcW w:w="496" w:type="dxa"/>
                  <w:shd w:val="clear" w:color="auto" w:fill="FFFFFF"/>
                  <w:tcMar>
                    <w:top w:w="0" w:type="dxa"/>
                    <w:left w:w="0" w:type="dxa"/>
                    <w:bottom w:w="0" w:type="dxa"/>
                    <w:right w:w="0" w:type="dxa"/>
                  </w:tcMar>
                  <w:vAlign w:val="center"/>
                </w:tcPr>
                <w:p w14:paraId="05A8F9D7">
                  <w:pPr>
                    <w:pStyle w:val="30"/>
                    <w:framePr w:hSpace="0" w:wrap="auto" w:vAnchor="margin" w:hAnchor="text" w:xAlign="left" w:yAlign="inline"/>
                    <w:rPr>
                      <w:lang w:val="en-US"/>
                    </w:rPr>
                  </w:pPr>
                  <w:r>
                    <w:rPr>
                      <w:lang w:val="en-US"/>
                    </w:rPr>
                    <w:t>20</w:t>
                  </w:r>
                </w:p>
              </w:tc>
              <w:tc>
                <w:tcPr>
                  <w:tcW w:w="509" w:type="dxa"/>
                  <w:shd w:val="clear" w:color="auto" w:fill="FFFFFF"/>
                  <w:tcMar>
                    <w:top w:w="0" w:type="dxa"/>
                    <w:left w:w="0" w:type="dxa"/>
                    <w:bottom w:w="0" w:type="dxa"/>
                    <w:right w:w="0" w:type="dxa"/>
                  </w:tcMar>
                  <w:vAlign w:val="center"/>
                </w:tcPr>
                <w:p w14:paraId="6B6DE210">
                  <w:pPr>
                    <w:pStyle w:val="30"/>
                    <w:framePr w:hSpace="0" w:wrap="auto" w:vAnchor="margin" w:hAnchor="text" w:xAlign="left" w:yAlign="inline"/>
                    <w:rPr>
                      <w:lang w:val="en-US"/>
                    </w:rPr>
                  </w:pPr>
                  <w:r>
                    <w:rPr>
                      <w:lang w:val="en-US"/>
                    </w:rPr>
                    <w:t>49</w:t>
                  </w:r>
                </w:p>
              </w:tc>
              <w:tc>
                <w:tcPr>
                  <w:tcW w:w="493" w:type="dxa"/>
                  <w:shd w:val="clear" w:color="auto" w:fill="FFFFFF"/>
                  <w:tcMar>
                    <w:top w:w="0" w:type="dxa"/>
                    <w:left w:w="0" w:type="dxa"/>
                    <w:bottom w:w="0" w:type="dxa"/>
                    <w:right w:w="0" w:type="dxa"/>
                  </w:tcMar>
                  <w:vAlign w:val="center"/>
                </w:tcPr>
                <w:p w14:paraId="54180EC4">
                  <w:pPr>
                    <w:pStyle w:val="30"/>
                    <w:framePr w:hSpace="0" w:wrap="auto" w:vAnchor="margin" w:hAnchor="text" w:xAlign="left" w:yAlign="inline"/>
                    <w:rPr>
                      <w:lang w:val="en-US"/>
                    </w:rPr>
                  </w:pPr>
                  <w:r>
                    <w:rPr>
                      <w:lang w:val="en-US"/>
                    </w:rPr>
                    <w:t>49.5</w:t>
                  </w:r>
                </w:p>
              </w:tc>
              <w:tc>
                <w:tcPr>
                  <w:tcW w:w="493" w:type="dxa"/>
                  <w:shd w:val="clear" w:color="auto" w:fill="FFFFFF"/>
                  <w:tcMar>
                    <w:top w:w="0" w:type="dxa"/>
                    <w:left w:w="0" w:type="dxa"/>
                    <w:bottom w:w="0" w:type="dxa"/>
                    <w:right w:w="0" w:type="dxa"/>
                  </w:tcMar>
                  <w:vAlign w:val="center"/>
                </w:tcPr>
                <w:p w14:paraId="2DBAFED3">
                  <w:pPr>
                    <w:pStyle w:val="30"/>
                    <w:framePr w:hSpace="0" w:wrap="auto" w:vAnchor="margin" w:hAnchor="text" w:xAlign="left" w:yAlign="inline"/>
                    <w:rPr>
                      <w:lang w:val="en-US"/>
                    </w:rPr>
                  </w:pPr>
                  <w:r>
                    <w:rPr>
                      <w:lang w:val="en-US"/>
                    </w:rPr>
                    <w:t>49.5</w:t>
                  </w:r>
                </w:p>
              </w:tc>
              <w:tc>
                <w:tcPr>
                  <w:tcW w:w="493" w:type="dxa"/>
                  <w:shd w:val="clear" w:color="auto" w:fill="FFFFFF"/>
                  <w:tcMar>
                    <w:top w:w="0" w:type="dxa"/>
                    <w:left w:w="0" w:type="dxa"/>
                    <w:bottom w:w="0" w:type="dxa"/>
                    <w:right w:w="0" w:type="dxa"/>
                  </w:tcMar>
                  <w:vAlign w:val="center"/>
                </w:tcPr>
                <w:p w14:paraId="4990A3B1">
                  <w:pPr>
                    <w:pStyle w:val="30"/>
                    <w:framePr w:hSpace="0" w:wrap="auto" w:vAnchor="margin" w:hAnchor="text" w:xAlign="left" w:yAlign="inline"/>
                    <w:rPr>
                      <w:lang w:val="en-US"/>
                    </w:rPr>
                  </w:pPr>
                  <w:r>
                    <w:rPr>
                      <w:lang w:val="en-US"/>
                    </w:rPr>
                    <w:t>49.5</w:t>
                  </w:r>
                </w:p>
              </w:tc>
              <w:tc>
                <w:tcPr>
                  <w:tcW w:w="493" w:type="dxa"/>
                  <w:shd w:val="clear" w:color="auto" w:fill="FFFFFF"/>
                  <w:tcMar>
                    <w:top w:w="0" w:type="dxa"/>
                    <w:left w:w="0" w:type="dxa"/>
                    <w:bottom w:w="0" w:type="dxa"/>
                    <w:right w:w="0" w:type="dxa"/>
                  </w:tcMar>
                  <w:vAlign w:val="center"/>
                </w:tcPr>
                <w:p w14:paraId="73696279">
                  <w:pPr>
                    <w:pStyle w:val="30"/>
                    <w:framePr w:hSpace="0" w:wrap="auto" w:vAnchor="margin" w:hAnchor="text" w:xAlign="left" w:yAlign="inline"/>
                    <w:rPr>
                      <w:lang w:val="en-US"/>
                    </w:rPr>
                  </w:pPr>
                  <w:r>
                    <w:rPr>
                      <w:lang w:val="en-US"/>
                    </w:rPr>
                    <w:t>48.4</w:t>
                  </w:r>
                </w:p>
              </w:tc>
              <w:tc>
                <w:tcPr>
                  <w:tcW w:w="158" w:type="pct"/>
                  <w:vMerge w:val="restart"/>
                  <w:shd w:val="clear" w:color="auto" w:fill="FFFFFF"/>
                  <w:tcMar>
                    <w:top w:w="0" w:type="dxa"/>
                    <w:left w:w="0" w:type="dxa"/>
                    <w:bottom w:w="0" w:type="dxa"/>
                    <w:right w:w="0" w:type="dxa"/>
                  </w:tcMar>
                  <w:vAlign w:val="center"/>
                </w:tcPr>
                <w:p w14:paraId="70651ABC">
                  <w:pPr>
                    <w:pStyle w:val="30"/>
                    <w:framePr w:hSpace="0" w:wrap="auto" w:vAnchor="margin" w:hAnchor="text" w:xAlign="left" w:yAlign="inline"/>
                    <w:rPr>
                      <w:lang w:val="en-US"/>
                    </w:rPr>
                  </w:pPr>
                  <w:r>
                    <w:t>持续8小时</w:t>
                  </w:r>
                </w:p>
              </w:tc>
              <w:tc>
                <w:tcPr>
                  <w:tcW w:w="474" w:type="dxa"/>
                  <w:shd w:val="clear" w:color="auto" w:fill="FFFFFF"/>
                  <w:tcMar>
                    <w:top w:w="0" w:type="dxa"/>
                    <w:left w:w="0" w:type="dxa"/>
                    <w:bottom w:w="0" w:type="dxa"/>
                    <w:right w:w="0" w:type="dxa"/>
                  </w:tcMar>
                  <w:vAlign w:val="center"/>
                </w:tcPr>
                <w:p w14:paraId="055A876D">
                  <w:pPr>
                    <w:pStyle w:val="30"/>
                    <w:framePr w:hSpace="0" w:wrap="auto" w:vAnchor="margin" w:hAnchor="text" w:xAlign="left" w:yAlign="inline"/>
                  </w:pPr>
                  <w:r>
                    <w:rPr>
                      <w:lang w:val="en-US"/>
                    </w:rPr>
                    <w:t>20</w:t>
                  </w:r>
                </w:p>
              </w:tc>
              <w:tc>
                <w:tcPr>
                  <w:tcW w:w="474" w:type="dxa"/>
                  <w:shd w:val="clear" w:color="auto" w:fill="FFFFFF"/>
                  <w:tcMar>
                    <w:top w:w="0" w:type="dxa"/>
                    <w:left w:w="0" w:type="dxa"/>
                    <w:bottom w:w="0" w:type="dxa"/>
                    <w:right w:w="0" w:type="dxa"/>
                  </w:tcMar>
                  <w:vAlign w:val="center"/>
                </w:tcPr>
                <w:p w14:paraId="065EBA17">
                  <w:pPr>
                    <w:pStyle w:val="30"/>
                    <w:framePr w:hSpace="0" w:wrap="auto" w:vAnchor="margin" w:hAnchor="text" w:xAlign="left" w:yAlign="inline"/>
                  </w:pPr>
                  <w:r>
                    <w:rPr>
                      <w:lang w:val="en-US"/>
                    </w:rPr>
                    <w:t>20</w:t>
                  </w:r>
                </w:p>
              </w:tc>
              <w:tc>
                <w:tcPr>
                  <w:tcW w:w="474" w:type="dxa"/>
                  <w:shd w:val="clear" w:color="auto" w:fill="FFFFFF"/>
                  <w:tcMar>
                    <w:top w:w="0" w:type="dxa"/>
                    <w:left w:w="0" w:type="dxa"/>
                    <w:bottom w:w="0" w:type="dxa"/>
                    <w:right w:w="0" w:type="dxa"/>
                  </w:tcMar>
                  <w:vAlign w:val="center"/>
                </w:tcPr>
                <w:p w14:paraId="02A25CA8">
                  <w:pPr>
                    <w:pStyle w:val="30"/>
                    <w:framePr w:hSpace="0" w:wrap="auto" w:vAnchor="margin" w:hAnchor="text" w:xAlign="left" w:yAlign="inline"/>
                  </w:pPr>
                  <w:r>
                    <w:rPr>
                      <w:lang w:val="en-US"/>
                    </w:rPr>
                    <w:t>20</w:t>
                  </w:r>
                </w:p>
              </w:tc>
              <w:tc>
                <w:tcPr>
                  <w:tcW w:w="477" w:type="dxa"/>
                  <w:shd w:val="clear" w:color="auto" w:fill="FFFFFF"/>
                  <w:tcMar>
                    <w:top w:w="0" w:type="dxa"/>
                    <w:left w:w="0" w:type="dxa"/>
                    <w:bottom w:w="0" w:type="dxa"/>
                    <w:right w:w="0" w:type="dxa"/>
                  </w:tcMar>
                  <w:vAlign w:val="center"/>
                </w:tcPr>
                <w:p w14:paraId="5EDD7D3E">
                  <w:pPr>
                    <w:pStyle w:val="30"/>
                    <w:framePr w:hSpace="0" w:wrap="auto" w:vAnchor="margin" w:hAnchor="text" w:xAlign="left" w:yAlign="inline"/>
                  </w:pPr>
                  <w:r>
                    <w:rPr>
                      <w:lang w:val="en-US"/>
                    </w:rPr>
                    <w:t>20</w:t>
                  </w:r>
                </w:p>
              </w:tc>
              <w:tc>
                <w:tcPr>
                  <w:tcW w:w="504" w:type="dxa"/>
                  <w:shd w:val="clear" w:color="auto" w:fill="FFFFFF"/>
                  <w:tcMar>
                    <w:top w:w="0" w:type="dxa"/>
                    <w:left w:w="0" w:type="dxa"/>
                    <w:bottom w:w="0" w:type="dxa"/>
                    <w:right w:w="0" w:type="dxa"/>
                  </w:tcMar>
                  <w:vAlign w:val="center"/>
                </w:tcPr>
                <w:p w14:paraId="77BA05BD">
                  <w:pPr>
                    <w:pStyle w:val="30"/>
                    <w:framePr w:hSpace="0" w:wrap="auto" w:vAnchor="margin" w:hAnchor="text" w:xAlign="left" w:yAlign="inline"/>
                    <w:rPr>
                      <w:lang w:val="en-US"/>
                    </w:rPr>
                  </w:pPr>
                  <w:r>
                    <w:rPr>
                      <w:lang w:val="en-US"/>
                    </w:rPr>
                    <w:t>29.5</w:t>
                  </w:r>
                </w:p>
              </w:tc>
              <w:tc>
                <w:tcPr>
                  <w:tcW w:w="504" w:type="dxa"/>
                  <w:shd w:val="clear" w:color="auto" w:fill="FFFFFF"/>
                  <w:tcMar>
                    <w:top w:w="0" w:type="dxa"/>
                    <w:left w:w="0" w:type="dxa"/>
                    <w:bottom w:w="0" w:type="dxa"/>
                    <w:right w:w="0" w:type="dxa"/>
                  </w:tcMar>
                  <w:vAlign w:val="center"/>
                </w:tcPr>
                <w:p w14:paraId="4A735E45">
                  <w:pPr>
                    <w:pStyle w:val="30"/>
                    <w:framePr w:hSpace="0" w:wrap="auto" w:vAnchor="margin" w:hAnchor="text" w:xAlign="left" w:yAlign="inline"/>
                    <w:rPr>
                      <w:lang w:val="en-US"/>
                    </w:rPr>
                  </w:pPr>
                  <w:r>
                    <w:rPr>
                      <w:lang w:val="en-US"/>
                    </w:rPr>
                    <w:t>29.5</w:t>
                  </w:r>
                </w:p>
              </w:tc>
              <w:tc>
                <w:tcPr>
                  <w:tcW w:w="504" w:type="dxa"/>
                  <w:shd w:val="clear" w:color="auto" w:fill="FFFFFF"/>
                  <w:tcMar>
                    <w:top w:w="0" w:type="dxa"/>
                    <w:left w:w="0" w:type="dxa"/>
                    <w:bottom w:w="0" w:type="dxa"/>
                    <w:right w:w="0" w:type="dxa"/>
                  </w:tcMar>
                  <w:vAlign w:val="center"/>
                </w:tcPr>
                <w:p w14:paraId="22DF4154">
                  <w:pPr>
                    <w:pStyle w:val="30"/>
                    <w:framePr w:hSpace="0" w:wrap="auto" w:vAnchor="margin" w:hAnchor="text" w:xAlign="left" w:yAlign="inline"/>
                    <w:rPr>
                      <w:lang w:val="en-US"/>
                    </w:rPr>
                  </w:pPr>
                  <w:r>
                    <w:rPr>
                      <w:lang w:val="en-US"/>
                    </w:rPr>
                    <w:t>29.5</w:t>
                  </w:r>
                </w:p>
              </w:tc>
              <w:tc>
                <w:tcPr>
                  <w:tcW w:w="507" w:type="dxa"/>
                  <w:shd w:val="clear" w:color="auto" w:fill="FFFFFF"/>
                  <w:tcMar>
                    <w:top w:w="0" w:type="dxa"/>
                    <w:left w:w="0" w:type="dxa"/>
                    <w:bottom w:w="0" w:type="dxa"/>
                    <w:right w:w="0" w:type="dxa"/>
                  </w:tcMar>
                  <w:vAlign w:val="center"/>
                </w:tcPr>
                <w:p w14:paraId="18ED4B55">
                  <w:pPr>
                    <w:pStyle w:val="30"/>
                    <w:framePr w:hSpace="0" w:wrap="auto" w:vAnchor="margin" w:hAnchor="text" w:xAlign="left" w:yAlign="inline"/>
                    <w:rPr>
                      <w:lang w:val="en-US"/>
                    </w:rPr>
                  </w:pPr>
                  <w:r>
                    <w:rPr>
                      <w:lang w:val="en-US"/>
                    </w:rPr>
                    <w:t>28.4</w:t>
                  </w:r>
                </w:p>
              </w:tc>
              <w:tc>
                <w:tcPr>
                  <w:tcW w:w="269" w:type="pct"/>
                  <w:shd w:val="clear" w:color="auto" w:fill="FFFFFF"/>
                  <w:tcMar>
                    <w:top w:w="0" w:type="dxa"/>
                    <w:left w:w="0" w:type="dxa"/>
                    <w:bottom w:w="0" w:type="dxa"/>
                    <w:right w:w="0" w:type="dxa"/>
                  </w:tcMar>
                  <w:vAlign w:val="center"/>
                </w:tcPr>
                <w:p w14:paraId="6A88126C">
                  <w:pPr>
                    <w:pStyle w:val="30"/>
                    <w:framePr w:hSpace="0" w:wrap="auto" w:vAnchor="margin" w:hAnchor="text" w:xAlign="left" w:yAlign="inline"/>
                  </w:pPr>
                  <w:r>
                    <w:t>1</w:t>
                  </w:r>
                </w:p>
              </w:tc>
            </w:tr>
            <w:tr w14:paraId="43540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340" w:hRule="atLeast"/>
                <w:jc w:val="center"/>
              </w:trPr>
              <w:tc>
                <w:tcPr>
                  <w:tcW w:w="137" w:type="pct"/>
                  <w:shd w:val="clear" w:color="auto" w:fill="FFFFFF"/>
                  <w:tcMar>
                    <w:top w:w="0" w:type="dxa"/>
                    <w:left w:w="0" w:type="dxa"/>
                    <w:bottom w:w="0" w:type="dxa"/>
                    <w:right w:w="0" w:type="dxa"/>
                  </w:tcMar>
                  <w:vAlign w:val="center"/>
                </w:tcPr>
                <w:p w14:paraId="2A18920E">
                  <w:pPr>
                    <w:pStyle w:val="30"/>
                    <w:framePr w:hSpace="0" w:wrap="auto" w:vAnchor="margin" w:hAnchor="text" w:xAlign="left" w:yAlign="inline"/>
                    <w:numPr>
                      <w:ilvl w:val="0"/>
                      <w:numId w:val="2"/>
                    </w:numPr>
                    <w:rPr>
                      <w:lang w:val="en-US"/>
                    </w:rPr>
                  </w:pPr>
                </w:p>
              </w:tc>
              <w:tc>
                <w:tcPr>
                  <w:tcW w:w="188" w:type="pct"/>
                  <w:vMerge w:val="continue"/>
                  <w:shd w:val="clear" w:color="auto" w:fill="FFFFFF"/>
                  <w:tcMar>
                    <w:top w:w="0" w:type="dxa"/>
                    <w:left w:w="0" w:type="dxa"/>
                    <w:bottom w:w="0" w:type="dxa"/>
                    <w:right w:w="0" w:type="dxa"/>
                  </w:tcMar>
                  <w:vAlign w:val="center"/>
                </w:tcPr>
                <w:p w14:paraId="490EF94F">
                  <w:pPr>
                    <w:pStyle w:val="30"/>
                    <w:framePr w:hSpace="0" w:wrap="auto" w:vAnchor="margin" w:hAnchor="text" w:xAlign="left" w:yAlign="inline"/>
                  </w:pPr>
                </w:p>
              </w:tc>
              <w:tc>
                <w:tcPr>
                  <w:tcW w:w="314" w:type="pct"/>
                  <w:shd w:val="clear" w:color="auto" w:fill="auto"/>
                  <w:tcMar>
                    <w:top w:w="0" w:type="dxa"/>
                    <w:left w:w="0" w:type="dxa"/>
                    <w:bottom w:w="0" w:type="dxa"/>
                    <w:right w:w="0" w:type="dxa"/>
                  </w:tcMar>
                  <w:vAlign w:val="center"/>
                </w:tcPr>
                <w:p w14:paraId="15A18785">
                  <w:pPr>
                    <w:pStyle w:val="30"/>
                    <w:framePr w:hSpace="0" w:wrap="auto" w:vAnchor="margin" w:hAnchor="text" w:xAlign="left" w:yAlign="inline"/>
                    <w:rPr>
                      <w:lang w:val="en-US"/>
                    </w:rPr>
                  </w:pPr>
                  <w:r>
                    <w:rPr>
                      <w:rFonts w:hint="eastAsia"/>
                    </w:rPr>
                    <w:t>挤压机</w:t>
                  </w:r>
                </w:p>
              </w:tc>
              <w:tc>
                <w:tcPr>
                  <w:tcW w:w="725" w:type="dxa"/>
                  <w:shd w:val="clear" w:color="auto" w:fill="FFFFFF"/>
                  <w:tcMar>
                    <w:top w:w="0" w:type="dxa"/>
                    <w:left w:w="0" w:type="dxa"/>
                    <w:bottom w:w="0" w:type="dxa"/>
                    <w:right w:w="0" w:type="dxa"/>
                  </w:tcMar>
                  <w:vAlign w:val="center"/>
                </w:tcPr>
                <w:p w14:paraId="7B1667C7">
                  <w:pPr>
                    <w:pStyle w:val="30"/>
                    <w:framePr w:hSpace="0" w:wrap="auto" w:vAnchor="margin" w:hAnchor="text" w:xAlign="left" w:yAlign="inline"/>
                    <w:rPr>
                      <w:lang w:val="en-US"/>
                    </w:rPr>
                  </w:pPr>
                  <w:r>
                    <w:rPr>
                      <w:lang w:val="en-US"/>
                    </w:rPr>
                    <w:t>75</w:t>
                  </w:r>
                </w:p>
              </w:tc>
              <w:tc>
                <w:tcPr>
                  <w:tcW w:w="171" w:type="pct"/>
                  <w:vMerge w:val="continue"/>
                  <w:shd w:val="clear" w:color="auto" w:fill="FFFFFF"/>
                  <w:tcMar>
                    <w:top w:w="0" w:type="dxa"/>
                    <w:left w:w="0" w:type="dxa"/>
                    <w:bottom w:w="0" w:type="dxa"/>
                    <w:right w:w="0" w:type="dxa"/>
                  </w:tcMar>
                  <w:vAlign w:val="center"/>
                </w:tcPr>
                <w:p w14:paraId="38E66D51">
                  <w:pPr>
                    <w:pStyle w:val="30"/>
                    <w:framePr w:hSpace="0" w:wrap="auto" w:vAnchor="margin" w:hAnchor="text" w:xAlign="left" w:yAlign="inline"/>
                    <w:rPr>
                      <w:lang w:val="en-US"/>
                    </w:rPr>
                  </w:pPr>
                </w:p>
              </w:tc>
              <w:tc>
                <w:tcPr>
                  <w:tcW w:w="313" w:type="dxa"/>
                  <w:shd w:val="clear" w:color="auto" w:fill="FFFFFF"/>
                  <w:tcMar>
                    <w:top w:w="0" w:type="dxa"/>
                    <w:left w:w="0" w:type="dxa"/>
                    <w:bottom w:w="0" w:type="dxa"/>
                    <w:right w:w="0" w:type="dxa"/>
                  </w:tcMar>
                  <w:vAlign w:val="center"/>
                </w:tcPr>
                <w:p w14:paraId="2DD54741">
                  <w:pPr>
                    <w:pStyle w:val="30"/>
                    <w:framePr w:hSpace="0" w:wrap="auto" w:vAnchor="margin" w:hAnchor="text" w:xAlign="left" w:yAlign="inline"/>
                    <w:rPr>
                      <w:lang w:val="en-US"/>
                    </w:rPr>
                  </w:pPr>
                  <w:r>
                    <w:rPr>
                      <w:lang w:val="en-US"/>
                    </w:rPr>
                    <w:t>23</w:t>
                  </w:r>
                </w:p>
              </w:tc>
              <w:tc>
                <w:tcPr>
                  <w:tcW w:w="598" w:type="dxa"/>
                  <w:shd w:val="clear" w:color="auto" w:fill="FFFFFF"/>
                  <w:tcMar>
                    <w:top w:w="0" w:type="dxa"/>
                    <w:left w:w="0" w:type="dxa"/>
                    <w:bottom w:w="0" w:type="dxa"/>
                    <w:right w:w="0" w:type="dxa"/>
                  </w:tcMar>
                  <w:vAlign w:val="center"/>
                </w:tcPr>
                <w:p w14:paraId="0631AE1D">
                  <w:pPr>
                    <w:pStyle w:val="30"/>
                    <w:framePr w:hSpace="0" w:wrap="auto" w:vAnchor="margin" w:hAnchor="text" w:xAlign="left" w:yAlign="inline"/>
                    <w:rPr>
                      <w:lang w:val="en-US"/>
                    </w:rPr>
                  </w:pPr>
                  <w:r>
                    <w:rPr>
                      <w:lang w:val="en-US"/>
                    </w:rPr>
                    <w:t>10</w:t>
                  </w:r>
                </w:p>
              </w:tc>
              <w:tc>
                <w:tcPr>
                  <w:tcW w:w="604" w:type="dxa"/>
                  <w:shd w:val="clear" w:color="auto" w:fill="FFFFFF"/>
                  <w:tcMar>
                    <w:top w:w="0" w:type="dxa"/>
                    <w:left w:w="0" w:type="dxa"/>
                    <w:bottom w:w="0" w:type="dxa"/>
                    <w:right w:w="0" w:type="dxa"/>
                  </w:tcMar>
                  <w:vAlign w:val="center"/>
                </w:tcPr>
                <w:p w14:paraId="5D52E4EB">
                  <w:pPr>
                    <w:pStyle w:val="30"/>
                    <w:framePr w:hSpace="0" w:wrap="auto" w:vAnchor="margin" w:hAnchor="text" w:xAlign="left" w:yAlign="inline"/>
                    <w:rPr>
                      <w:lang w:val="en-US"/>
                    </w:rPr>
                  </w:pPr>
                  <w:r>
                    <w:rPr>
                      <w:lang w:val="en-US"/>
                    </w:rPr>
                    <w:t>1.2</w:t>
                  </w:r>
                </w:p>
              </w:tc>
              <w:tc>
                <w:tcPr>
                  <w:tcW w:w="496" w:type="dxa"/>
                  <w:shd w:val="clear" w:color="auto" w:fill="FFFFFF"/>
                  <w:tcMar>
                    <w:top w:w="0" w:type="dxa"/>
                    <w:left w:w="0" w:type="dxa"/>
                    <w:bottom w:w="0" w:type="dxa"/>
                    <w:right w:w="0" w:type="dxa"/>
                  </w:tcMar>
                  <w:vAlign w:val="center"/>
                </w:tcPr>
                <w:p w14:paraId="6862C3E8">
                  <w:pPr>
                    <w:pStyle w:val="30"/>
                    <w:framePr w:hSpace="0" w:wrap="auto" w:vAnchor="margin" w:hAnchor="text" w:xAlign="left" w:yAlign="inline"/>
                    <w:rPr>
                      <w:lang w:val="en-US"/>
                    </w:rPr>
                  </w:pPr>
                  <w:r>
                    <w:rPr>
                      <w:lang w:val="en-US"/>
                    </w:rPr>
                    <w:t>18</w:t>
                  </w:r>
                </w:p>
              </w:tc>
              <w:tc>
                <w:tcPr>
                  <w:tcW w:w="496" w:type="dxa"/>
                  <w:shd w:val="clear" w:color="auto" w:fill="FFFFFF"/>
                  <w:tcMar>
                    <w:top w:w="0" w:type="dxa"/>
                    <w:left w:w="0" w:type="dxa"/>
                    <w:bottom w:w="0" w:type="dxa"/>
                    <w:right w:w="0" w:type="dxa"/>
                  </w:tcMar>
                  <w:vAlign w:val="center"/>
                </w:tcPr>
                <w:p w14:paraId="1062A4E7">
                  <w:pPr>
                    <w:pStyle w:val="30"/>
                    <w:framePr w:hSpace="0" w:wrap="auto" w:vAnchor="margin" w:hAnchor="text" w:xAlign="left" w:yAlign="inline"/>
                    <w:rPr>
                      <w:lang w:val="en-US"/>
                    </w:rPr>
                  </w:pPr>
                  <w:r>
                    <w:rPr>
                      <w:lang w:val="en-US"/>
                    </w:rPr>
                    <w:t>10</w:t>
                  </w:r>
                </w:p>
              </w:tc>
              <w:tc>
                <w:tcPr>
                  <w:tcW w:w="496" w:type="dxa"/>
                  <w:shd w:val="clear" w:color="auto" w:fill="FFFFFF"/>
                  <w:tcMar>
                    <w:top w:w="0" w:type="dxa"/>
                    <w:left w:w="0" w:type="dxa"/>
                    <w:bottom w:w="0" w:type="dxa"/>
                    <w:right w:w="0" w:type="dxa"/>
                  </w:tcMar>
                  <w:vAlign w:val="center"/>
                </w:tcPr>
                <w:p w14:paraId="4C1C4047">
                  <w:pPr>
                    <w:pStyle w:val="30"/>
                    <w:framePr w:hSpace="0" w:wrap="auto" w:vAnchor="margin" w:hAnchor="text" w:xAlign="left" w:yAlign="inline"/>
                    <w:rPr>
                      <w:lang w:val="en-US"/>
                    </w:rPr>
                  </w:pPr>
                  <w:r>
                    <w:rPr>
                      <w:lang w:val="en-US"/>
                    </w:rPr>
                    <w:t>23</w:t>
                  </w:r>
                </w:p>
              </w:tc>
              <w:tc>
                <w:tcPr>
                  <w:tcW w:w="509" w:type="dxa"/>
                  <w:shd w:val="clear" w:color="auto" w:fill="FFFFFF"/>
                  <w:tcMar>
                    <w:top w:w="0" w:type="dxa"/>
                    <w:left w:w="0" w:type="dxa"/>
                    <w:bottom w:w="0" w:type="dxa"/>
                    <w:right w:w="0" w:type="dxa"/>
                  </w:tcMar>
                  <w:vAlign w:val="center"/>
                </w:tcPr>
                <w:p w14:paraId="4A57788D">
                  <w:pPr>
                    <w:pStyle w:val="30"/>
                    <w:framePr w:hSpace="0" w:wrap="auto" w:vAnchor="margin" w:hAnchor="text" w:xAlign="left" w:yAlign="inline"/>
                    <w:rPr>
                      <w:lang w:val="en-US"/>
                    </w:rPr>
                  </w:pPr>
                  <w:r>
                    <w:rPr>
                      <w:lang w:val="en-US"/>
                    </w:rPr>
                    <w:t>49</w:t>
                  </w:r>
                </w:p>
              </w:tc>
              <w:tc>
                <w:tcPr>
                  <w:tcW w:w="493" w:type="dxa"/>
                  <w:shd w:val="clear" w:color="auto" w:fill="FFFFFF"/>
                  <w:tcMar>
                    <w:top w:w="0" w:type="dxa"/>
                    <w:left w:w="0" w:type="dxa"/>
                    <w:bottom w:w="0" w:type="dxa"/>
                    <w:right w:w="0" w:type="dxa"/>
                  </w:tcMar>
                  <w:vAlign w:val="center"/>
                </w:tcPr>
                <w:p w14:paraId="5844B72F">
                  <w:pPr>
                    <w:pStyle w:val="30"/>
                    <w:framePr w:hSpace="0" w:wrap="auto" w:vAnchor="margin" w:hAnchor="text" w:xAlign="left" w:yAlign="inline"/>
                    <w:rPr>
                      <w:lang w:val="en-US"/>
                    </w:rPr>
                  </w:pPr>
                  <w:r>
                    <w:rPr>
                      <w:lang w:val="en-US"/>
                    </w:rPr>
                    <w:t>43.6</w:t>
                  </w:r>
                </w:p>
              </w:tc>
              <w:tc>
                <w:tcPr>
                  <w:tcW w:w="493" w:type="dxa"/>
                  <w:shd w:val="clear" w:color="auto" w:fill="FFFFFF"/>
                  <w:tcMar>
                    <w:top w:w="0" w:type="dxa"/>
                    <w:left w:w="0" w:type="dxa"/>
                    <w:bottom w:w="0" w:type="dxa"/>
                    <w:right w:w="0" w:type="dxa"/>
                  </w:tcMar>
                  <w:vAlign w:val="center"/>
                </w:tcPr>
                <w:p w14:paraId="474B81D7">
                  <w:pPr>
                    <w:pStyle w:val="30"/>
                    <w:framePr w:hSpace="0" w:wrap="auto" w:vAnchor="margin" w:hAnchor="text" w:xAlign="left" w:yAlign="inline"/>
                    <w:rPr>
                      <w:lang w:val="en-US"/>
                    </w:rPr>
                  </w:pPr>
                  <w:r>
                    <w:rPr>
                      <w:lang w:val="en-US"/>
                    </w:rPr>
                    <w:t>43.6</w:t>
                  </w:r>
                </w:p>
              </w:tc>
              <w:tc>
                <w:tcPr>
                  <w:tcW w:w="493" w:type="dxa"/>
                  <w:shd w:val="clear" w:color="auto" w:fill="FFFFFF"/>
                  <w:tcMar>
                    <w:top w:w="0" w:type="dxa"/>
                    <w:left w:w="0" w:type="dxa"/>
                    <w:bottom w:w="0" w:type="dxa"/>
                    <w:right w:w="0" w:type="dxa"/>
                  </w:tcMar>
                  <w:vAlign w:val="center"/>
                </w:tcPr>
                <w:p w14:paraId="0F47FC54">
                  <w:pPr>
                    <w:pStyle w:val="30"/>
                    <w:framePr w:hSpace="0" w:wrap="auto" w:vAnchor="margin" w:hAnchor="text" w:xAlign="left" w:yAlign="inline"/>
                    <w:rPr>
                      <w:lang w:val="en-US"/>
                    </w:rPr>
                  </w:pPr>
                  <w:r>
                    <w:rPr>
                      <w:lang w:val="en-US"/>
                    </w:rPr>
                    <w:t>43.6</w:t>
                  </w:r>
                </w:p>
              </w:tc>
              <w:tc>
                <w:tcPr>
                  <w:tcW w:w="493" w:type="dxa"/>
                  <w:shd w:val="clear" w:color="auto" w:fill="FFFFFF"/>
                  <w:tcMar>
                    <w:top w:w="0" w:type="dxa"/>
                    <w:left w:w="0" w:type="dxa"/>
                    <w:bottom w:w="0" w:type="dxa"/>
                    <w:right w:w="0" w:type="dxa"/>
                  </w:tcMar>
                  <w:vAlign w:val="center"/>
                </w:tcPr>
                <w:p w14:paraId="69D312BD">
                  <w:pPr>
                    <w:pStyle w:val="30"/>
                    <w:framePr w:hSpace="0" w:wrap="auto" w:vAnchor="margin" w:hAnchor="text" w:xAlign="left" w:yAlign="inline"/>
                    <w:rPr>
                      <w:lang w:val="en-US"/>
                    </w:rPr>
                  </w:pPr>
                  <w:r>
                    <w:rPr>
                      <w:lang w:val="en-US"/>
                    </w:rPr>
                    <w:t>43.6</w:t>
                  </w:r>
                </w:p>
              </w:tc>
              <w:tc>
                <w:tcPr>
                  <w:tcW w:w="158" w:type="pct"/>
                  <w:vMerge w:val="continue"/>
                  <w:shd w:val="clear" w:color="auto" w:fill="FFFFFF"/>
                  <w:tcMar>
                    <w:top w:w="0" w:type="dxa"/>
                    <w:left w:w="0" w:type="dxa"/>
                    <w:bottom w:w="0" w:type="dxa"/>
                    <w:right w:w="0" w:type="dxa"/>
                  </w:tcMar>
                  <w:vAlign w:val="center"/>
                </w:tcPr>
                <w:p w14:paraId="334F8296">
                  <w:pPr>
                    <w:pStyle w:val="30"/>
                    <w:framePr w:hSpace="0" w:wrap="auto" w:vAnchor="margin" w:hAnchor="text" w:xAlign="left" w:yAlign="inline"/>
                    <w:rPr>
                      <w:lang w:val="en-US"/>
                    </w:rPr>
                  </w:pPr>
                </w:p>
              </w:tc>
              <w:tc>
                <w:tcPr>
                  <w:tcW w:w="474" w:type="dxa"/>
                  <w:shd w:val="clear" w:color="auto" w:fill="FFFFFF"/>
                  <w:tcMar>
                    <w:top w:w="0" w:type="dxa"/>
                    <w:left w:w="0" w:type="dxa"/>
                    <w:bottom w:w="0" w:type="dxa"/>
                    <w:right w:w="0" w:type="dxa"/>
                  </w:tcMar>
                  <w:vAlign w:val="center"/>
                </w:tcPr>
                <w:p w14:paraId="30B31135">
                  <w:pPr>
                    <w:pStyle w:val="30"/>
                    <w:framePr w:hSpace="0" w:wrap="auto" w:vAnchor="margin" w:hAnchor="text" w:xAlign="left" w:yAlign="inline"/>
                  </w:pPr>
                  <w:r>
                    <w:rPr>
                      <w:lang w:val="en-US"/>
                    </w:rPr>
                    <w:t>20</w:t>
                  </w:r>
                </w:p>
              </w:tc>
              <w:tc>
                <w:tcPr>
                  <w:tcW w:w="474" w:type="dxa"/>
                  <w:shd w:val="clear" w:color="auto" w:fill="FFFFFF"/>
                  <w:tcMar>
                    <w:top w:w="0" w:type="dxa"/>
                    <w:left w:w="0" w:type="dxa"/>
                    <w:bottom w:w="0" w:type="dxa"/>
                    <w:right w:w="0" w:type="dxa"/>
                  </w:tcMar>
                  <w:vAlign w:val="center"/>
                </w:tcPr>
                <w:p w14:paraId="0111E6BE">
                  <w:pPr>
                    <w:pStyle w:val="30"/>
                    <w:framePr w:hSpace="0" w:wrap="auto" w:vAnchor="margin" w:hAnchor="text" w:xAlign="left" w:yAlign="inline"/>
                  </w:pPr>
                  <w:r>
                    <w:rPr>
                      <w:lang w:val="en-US"/>
                    </w:rPr>
                    <w:t>20</w:t>
                  </w:r>
                </w:p>
              </w:tc>
              <w:tc>
                <w:tcPr>
                  <w:tcW w:w="474" w:type="dxa"/>
                  <w:shd w:val="clear" w:color="auto" w:fill="FFFFFF"/>
                  <w:tcMar>
                    <w:top w:w="0" w:type="dxa"/>
                    <w:left w:w="0" w:type="dxa"/>
                    <w:bottom w:w="0" w:type="dxa"/>
                    <w:right w:w="0" w:type="dxa"/>
                  </w:tcMar>
                  <w:vAlign w:val="center"/>
                </w:tcPr>
                <w:p w14:paraId="7253ADF2">
                  <w:pPr>
                    <w:pStyle w:val="30"/>
                    <w:framePr w:hSpace="0" w:wrap="auto" w:vAnchor="margin" w:hAnchor="text" w:xAlign="left" w:yAlign="inline"/>
                  </w:pPr>
                  <w:r>
                    <w:rPr>
                      <w:lang w:val="en-US"/>
                    </w:rPr>
                    <w:t>20</w:t>
                  </w:r>
                </w:p>
              </w:tc>
              <w:tc>
                <w:tcPr>
                  <w:tcW w:w="477" w:type="dxa"/>
                  <w:shd w:val="clear" w:color="auto" w:fill="FFFFFF"/>
                  <w:tcMar>
                    <w:top w:w="0" w:type="dxa"/>
                    <w:left w:w="0" w:type="dxa"/>
                    <w:bottom w:w="0" w:type="dxa"/>
                    <w:right w:w="0" w:type="dxa"/>
                  </w:tcMar>
                  <w:vAlign w:val="center"/>
                </w:tcPr>
                <w:p w14:paraId="020FEBD1">
                  <w:pPr>
                    <w:pStyle w:val="30"/>
                    <w:framePr w:hSpace="0" w:wrap="auto" w:vAnchor="margin" w:hAnchor="text" w:xAlign="left" w:yAlign="inline"/>
                  </w:pPr>
                  <w:r>
                    <w:rPr>
                      <w:lang w:val="en-US"/>
                    </w:rPr>
                    <w:t>20</w:t>
                  </w:r>
                </w:p>
              </w:tc>
              <w:tc>
                <w:tcPr>
                  <w:tcW w:w="504" w:type="dxa"/>
                  <w:shd w:val="clear" w:color="auto" w:fill="FFFFFF"/>
                  <w:tcMar>
                    <w:top w:w="0" w:type="dxa"/>
                    <w:left w:w="0" w:type="dxa"/>
                    <w:bottom w:w="0" w:type="dxa"/>
                    <w:right w:w="0" w:type="dxa"/>
                  </w:tcMar>
                  <w:vAlign w:val="center"/>
                </w:tcPr>
                <w:p w14:paraId="7FA060C2">
                  <w:pPr>
                    <w:pStyle w:val="30"/>
                    <w:framePr w:hSpace="0" w:wrap="auto" w:vAnchor="margin" w:hAnchor="text" w:xAlign="left" w:yAlign="inline"/>
                    <w:rPr>
                      <w:lang w:val="en-US"/>
                    </w:rPr>
                  </w:pPr>
                  <w:r>
                    <w:rPr>
                      <w:lang w:val="en-US"/>
                    </w:rPr>
                    <w:t>23.6</w:t>
                  </w:r>
                </w:p>
              </w:tc>
              <w:tc>
                <w:tcPr>
                  <w:tcW w:w="504" w:type="dxa"/>
                  <w:shd w:val="clear" w:color="auto" w:fill="FFFFFF"/>
                  <w:tcMar>
                    <w:top w:w="0" w:type="dxa"/>
                    <w:left w:w="0" w:type="dxa"/>
                    <w:bottom w:w="0" w:type="dxa"/>
                    <w:right w:w="0" w:type="dxa"/>
                  </w:tcMar>
                  <w:vAlign w:val="center"/>
                </w:tcPr>
                <w:p w14:paraId="2DBF39A1">
                  <w:pPr>
                    <w:pStyle w:val="30"/>
                    <w:framePr w:hSpace="0" w:wrap="auto" w:vAnchor="margin" w:hAnchor="text" w:xAlign="left" w:yAlign="inline"/>
                    <w:rPr>
                      <w:lang w:val="en-US"/>
                    </w:rPr>
                  </w:pPr>
                  <w:r>
                    <w:rPr>
                      <w:lang w:val="en-US"/>
                    </w:rPr>
                    <w:t>23.6</w:t>
                  </w:r>
                </w:p>
              </w:tc>
              <w:tc>
                <w:tcPr>
                  <w:tcW w:w="504" w:type="dxa"/>
                  <w:shd w:val="clear" w:color="auto" w:fill="FFFFFF"/>
                  <w:tcMar>
                    <w:top w:w="0" w:type="dxa"/>
                    <w:left w:w="0" w:type="dxa"/>
                    <w:bottom w:w="0" w:type="dxa"/>
                    <w:right w:w="0" w:type="dxa"/>
                  </w:tcMar>
                  <w:vAlign w:val="center"/>
                </w:tcPr>
                <w:p w14:paraId="4F193561">
                  <w:pPr>
                    <w:pStyle w:val="30"/>
                    <w:framePr w:hSpace="0" w:wrap="auto" w:vAnchor="margin" w:hAnchor="text" w:xAlign="left" w:yAlign="inline"/>
                    <w:rPr>
                      <w:lang w:val="en-US"/>
                    </w:rPr>
                  </w:pPr>
                  <w:r>
                    <w:rPr>
                      <w:lang w:val="en-US"/>
                    </w:rPr>
                    <w:t>23.6</w:t>
                  </w:r>
                </w:p>
              </w:tc>
              <w:tc>
                <w:tcPr>
                  <w:tcW w:w="507" w:type="dxa"/>
                  <w:shd w:val="clear" w:color="auto" w:fill="FFFFFF"/>
                  <w:tcMar>
                    <w:top w:w="0" w:type="dxa"/>
                    <w:left w:w="0" w:type="dxa"/>
                    <w:bottom w:w="0" w:type="dxa"/>
                    <w:right w:w="0" w:type="dxa"/>
                  </w:tcMar>
                  <w:vAlign w:val="center"/>
                </w:tcPr>
                <w:p w14:paraId="34179839">
                  <w:pPr>
                    <w:pStyle w:val="30"/>
                    <w:framePr w:hSpace="0" w:wrap="auto" w:vAnchor="margin" w:hAnchor="text" w:xAlign="left" w:yAlign="inline"/>
                    <w:rPr>
                      <w:lang w:val="en-US"/>
                    </w:rPr>
                  </w:pPr>
                  <w:r>
                    <w:rPr>
                      <w:lang w:val="en-US"/>
                    </w:rPr>
                    <w:t>23.6</w:t>
                  </w:r>
                </w:p>
              </w:tc>
              <w:tc>
                <w:tcPr>
                  <w:tcW w:w="269" w:type="pct"/>
                  <w:shd w:val="clear" w:color="auto" w:fill="FFFFFF"/>
                  <w:tcMar>
                    <w:top w:w="0" w:type="dxa"/>
                    <w:left w:w="0" w:type="dxa"/>
                    <w:bottom w:w="0" w:type="dxa"/>
                    <w:right w:w="0" w:type="dxa"/>
                  </w:tcMar>
                  <w:vAlign w:val="center"/>
                </w:tcPr>
                <w:p w14:paraId="56135BFB">
                  <w:pPr>
                    <w:pStyle w:val="30"/>
                    <w:framePr w:hSpace="0" w:wrap="auto" w:vAnchor="margin" w:hAnchor="text" w:xAlign="left" w:yAlign="inline"/>
                  </w:pPr>
                  <w:r>
                    <w:t>1</w:t>
                  </w:r>
                </w:p>
              </w:tc>
            </w:tr>
            <w:tr w14:paraId="0E9FC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340" w:hRule="atLeast"/>
                <w:jc w:val="center"/>
              </w:trPr>
              <w:tc>
                <w:tcPr>
                  <w:tcW w:w="137" w:type="pct"/>
                  <w:shd w:val="clear" w:color="auto" w:fill="FFFFFF"/>
                  <w:tcMar>
                    <w:top w:w="0" w:type="dxa"/>
                    <w:left w:w="0" w:type="dxa"/>
                    <w:bottom w:w="0" w:type="dxa"/>
                    <w:right w:w="0" w:type="dxa"/>
                  </w:tcMar>
                  <w:vAlign w:val="center"/>
                </w:tcPr>
                <w:p w14:paraId="710DF763">
                  <w:pPr>
                    <w:pStyle w:val="30"/>
                    <w:framePr w:hSpace="0" w:wrap="auto" w:vAnchor="margin" w:hAnchor="text" w:xAlign="left" w:yAlign="inline"/>
                    <w:numPr>
                      <w:ilvl w:val="0"/>
                      <w:numId w:val="2"/>
                    </w:numPr>
                    <w:rPr>
                      <w:lang w:val="en-US"/>
                    </w:rPr>
                  </w:pPr>
                </w:p>
              </w:tc>
              <w:tc>
                <w:tcPr>
                  <w:tcW w:w="188" w:type="pct"/>
                  <w:vMerge w:val="continue"/>
                  <w:shd w:val="clear" w:color="auto" w:fill="FFFFFF"/>
                  <w:tcMar>
                    <w:top w:w="0" w:type="dxa"/>
                    <w:left w:w="0" w:type="dxa"/>
                    <w:bottom w:w="0" w:type="dxa"/>
                    <w:right w:w="0" w:type="dxa"/>
                  </w:tcMar>
                  <w:vAlign w:val="center"/>
                </w:tcPr>
                <w:p w14:paraId="5E45D0BF">
                  <w:pPr>
                    <w:pStyle w:val="30"/>
                    <w:framePr w:hSpace="0" w:wrap="auto" w:vAnchor="margin" w:hAnchor="text" w:xAlign="left" w:yAlign="inline"/>
                  </w:pPr>
                </w:p>
              </w:tc>
              <w:tc>
                <w:tcPr>
                  <w:tcW w:w="314" w:type="pct"/>
                  <w:shd w:val="clear" w:color="auto" w:fill="auto"/>
                  <w:tcMar>
                    <w:top w:w="0" w:type="dxa"/>
                    <w:left w:w="0" w:type="dxa"/>
                    <w:bottom w:w="0" w:type="dxa"/>
                    <w:right w:w="0" w:type="dxa"/>
                  </w:tcMar>
                  <w:vAlign w:val="center"/>
                </w:tcPr>
                <w:p w14:paraId="6DE0DD69">
                  <w:pPr>
                    <w:pStyle w:val="30"/>
                    <w:framePr w:hSpace="0" w:wrap="auto" w:vAnchor="margin" w:hAnchor="text" w:xAlign="left" w:yAlign="inline"/>
                    <w:rPr>
                      <w:lang w:val="en-US"/>
                    </w:rPr>
                  </w:pPr>
                  <w:r>
                    <w:rPr>
                      <w:rFonts w:hint="eastAsia"/>
                      <w:lang w:val="en-US"/>
                    </w:rPr>
                    <w:t>切断机</w:t>
                  </w:r>
                </w:p>
              </w:tc>
              <w:tc>
                <w:tcPr>
                  <w:tcW w:w="725" w:type="dxa"/>
                  <w:shd w:val="clear" w:color="auto" w:fill="FFFFFF"/>
                  <w:tcMar>
                    <w:top w:w="0" w:type="dxa"/>
                    <w:left w:w="0" w:type="dxa"/>
                    <w:bottom w:w="0" w:type="dxa"/>
                    <w:right w:w="0" w:type="dxa"/>
                  </w:tcMar>
                  <w:vAlign w:val="center"/>
                </w:tcPr>
                <w:p w14:paraId="557D4FD3">
                  <w:pPr>
                    <w:pStyle w:val="30"/>
                    <w:framePr w:hSpace="0" w:wrap="auto" w:vAnchor="margin" w:hAnchor="text" w:xAlign="left" w:yAlign="inline"/>
                    <w:rPr>
                      <w:lang w:val="en-US"/>
                    </w:rPr>
                  </w:pPr>
                  <w:r>
                    <w:rPr>
                      <w:lang w:val="en-US"/>
                    </w:rPr>
                    <w:t>75</w:t>
                  </w:r>
                </w:p>
              </w:tc>
              <w:tc>
                <w:tcPr>
                  <w:tcW w:w="171" w:type="pct"/>
                  <w:vMerge w:val="continue"/>
                  <w:shd w:val="clear" w:color="auto" w:fill="FFFFFF"/>
                  <w:tcMar>
                    <w:top w:w="0" w:type="dxa"/>
                    <w:left w:w="0" w:type="dxa"/>
                    <w:bottom w:w="0" w:type="dxa"/>
                    <w:right w:w="0" w:type="dxa"/>
                  </w:tcMar>
                  <w:vAlign w:val="center"/>
                </w:tcPr>
                <w:p w14:paraId="244C2330">
                  <w:pPr>
                    <w:pStyle w:val="30"/>
                    <w:framePr w:hSpace="0" w:wrap="auto" w:vAnchor="margin" w:hAnchor="text" w:xAlign="left" w:yAlign="inline"/>
                    <w:rPr>
                      <w:lang w:val="en-US"/>
                    </w:rPr>
                  </w:pPr>
                </w:p>
              </w:tc>
              <w:tc>
                <w:tcPr>
                  <w:tcW w:w="313" w:type="dxa"/>
                  <w:shd w:val="clear" w:color="auto" w:fill="FFFFFF"/>
                  <w:tcMar>
                    <w:top w:w="0" w:type="dxa"/>
                    <w:left w:w="0" w:type="dxa"/>
                    <w:bottom w:w="0" w:type="dxa"/>
                    <w:right w:w="0" w:type="dxa"/>
                  </w:tcMar>
                  <w:vAlign w:val="center"/>
                </w:tcPr>
                <w:p w14:paraId="4EE65A9E">
                  <w:pPr>
                    <w:pStyle w:val="30"/>
                    <w:framePr w:hSpace="0" w:wrap="auto" w:vAnchor="margin" w:hAnchor="text" w:xAlign="left" w:yAlign="inline"/>
                    <w:rPr>
                      <w:lang w:val="en-US"/>
                    </w:rPr>
                  </w:pPr>
                  <w:r>
                    <w:rPr>
                      <w:lang w:val="en-US"/>
                    </w:rPr>
                    <w:t>28</w:t>
                  </w:r>
                </w:p>
              </w:tc>
              <w:tc>
                <w:tcPr>
                  <w:tcW w:w="598" w:type="dxa"/>
                  <w:shd w:val="clear" w:color="auto" w:fill="FFFFFF"/>
                  <w:tcMar>
                    <w:top w:w="0" w:type="dxa"/>
                    <w:left w:w="0" w:type="dxa"/>
                    <w:bottom w:w="0" w:type="dxa"/>
                    <w:right w:w="0" w:type="dxa"/>
                  </w:tcMar>
                  <w:vAlign w:val="center"/>
                </w:tcPr>
                <w:p w14:paraId="68750CD9">
                  <w:pPr>
                    <w:pStyle w:val="30"/>
                    <w:framePr w:hSpace="0" w:wrap="auto" w:vAnchor="margin" w:hAnchor="text" w:xAlign="left" w:yAlign="inline"/>
                    <w:rPr>
                      <w:lang w:val="en-US"/>
                    </w:rPr>
                  </w:pPr>
                  <w:r>
                    <w:rPr>
                      <w:lang w:val="en-US"/>
                    </w:rPr>
                    <w:t>10</w:t>
                  </w:r>
                </w:p>
              </w:tc>
              <w:tc>
                <w:tcPr>
                  <w:tcW w:w="604" w:type="dxa"/>
                  <w:shd w:val="clear" w:color="auto" w:fill="FFFFFF"/>
                  <w:tcMar>
                    <w:top w:w="0" w:type="dxa"/>
                    <w:left w:w="0" w:type="dxa"/>
                    <w:bottom w:w="0" w:type="dxa"/>
                    <w:right w:w="0" w:type="dxa"/>
                  </w:tcMar>
                  <w:vAlign w:val="center"/>
                </w:tcPr>
                <w:p w14:paraId="368BFB0D">
                  <w:pPr>
                    <w:pStyle w:val="30"/>
                    <w:framePr w:hSpace="0" w:wrap="auto" w:vAnchor="margin" w:hAnchor="text" w:xAlign="left" w:yAlign="inline"/>
                    <w:rPr>
                      <w:lang w:val="en-US"/>
                    </w:rPr>
                  </w:pPr>
                  <w:r>
                    <w:rPr>
                      <w:lang w:val="en-US"/>
                    </w:rPr>
                    <w:t>1.2</w:t>
                  </w:r>
                </w:p>
              </w:tc>
              <w:tc>
                <w:tcPr>
                  <w:tcW w:w="496" w:type="dxa"/>
                  <w:shd w:val="clear" w:color="auto" w:fill="FFFFFF"/>
                  <w:tcMar>
                    <w:top w:w="0" w:type="dxa"/>
                    <w:left w:w="0" w:type="dxa"/>
                    <w:bottom w:w="0" w:type="dxa"/>
                    <w:right w:w="0" w:type="dxa"/>
                  </w:tcMar>
                  <w:vAlign w:val="center"/>
                </w:tcPr>
                <w:p w14:paraId="5B0CF96E">
                  <w:pPr>
                    <w:pStyle w:val="30"/>
                    <w:framePr w:hSpace="0" w:wrap="auto" w:vAnchor="margin" w:hAnchor="text" w:xAlign="left" w:yAlign="inline"/>
                    <w:rPr>
                      <w:lang w:val="en-US"/>
                    </w:rPr>
                  </w:pPr>
                  <w:r>
                    <w:rPr>
                      <w:lang w:val="en-US"/>
                    </w:rPr>
                    <w:t>13</w:t>
                  </w:r>
                </w:p>
              </w:tc>
              <w:tc>
                <w:tcPr>
                  <w:tcW w:w="496" w:type="dxa"/>
                  <w:shd w:val="clear" w:color="auto" w:fill="FFFFFF"/>
                  <w:tcMar>
                    <w:top w:w="0" w:type="dxa"/>
                    <w:left w:w="0" w:type="dxa"/>
                    <w:bottom w:w="0" w:type="dxa"/>
                    <w:right w:w="0" w:type="dxa"/>
                  </w:tcMar>
                  <w:vAlign w:val="center"/>
                </w:tcPr>
                <w:p w14:paraId="74E44F3E">
                  <w:pPr>
                    <w:pStyle w:val="30"/>
                    <w:framePr w:hSpace="0" w:wrap="auto" w:vAnchor="margin" w:hAnchor="text" w:xAlign="left" w:yAlign="inline"/>
                    <w:rPr>
                      <w:lang w:val="en-US"/>
                    </w:rPr>
                  </w:pPr>
                  <w:r>
                    <w:rPr>
                      <w:lang w:val="en-US"/>
                    </w:rPr>
                    <w:t>10</w:t>
                  </w:r>
                </w:p>
              </w:tc>
              <w:tc>
                <w:tcPr>
                  <w:tcW w:w="496" w:type="dxa"/>
                  <w:shd w:val="clear" w:color="auto" w:fill="FFFFFF"/>
                  <w:tcMar>
                    <w:top w:w="0" w:type="dxa"/>
                    <w:left w:w="0" w:type="dxa"/>
                    <w:bottom w:w="0" w:type="dxa"/>
                    <w:right w:w="0" w:type="dxa"/>
                  </w:tcMar>
                  <w:vAlign w:val="center"/>
                </w:tcPr>
                <w:p w14:paraId="2F2F08C9">
                  <w:pPr>
                    <w:pStyle w:val="30"/>
                    <w:framePr w:hSpace="0" w:wrap="auto" w:vAnchor="margin" w:hAnchor="text" w:xAlign="left" w:yAlign="inline"/>
                    <w:rPr>
                      <w:lang w:val="en-US"/>
                    </w:rPr>
                  </w:pPr>
                  <w:r>
                    <w:rPr>
                      <w:lang w:val="en-US"/>
                    </w:rPr>
                    <w:t>28</w:t>
                  </w:r>
                </w:p>
              </w:tc>
              <w:tc>
                <w:tcPr>
                  <w:tcW w:w="509" w:type="dxa"/>
                  <w:shd w:val="clear" w:color="auto" w:fill="FFFFFF"/>
                  <w:tcMar>
                    <w:top w:w="0" w:type="dxa"/>
                    <w:left w:w="0" w:type="dxa"/>
                    <w:bottom w:w="0" w:type="dxa"/>
                    <w:right w:w="0" w:type="dxa"/>
                  </w:tcMar>
                  <w:vAlign w:val="center"/>
                </w:tcPr>
                <w:p w14:paraId="5C5CFCA2">
                  <w:pPr>
                    <w:pStyle w:val="30"/>
                    <w:framePr w:hSpace="0" w:wrap="auto" w:vAnchor="margin" w:hAnchor="text" w:xAlign="left" w:yAlign="inline"/>
                    <w:rPr>
                      <w:lang w:val="en-US"/>
                    </w:rPr>
                  </w:pPr>
                  <w:r>
                    <w:rPr>
                      <w:lang w:val="en-US"/>
                    </w:rPr>
                    <w:t>49</w:t>
                  </w:r>
                </w:p>
              </w:tc>
              <w:tc>
                <w:tcPr>
                  <w:tcW w:w="493" w:type="dxa"/>
                  <w:shd w:val="clear" w:color="auto" w:fill="FFFFFF"/>
                  <w:tcMar>
                    <w:top w:w="0" w:type="dxa"/>
                    <w:left w:w="0" w:type="dxa"/>
                    <w:bottom w:w="0" w:type="dxa"/>
                    <w:right w:w="0" w:type="dxa"/>
                  </w:tcMar>
                  <w:vAlign w:val="center"/>
                </w:tcPr>
                <w:p w14:paraId="76A514CC">
                  <w:pPr>
                    <w:pStyle w:val="30"/>
                    <w:framePr w:hSpace="0" w:wrap="auto" w:vAnchor="margin" w:hAnchor="text" w:xAlign="left" w:yAlign="inline"/>
                    <w:rPr>
                      <w:lang w:val="en-US"/>
                    </w:rPr>
                  </w:pPr>
                  <w:r>
                    <w:rPr>
                      <w:lang w:val="en-US"/>
                    </w:rPr>
                    <w:t>42.9</w:t>
                  </w:r>
                </w:p>
              </w:tc>
              <w:tc>
                <w:tcPr>
                  <w:tcW w:w="493" w:type="dxa"/>
                  <w:shd w:val="clear" w:color="auto" w:fill="FFFFFF"/>
                  <w:tcMar>
                    <w:top w:w="0" w:type="dxa"/>
                    <w:left w:w="0" w:type="dxa"/>
                    <w:bottom w:w="0" w:type="dxa"/>
                    <w:right w:w="0" w:type="dxa"/>
                  </w:tcMar>
                  <w:vAlign w:val="center"/>
                </w:tcPr>
                <w:p w14:paraId="35090AB5">
                  <w:pPr>
                    <w:pStyle w:val="30"/>
                    <w:framePr w:hSpace="0" w:wrap="auto" w:vAnchor="margin" w:hAnchor="text" w:xAlign="left" w:yAlign="inline"/>
                    <w:rPr>
                      <w:lang w:val="en-US"/>
                    </w:rPr>
                  </w:pPr>
                  <w:r>
                    <w:rPr>
                      <w:lang w:val="en-US"/>
                    </w:rPr>
                    <w:t>42.9</w:t>
                  </w:r>
                </w:p>
              </w:tc>
              <w:tc>
                <w:tcPr>
                  <w:tcW w:w="493" w:type="dxa"/>
                  <w:shd w:val="clear" w:color="auto" w:fill="FFFFFF"/>
                  <w:tcMar>
                    <w:top w:w="0" w:type="dxa"/>
                    <w:left w:w="0" w:type="dxa"/>
                    <w:bottom w:w="0" w:type="dxa"/>
                    <w:right w:w="0" w:type="dxa"/>
                  </w:tcMar>
                  <w:vAlign w:val="center"/>
                </w:tcPr>
                <w:p w14:paraId="0B94100C">
                  <w:pPr>
                    <w:pStyle w:val="30"/>
                    <w:framePr w:hSpace="0" w:wrap="auto" w:vAnchor="margin" w:hAnchor="text" w:xAlign="left" w:yAlign="inline"/>
                    <w:rPr>
                      <w:lang w:val="en-US"/>
                    </w:rPr>
                  </w:pPr>
                  <w:r>
                    <w:rPr>
                      <w:lang w:val="en-US"/>
                    </w:rPr>
                    <w:t>42.9</w:t>
                  </w:r>
                </w:p>
              </w:tc>
              <w:tc>
                <w:tcPr>
                  <w:tcW w:w="493" w:type="dxa"/>
                  <w:shd w:val="clear" w:color="auto" w:fill="FFFFFF"/>
                  <w:tcMar>
                    <w:top w:w="0" w:type="dxa"/>
                    <w:left w:w="0" w:type="dxa"/>
                    <w:bottom w:w="0" w:type="dxa"/>
                    <w:right w:w="0" w:type="dxa"/>
                  </w:tcMar>
                  <w:vAlign w:val="center"/>
                </w:tcPr>
                <w:p w14:paraId="3295BD1D">
                  <w:pPr>
                    <w:pStyle w:val="30"/>
                    <w:framePr w:hSpace="0" w:wrap="auto" w:vAnchor="margin" w:hAnchor="text" w:xAlign="left" w:yAlign="inline"/>
                    <w:rPr>
                      <w:lang w:val="en-US"/>
                    </w:rPr>
                  </w:pPr>
                  <w:r>
                    <w:rPr>
                      <w:lang w:val="en-US"/>
                    </w:rPr>
                    <w:t>42.9</w:t>
                  </w:r>
                </w:p>
              </w:tc>
              <w:tc>
                <w:tcPr>
                  <w:tcW w:w="158" w:type="pct"/>
                  <w:vMerge w:val="continue"/>
                  <w:shd w:val="clear" w:color="auto" w:fill="FFFFFF"/>
                  <w:tcMar>
                    <w:top w:w="0" w:type="dxa"/>
                    <w:left w:w="0" w:type="dxa"/>
                    <w:bottom w:w="0" w:type="dxa"/>
                    <w:right w:w="0" w:type="dxa"/>
                  </w:tcMar>
                  <w:vAlign w:val="center"/>
                </w:tcPr>
                <w:p w14:paraId="04E4FD43">
                  <w:pPr>
                    <w:pStyle w:val="30"/>
                    <w:framePr w:hSpace="0" w:wrap="auto" w:vAnchor="margin" w:hAnchor="text" w:xAlign="left" w:yAlign="inline"/>
                    <w:rPr>
                      <w:lang w:val="en-US"/>
                    </w:rPr>
                  </w:pPr>
                </w:p>
              </w:tc>
              <w:tc>
                <w:tcPr>
                  <w:tcW w:w="474" w:type="dxa"/>
                  <w:shd w:val="clear" w:color="auto" w:fill="FFFFFF"/>
                  <w:tcMar>
                    <w:top w:w="0" w:type="dxa"/>
                    <w:left w:w="0" w:type="dxa"/>
                    <w:bottom w:w="0" w:type="dxa"/>
                    <w:right w:w="0" w:type="dxa"/>
                  </w:tcMar>
                  <w:vAlign w:val="center"/>
                </w:tcPr>
                <w:p w14:paraId="69CDFAFA">
                  <w:pPr>
                    <w:pStyle w:val="30"/>
                    <w:framePr w:hSpace="0" w:wrap="auto" w:vAnchor="margin" w:hAnchor="text" w:xAlign="left" w:yAlign="inline"/>
                  </w:pPr>
                  <w:r>
                    <w:rPr>
                      <w:lang w:val="en-US"/>
                    </w:rPr>
                    <w:t>20</w:t>
                  </w:r>
                </w:p>
              </w:tc>
              <w:tc>
                <w:tcPr>
                  <w:tcW w:w="474" w:type="dxa"/>
                  <w:shd w:val="clear" w:color="auto" w:fill="FFFFFF"/>
                  <w:tcMar>
                    <w:top w:w="0" w:type="dxa"/>
                    <w:left w:w="0" w:type="dxa"/>
                    <w:bottom w:w="0" w:type="dxa"/>
                    <w:right w:w="0" w:type="dxa"/>
                  </w:tcMar>
                  <w:vAlign w:val="center"/>
                </w:tcPr>
                <w:p w14:paraId="323E8766">
                  <w:pPr>
                    <w:pStyle w:val="30"/>
                    <w:framePr w:hSpace="0" w:wrap="auto" w:vAnchor="margin" w:hAnchor="text" w:xAlign="left" w:yAlign="inline"/>
                  </w:pPr>
                  <w:r>
                    <w:rPr>
                      <w:lang w:val="en-US"/>
                    </w:rPr>
                    <w:t>20</w:t>
                  </w:r>
                </w:p>
              </w:tc>
              <w:tc>
                <w:tcPr>
                  <w:tcW w:w="474" w:type="dxa"/>
                  <w:shd w:val="clear" w:color="auto" w:fill="FFFFFF"/>
                  <w:tcMar>
                    <w:top w:w="0" w:type="dxa"/>
                    <w:left w:w="0" w:type="dxa"/>
                    <w:bottom w:w="0" w:type="dxa"/>
                    <w:right w:w="0" w:type="dxa"/>
                  </w:tcMar>
                  <w:vAlign w:val="center"/>
                </w:tcPr>
                <w:p w14:paraId="512A8BB1">
                  <w:pPr>
                    <w:pStyle w:val="30"/>
                    <w:framePr w:hSpace="0" w:wrap="auto" w:vAnchor="margin" w:hAnchor="text" w:xAlign="left" w:yAlign="inline"/>
                  </w:pPr>
                  <w:r>
                    <w:rPr>
                      <w:lang w:val="en-US"/>
                    </w:rPr>
                    <w:t>20</w:t>
                  </w:r>
                </w:p>
              </w:tc>
              <w:tc>
                <w:tcPr>
                  <w:tcW w:w="477" w:type="dxa"/>
                  <w:shd w:val="clear" w:color="auto" w:fill="FFFFFF"/>
                  <w:tcMar>
                    <w:top w:w="0" w:type="dxa"/>
                    <w:left w:w="0" w:type="dxa"/>
                    <w:bottom w:w="0" w:type="dxa"/>
                    <w:right w:w="0" w:type="dxa"/>
                  </w:tcMar>
                  <w:vAlign w:val="center"/>
                </w:tcPr>
                <w:p w14:paraId="24F4DBC6">
                  <w:pPr>
                    <w:pStyle w:val="30"/>
                    <w:framePr w:hSpace="0" w:wrap="auto" w:vAnchor="margin" w:hAnchor="text" w:xAlign="left" w:yAlign="inline"/>
                  </w:pPr>
                  <w:r>
                    <w:rPr>
                      <w:lang w:val="en-US"/>
                    </w:rPr>
                    <w:t>20</w:t>
                  </w:r>
                </w:p>
              </w:tc>
              <w:tc>
                <w:tcPr>
                  <w:tcW w:w="504" w:type="dxa"/>
                  <w:shd w:val="clear" w:color="auto" w:fill="FFFFFF"/>
                  <w:tcMar>
                    <w:top w:w="0" w:type="dxa"/>
                    <w:left w:w="0" w:type="dxa"/>
                    <w:bottom w:w="0" w:type="dxa"/>
                    <w:right w:w="0" w:type="dxa"/>
                  </w:tcMar>
                  <w:vAlign w:val="center"/>
                </w:tcPr>
                <w:p w14:paraId="1340C85C">
                  <w:pPr>
                    <w:pStyle w:val="30"/>
                    <w:framePr w:hSpace="0" w:wrap="auto" w:vAnchor="margin" w:hAnchor="text" w:xAlign="left" w:yAlign="inline"/>
                    <w:rPr>
                      <w:lang w:val="en-US"/>
                    </w:rPr>
                  </w:pPr>
                  <w:r>
                    <w:rPr>
                      <w:lang w:val="en-US"/>
                    </w:rPr>
                    <w:t>22.9</w:t>
                  </w:r>
                </w:p>
              </w:tc>
              <w:tc>
                <w:tcPr>
                  <w:tcW w:w="504" w:type="dxa"/>
                  <w:shd w:val="clear" w:color="auto" w:fill="FFFFFF"/>
                  <w:tcMar>
                    <w:top w:w="0" w:type="dxa"/>
                    <w:left w:w="0" w:type="dxa"/>
                    <w:bottom w:w="0" w:type="dxa"/>
                    <w:right w:w="0" w:type="dxa"/>
                  </w:tcMar>
                  <w:vAlign w:val="center"/>
                </w:tcPr>
                <w:p w14:paraId="6CA3CCC3">
                  <w:pPr>
                    <w:pStyle w:val="30"/>
                    <w:framePr w:hSpace="0" w:wrap="auto" w:vAnchor="margin" w:hAnchor="text" w:xAlign="left" w:yAlign="inline"/>
                    <w:rPr>
                      <w:lang w:val="en-US"/>
                    </w:rPr>
                  </w:pPr>
                  <w:r>
                    <w:rPr>
                      <w:lang w:val="en-US"/>
                    </w:rPr>
                    <w:t>22.9</w:t>
                  </w:r>
                </w:p>
              </w:tc>
              <w:tc>
                <w:tcPr>
                  <w:tcW w:w="504" w:type="dxa"/>
                  <w:shd w:val="clear" w:color="auto" w:fill="FFFFFF"/>
                  <w:tcMar>
                    <w:top w:w="0" w:type="dxa"/>
                    <w:left w:w="0" w:type="dxa"/>
                    <w:bottom w:w="0" w:type="dxa"/>
                    <w:right w:w="0" w:type="dxa"/>
                  </w:tcMar>
                  <w:vAlign w:val="center"/>
                </w:tcPr>
                <w:p w14:paraId="24E9C7C9">
                  <w:pPr>
                    <w:pStyle w:val="30"/>
                    <w:framePr w:hSpace="0" w:wrap="auto" w:vAnchor="margin" w:hAnchor="text" w:xAlign="left" w:yAlign="inline"/>
                    <w:rPr>
                      <w:lang w:val="en-US"/>
                    </w:rPr>
                  </w:pPr>
                  <w:r>
                    <w:rPr>
                      <w:lang w:val="en-US"/>
                    </w:rPr>
                    <w:t>22.9</w:t>
                  </w:r>
                </w:p>
              </w:tc>
              <w:tc>
                <w:tcPr>
                  <w:tcW w:w="507" w:type="dxa"/>
                  <w:shd w:val="clear" w:color="auto" w:fill="FFFFFF"/>
                  <w:tcMar>
                    <w:top w:w="0" w:type="dxa"/>
                    <w:left w:w="0" w:type="dxa"/>
                    <w:bottom w:w="0" w:type="dxa"/>
                    <w:right w:w="0" w:type="dxa"/>
                  </w:tcMar>
                  <w:vAlign w:val="center"/>
                </w:tcPr>
                <w:p w14:paraId="5A01FA6A">
                  <w:pPr>
                    <w:pStyle w:val="30"/>
                    <w:framePr w:hSpace="0" w:wrap="auto" w:vAnchor="margin" w:hAnchor="text" w:xAlign="left" w:yAlign="inline"/>
                    <w:rPr>
                      <w:lang w:val="en-US"/>
                    </w:rPr>
                  </w:pPr>
                  <w:r>
                    <w:rPr>
                      <w:lang w:val="en-US"/>
                    </w:rPr>
                    <w:t>22.9</w:t>
                  </w:r>
                </w:p>
              </w:tc>
              <w:tc>
                <w:tcPr>
                  <w:tcW w:w="269" w:type="pct"/>
                  <w:shd w:val="clear" w:color="auto" w:fill="FFFFFF"/>
                  <w:tcMar>
                    <w:top w:w="0" w:type="dxa"/>
                    <w:left w:w="0" w:type="dxa"/>
                    <w:bottom w:w="0" w:type="dxa"/>
                    <w:right w:w="0" w:type="dxa"/>
                  </w:tcMar>
                  <w:vAlign w:val="center"/>
                </w:tcPr>
                <w:p w14:paraId="5851065F">
                  <w:pPr>
                    <w:pStyle w:val="30"/>
                    <w:framePr w:hSpace="0" w:wrap="auto" w:vAnchor="margin" w:hAnchor="text" w:xAlign="left" w:yAlign="inline"/>
                  </w:pPr>
                  <w:r>
                    <w:t>1</w:t>
                  </w:r>
                </w:p>
              </w:tc>
            </w:tr>
            <w:tr w14:paraId="2F5DB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340" w:hRule="atLeast"/>
                <w:jc w:val="center"/>
              </w:trPr>
              <w:tc>
                <w:tcPr>
                  <w:tcW w:w="137" w:type="pct"/>
                  <w:shd w:val="clear" w:color="auto" w:fill="FFFFFF"/>
                  <w:tcMar>
                    <w:top w:w="0" w:type="dxa"/>
                    <w:left w:w="0" w:type="dxa"/>
                    <w:bottom w:w="0" w:type="dxa"/>
                    <w:right w:w="0" w:type="dxa"/>
                  </w:tcMar>
                  <w:vAlign w:val="center"/>
                </w:tcPr>
                <w:p w14:paraId="5B312668">
                  <w:pPr>
                    <w:pStyle w:val="30"/>
                    <w:framePr w:hSpace="0" w:wrap="auto" w:vAnchor="margin" w:hAnchor="text" w:xAlign="left" w:yAlign="inline"/>
                    <w:numPr>
                      <w:ilvl w:val="0"/>
                      <w:numId w:val="2"/>
                    </w:numPr>
                  </w:pPr>
                </w:p>
              </w:tc>
              <w:tc>
                <w:tcPr>
                  <w:tcW w:w="188" w:type="pct"/>
                  <w:vMerge w:val="continue"/>
                  <w:shd w:val="clear" w:color="auto" w:fill="FFFFFF"/>
                  <w:tcMar>
                    <w:top w:w="0" w:type="dxa"/>
                    <w:left w:w="0" w:type="dxa"/>
                    <w:bottom w:w="0" w:type="dxa"/>
                    <w:right w:w="0" w:type="dxa"/>
                  </w:tcMar>
                  <w:vAlign w:val="center"/>
                </w:tcPr>
                <w:p w14:paraId="63D3FDA1">
                  <w:pPr>
                    <w:pStyle w:val="30"/>
                    <w:framePr w:hSpace="0" w:wrap="auto" w:vAnchor="margin" w:hAnchor="text" w:xAlign="left" w:yAlign="inline"/>
                  </w:pPr>
                </w:p>
              </w:tc>
              <w:tc>
                <w:tcPr>
                  <w:tcW w:w="314" w:type="pct"/>
                  <w:shd w:val="clear" w:color="auto" w:fill="auto"/>
                  <w:tcMar>
                    <w:top w:w="0" w:type="dxa"/>
                    <w:left w:w="0" w:type="dxa"/>
                    <w:bottom w:w="0" w:type="dxa"/>
                    <w:right w:w="0" w:type="dxa"/>
                  </w:tcMar>
                  <w:vAlign w:val="center"/>
                </w:tcPr>
                <w:p w14:paraId="2EA4E338">
                  <w:pPr>
                    <w:pStyle w:val="30"/>
                    <w:framePr w:hSpace="0" w:wrap="auto" w:vAnchor="margin" w:hAnchor="text" w:xAlign="left" w:yAlign="inline"/>
                    <w:rPr>
                      <w:lang w:val="en-US"/>
                    </w:rPr>
                  </w:pPr>
                  <w:r>
                    <w:rPr>
                      <w:rFonts w:hint="eastAsia"/>
                      <w:lang w:val="en-US"/>
                    </w:rPr>
                    <w:t>干燥机</w:t>
                  </w:r>
                </w:p>
              </w:tc>
              <w:tc>
                <w:tcPr>
                  <w:tcW w:w="725" w:type="dxa"/>
                  <w:shd w:val="clear" w:color="auto" w:fill="FFFFFF"/>
                  <w:tcMar>
                    <w:top w:w="0" w:type="dxa"/>
                    <w:left w:w="0" w:type="dxa"/>
                    <w:bottom w:w="0" w:type="dxa"/>
                    <w:right w:w="0" w:type="dxa"/>
                  </w:tcMar>
                  <w:vAlign w:val="center"/>
                </w:tcPr>
                <w:p w14:paraId="03AE20EB">
                  <w:pPr>
                    <w:pStyle w:val="30"/>
                    <w:framePr w:hSpace="0" w:wrap="auto" w:vAnchor="margin" w:hAnchor="text" w:xAlign="left" w:yAlign="inline"/>
                    <w:rPr>
                      <w:lang w:val="en-US"/>
                    </w:rPr>
                  </w:pPr>
                  <w:r>
                    <w:rPr>
                      <w:lang w:val="en-US"/>
                    </w:rPr>
                    <w:t>75</w:t>
                  </w:r>
                </w:p>
              </w:tc>
              <w:tc>
                <w:tcPr>
                  <w:tcW w:w="171" w:type="pct"/>
                  <w:vMerge w:val="continue"/>
                  <w:shd w:val="clear" w:color="auto" w:fill="FFFFFF"/>
                  <w:tcMar>
                    <w:top w:w="0" w:type="dxa"/>
                    <w:left w:w="0" w:type="dxa"/>
                    <w:bottom w:w="0" w:type="dxa"/>
                    <w:right w:w="0" w:type="dxa"/>
                  </w:tcMar>
                  <w:vAlign w:val="center"/>
                </w:tcPr>
                <w:p w14:paraId="49B19C9A">
                  <w:pPr>
                    <w:pStyle w:val="30"/>
                    <w:framePr w:hSpace="0" w:wrap="auto" w:vAnchor="margin" w:hAnchor="text" w:xAlign="left" w:yAlign="inline"/>
                    <w:rPr>
                      <w:lang w:val="en-US"/>
                    </w:rPr>
                  </w:pPr>
                </w:p>
              </w:tc>
              <w:tc>
                <w:tcPr>
                  <w:tcW w:w="313" w:type="dxa"/>
                  <w:shd w:val="clear" w:color="auto" w:fill="FFFFFF"/>
                  <w:tcMar>
                    <w:top w:w="0" w:type="dxa"/>
                    <w:left w:w="0" w:type="dxa"/>
                    <w:bottom w:w="0" w:type="dxa"/>
                    <w:right w:w="0" w:type="dxa"/>
                  </w:tcMar>
                  <w:vAlign w:val="center"/>
                </w:tcPr>
                <w:p w14:paraId="5AE53F90">
                  <w:pPr>
                    <w:pStyle w:val="30"/>
                    <w:framePr w:hSpace="0" w:wrap="auto" w:vAnchor="margin" w:hAnchor="text" w:xAlign="left" w:yAlign="inline"/>
                    <w:rPr>
                      <w:lang w:val="en-US"/>
                    </w:rPr>
                  </w:pPr>
                  <w:r>
                    <w:rPr>
                      <w:lang w:val="en-US"/>
                    </w:rPr>
                    <w:t>30</w:t>
                  </w:r>
                </w:p>
              </w:tc>
              <w:tc>
                <w:tcPr>
                  <w:tcW w:w="598" w:type="dxa"/>
                  <w:shd w:val="clear" w:color="auto" w:fill="FFFFFF"/>
                  <w:tcMar>
                    <w:top w:w="0" w:type="dxa"/>
                    <w:left w:w="0" w:type="dxa"/>
                    <w:bottom w:w="0" w:type="dxa"/>
                    <w:right w:w="0" w:type="dxa"/>
                  </w:tcMar>
                  <w:vAlign w:val="center"/>
                </w:tcPr>
                <w:p w14:paraId="603E8FB2">
                  <w:pPr>
                    <w:pStyle w:val="30"/>
                    <w:framePr w:hSpace="0" w:wrap="auto" w:vAnchor="margin" w:hAnchor="text" w:xAlign="left" w:yAlign="inline"/>
                    <w:rPr>
                      <w:lang w:val="en-US"/>
                    </w:rPr>
                  </w:pPr>
                  <w:r>
                    <w:rPr>
                      <w:lang w:val="en-US"/>
                    </w:rPr>
                    <w:t>10</w:t>
                  </w:r>
                </w:p>
              </w:tc>
              <w:tc>
                <w:tcPr>
                  <w:tcW w:w="604" w:type="dxa"/>
                  <w:shd w:val="clear" w:color="auto" w:fill="FFFFFF"/>
                  <w:tcMar>
                    <w:top w:w="0" w:type="dxa"/>
                    <w:left w:w="0" w:type="dxa"/>
                    <w:bottom w:w="0" w:type="dxa"/>
                    <w:right w:w="0" w:type="dxa"/>
                  </w:tcMar>
                  <w:vAlign w:val="center"/>
                </w:tcPr>
                <w:p w14:paraId="635EA5A2">
                  <w:pPr>
                    <w:pStyle w:val="30"/>
                    <w:framePr w:hSpace="0" w:wrap="auto" w:vAnchor="margin" w:hAnchor="text" w:xAlign="left" w:yAlign="inline"/>
                    <w:rPr>
                      <w:lang w:val="en-US"/>
                    </w:rPr>
                  </w:pPr>
                  <w:r>
                    <w:rPr>
                      <w:lang w:val="en-US"/>
                    </w:rPr>
                    <w:t>1.2</w:t>
                  </w:r>
                </w:p>
              </w:tc>
              <w:tc>
                <w:tcPr>
                  <w:tcW w:w="496" w:type="dxa"/>
                  <w:shd w:val="clear" w:color="auto" w:fill="FFFFFF"/>
                  <w:tcMar>
                    <w:top w:w="0" w:type="dxa"/>
                    <w:left w:w="0" w:type="dxa"/>
                    <w:bottom w:w="0" w:type="dxa"/>
                    <w:right w:w="0" w:type="dxa"/>
                  </w:tcMar>
                  <w:vAlign w:val="center"/>
                </w:tcPr>
                <w:p w14:paraId="26C548A3">
                  <w:pPr>
                    <w:pStyle w:val="30"/>
                    <w:framePr w:hSpace="0" w:wrap="auto" w:vAnchor="margin" w:hAnchor="text" w:xAlign="left" w:yAlign="inline"/>
                    <w:rPr>
                      <w:lang w:val="en-US"/>
                    </w:rPr>
                  </w:pPr>
                  <w:r>
                    <w:rPr>
                      <w:lang w:val="en-US"/>
                    </w:rPr>
                    <w:t>11</w:t>
                  </w:r>
                </w:p>
              </w:tc>
              <w:tc>
                <w:tcPr>
                  <w:tcW w:w="496" w:type="dxa"/>
                  <w:shd w:val="clear" w:color="auto" w:fill="FFFFFF"/>
                  <w:tcMar>
                    <w:top w:w="0" w:type="dxa"/>
                    <w:left w:w="0" w:type="dxa"/>
                    <w:bottom w:w="0" w:type="dxa"/>
                    <w:right w:w="0" w:type="dxa"/>
                  </w:tcMar>
                  <w:vAlign w:val="center"/>
                </w:tcPr>
                <w:p w14:paraId="0E6D859B">
                  <w:pPr>
                    <w:pStyle w:val="30"/>
                    <w:framePr w:hSpace="0" w:wrap="auto" w:vAnchor="margin" w:hAnchor="text" w:xAlign="left" w:yAlign="inline"/>
                    <w:rPr>
                      <w:lang w:val="en-US"/>
                    </w:rPr>
                  </w:pPr>
                  <w:r>
                    <w:rPr>
                      <w:lang w:val="en-US"/>
                    </w:rPr>
                    <w:t>10</w:t>
                  </w:r>
                </w:p>
              </w:tc>
              <w:tc>
                <w:tcPr>
                  <w:tcW w:w="496" w:type="dxa"/>
                  <w:shd w:val="clear" w:color="auto" w:fill="FFFFFF"/>
                  <w:tcMar>
                    <w:top w:w="0" w:type="dxa"/>
                    <w:left w:w="0" w:type="dxa"/>
                    <w:bottom w:w="0" w:type="dxa"/>
                    <w:right w:w="0" w:type="dxa"/>
                  </w:tcMar>
                  <w:vAlign w:val="center"/>
                </w:tcPr>
                <w:p w14:paraId="25D5F71D">
                  <w:pPr>
                    <w:pStyle w:val="30"/>
                    <w:framePr w:hSpace="0" w:wrap="auto" w:vAnchor="margin" w:hAnchor="text" w:xAlign="left" w:yAlign="inline"/>
                    <w:rPr>
                      <w:lang w:val="en-US"/>
                    </w:rPr>
                  </w:pPr>
                  <w:r>
                    <w:rPr>
                      <w:lang w:val="en-US"/>
                    </w:rPr>
                    <w:t>30</w:t>
                  </w:r>
                </w:p>
              </w:tc>
              <w:tc>
                <w:tcPr>
                  <w:tcW w:w="509" w:type="dxa"/>
                  <w:shd w:val="clear" w:color="auto" w:fill="FFFFFF"/>
                  <w:tcMar>
                    <w:top w:w="0" w:type="dxa"/>
                    <w:left w:w="0" w:type="dxa"/>
                    <w:bottom w:w="0" w:type="dxa"/>
                    <w:right w:w="0" w:type="dxa"/>
                  </w:tcMar>
                  <w:vAlign w:val="center"/>
                </w:tcPr>
                <w:p w14:paraId="2B7E38F0">
                  <w:pPr>
                    <w:pStyle w:val="30"/>
                    <w:framePr w:hSpace="0" w:wrap="auto" w:vAnchor="margin" w:hAnchor="text" w:xAlign="left" w:yAlign="inline"/>
                    <w:rPr>
                      <w:lang w:val="en-US"/>
                    </w:rPr>
                  </w:pPr>
                  <w:r>
                    <w:rPr>
                      <w:lang w:val="en-US"/>
                    </w:rPr>
                    <w:t>49</w:t>
                  </w:r>
                </w:p>
              </w:tc>
              <w:tc>
                <w:tcPr>
                  <w:tcW w:w="493" w:type="dxa"/>
                  <w:shd w:val="clear" w:color="auto" w:fill="FFFFFF"/>
                  <w:tcMar>
                    <w:top w:w="0" w:type="dxa"/>
                    <w:left w:w="0" w:type="dxa"/>
                    <w:bottom w:w="0" w:type="dxa"/>
                    <w:right w:w="0" w:type="dxa"/>
                  </w:tcMar>
                  <w:vAlign w:val="center"/>
                </w:tcPr>
                <w:p w14:paraId="1574A630">
                  <w:pPr>
                    <w:pStyle w:val="30"/>
                    <w:framePr w:hSpace="0" w:wrap="auto" w:vAnchor="margin" w:hAnchor="text" w:xAlign="left" w:yAlign="inline"/>
                    <w:rPr>
                      <w:lang w:val="en-US"/>
                    </w:rPr>
                  </w:pPr>
                  <w:r>
                    <w:rPr>
                      <w:lang w:val="en-US"/>
                    </w:rPr>
                    <w:t>44.1</w:t>
                  </w:r>
                </w:p>
              </w:tc>
              <w:tc>
                <w:tcPr>
                  <w:tcW w:w="493" w:type="dxa"/>
                  <w:shd w:val="clear" w:color="auto" w:fill="FFFFFF"/>
                  <w:tcMar>
                    <w:top w:w="0" w:type="dxa"/>
                    <w:left w:w="0" w:type="dxa"/>
                    <w:bottom w:w="0" w:type="dxa"/>
                    <w:right w:w="0" w:type="dxa"/>
                  </w:tcMar>
                  <w:vAlign w:val="center"/>
                </w:tcPr>
                <w:p w14:paraId="0183974E">
                  <w:pPr>
                    <w:pStyle w:val="30"/>
                    <w:framePr w:hSpace="0" w:wrap="auto" w:vAnchor="margin" w:hAnchor="text" w:xAlign="left" w:yAlign="inline"/>
                    <w:rPr>
                      <w:lang w:val="en-US"/>
                    </w:rPr>
                  </w:pPr>
                  <w:r>
                    <w:rPr>
                      <w:lang w:val="en-US"/>
                    </w:rPr>
                    <w:t>44.1</w:t>
                  </w:r>
                </w:p>
              </w:tc>
              <w:tc>
                <w:tcPr>
                  <w:tcW w:w="493" w:type="dxa"/>
                  <w:shd w:val="clear" w:color="auto" w:fill="FFFFFF"/>
                  <w:tcMar>
                    <w:top w:w="0" w:type="dxa"/>
                    <w:left w:w="0" w:type="dxa"/>
                    <w:bottom w:w="0" w:type="dxa"/>
                    <w:right w:w="0" w:type="dxa"/>
                  </w:tcMar>
                  <w:vAlign w:val="center"/>
                </w:tcPr>
                <w:p w14:paraId="7BB22C32">
                  <w:pPr>
                    <w:pStyle w:val="30"/>
                    <w:framePr w:hSpace="0" w:wrap="auto" w:vAnchor="margin" w:hAnchor="text" w:xAlign="left" w:yAlign="inline"/>
                    <w:rPr>
                      <w:lang w:val="en-US"/>
                    </w:rPr>
                  </w:pPr>
                  <w:r>
                    <w:rPr>
                      <w:lang w:val="en-US"/>
                    </w:rPr>
                    <w:t>44.1</w:t>
                  </w:r>
                </w:p>
              </w:tc>
              <w:tc>
                <w:tcPr>
                  <w:tcW w:w="493" w:type="dxa"/>
                  <w:shd w:val="clear" w:color="auto" w:fill="FFFFFF"/>
                  <w:tcMar>
                    <w:top w:w="0" w:type="dxa"/>
                    <w:left w:w="0" w:type="dxa"/>
                    <w:bottom w:w="0" w:type="dxa"/>
                    <w:right w:w="0" w:type="dxa"/>
                  </w:tcMar>
                  <w:vAlign w:val="center"/>
                </w:tcPr>
                <w:p w14:paraId="1354D6D6">
                  <w:pPr>
                    <w:pStyle w:val="30"/>
                    <w:framePr w:hSpace="0" w:wrap="auto" w:vAnchor="margin" w:hAnchor="text" w:xAlign="left" w:yAlign="inline"/>
                    <w:rPr>
                      <w:lang w:val="en-US"/>
                    </w:rPr>
                  </w:pPr>
                  <w:r>
                    <w:rPr>
                      <w:lang w:val="en-US"/>
                    </w:rPr>
                    <w:t>44.1</w:t>
                  </w:r>
                </w:p>
              </w:tc>
              <w:tc>
                <w:tcPr>
                  <w:tcW w:w="158" w:type="pct"/>
                  <w:vMerge w:val="continue"/>
                  <w:shd w:val="clear" w:color="auto" w:fill="FFFFFF"/>
                  <w:tcMar>
                    <w:top w:w="0" w:type="dxa"/>
                    <w:left w:w="0" w:type="dxa"/>
                    <w:bottom w:w="0" w:type="dxa"/>
                    <w:right w:w="0" w:type="dxa"/>
                  </w:tcMar>
                  <w:vAlign w:val="center"/>
                </w:tcPr>
                <w:p w14:paraId="3F9543B9">
                  <w:pPr>
                    <w:pStyle w:val="30"/>
                    <w:framePr w:hSpace="0" w:wrap="auto" w:vAnchor="margin" w:hAnchor="text" w:xAlign="left" w:yAlign="inline"/>
                    <w:rPr>
                      <w:lang w:val="en-US"/>
                    </w:rPr>
                  </w:pPr>
                </w:p>
              </w:tc>
              <w:tc>
                <w:tcPr>
                  <w:tcW w:w="474" w:type="dxa"/>
                  <w:shd w:val="clear" w:color="auto" w:fill="FFFFFF"/>
                  <w:tcMar>
                    <w:top w:w="0" w:type="dxa"/>
                    <w:left w:w="0" w:type="dxa"/>
                    <w:bottom w:w="0" w:type="dxa"/>
                    <w:right w:w="0" w:type="dxa"/>
                  </w:tcMar>
                  <w:vAlign w:val="center"/>
                </w:tcPr>
                <w:p w14:paraId="46D97833">
                  <w:pPr>
                    <w:pStyle w:val="30"/>
                    <w:framePr w:hSpace="0" w:wrap="auto" w:vAnchor="margin" w:hAnchor="text" w:xAlign="left" w:yAlign="inline"/>
                  </w:pPr>
                  <w:r>
                    <w:rPr>
                      <w:lang w:val="en-US"/>
                    </w:rPr>
                    <w:t>20</w:t>
                  </w:r>
                </w:p>
              </w:tc>
              <w:tc>
                <w:tcPr>
                  <w:tcW w:w="474" w:type="dxa"/>
                  <w:shd w:val="clear" w:color="auto" w:fill="FFFFFF"/>
                  <w:tcMar>
                    <w:top w:w="0" w:type="dxa"/>
                    <w:left w:w="0" w:type="dxa"/>
                    <w:bottom w:w="0" w:type="dxa"/>
                    <w:right w:w="0" w:type="dxa"/>
                  </w:tcMar>
                  <w:vAlign w:val="center"/>
                </w:tcPr>
                <w:p w14:paraId="02CB7F7A">
                  <w:pPr>
                    <w:pStyle w:val="30"/>
                    <w:framePr w:hSpace="0" w:wrap="auto" w:vAnchor="margin" w:hAnchor="text" w:xAlign="left" w:yAlign="inline"/>
                  </w:pPr>
                  <w:r>
                    <w:rPr>
                      <w:lang w:val="en-US"/>
                    </w:rPr>
                    <w:t>20</w:t>
                  </w:r>
                </w:p>
              </w:tc>
              <w:tc>
                <w:tcPr>
                  <w:tcW w:w="474" w:type="dxa"/>
                  <w:shd w:val="clear" w:color="auto" w:fill="FFFFFF"/>
                  <w:tcMar>
                    <w:top w:w="0" w:type="dxa"/>
                    <w:left w:w="0" w:type="dxa"/>
                    <w:bottom w:w="0" w:type="dxa"/>
                    <w:right w:w="0" w:type="dxa"/>
                  </w:tcMar>
                  <w:vAlign w:val="center"/>
                </w:tcPr>
                <w:p w14:paraId="4C2FE4C8">
                  <w:pPr>
                    <w:pStyle w:val="30"/>
                    <w:framePr w:hSpace="0" w:wrap="auto" w:vAnchor="margin" w:hAnchor="text" w:xAlign="left" w:yAlign="inline"/>
                  </w:pPr>
                  <w:r>
                    <w:rPr>
                      <w:lang w:val="en-US"/>
                    </w:rPr>
                    <w:t>20</w:t>
                  </w:r>
                </w:p>
              </w:tc>
              <w:tc>
                <w:tcPr>
                  <w:tcW w:w="477" w:type="dxa"/>
                  <w:shd w:val="clear" w:color="auto" w:fill="FFFFFF"/>
                  <w:tcMar>
                    <w:top w:w="0" w:type="dxa"/>
                    <w:left w:w="0" w:type="dxa"/>
                    <w:bottom w:w="0" w:type="dxa"/>
                    <w:right w:w="0" w:type="dxa"/>
                  </w:tcMar>
                  <w:vAlign w:val="center"/>
                </w:tcPr>
                <w:p w14:paraId="1843C7F5">
                  <w:pPr>
                    <w:pStyle w:val="30"/>
                    <w:framePr w:hSpace="0" w:wrap="auto" w:vAnchor="margin" w:hAnchor="text" w:xAlign="left" w:yAlign="inline"/>
                  </w:pPr>
                  <w:r>
                    <w:rPr>
                      <w:lang w:val="en-US"/>
                    </w:rPr>
                    <w:t>20</w:t>
                  </w:r>
                </w:p>
              </w:tc>
              <w:tc>
                <w:tcPr>
                  <w:tcW w:w="504" w:type="dxa"/>
                  <w:shd w:val="clear" w:color="auto" w:fill="FFFFFF"/>
                  <w:tcMar>
                    <w:top w:w="0" w:type="dxa"/>
                    <w:left w:w="0" w:type="dxa"/>
                    <w:bottom w:w="0" w:type="dxa"/>
                    <w:right w:w="0" w:type="dxa"/>
                  </w:tcMar>
                  <w:vAlign w:val="center"/>
                </w:tcPr>
                <w:p w14:paraId="1C538B78">
                  <w:pPr>
                    <w:pStyle w:val="30"/>
                    <w:framePr w:hSpace="0" w:wrap="auto" w:vAnchor="margin" w:hAnchor="text" w:xAlign="left" w:yAlign="inline"/>
                    <w:rPr>
                      <w:lang w:val="en-US"/>
                    </w:rPr>
                  </w:pPr>
                  <w:r>
                    <w:rPr>
                      <w:lang w:val="en-US"/>
                    </w:rPr>
                    <w:t>24.1</w:t>
                  </w:r>
                </w:p>
              </w:tc>
              <w:tc>
                <w:tcPr>
                  <w:tcW w:w="504" w:type="dxa"/>
                  <w:shd w:val="clear" w:color="auto" w:fill="FFFFFF"/>
                  <w:tcMar>
                    <w:top w:w="0" w:type="dxa"/>
                    <w:left w:w="0" w:type="dxa"/>
                    <w:bottom w:w="0" w:type="dxa"/>
                    <w:right w:w="0" w:type="dxa"/>
                  </w:tcMar>
                  <w:vAlign w:val="center"/>
                </w:tcPr>
                <w:p w14:paraId="76F15380">
                  <w:pPr>
                    <w:pStyle w:val="30"/>
                    <w:framePr w:hSpace="0" w:wrap="auto" w:vAnchor="margin" w:hAnchor="text" w:xAlign="left" w:yAlign="inline"/>
                    <w:rPr>
                      <w:lang w:val="en-US"/>
                    </w:rPr>
                  </w:pPr>
                  <w:r>
                    <w:rPr>
                      <w:lang w:val="en-US"/>
                    </w:rPr>
                    <w:t>24.1</w:t>
                  </w:r>
                </w:p>
              </w:tc>
              <w:tc>
                <w:tcPr>
                  <w:tcW w:w="504" w:type="dxa"/>
                  <w:shd w:val="clear" w:color="auto" w:fill="FFFFFF"/>
                  <w:tcMar>
                    <w:top w:w="0" w:type="dxa"/>
                    <w:left w:w="0" w:type="dxa"/>
                    <w:bottom w:w="0" w:type="dxa"/>
                    <w:right w:w="0" w:type="dxa"/>
                  </w:tcMar>
                  <w:vAlign w:val="center"/>
                </w:tcPr>
                <w:p w14:paraId="098C25A8">
                  <w:pPr>
                    <w:pStyle w:val="30"/>
                    <w:framePr w:hSpace="0" w:wrap="auto" w:vAnchor="margin" w:hAnchor="text" w:xAlign="left" w:yAlign="inline"/>
                    <w:rPr>
                      <w:lang w:val="en-US"/>
                    </w:rPr>
                  </w:pPr>
                  <w:r>
                    <w:rPr>
                      <w:lang w:val="en-US"/>
                    </w:rPr>
                    <w:t>24.1</w:t>
                  </w:r>
                </w:p>
              </w:tc>
              <w:tc>
                <w:tcPr>
                  <w:tcW w:w="507" w:type="dxa"/>
                  <w:shd w:val="clear" w:color="auto" w:fill="FFFFFF"/>
                  <w:tcMar>
                    <w:top w:w="0" w:type="dxa"/>
                    <w:left w:w="0" w:type="dxa"/>
                    <w:bottom w:w="0" w:type="dxa"/>
                    <w:right w:w="0" w:type="dxa"/>
                  </w:tcMar>
                  <w:vAlign w:val="center"/>
                </w:tcPr>
                <w:p w14:paraId="69F46F2D">
                  <w:pPr>
                    <w:pStyle w:val="30"/>
                    <w:framePr w:hSpace="0" w:wrap="auto" w:vAnchor="margin" w:hAnchor="text" w:xAlign="left" w:yAlign="inline"/>
                    <w:rPr>
                      <w:lang w:val="en-US"/>
                    </w:rPr>
                  </w:pPr>
                  <w:r>
                    <w:rPr>
                      <w:lang w:val="en-US"/>
                    </w:rPr>
                    <w:t>24.1</w:t>
                  </w:r>
                </w:p>
              </w:tc>
              <w:tc>
                <w:tcPr>
                  <w:tcW w:w="269" w:type="pct"/>
                  <w:shd w:val="clear" w:color="auto" w:fill="FFFFFF"/>
                  <w:tcMar>
                    <w:top w:w="0" w:type="dxa"/>
                    <w:left w:w="0" w:type="dxa"/>
                    <w:bottom w:w="0" w:type="dxa"/>
                    <w:right w:w="0" w:type="dxa"/>
                  </w:tcMar>
                  <w:vAlign w:val="center"/>
                </w:tcPr>
                <w:p w14:paraId="0F52AEBA">
                  <w:pPr>
                    <w:pStyle w:val="30"/>
                    <w:framePr w:hSpace="0" w:wrap="auto" w:vAnchor="margin" w:hAnchor="text" w:xAlign="left" w:yAlign="inline"/>
                  </w:pPr>
                  <w:r>
                    <w:t>1</w:t>
                  </w:r>
                </w:p>
              </w:tc>
            </w:tr>
            <w:tr w14:paraId="7D0EC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340" w:hRule="atLeast"/>
                <w:jc w:val="center"/>
              </w:trPr>
              <w:tc>
                <w:tcPr>
                  <w:tcW w:w="137" w:type="pct"/>
                  <w:shd w:val="clear" w:color="auto" w:fill="FFFFFF"/>
                  <w:tcMar>
                    <w:top w:w="0" w:type="dxa"/>
                    <w:left w:w="0" w:type="dxa"/>
                    <w:bottom w:w="0" w:type="dxa"/>
                    <w:right w:w="0" w:type="dxa"/>
                  </w:tcMar>
                  <w:vAlign w:val="center"/>
                </w:tcPr>
                <w:p w14:paraId="2F0C3996">
                  <w:pPr>
                    <w:pStyle w:val="30"/>
                    <w:framePr w:hSpace="0" w:wrap="auto" w:vAnchor="margin" w:hAnchor="text" w:xAlign="left" w:yAlign="inline"/>
                    <w:numPr>
                      <w:ilvl w:val="0"/>
                      <w:numId w:val="2"/>
                    </w:numPr>
                  </w:pPr>
                </w:p>
              </w:tc>
              <w:tc>
                <w:tcPr>
                  <w:tcW w:w="188" w:type="pct"/>
                  <w:vMerge w:val="continue"/>
                  <w:shd w:val="clear" w:color="auto" w:fill="FFFFFF"/>
                  <w:tcMar>
                    <w:top w:w="0" w:type="dxa"/>
                    <w:left w:w="0" w:type="dxa"/>
                    <w:bottom w:w="0" w:type="dxa"/>
                    <w:right w:w="0" w:type="dxa"/>
                  </w:tcMar>
                  <w:vAlign w:val="center"/>
                </w:tcPr>
                <w:p w14:paraId="733A68A8">
                  <w:pPr>
                    <w:pStyle w:val="30"/>
                    <w:framePr w:hSpace="0" w:wrap="auto" w:vAnchor="margin" w:hAnchor="text" w:xAlign="left" w:yAlign="inline"/>
                  </w:pPr>
                </w:p>
              </w:tc>
              <w:tc>
                <w:tcPr>
                  <w:tcW w:w="314" w:type="pct"/>
                  <w:shd w:val="clear" w:color="auto" w:fill="auto"/>
                  <w:tcMar>
                    <w:top w:w="0" w:type="dxa"/>
                    <w:left w:w="0" w:type="dxa"/>
                    <w:bottom w:w="0" w:type="dxa"/>
                    <w:right w:w="0" w:type="dxa"/>
                  </w:tcMar>
                  <w:vAlign w:val="center"/>
                </w:tcPr>
                <w:p w14:paraId="1F2EE4F7">
                  <w:pPr>
                    <w:pStyle w:val="30"/>
                    <w:framePr w:hSpace="0" w:wrap="auto" w:vAnchor="margin" w:hAnchor="text" w:xAlign="left" w:yAlign="inline"/>
                    <w:rPr>
                      <w:lang w:val="en-US"/>
                    </w:rPr>
                  </w:pPr>
                  <w:r>
                    <w:rPr>
                      <w:rFonts w:hint="eastAsia"/>
                      <w:lang w:val="en-US"/>
                    </w:rPr>
                    <w:t>自动包装机</w:t>
                  </w:r>
                </w:p>
              </w:tc>
              <w:tc>
                <w:tcPr>
                  <w:tcW w:w="725" w:type="dxa"/>
                  <w:shd w:val="clear" w:color="auto" w:fill="FFFFFF"/>
                  <w:tcMar>
                    <w:top w:w="0" w:type="dxa"/>
                    <w:left w:w="0" w:type="dxa"/>
                    <w:bottom w:w="0" w:type="dxa"/>
                    <w:right w:w="0" w:type="dxa"/>
                  </w:tcMar>
                  <w:vAlign w:val="center"/>
                </w:tcPr>
                <w:p w14:paraId="58BE3E2B">
                  <w:pPr>
                    <w:pStyle w:val="30"/>
                    <w:framePr w:hSpace="0" w:wrap="auto" w:vAnchor="margin" w:hAnchor="text" w:xAlign="left" w:yAlign="inline"/>
                    <w:rPr>
                      <w:lang w:val="en-US"/>
                    </w:rPr>
                  </w:pPr>
                  <w:r>
                    <w:rPr>
                      <w:rFonts w:hint="eastAsia"/>
                      <w:lang w:val="en-US"/>
                    </w:rPr>
                    <w:t>80</w:t>
                  </w:r>
                </w:p>
              </w:tc>
              <w:tc>
                <w:tcPr>
                  <w:tcW w:w="171" w:type="pct"/>
                  <w:vMerge w:val="continue"/>
                  <w:shd w:val="clear" w:color="auto" w:fill="FFFFFF"/>
                  <w:tcMar>
                    <w:top w:w="0" w:type="dxa"/>
                    <w:left w:w="0" w:type="dxa"/>
                    <w:bottom w:w="0" w:type="dxa"/>
                    <w:right w:w="0" w:type="dxa"/>
                  </w:tcMar>
                  <w:vAlign w:val="center"/>
                </w:tcPr>
                <w:p w14:paraId="597F7566">
                  <w:pPr>
                    <w:pStyle w:val="30"/>
                    <w:framePr w:hSpace="0" w:wrap="auto" w:vAnchor="margin" w:hAnchor="text" w:xAlign="left" w:yAlign="inline"/>
                    <w:rPr>
                      <w:lang w:val="en-US"/>
                    </w:rPr>
                  </w:pPr>
                </w:p>
              </w:tc>
              <w:tc>
                <w:tcPr>
                  <w:tcW w:w="313" w:type="dxa"/>
                  <w:shd w:val="clear" w:color="auto" w:fill="FFFFFF"/>
                  <w:tcMar>
                    <w:top w:w="0" w:type="dxa"/>
                    <w:left w:w="0" w:type="dxa"/>
                    <w:bottom w:w="0" w:type="dxa"/>
                    <w:right w:w="0" w:type="dxa"/>
                  </w:tcMar>
                  <w:vAlign w:val="center"/>
                </w:tcPr>
                <w:p w14:paraId="1FC762FF">
                  <w:pPr>
                    <w:pStyle w:val="30"/>
                    <w:framePr w:hSpace="0" w:wrap="auto" w:vAnchor="margin" w:hAnchor="text" w:xAlign="left" w:yAlign="inline"/>
                  </w:pPr>
                  <w:r>
                    <w:rPr>
                      <w:lang w:val="en-US"/>
                    </w:rPr>
                    <w:t>20</w:t>
                  </w:r>
                </w:p>
              </w:tc>
              <w:tc>
                <w:tcPr>
                  <w:tcW w:w="598" w:type="dxa"/>
                  <w:shd w:val="clear" w:color="auto" w:fill="FFFFFF"/>
                  <w:tcMar>
                    <w:top w:w="0" w:type="dxa"/>
                    <w:left w:w="0" w:type="dxa"/>
                    <w:bottom w:w="0" w:type="dxa"/>
                    <w:right w:w="0" w:type="dxa"/>
                  </w:tcMar>
                  <w:vAlign w:val="center"/>
                </w:tcPr>
                <w:p w14:paraId="32C34E44">
                  <w:pPr>
                    <w:pStyle w:val="30"/>
                    <w:framePr w:hSpace="0" w:wrap="auto" w:vAnchor="margin" w:hAnchor="text" w:xAlign="left" w:yAlign="inline"/>
                  </w:pPr>
                  <w:r>
                    <w:rPr>
                      <w:lang w:val="en-US"/>
                    </w:rPr>
                    <w:t>17</w:t>
                  </w:r>
                </w:p>
              </w:tc>
              <w:tc>
                <w:tcPr>
                  <w:tcW w:w="604" w:type="dxa"/>
                  <w:shd w:val="clear" w:color="auto" w:fill="FFFFFF"/>
                  <w:tcMar>
                    <w:top w:w="0" w:type="dxa"/>
                    <w:left w:w="0" w:type="dxa"/>
                    <w:bottom w:w="0" w:type="dxa"/>
                    <w:right w:w="0" w:type="dxa"/>
                  </w:tcMar>
                  <w:vAlign w:val="center"/>
                </w:tcPr>
                <w:p w14:paraId="0DDCDF64">
                  <w:pPr>
                    <w:pStyle w:val="30"/>
                    <w:framePr w:hSpace="0" w:wrap="auto" w:vAnchor="margin" w:hAnchor="text" w:xAlign="left" w:yAlign="inline"/>
                  </w:pPr>
                  <w:r>
                    <w:rPr>
                      <w:lang w:val="en-US"/>
                    </w:rPr>
                    <w:t>1.2</w:t>
                  </w:r>
                </w:p>
              </w:tc>
              <w:tc>
                <w:tcPr>
                  <w:tcW w:w="496" w:type="dxa"/>
                  <w:shd w:val="clear" w:color="auto" w:fill="FFFFFF"/>
                  <w:tcMar>
                    <w:top w:w="0" w:type="dxa"/>
                    <w:left w:w="0" w:type="dxa"/>
                    <w:bottom w:w="0" w:type="dxa"/>
                    <w:right w:w="0" w:type="dxa"/>
                  </w:tcMar>
                  <w:vAlign w:val="center"/>
                </w:tcPr>
                <w:p w14:paraId="012CDC25">
                  <w:pPr>
                    <w:pStyle w:val="30"/>
                    <w:framePr w:hSpace="0" w:wrap="auto" w:vAnchor="margin" w:hAnchor="text" w:xAlign="left" w:yAlign="inline"/>
                  </w:pPr>
                  <w:r>
                    <w:rPr>
                      <w:lang w:val="en-US"/>
                    </w:rPr>
                    <w:t>21</w:t>
                  </w:r>
                </w:p>
              </w:tc>
              <w:tc>
                <w:tcPr>
                  <w:tcW w:w="496" w:type="dxa"/>
                  <w:shd w:val="clear" w:color="auto" w:fill="FFFFFF"/>
                  <w:tcMar>
                    <w:top w:w="0" w:type="dxa"/>
                    <w:left w:w="0" w:type="dxa"/>
                    <w:bottom w:w="0" w:type="dxa"/>
                    <w:right w:w="0" w:type="dxa"/>
                  </w:tcMar>
                  <w:vAlign w:val="center"/>
                </w:tcPr>
                <w:p w14:paraId="3D56072E">
                  <w:pPr>
                    <w:pStyle w:val="30"/>
                    <w:framePr w:hSpace="0" w:wrap="auto" w:vAnchor="margin" w:hAnchor="text" w:xAlign="left" w:yAlign="inline"/>
                  </w:pPr>
                  <w:r>
                    <w:rPr>
                      <w:lang w:val="en-US"/>
                    </w:rPr>
                    <w:t>17</w:t>
                  </w:r>
                </w:p>
              </w:tc>
              <w:tc>
                <w:tcPr>
                  <w:tcW w:w="496" w:type="dxa"/>
                  <w:shd w:val="clear" w:color="auto" w:fill="FFFFFF"/>
                  <w:tcMar>
                    <w:top w:w="0" w:type="dxa"/>
                    <w:left w:w="0" w:type="dxa"/>
                    <w:bottom w:w="0" w:type="dxa"/>
                    <w:right w:w="0" w:type="dxa"/>
                  </w:tcMar>
                  <w:vAlign w:val="center"/>
                </w:tcPr>
                <w:p w14:paraId="7356683C">
                  <w:pPr>
                    <w:pStyle w:val="30"/>
                    <w:framePr w:hSpace="0" w:wrap="auto" w:vAnchor="margin" w:hAnchor="text" w:xAlign="left" w:yAlign="inline"/>
                  </w:pPr>
                  <w:r>
                    <w:rPr>
                      <w:lang w:val="en-US"/>
                    </w:rPr>
                    <w:t>20</w:t>
                  </w:r>
                </w:p>
              </w:tc>
              <w:tc>
                <w:tcPr>
                  <w:tcW w:w="509" w:type="dxa"/>
                  <w:shd w:val="clear" w:color="auto" w:fill="FFFFFF"/>
                  <w:tcMar>
                    <w:top w:w="0" w:type="dxa"/>
                    <w:left w:w="0" w:type="dxa"/>
                    <w:bottom w:w="0" w:type="dxa"/>
                    <w:right w:w="0" w:type="dxa"/>
                  </w:tcMar>
                  <w:vAlign w:val="center"/>
                </w:tcPr>
                <w:p w14:paraId="237EB601">
                  <w:pPr>
                    <w:pStyle w:val="30"/>
                    <w:framePr w:hSpace="0" w:wrap="auto" w:vAnchor="margin" w:hAnchor="text" w:xAlign="left" w:yAlign="inline"/>
                  </w:pPr>
                  <w:r>
                    <w:rPr>
                      <w:lang w:val="en-US"/>
                    </w:rPr>
                    <w:t>42</w:t>
                  </w:r>
                </w:p>
              </w:tc>
              <w:tc>
                <w:tcPr>
                  <w:tcW w:w="493" w:type="dxa"/>
                  <w:shd w:val="clear" w:color="auto" w:fill="FFFFFF"/>
                  <w:tcMar>
                    <w:top w:w="0" w:type="dxa"/>
                    <w:left w:w="0" w:type="dxa"/>
                    <w:bottom w:w="0" w:type="dxa"/>
                    <w:right w:w="0" w:type="dxa"/>
                  </w:tcMar>
                  <w:vAlign w:val="center"/>
                </w:tcPr>
                <w:p w14:paraId="799B05BB">
                  <w:pPr>
                    <w:pStyle w:val="30"/>
                    <w:framePr w:hSpace="0" w:wrap="auto" w:vAnchor="margin" w:hAnchor="text" w:xAlign="left" w:yAlign="inline"/>
                  </w:pPr>
                  <w:r>
                    <w:rPr>
                      <w:lang w:val="en-US"/>
                    </w:rPr>
                    <w:t>48.3</w:t>
                  </w:r>
                </w:p>
              </w:tc>
              <w:tc>
                <w:tcPr>
                  <w:tcW w:w="493" w:type="dxa"/>
                  <w:shd w:val="clear" w:color="auto" w:fill="FFFFFF"/>
                  <w:tcMar>
                    <w:top w:w="0" w:type="dxa"/>
                    <w:left w:w="0" w:type="dxa"/>
                    <w:bottom w:w="0" w:type="dxa"/>
                    <w:right w:w="0" w:type="dxa"/>
                  </w:tcMar>
                  <w:vAlign w:val="center"/>
                </w:tcPr>
                <w:p w14:paraId="71CF0A54">
                  <w:pPr>
                    <w:pStyle w:val="30"/>
                    <w:framePr w:hSpace="0" w:wrap="auto" w:vAnchor="margin" w:hAnchor="text" w:xAlign="left" w:yAlign="inline"/>
                  </w:pPr>
                  <w:r>
                    <w:rPr>
                      <w:lang w:val="en-US"/>
                    </w:rPr>
                    <w:t>48.3</w:t>
                  </w:r>
                </w:p>
              </w:tc>
              <w:tc>
                <w:tcPr>
                  <w:tcW w:w="493" w:type="dxa"/>
                  <w:shd w:val="clear" w:color="auto" w:fill="FFFFFF"/>
                  <w:tcMar>
                    <w:top w:w="0" w:type="dxa"/>
                    <w:left w:w="0" w:type="dxa"/>
                    <w:bottom w:w="0" w:type="dxa"/>
                    <w:right w:w="0" w:type="dxa"/>
                  </w:tcMar>
                  <w:vAlign w:val="center"/>
                </w:tcPr>
                <w:p w14:paraId="6CD67B6C">
                  <w:pPr>
                    <w:pStyle w:val="30"/>
                    <w:framePr w:hSpace="0" w:wrap="auto" w:vAnchor="margin" w:hAnchor="text" w:xAlign="left" w:yAlign="inline"/>
                  </w:pPr>
                  <w:r>
                    <w:rPr>
                      <w:lang w:val="en-US"/>
                    </w:rPr>
                    <w:t>48.3</w:t>
                  </w:r>
                </w:p>
              </w:tc>
              <w:tc>
                <w:tcPr>
                  <w:tcW w:w="493" w:type="dxa"/>
                  <w:shd w:val="clear" w:color="auto" w:fill="FFFFFF"/>
                  <w:tcMar>
                    <w:top w:w="0" w:type="dxa"/>
                    <w:left w:w="0" w:type="dxa"/>
                    <w:bottom w:w="0" w:type="dxa"/>
                    <w:right w:w="0" w:type="dxa"/>
                  </w:tcMar>
                  <w:vAlign w:val="center"/>
                </w:tcPr>
                <w:p w14:paraId="5F8CE465">
                  <w:pPr>
                    <w:pStyle w:val="30"/>
                    <w:framePr w:hSpace="0" w:wrap="auto" w:vAnchor="margin" w:hAnchor="text" w:xAlign="left" w:yAlign="inline"/>
                  </w:pPr>
                  <w:r>
                    <w:rPr>
                      <w:lang w:val="en-US"/>
                    </w:rPr>
                    <w:t>48.3</w:t>
                  </w:r>
                </w:p>
              </w:tc>
              <w:tc>
                <w:tcPr>
                  <w:tcW w:w="158" w:type="pct"/>
                  <w:vMerge w:val="continue"/>
                  <w:shd w:val="clear" w:color="auto" w:fill="FFFFFF"/>
                  <w:tcMar>
                    <w:top w:w="0" w:type="dxa"/>
                    <w:left w:w="0" w:type="dxa"/>
                    <w:bottom w:w="0" w:type="dxa"/>
                    <w:right w:w="0" w:type="dxa"/>
                  </w:tcMar>
                  <w:vAlign w:val="center"/>
                </w:tcPr>
                <w:p w14:paraId="3B89A44E">
                  <w:pPr>
                    <w:pStyle w:val="30"/>
                    <w:framePr w:hSpace="0" w:wrap="auto" w:vAnchor="margin" w:hAnchor="text" w:xAlign="left" w:yAlign="inline"/>
                    <w:rPr>
                      <w:lang w:val="en-US"/>
                    </w:rPr>
                  </w:pPr>
                </w:p>
              </w:tc>
              <w:tc>
                <w:tcPr>
                  <w:tcW w:w="474" w:type="dxa"/>
                  <w:shd w:val="clear" w:color="auto" w:fill="FFFFFF"/>
                  <w:tcMar>
                    <w:top w:w="0" w:type="dxa"/>
                    <w:left w:w="0" w:type="dxa"/>
                    <w:bottom w:w="0" w:type="dxa"/>
                    <w:right w:w="0" w:type="dxa"/>
                  </w:tcMar>
                  <w:vAlign w:val="center"/>
                </w:tcPr>
                <w:p w14:paraId="71F80217">
                  <w:pPr>
                    <w:pStyle w:val="30"/>
                    <w:framePr w:hSpace="0" w:wrap="auto" w:vAnchor="margin" w:hAnchor="text" w:xAlign="left" w:yAlign="inline"/>
                  </w:pPr>
                  <w:r>
                    <w:rPr>
                      <w:lang w:val="en-US"/>
                    </w:rPr>
                    <w:t>20</w:t>
                  </w:r>
                </w:p>
              </w:tc>
              <w:tc>
                <w:tcPr>
                  <w:tcW w:w="474" w:type="dxa"/>
                  <w:shd w:val="clear" w:color="auto" w:fill="FFFFFF"/>
                  <w:tcMar>
                    <w:top w:w="0" w:type="dxa"/>
                    <w:left w:w="0" w:type="dxa"/>
                    <w:bottom w:w="0" w:type="dxa"/>
                    <w:right w:w="0" w:type="dxa"/>
                  </w:tcMar>
                  <w:vAlign w:val="center"/>
                </w:tcPr>
                <w:p w14:paraId="58D43825">
                  <w:pPr>
                    <w:pStyle w:val="30"/>
                    <w:framePr w:hSpace="0" w:wrap="auto" w:vAnchor="margin" w:hAnchor="text" w:xAlign="left" w:yAlign="inline"/>
                  </w:pPr>
                  <w:r>
                    <w:rPr>
                      <w:lang w:val="en-US"/>
                    </w:rPr>
                    <w:t>20</w:t>
                  </w:r>
                </w:p>
              </w:tc>
              <w:tc>
                <w:tcPr>
                  <w:tcW w:w="474" w:type="dxa"/>
                  <w:shd w:val="clear" w:color="auto" w:fill="FFFFFF"/>
                  <w:tcMar>
                    <w:top w:w="0" w:type="dxa"/>
                    <w:left w:w="0" w:type="dxa"/>
                    <w:bottom w:w="0" w:type="dxa"/>
                    <w:right w:w="0" w:type="dxa"/>
                  </w:tcMar>
                  <w:vAlign w:val="center"/>
                </w:tcPr>
                <w:p w14:paraId="4E4E3CBF">
                  <w:pPr>
                    <w:pStyle w:val="30"/>
                    <w:framePr w:hSpace="0" w:wrap="auto" w:vAnchor="margin" w:hAnchor="text" w:xAlign="left" w:yAlign="inline"/>
                  </w:pPr>
                  <w:r>
                    <w:rPr>
                      <w:lang w:val="en-US"/>
                    </w:rPr>
                    <w:t>20</w:t>
                  </w:r>
                </w:p>
              </w:tc>
              <w:tc>
                <w:tcPr>
                  <w:tcW w:w="477" w:type="dxa"/>
                  <w:shd w:val="clear" w:color="auto" w:fill="FFFFFF"/>
                  <w:tcMar>
                    <w:top w:w="0" w:type="dxa"/>
                    <w:left w:w="0" w:type="dxa"/>
                    <w:bottom w:w="0" w:type="dxa"/>
                    <w:right w:w="0" w:type="dxa"/>
                  </w:tcMar>
                  <w:vAlign w:val="center"/>
                </w:tcPr>
                <w:p w14:paraId="7349B314">
                  <w:pPr>
                    <w:pStyle w:val="30"/>
                    <w:framePr w:hSpace="0" w:wrap="auto" w:vAnchor="margin" w:hAnchor="text" w:xAlign="left" w:yAlign="inline"/>
                  </w:pPr>
                  <w:r>
                    <w:rPr>
                      <w:lang w:val="en-US"/>
                    </w:rPr>
                    <w:t>20</w:t>
                  </w:r>
                </w:p>
              </w:tc>
              <w:tc>
                <w:tcPr>
                  <w:tcW w:w="504" w:type="dxa"/>
                  <w:shd w:val="clear" w:color="auto" w:fill="FFFFFF"/>
                  <w:tcMar>
                    <w:top w:w="0" w:type="dxa"/>
                    <w:left w:w="0" w:type="dxa"/>
                    <w:bottom w:w="0" w:type="dxa"/>
                    <w:right w:w="0" w:type="dxa"/>
                  </w:tcMar>
                  <w:vAlign w:val="center"/>
                </w:tcPr>
                <w:p w14:paraId="275C2195">
                  <w:pPr>
                    <w:pStyle w:val="30"/>
                    <w:framePr w:hSpace="0" w:wrap="auto" w:vAnchor="margin" w:hAnchor="text" w:xAlign="left" w:yAlign="inline"/>
                    <w:rPr>
                      <w:lang w:val="en-US"/>
                    </w:rPr>
                  </w:pPr>
                  <w:r>
                    <w:rPr>
                      <w:lang w:val="en-US"/>
                    </w:rPr>
                    <w:t>28.3</w:t>
                  </w:r>
                </w:p>
              </w:tc>
              <w:tc>
                <w:tcPr>
                  <w:tcW w:w="504" w:type="dxa"/>
                  <w:shd w:val="clear" w:color="auto" w:fill="FFFFFF"/>
                  <w:tcMar>
                    <w:top w:w="0" w:type="dxa"/>
                    <w:left w:w="0" w:type="dxa"/>
                    <w:bottom w:w="0" w:type="dxa"/>
                    <w:right w:w="0" w:type="dxa"/>
                  </w:tcMar>
                  <w:vAlign w:val="center"/>
                </w:tcPr>
                <w:p w14:paraId="19C03BFA">
                  <w:pPr>
                    <w:pStyle w:val="30"/>
                    <w:framePr w:hSpace="0" w:wrap="auto" w:vAnchor="margin" w:hAnchor="text" w:xAlign="left" w:yAlign="inline"/>
                    <w:rPr>
                      <w:lang w:val="en-US"/>
                    </w:rPr>
                  </w:pPr>
                  <w:r>
                    <w:rPr>
                      <w:lang w:val="en-US"/>
                    </w:rPr>
                    <w:t>28.3</w:t>
                  </w:r>
                </w:p>
              </w:tc>
              <w:tc>
                <w:tcPr>
                  <w:tcW w:w="504" w:type="dxa"/>
                  <w:shd w:val="clear" w:color="auto" w:fill="FFFFFF"/>
                  <w:tcMar>
                    <w:top w:w="0" w:type="dxa"/>
                    <w:left w:w="0" w:type="dxa"/>
                    <w:bottom w:w="0" w:type="dxa"/>
                    <w:right w:w="0" w:type="dxa"/>
                  </w:tcMar>
                  <w:vAlign w:val="center"/>
                </w:tcPr>
                <w:p w14:paraId="316669EE">
                  <w:pPr>
                    <w:pStyle w:val="30"/>
                    <w:framePr w:hSpace="0" w:wrap="auto" w:vAnchor="margin" w:hAnchor="text" w:xAlign="left" w:yAlign="inline"/>
                    <w:rPr>
                      <w:lang w:val="en-US"/>
                    </w:rPr>
                  </w:pPr>
                  <w:r>
                    <w:rPr>
                      <w:lang w:val="en-US"/>
                    </w:rPr>
                    <w:t>28.3</w:t>
                  </w:r>
                </w:p>
              </w:tc>
              <w:tc>
                <w:tcPr>
                  <w:tcW w:w="507" w:type="dxa"/>
                  <w:shd w:val="clear" w:color="auto" w:fill="FFFFFF"/>
                  <w:tcMar>
                    <w:top w:w="0" w:type="dxa"/>
                    <w:left w:w="0" w:type="dxa"/>
                    <w:bottom w:w="0" w:type="dxa"/>
                    <w:right w:w="0" w:type="dxa"/>
                  </w:tcMar>
                  <w:vAlign w:val="center"/>
                </w:tcPr>
                <w:p w14:paraId="713DCEBF">
                  <w:pPr>
                    <w:pStyle w:val="30"/>
                    <w:framePr w:hSpace="0" w:wrap="auto" w:vAnchor="margin" w:hAnchor="text" w:xAlign="left" w:yAlign="inline"/>
                    <w:rPr>
                      <w:lang w:val="en-US"/>
                    </w:rPr>
                  </w:pPr>
                  <w:r>
                    <w:rPr>
                      <w:lang w:val="en-US"/>
                    </w:rPr>
                    <w:t>28.3</w:t>
                  </w:r>
                </w:p>
              </w:tc>
              <w:tc>
                <w:tcPr>
                  <w:tcW w:w="729" w:type="dxa"/>
                  <w:shd w:val="clear" w:color="auto" w:fill="FFFFFF"/>
                  <w:tcMar>
                    <w:top w:w="0" w:type="dxa"/>
                    <w:left w:w="0" w:type="dxa"/>
                    <w:bottom w:w="0" w:type="dxa"/>
                    <w:right w:w="0" w:type="dxa"/>
                  </w:tcMar>
                  <w:vAlign w:val="center"/>
                </w:tcPr>
                <w:p w14:paraId="4FB6E017">
                  <w:pPr>
                    <w:pStyle w:val="30"/>
                    <w:framePr w:hSpace="0" w:wrap="auto" w:vAnchor="margin" w:hAnchor="text" w:xAlign="left" w:yAlign="inline"/>
                  </w:pPr>
                  <w:r>
                    <w:t>1</w:t>
                  </w:r>
                </w:p>
              </w:tc>
            </w:tr>
            <w:tr w14:paraId="25646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340" w:hRule="atLeast"/>
                <w:jc w:val="center"/>
              </w:trPr>
              <w:tc>
                <w:tcPr>
                  <w:tcW w:w="137" w:type="pct"/>
                  <w:shd w:val="clear" w:color="auto" w:fill="FFFFFF"/>
                  <w:tcMar>
                    <w:top w:w="0" w:type="dxa"/>
                    <w:left w:w="0" w:type="dxa"/>
                    <w:bottom w:w="0" w:type="dxa"/>
                    <w:right w:w="0" w:type="dxa"/>
                  </w:tcMar>
                  <w:vAlign w:val="center"/>
                </w:tcPr>
                <w:p w14:paraId="0F16B088">
                  <w:pPr>
                    <w:pStyle w:val="30"/>
                    <w:framePr w:hSpace="0" w:wrap="auto" w:vAnchor="margin" w:hAnchor="text" w:xAlign="left" w:yAlign="inline"/>
                    <w:numPr>
                      <w:ilvl w:val="0"/>
                      <w:numId w:val="2"/>
                    </w:numPr>
                    <w:rPr>
                      <w:lang w:val="en-US"/>
                    </w:rPr>
                  </w:pPr>
                </w:p>
              </w:tc>
              <w:tc>
                <w:tcPr>
                  <w:tcW w:w="188" w:type="pct"/>
                  <w:vMerge w:val="restart"/>
                  <w:shd w:val="clear" w:color="auto" w:fill="FFFFFF"/>
                  <w:tcMar>
                    <w:top w:w="0" w:type="dxa"/>
                    <w:left w:w="0" w:type="dxa"/>
                    <w:bottom w:w="0" w:type="dxa"/>
                    <w:right w:w="0" w:type="dxa"/>
                  </w:tcMar>
                  <w:vAlign w:val="center"/>
                </w:tcPr>
                <w:p w14:paraId="6E85DC1F">
                  <w:pPr>
                    <w:pStyle w:val="30"/>
                    <w:framePr w:hSpace="0" w:wrap="auto" w:vAnchor="margin" w:hAnchor="text" w:xAlign="left" w:yAlign="inline"/>
                  </w:pPr>
                  <w:r>
                    <w:rPr>
                      <w:rFonts w:hint="eastAsia"/>
                    </w:rPr>
                    <w:t>二层车间</w:t>
                  </w:r>
                </w:p>
              </w:tc>
              <w:tc>
                <w:tcPr>
                  <w:tcW w:w="314" w:type="pct"/>
                  <w:shd w:val="clear" w:color="auto" w:fill="FFFFFF"/>
                  <w:tcMar>
                    <w:top w:w="0" w:type="dxa"/>
                    <w:left w:w="0" w:type="dxa"/>
                    <w:bottom w:w="0" w:type="dxa"/>
                    <w:right w:w="0" w:type="dxa"/>
                  </w:tcMar>
                  <w:vAlign w:val="center"/>
                </w:tcPr>
                <w:p w14:paraId="6C64E3D2">
                  <w:pPr>
                    <w:pStyle w:val="30"/>
                    <w:framePr w:hSpace="0" w:wrap="auto" w:vAnchor="margin" w:hAnchor="text" w:xAlign="left" w:yAlign="inline"/>
                    <w:rPr>
                      <w:lang w:val="en-US"/>
                    </w:rPr>
                  </w:pPr>
                  <w:r>
                    <w:rPr>
                      <w:rFonts w:hint="eastAsia"/>
                      <w:lang w:val="en-US"/>
                    </w:rPr>
                    <w:t>熬煮锅1</w:t>
                  </w:r>
                </w:p>
              </w:tc>
              <w:tc>
                <w:tcPr>
                  <w:tcW w:w="725" w:type="dxa"/>
                  <w:shd w:val="clear" w:color="auto" w:fill="FFFFFF"/>
                  <w:tcMar>
                    <w:top w:w="0" w:type="dxa"/>
                    <w:left w:w="0" w:type="dxa"/>
                    <w:bottom w:w="0" w:type="dxa"/>
                    <w:right w:w="0" w:type="dxa"/>
                  </w:tcMar>
                  <w:vAlign w:val="center"/>
                </w:tcPr>
                <w:p w14:paraId="53056651">
                  <w:pPr>
                    <w:pStyle w:val="30"/>
                    <w:framePr w:hSpace="0" w:wrap="auto" w:vAnchor="margin" w:hAnchor="text" w:xAlign="left" w:yAlign="inline"/>
                    <w:rPr>
                      <w:lang w:val="en-US"/>
                    </w:rPr>
                  </w:pPr>
                  <w:r>
                    <w:rPr>
                      <w:lang w:val="en-US"/>
                    </w:rPr>
                    <w:t>80</w:t>
                  </w:r>
                </w:p>
              </w:tc>
              <w:tc>
                <w:tcPr>
                  <w:tcW w:w="171" w:type="pct"/>
                  <w:vMerge w:val="continue"/>
                  <w:shd w:val="clear" w:color="auto" w:fill="FFFFFF"/>
                  <w:tcMar>
                    <w:top w:w="0" w:type="dxa"/>
                    <w:left w:w="0" w:type="dxa"/>
                    <w:bottom w:w="0" w:type="dxa"/>
                    <w:right w:w="0" w:type="dxa"/>
                  </w:tcMar>
                  <w:vAlign w:val="center"/>
                </w:tcPr>
                <w:p w14:paraId="67F2BAF4">
                  <w:pPr>
                    <w:pStyle w:val="30"/>
                    <w:framePr w:hSpace="0" w:wrap="auto" w:vAnchor="margin" w:hAnchor="text" w:xAlign="left" w:yAlign="inline"/>
                    <w:rPr>
                      <w:lang w:val="en-US"/>
                    </w:rPr>
                  </w:pPr>
                </w:p>
              </w:tc>
              <w:tc>
                <w:tcPr>
                  <w:tcW w:w="313" w:type="dxa"/>
                  <w:shd w:val="clear" w:color="auto" w:fill="FFFFFF"/>
                  <w:tcMar>
                    <w:top w:w="0" w:type="dxa"/>
                    <w:left w:w="0" w:type="dxa"/>
                    <w:bottom w:w="0" w:type="dxa"/>
                    <w:right w:w="0" w:type="dxa"/>
                  </w:tcMar>
                  <w:vAlign w:val="center"/>
                </w:tcPr>
                <w:p w14:paraId="6A4211E3">
                  <w:pPr>
                    <w:pStyle w:val="30"/>
                    <w:framePr w:hSpace="0" w:wrap="auto" w:vAnchor="margin" w:hAnchor="text" w:xAlign="left" w:yAlign="inline"/>
                    <w:rPr>
                      <w:lang w:val="en-US"/>
                    </w:rPr>
                  </w:pPr>
                  <w:r>
                    <w:rPr>
                      <w:lang w:val="en-US"/>
                    </w:rPr>
                    <w:t>36</w:t>
                  </w:r>
                </w:p>
              </w:tc>
              <w:tc>
                <w:tcPr>
                  <w:tcW w:w="598" w:type="dxa"/>
                  <w:shd w:val="clear" w:color="auto" w:fill="FFFFFF"/>
                  <w:tcMar>
                    <w:top w:w="0" w:type="dxa"/>
                    <w:left w:w="0" w:type="dxa"/>
                    <w:bottom w:w="0" w:type="dxa"/>
                    <w:right w:w="0" w:type="dxa"/>
                  </w:tcMar>
                  <w:vAlign w:val="center"/>
                </w:tcPr>
                <w:p w14:paraId="07972F56">
                  <w:pPr>
                    <w:pStyle w:val="30"/>
                    <w:framePr w:hSpace="0" w:wrap="auto" w:vAnchor="margin" w:hAnchor="text" w:xAlign="left" w:yAlign="inline"/>
                    <w:rPr>
                      <w:lang w:val="en-US"/>
                    </w:rPr>
                  </w:pPr>
                  <w:r>
                    <w:rPr>
                      <w:lang w:val="en-US"/>
                    </w:rPr>
                    <w:t>5</w:t>
                  </w:r>
                </w:p>
              </w:tc>
              <w:tc>
                <w:tcPr>
                  <w:tcW w:w="604" w:type="dxa"/>
                  <w:shd w:val="clear" w:color="auto" w:fill="FFFFFF"/>
                  <w:tcMar>
                    <w:top w:w="0" w:type="dxa"/>
                    <w:left w:w="0" w:type="dxa"/>
                    <w:bottom w:w="0" w:type="dxa"/>
                    <w:right w:w="0" w:type="dxa"/>
                  </w:tcMar>
                  <w:vAlign w:val="center"/>
                </w:tcPr>
                <w:p w14:paraId="1BD46D5E">
                  <w:pPr>
                    <w:pStyle w:val="30"/>
                    <w:framePr w:hSpace="0" w:wrap="auto" w:vAnchor="margin" w:hAnchor="text" w:xAlign="left" w:yAlign="inline"/>
                    <w:rPr>
                      <w:lang w:val="en-US"/>
                    </w:rPr>
                  </w:pPr>
                  <w:r>
                    <w:rPr>
                      <w:lang w:val="en-US"/>
                    </w:rPr>
                    <w:t>6.2</w:t>
                  </w:r>
                </w:p>
              </w:tc>
              <w:tc>
                <w:tcPr>
                  <w:tcW w:w="496" w:type="dxa"/>
                  <w:shd w:val="clear" w:color="auto" w:fill="FFFFFF"/>
                  <w:tcMar>
                    <w:top w:w="0" w:type="dxa"/>
                    <w:left w:w="0" w:type="dxa"/>
                    <w:bottom w:w="0" w:type="dxa"/>
                    <w:right w:w="0" w:type="dxa"/>
                  </w:tcMar>
                  <w:vAlign w:val="center"/>
                </w:tcPr>
                <w:p w14:paraId="248AA423">
                  <w:pPr>
                    <w:pStyle w:val="30"/>
                    <w:framePr w:hSpace="0" w:wrap="auto" w:vAnchor="margin" w:hAnchor="text" w:xAlign="left" w:yAlign="inline"/>
                    <w:rPr>
                      <w:lang w:val="en-US"/>
                    </w:rPr>
                  </w:pPr>
                  <w:r>
                    <w:rPr>
                      <w:lang w:val="en-US"/>
                    </w:rPr>
                    <w:t>5</w:t>
                  </w:r>
                </w:p>
              </w:tc>
              <w:tc>
                <w:tcPr>
                  <w:tcW w:w="496" w:type="dxa"/>
                  <w:shd w:val="clear" w:color="auto" w:fill="FFFFFF"/>
                  <w:tcMar>
                    <w:top w:w="0" w:type="dxa"/>
                    <w:left w:w="0" w:type="dxa"/>
                    <w:bottom w:w="0" w:type="dxa"/>
                    <w:right w:w="0" w:type="dxa"/>
                  </w:tcMar>
                  <w:vAlign w:val="center"/>
                </w:tcPr>
                <w:p w14:paraId="014E54D6">
                  <w:pPr>
                    <w:pStyle w:val="30"/>
                    <w:framePr w:hSpace="0" w:wrap="auto" w:vAnchor="margin" w:hAnchor="text" w:xAlign="left" w:yAlign="inline"/>
                    <w:rPr>
                      <w:lang w:val="en-US"/>
                    </w:rPr>
                  </w:pPr>
                  <w:r>
                    <w:rPr>
                      <w:lang w:val="en-US"/>
                    </w:rPr>
                    <w:t>5</w:t>
                  </w:r>
                </w:p>
              </w:tc>
              <w:tc>
                <w:tcPr>
                  <w:tcW w:w="496" w:type="dxa"/>
                  <w:shd w:val="clear" w:color="auto" w:fill="FFFFFF"/>
                  <w:tcMar>
                    <w:top w:w="0" w:type="dxa"/>
                    <w:left w:w="0" w:type="dxa"/>
                    <w:bottom w:w="0" w:type="dxa"/>
                    <w:right w:w="0" w:type="dxa"/>
                  </w:tcMar>
                  <w:vAlign w:val="center"/>
                </w:tcPr>
                <w:p w14:paraId="14A874D7">
                  <w:pPr>
                    <w:pStyle w:val="30"/>
                    <w:framePr w:hSpace="0" w:wrap="auto" w:vAnchor="margin" w:hAnchor="text" w:xAlign="left" w:yAlign="inline"/>
                    <w:rPr>
                      <w:lang w:val="en-US"/>
                    </w:rPr>
                  </w:pPr>
                  <w:r>
                    <w:rPr>
                      <w:lang w:val="en-US"/>
                    </w:rPr>
                    <w:t>36</w:t>
                  </w:r>
                </w:p>
              </w:tc>
              <w:tc>
                <w:tcPr>
                  <w:tcW w:w="509" w:type="dxa"/>
                  <w:shd w:val="clear" w:color="auto" w:fill="FFFFFF"/>
                  <w:tcMar>
                    <w:top w:w="0" w:type="dxa"/>
                    <w:left w:w="0" w:type="dxa"/>
                    <w:bottom w:w="0" w:type="dxa"/>
                    <w:right w:w="0" w:type="dxa"/>
                  </w:tcMar>
                  <w:vAlign w:val="center"/>
                </w:tcPr>
                <w:p w14:paraId="0918443C">
                  <w:pPr>
                    <w:pStyle w:val="30"/>
                    <w:framePr w:hSpace="0" w:wrap="auto" w:vAnchor="margin" w:hAnchor="text" w:xAlign="left" w:yAlign="inline"/>
                    <w:rPr>
                      <w:lang w:val="en-US"/>
                    </w:rPr>
                  </w:pPr>
                  <w:r>
                    <w:rPr>
                      <w:lang w:val="en-US"/>
                    </w:rPr>
                    <w:t>54</w:t>
                  </w:r>
                </w:p>
              </w:tc>
              <w:tc>
                <w:tcPr>
                  <w:tcW w:w="493" w:type="dxa"/>
                  <w:shd w:val="clear" w:color="auto" w:fill="FFFFFF"/>
                  <w:tcMar>
                    <w:top w:w="0" w:type="dxa"/>
                    <w:left w:w="0" w:type="dxa"/>
                    <w:bottom w:w="0" w:type="dxa"/>
                    <w:right w:w="0" w:type="dxa"/>
                  </w:tcMar>
                  <w:vAlign w:val="center"/>
                </w:tcPr>
                <w:p w14:paraId="534FDDEC">
                  <w:pPr>
                    <w:pStyle w:val="30"/>
                    <w:framePr w:hSpace="0" w:wrap="auto" w:vAnchor="margin" w:hAnchor="text" w:xAlign="left" w:yAlign="inline"/>
                    <w:rPr>
                      <w:lang w:val="en-US"/>
                    </w:rPr>
                  </w:pPr>
                  <w:r>
                    <w:rPr>
                      <w:lang w:val="en-US"/>
                    </w:rPr>
                    <w:t>45.3</w:t>
                  </w:r>
                </w:p>
              </w:tc>
              <w:tc>
                <w:tcPr>
                  <w:tcW w:w="493" w:type="dxa"/>
                  <w:shd w:val="clear" w:color="auto" w:fill="FFFFFF"/>
                  <w:tcMar>
                    <w:top w:w="0" w:type="dxa"/>
                    <w:left w:w="0" w:type="dxa"/>
                    <w:bottom w:w="0" w:type="dxa"/>
                    <w:right w:w="0" w:type="dxa"/>
                  </w:tcMar>
                  <w:vAlign w:val="center"/>
                </w:tcPr>
                <w:p w14:paraId="3141EE2A">
                  <w:pPr>
                    <w:pStyle w:val="30"/>
                    <w:framePr w:hSpace="0" w:wrap="auto" w:vAnchor="margin" w:hAnchor="text" w:xAlign="left" w:yAlign="inline"/>
                    <w:rPr>
                      <w:lang w:val="en-US"/>
                    </w:rPr>
                  </w:pPr>
                  <w:r>
                    <w:rPr>
                      <w:lang w:val="en-US"/>
                    </w:rPr>
                    <w:t>45.3</w:t>
                  </w:r>
                </w:p>
              </w:tc>
              <w:tc>
                <w:tcPr>
                  <w:tcW w:w="493" w:type="dxa"/>
                  <w:shd w:val="clear" w:color="auto" w:fill="FFFFFF"/>
                  <w:tcMar>
                    <w:top w:w="0" w:type="dxa"/>
                    <w:left w:w="0" w:type="dxa"/>
                    <w:bottom w:w="0" w:type="dxa"/>
                    <w:right w:w="0" w:type="dxa"/>
                  </w:tcMar>
                  <w:vAlign w:val="center"/>
                </w:tcPr>
                <w:p w14:paraId="2B3DB479">
                  <w:pPr>
                    <w:pStyle w:val="30"/>
                    <w:framePr w:hSpace="0" w:wrap="auto" w:vAnchor="margin" w:hAnchor="text" w:xAlign="left" w:yAlign="inline"/>
                    <w:rPr>
                      <w:lang w:val="en-US"/>
                    </w:rPr>
                  </w:pPr>
                  <w:r>
                    <w:rPr>
                      <w:lang w:val="en-US"/>
                    </w:rPr>
                    <w:t>45.3</w:t>
                  </w:r>
                </w:p>
              </w:tc>
              <w:tc>
                <w:tcPr>
                  <w:tcW w:w="493" w:type="dxa"/>
                  <w:shd w:val="clear" w:color="auto" w:fill="FFFFFF"/>
                  <w:tcMar>
                    <w:top w:w="0" w:type="dxa"/>
                    <w:left w:w="0" w:type="dxa"/>
                    <w:bottom w:w="0" w:type="dxa"/>
                    <w:right w:w="0" w:type="dxa"/>
                  </w:tcMar>
                  <w:vAlign w:val="center"/>
                </w:tcPr>
                <w:p w14:paraId="0799EB5C">
                  <w:pPr>
                    <w:pStyle w:val="30"/>
                    <w:framePr w:hSpace="0" w:wrap="auto" w:vAnchor="margin" w:hAnchor="text" w:xAlign="left" w:yAlign="inline"/>
                    <w:rPr>
                      <w:lang w:val="en-US"/>
                    </w:rPr>
                  </w:pPr>
                  <w:r>
                    <w:rPr>
                      <w:lang w:val="en-US"/>
                    </w:rPr>
                    <w:t>46.7</w:t>
                  </w:r>
                </w:p>
              </w:tc>
              <w:tc>
                <w:tcPr>
                  <w:tcW w:w="158" w:type="pct"/>
                  <w:vMerge w:val="continue"/>
                  <w:shd w:val="clear" w:color="auto" w:fill="FFFFFF"/>
                  <w:tcMar>
                    <w:top w:w="0" w:type="dxa"/>
                    <w:left w:w="0" w:type="dxa"/>
                    <w:bottom w:w="0" w:type="dxa"/>
                    <w:right w:w="0" w:type="dxa"/>
                  </w:tcMar>
                  <w:vAlign w:val="center"/>
                </w:tcPr>
                <w:p w14:paraId="412F3A23">
                  <w:pPr>
                    <w:pStyle w:val="30"/>
                    <w:framePr w:hSpace="0" w:wrap="auto" w:vAnchor="margin" w:hAnchor="text" w:xAlign="left" w:yAlign="inline"/>
                    <w:rPr>
                      <w:lang w:val="en-US"/>
                    </w:rPr>
                  </w:pPr>
                </w:p>
              </w:tc>
              <w:tc>
                <w:tcPr>
                  <w:tcW w:w="474" w:type="dxa"/>
                  <w:shd w:val="clear" w:color="auto" w:fill="FFFFFF"/>
                  <w:tcMar>
                    <w:top w:w="0" w:type="dxa"/>
                    <w:left w:w="0" w:type="dxa"/>
                    <w:bottom w:w="0" w:type="dxa"/>
                    <w:right w:w="0" w:type="dxa"/>
                  </w:tcMar>
                  <w:vAlign w:val="center"/>
                </w:tcPr>
                <w:p w14:paraId="6B2EA109">
                  <w:pPr>
                    <w:pStyle w:val="30"/>
                    <w:framePr w:hSpace="0" w:wrap="auto" w:vAnchor="margin" w:hAnchor="text" w:xAlign="left" w:yAlign="inline"/>
                  </w:pPr>
                  <w:r>
                    <w:rPr>
                      <w:lang w:val="en-US"/>
                    </w:rPr>
                    <w:t>20</w:t>
                  </w:r>
                </w:p>
              </w:tc>
              <w:tc>
                <w:tcPr>
                  <w:tcW w:w="474" w:type="dxa"/>
                  <w:shd w:val="clear" w:color="auto" w:fill="FFFFFF"/>
                  <w:tcMar>
                    <w:top w:w="0" w:type="dxa"/>
                    <w:left w:w="0" w:type="dxa"/>
                    <w:bottom w:w="0" w:type="dxa"/>
                    <w:right w:w="0" w:type="dxa"/>
                  </w:tcMar>
                  <w:vAlign w:val="center"/>
                </w:tcPr>
                <w:p w14:paraId="24FE3D9C">
                  <w:pPr>
                    <w:pStyle w:val="30"/>
                    <w:framePr w:hSpace="0" w:wrap="auto" w:vAnchor="margin" w:hAnchor="text" w:xAlign="left" w:yAlign="inline"/>
                  </w:pPr>
                  <w:r>
                    <w:rPr>
                      <w:lang w:val="en-US"/>
                    </w:rPr>
                    <w:t>20</w:t>
                  </w:r>
                </w:p>
              </w:tc>
              <w:tc>
                <w:tcPr>
                  <w:tcW w:w="474" w:type="dxa"/>
                  <w:shd w:val="clear" w:color="auto" w:fill="FFFFFF"/>
                  <w:tcMar>
                    <w:top w:w="0" w:type="dxa"/>
                    <w:left w:w="0" w:type="dxa"/>
                    <w:bottom w:w="0" w:type="dxa"/>
                    <w:right w:w="0" w:type="dxa"/>
                  </w:tcMar>
                  <w:vAlign w:val="center"/>
                </w:tcPr>
                <w:p w14:paraId="4CB92DF0">
                  <w:pPr>
                    <w:pStyle w:val="30"/>
                    <w:framePr w:hSpace="0" w:wrap="auto" w:vAnchor="margin" w:hAnchor="text" w:xAlign="left" w:yAlign="inline"/>
                  </w:pPr>
                  <w:r>
                    <w:rPr>
                      <w:lang w:val="en-US"/>
                    </w:rPr>
                    <w:t>20</w:t>
                  </w:r>
                </w:p>
              </w:tc>
              <w:tc>
                <w:tcPr>
                  <w:tcW w:w="477" w:type="dxa"/>
                  <w:shd w:val="clear" w:color="auto" w:fill="FFFFFF"/>
                  <w:tcMar>
                    <w:top w:w="0" w:type="dxa"/>
                    <w:left w:w="0" w:type="dxa"/>
                    <w:bottom w:w="0" w:type="dxa"/>
                    <w:right w:w="0" w:type="dxa"/>
                  </w:tcMar>
                  <w:vAlign w:val="center"/>
                </w:tcPr>
                <w:p w14:paraId="05E54752">
                  <w:pPr>
                    <w:pStyle w:val="30"/>
                    <w:framePr w:hSpace="0" w:wrap="auto" w:vAnchor="margin" w:hAnchor="text" w:xAlign="left" w:yAlign="inline"/>
                  </w:pPr>
                  <w:r>
                    <w:rPr>
                      <w:lang w:val="en-US"/>
                    </w:rPr>
                    <w:t>20</w:t>
                  </w:r>
                </w:p>
              </w:tc>
              <w:tc>
                <w:tcPr>
                  <w:tcW w:w="504" w:type="dxa"/>
                  <w:shd w:val="clear" w:color="auto" w:fill="FFFFFF"/>
                  <w:tcMar>
                    <w:top w:w="0" w:type="dxa"/>
                    <w:left w:w="0" w:type="dxa"/>
                    <w:bottom w:w="0" w:type="dxa"/>
                    <w:right w:w="0" w:type="dxa"/>
                  </w:tcMar>
                  <w:vAlign w:val="center"/>
                </w:tcPr>
                <w:p w14:paraId="376FA893">
                  <w:pPr>
                    <w:pStyle w:val="30"/>
                    <w:framePr w:hSpace="0" w:wrap="auto" w:vAnchor="margin" w:hAnchor="text" w:xAlign="left" w:yAlign="inline"/>
                    <w:rPr>
                      <w:lang w:val="en-US"/>
                    </w:rPr>
                  </w:pPr>
                  <w:r>
                    <w:rPr>
                      <w:lang w:val="en-US"/>
                    </w:rPr>
                    <w:t>25.3</w:t>
                  </w:r>
                </w:p>
              </w:tc>
              <w:tc>
                <w:tcPr>
                  <w:tcW w:w="504" w:type="dxa"/>
                  <w:shd w:val="clear" w:color="auto" w:fill="FFFFFF"/>
                  <w:tcMar>
                    <w:top w:w="0" w:type="dxa"/>
                    <w:left w:w="0" w:type="dxa"/>
                    <w:bottom w:w="0" w:type="dxa"/>
                    <w:right w:w="0" w:type="dxa"/>
                  </w:tcMar>
                  <w:vAlign w:val="center"/>
                </w:tcPr>
                <w:p w14:paraId="73B117EE">
                  <w:pPr>
                    <w:pStyle w:val="30"/>
                    <w:framePr w:hSpace="0" w:wrap="auto" w:vAnchor="margin" w:hAnchor="text" w:xAlign="left" w:yAlign="inline"/>
                    <w:rPr>
                      <w:lang w:val="en-US"/>
                    </w:rPr>
                  </w:pPr>
                  <w:r>
                    <w:rPr>
                      <w:lang w:val="en-US"/>
                    </w:rPr>
                    <w:t>25.3</w:t>
                  </w:r>
                </w:p>
              </w:tc>
              <w:tc>
                <w:tcPr>
                  <w:tcW w:w="504" w:type="dxa"/>
                  <w:shd w:val="clear" w:color="auto" w:fill="FFFFFF"/>
                  <w:tcMar>
                    <w:top w:w="0" w:type="dxa"/>
                    <w:left w:w="0" w:type="dxa"/>
                    <w:bottom w:w="0" w:type="dxa"/>
                    <w:right w:w="0" w:type="dxa"/>
                  </w:tcMar>
                  <w:vAlign w:val="center"/>
                </w:tcPr>
                <w:p w14:paraId="1700F8D5">
                  <w:pPr>
                    <w:pStyle w:val="30"/>
                    <w:framePr w:hSpace="0" w:wrap="auto" w:vAnchor="margin" w:hAnchor="text" w:xAlign="left" w:yAlign="inline"/>
                    <w:rPr>
                      <w:lang w:val="en-US"/>
                    </w:rPr>
                  </w:pPr>
                  <w:r>
                    <w:rPr>
                      <w:lang w:val="en-US"/>
                    </w:rPr>
                    <w:t>25.3</w:t>
                  </w:r>
                </w:p>
              </w:tc>
              <w:tc>
                <w:tcPr>
                  <w:tcW w:w="507" w:type="dxa"/>
                  <w:shd w:val="clear" w:color="auto" w:fill="FFFFFF"/>
                  <w:tcMar>
                    <w:top w:w="0" w:type="dxa"/>
                    <w:left w:w="0" w:type="dxa"/>
                    <w:bottom w:w="0" w:type="dxa"/>
                    <w:right w:w="0" w:type="dxa"/>
                  </w:tcMar>
                  <w:vAlign w:val="center"/>
                </w:tcPr>
                <w:p w14:paraId="13579183">
                  <w:pPr>
                    <w:pStyle w:val="30"/>
                    <w:framePr w:hSpace="0" w:wrap="auto" w:vAnchor="margin" w:hAnchor="text" w:xAlign="left" w:yAlign="inline"/>
                    <w:rPr>
                      <w:lang w:val="en-US"/>
                    </w:rPr>
                  </w:pPr>
                  <w:r>
                    <w:rPr>
                      <w:lang w:val="en-US"/>
                    </w:rPr>
                    <w:t>26.7</w:t>
                  </w:r>
                </w:p>
              </w:tc>
              <w:tc>
                <w:tcPr>
                  <w:tcW w:w="729" w:type="dxa"/>
                  <w:shd w:val="clear" w:color="auto" w:fill="FFFFFF"/>
                  <w:tcMar>
                    <w:top w:w="0" w:type="dxa"/>
                    <w:left w:w="0" w:type="dxa"/>
                    <w:bottom w:w="0" w:type="dxa"/>
                    <w:right w:w="0" w:type="dxa"/>
                  </w:tcMar>
                  <w:vAlign w:val="center"/>
                </w:tcPr>
                <w:p w14:paraId="386529D0">
                  <w:pPr>
                    <w:pStyle w:val="30"/>
                    <w:framePr w:hSpace="0" w:wrap="auto" w:vAnchor="margin" w:hAnchor="text" w:xAlign="left" w:yAlign="inline"/>
                  </w:pPr>
                  <w:r>
                    <w:t>1</w:t>
                  </w:r>
                </w:p>
              </w:tc>
            </w:tr>
            <w:tr w14:paraId="58DE9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340" w:hRule="atLeast"/>
                <w:jc w:val="center"/>
              </w:trPr>
              <w:tc>
                <w:tcPr>
                  <w:tcW w:w="137" w:type="pct"/>
                  <w:shd w:val="clear" w:color="auto" w:fill="FFFFFF"/>
                  <w:tcMar>
                    <w:top w:w="0" w:type="dxa"/>
                    <w:left w:w="0" w:type="dxa"/>
                    <w:bottom w:w="0" w:type="dxa"/>
                    <w:right w:w="0" w:type="dxa"/>
                  </w:tcMar>
                  <w:vAlign w:val="center"/>
                </w:tcPr>
                <w:p w14:paraId="3D5E1421">
                  <w:pPr>
                    <w:pStyle w:val="30"/>
                    <w:framePr w:hSpace="0" w:wrap="auto" w:vAnchor="margin" w:hAnchor="text" w:xAlign="left" w:yAlign="inline"/>
                    <w:numPr>
                      <w:ilvl w:val="0"/>
                      <w:numId w:val="2"/>
                    </w:numPr>
                    <w:rPr>
                      <w:lang w:val="en-US"/>
                    </w:rPr>
                  </w:pPr>
                </w:p>
              </w:tc>
              <w:tc>
                <w:tcPr>
                  <w:tcW w:w="188" w:type="pct"/>
                  <w:vMerge w:val="continue"/>
                  <w:shd w:val="clear" w:color="auto" w:fill="FFFFFF"/>
                  <w:tcMar>
                    <w:top w:w="0" w:type="dxa"/>
                    <w:left w:w="0" w:type="dxa"/>
                    <w:bottom w:w="0" w:type="dxa"/>
                    <w:right w:w="0" w:type="dxa"/>
                  </w:tcMar>
                  <w:vAlign w:val="center"/>
                </w:tcPr>
                <w:p w14:paraId="3DC89B2A">
                  <w:pPr>
                    <w:pStyle w:val="30"/>
                    <w:framePr w:hSpace="0" w:wrap="auto" w:vAnchor="margin" w:hAnchor="text" w:xAlign="left" w:yAlign="inline"/>
                  </w:pPr>
                </w:p>
              </w:tc>
              <w:tc>
                <w:tcPr>
                  <w:tcW w:w="314" w:type="pct"/>
                  <w:shd w:val="clear" w:color="auto" w:fill="FFFFFF"/>
                  <w:tcMar>
                    <w:top w:w="0" w:type="dxa"/>
                    <w:left w:w="0" w:type="dxa"/>
                    <w:bottom w:w="0" w:type="dxa"/>
                    <w:right w:w="0" w:type="dxa"/>
                  </w:tcMar>
                  <w:vAlign w:val="center"/>
                </w:tcPr>
                <w:p w14:paraId="0AC235CB">
                  <w:pPr>
                    <w:pStyle w:val="30"/>
                    <w:framePr w:hSpace="0" w:wrap="auto" w:vAnchor="margin" w:hAnchor="text" w:xAlign="left" w:yAlign="inline"/>
                    <w:rPr>
                      <w:lang w:val="en-US"/>
                    </w:rPr>
                  </w:pPr>
                  <w:r>
                    <w:rPr>
                      <w:rFonts w:hint="eastAsia"/>
                      <w:lang w:val="en-US"/>
                    </w:rPr>
                    <w:t>熬煮锅2</w:t>
                  </w:r>
                </w:p>
              </w:tc>
              <w:tc>
                <w:tcPr>
                  <w:tcW w:w="725" w:type="dxa"/>
                  <w:shd w:val="clear" w:color="auto" w:fill="FFFFFF"/>
                  <w:tcMar>
                    <w:top w:w="0" w:type="dxa"/>
                    <w:left w:w="0" w:type="dxa"/>
                    <w:bottom w:w="0" w:type="dxa"/>
                    <w:right w:w="0" w:type="dxa"/>
                  </w:tcMar>
                  <w:vAlign w:val="center"/>
                </w:tcPr>
                <w:p w14:paraId="1E563674">
                  <w:pPr>
                    <w:pStyle w:val="30"/>
                    <w:framePr w:hSpace="0" w:wrap="auto" w:vAnchor="margin" w:hAnchor="text" w:xAlign="left" w:yAlign="inline"/>
                  </w:pPr>
                  <w:r>
                    <w:rPr>
                      <w:lang w:val="en-US"/>
                    </w:rPr>
                    <w:t>80</w:t>
                  </w:r>
                </w:p>
              </w:tc>
              <w:tc>
                <w:tcPr>
                  <w:tcW w:w="171" w:type="pct"/>
                  <w:vMerge w:val="continue"/>
                  <w:shd w:val="clear" w:color="auto" w:fill="FFFFFF"/>
                  <w:tcMar>
                    <w:top w:w="0" w:type="dxa"/>
                    <w:left w:w="0" w:type="dxa"/>
                    <w:bottom w:w="0" w:type="dxa"/>
                    <w:right w:w="0" w:type="dxa"/>
                  </w:tcMar>
                  <w:vAlign w:val="center"/>
                </w:tcPr>
                <w:p w14:paraId="0C7C5088">
                  <w:pPr>
                    <w:pStyle w:val="30"/>
                    <w:framePr w:hSpace="0" w:wrap="auto" w:vAnchor="margin" w:hAnchor="text" w:xAlign="left" w:yAlign="inline"/>
                    <w:rPr>
                      <w:lang w:val="en-US"/>
                    </w:rPr>
                  </w:pPr>
                </w:p>
              </w:tc>
              <w:tc>
                <w:tcPr>
                  <w:tcW w:w="313" w:type="dxa"/>
                  <w:shd w:val="clear" w:color="auto" w:fill="FFFFFF"/>
                  <w:tcMar>
                    <w:top w:w="0" w:type="dxa"/>
                    <w:left w:w="0" w:type="dxa"/>
                    <w:bottom w:w="0" w:type="dxa"/>
                    <w:right w:w="0" w:type="dxa"/>
                  </w:tcMar>
                  <w:vAlign w:val="center"/>
                </w:tcPr>
                <w:p w14:paraId="2EAB970B">
                  <w:pPr>
                    <w:pStyle w:val="30"/>
                    <w:framePr w:hSpace="0" w:wrap="auto" w:vAnchor="margin" w:hAnchor="text" w:xAlign="left" w:yAlign="inline"/>
                  </w:pPr>
                  <w:r>
                    <w:rPr>
                      <w:lang w:val="en-US"/>
                    </w:rPr>
                    <w:t>36</w:t>
                  </w:r>
                </w:p>
              </w:tc>
              <w:tc>
                <w:tcPr>
                  <w:tcW w:w="598" w:type="dxa"/>
                  <w:shd w:val="clear" w:color="auto" w:fill="FFFFFF"/>
                  <w:tcMar>
                    <w:top w:w="0" w:type="dxa"/>
                    <w:left w:w="0" w:type="dxa"/>
                    <w:bottom w:w="0" w:type="dxa"/>
                    <w:right w:w="0" w:type="dxa"/>
                  </w:tcMar>
                  <w:vAlign w:val="center"/>
                </w:tcPr>
                <w:p w14:paraId="733C476D">
                  <w:pPr>
                    <w:pStyle w:val="30"/>
                    <w:framePr w:hSpace="0" w:wrap="auto" w:vAnchor="margin" w:hAnchor="text" w:xAlign="left" w:yAlign="inline"/>
                  </w:pPr>
                  <w:r>
                    <w:rPr>
                      <w:lang w:val="en-US"/>
                    </w:rPr>
                    <w:t>7.5</w:t>
                  </w:r>
                </w:p>
              </w:tc>
              <w:tc>
                <w:tcPr>
                  <w:tcW w:w="604" w:type="dxa"/>
                  <w:shd w:val="clear" w:color="auto" w:fill="FFFFFF"/>
                  <w:tcMar>
                    <w:top w:w="0" w:type="dxa"/>
                    <w:left w:w="0" w:type="dxa"/>
                    <w:bottom w:w="0" w:type="dxa"/>
                    <w:right w:w="0" w:type="dxa"/>
                  </w:tcMar>
                  <w:vAlign w:val="center"/>
                </w:tcPr>
                <w:p w14:paraId="19B64477">
                  <w:pPr>
                    <w:pStyle w:val="30"/>
                    <w:framePr w:hSpace="0" w:wrap="auto" w:vAnchor="margin" w:hAnchor="text" w:xAlign="left" w:yAlign="inline"/>
                  </w:pPr>
                  <w:r>
                    <w:rPr>
                      <w:lang w:val="en-US"/>
                    </w:rPr>
                    <w:t>6.2</w:t>
                  </w:r>
                </w:p>
              </w:tc>
              <w:tc>
                <w:tcPr>
                  <w:tcW w:w="496" w:type="dxa"/>
                  <w:shd w:val="clear" w:color="auto" w:fill="FFFFFF"/>
                  <w:tcMar>
                    <w:top w:w="0" w:type="dxa"/>
                    <w:left w:w="0" w:type="dxa"/>
                    <w:bottom w:w="0" w:type="dxa"/>
                    <w:right w:w="0" w:type="dxa"/>
                  </w:tcMar>
                  <w:vAlign w:val="center"/>
                </w:tcPr>
                <w:p w14:paraId="576AAA01">
                  <w:pPr>
                    <w:pStyle w:val="30"/>
                    <w:framePr w:hSpace="0" w:wrap="auto" w:vAnchor="margin" w:hAnchor="text" w:xAlign="left" w:yAlign="inline"/>
                  </w:pPr>
                  <w:r>
                    <w:rPr>
                      <w:lang w:val="en-US"/>
                    </w:rPr>
                    <w:t>5</w:t>
                  </w:r>
                </w:p>
              </w:tc>
              <w:tc>
                <w:tcPr>
                  <w:tcW w:w="496" w:type="dxa"/>
                  <w:shd w:val="clear" w:color="auto" w:fill="FFFFFF"/>
                  <w:tcMar>
                    <w:top w:w="0" w:type="dxa"/>
                    <w:left w:w="0" w:type="dxa"/>
                    <w:bottom w:w="0" w:type="dxa"/>
                    <w:right w:w="0" w:type="dxa"/>
                  </w:tcMar>
                  <w:vAlign w:val="center"/>
                </w:tcPr>
                <w:p w14:paraId="1A3D9FBA">
                  <w:pPr>
                    <w:pStyle w:val="30"/>
                    <w:framePr w:hSpace="0" w:wrap="auto" w:vAnchor="margin" w:hAnchor="text" w:xAlign="left" w:yAlign="inline"/>
                  </w:pPr>
                  <w:r>
                    <w:rPr>
                      <w:lang w:val="en-US"/>
                    </w:rPr>
                    <w:t>7.5</w:t>
                  </w:r>
                </w:p>
              </w:tc>
              <w:tc>
                <w:tcPr>
                  <w:tcW w:w="496" w:type="dxa"/>
                  <w:shd w:val="clear" w:color="auto" w:fill="FFFFFF"/>
                  <w:tcMar>
                    <w:top w:w="0" w:type="dxa"/>
                    <w:left w:w="0" w:type="dxa"/>
                    <w:bottom w:w="0" w:type="dxa"/>
                    <w:right w:w="0" w:type="dxa"/>
                  </w:tcMar>
                  <w:vAlign w:val="center"/>
                </w:tcPr>
                <w:p w14:paraId="3F8D54C8">
                  <w:pPr>
                    <w:pStyle w:val="30"/>
                    <w:framePr w:hSpace="0" w:wrap="auto" w:vAnchor="margin" w:hAnchor="text" w:xAlign="left" w:yAlign="inline"/>
                  </w:pPr>
                  <w:r>
                    <w:rPr>
                      <w:lang w:val="en-US"/>
                    </w:rPr>
                    <w:t>36</w:t>
                  </w:r>
                </w:p>
              </w:tc>
              <w:tc>
                <w:tcPr>
                  <w:tcW w:w="509" w:type="dxa"/>
                  <w:shd w:val="clear" w:color="auto" w:fill="FFFFFF"/>
                  <w:tcMar>
                    <w:top w:w="0" w:type="dxa"/>
                    <w:left w:w="0" w:type="dxa"/>
                    <w:bottom w:w="0" w:type="dxa"/>
                    <w:right w:w="0" w:type="dxa"/>
                  </w:tcMar>
                  <w:vAlign w:val="center"/>
                </w:tcPr>
                <w:p w14:paraId="28F59DC8">
                  <w:pPr>
                    <w:pStyle w:val="30"/>
                    <w:framePr w:hSpace="0" w:wrap="auto" w:vAnchor="margin" w:hAnchor="text" w:xAlign="left" w:yAlign="inline"/>
                  </w:pPr>
                  <w:r>
                    <w:rPr>
                      <w:lang w:val="en-US"/>
                    </w:rPr>
                    <w:t>51.5</w:t>
                  </w:r>
                </w:p>
              </w:tc>
              <w:tc>
                <w:tcPr>
                  <w:tcW w:w="493" w:type="dxa"/>
                  <w:shd w:val="clear" w:color="auto" w:fill="FFFFFF"/>
                  <w:tcMar>
                    <w:top w:w="0" w:type="dxa"/>
                    <w:left w:w="0" w:type="dxa"/>
                    <w:bottom w:w="0" w:type="dxa"/>
                    <w:right w:w="0" w:type="dxa"/>
                  </w:tcMar>
                  <w:vAlign w:val="center"/>
                </w:tcPr>
                <w:p w14:paraId="377D9CD6">
                  <w:pPr>
                    <w:pStyle w:val="30"/>
                    <w:framePr w:hSpace="0" w:wrap="auto" w:vAnchor="margin" w:hAnchor="text" w:xAlign="left" w:yAlign="inline"/>
                  </w:pPr>
                  <w:r>
                    <w:rPr>
                      <w:lang w:val="en-US"/>
                    </w:rPr>
                    <w:t>45.3</w:t>
                  </w:r>
                </w:p>
              </w:tc>
              <w:tc>
                <w:tcPr>
                  <w:tcW w:w="493" w:type="dxa"/>
                  <w:shd w:val="clear" w:color="auto" w:fill="FFFFFF"/>
                  <w:tcMar>
                    <w:top w:w="0" w:type="dxa"/>
                    <w:left w:w="0" w:type="dxa"/>
                    <w:bottom w:w="0" w:type="dxa"/>
                    <w:right w:w="0" w:type="dxa"/>
                  </w:tcMar>
                  <w:vAlign w:val="center"/>
                </w:tcPr>
                <w:p w14:paraId="691F303A">
                  <w:pPr>
                    <w:pStyle w:val="30"/>
                    <w:framePr w:hSpace="0" w:wrap="auto" w:vAnchor="margin" w:hAnchor="text" w:xAlign="left" w:yAlign="inline"/>
                  </w:pPr>
                  <w:r>
                    <w:rPr>
                      <w:lang w:val="en-US"/>
                    </w:rPr>
                    <w:t>45.3</w:t>
                  </w:r>
                </w:p>
              </w:tc>
              <w:tc>
                <w:tcPr>
                  <w:tcW w:w="493" w:type="dxa"/>
                  <w:shd w:val="clear" w:color="auto" w:fill="FFFFFF"/>
                  <w:tcMar>
                    <w:top w:w="0" w:type="dxa"/>
                    <w:left w:w="0" w:type="dxa"/>
                    <w:bottom w:w="0" w:type="dxa"/>
                    <w:right w:w="0" w:type="dxa"/>
                  </w:tcMar>
                  <w:vAlign w:val="center"/>
                </w:tcPr>
                <w:p w14:paraId="0EC20943">
                  <w:pPr>
                    <w:pStyle w:val="30"/>
                    <w:framePr w:hSpace="0" w:wrap="auto" w:vAnchor="margin" w:hAnchor="text" w:xAlign="left" w:yAlign="inline"/>
                  </w:pPr>
                  <w:r>
                    <w:rPr>
                      <w:lang w:val="en-US"/>
                    </w:rPr>
                    <w:t>45.3</w:t>
                  </w:r>
                </w:p>
              </w:tc>
              <w:tc>
                <w:tcPr>
                  <w:tcW w:w="493" w:type="dxa"/>
                  <w:shd w:val="clear" w:color="auto" w:fill="FFFFFF"/>
                  <w:tcMar>
                    <w:top w:w="0" w:type="dxa"/>
                    <w:left w:w="0" w:type="dxa"/>
                    <w:bottom w:w="0" w:type="dxa"/>
                    <w:right w:w="0" w:type="dxa"/>
                  </w:tcMar>
                  <w:vAlign w:val="center"/>
                </w:tcPr>
                <w:p w14:paraId="7314F161">
                  <w:pPr>
                    <w:pStyle w:val="30"/>
                    <w:framePr w:hSpace="0" w:wrap="auto" w:vAnchor="margin" w:hAnchor="text" w:xAlign="left" w:yAlign="inline"/>
                  </w:pPr>
                  <w:r>
                    <w:rPr>
                      <w:lang w:val="en-US"/>
                    </w:rPr>
                    <w:t>46.7</w:t>
                  </w:r>
                </w:p>
              </w:tc>
              <w:tc>
                <w:tcPr>
                  <w:tcW w:w="158" w:type="pct"/>
                  <w:vMerge w:val="continue"/>
                  <w:shd w:val="clear" w:color="auto" w:fill="FFFFFF"/>
                  <w:tcMar>
                    <w:top w:w="0" w:type="dxa"/>
                    <w:left w:w="0" w:type="dxa"/>
                    <w:bottom w:w="0" w:type="dxa"/>
                    <w:right w:w="0" w:type="dxa"/>
                  </w:tcMar>
                  <w:vAlign w:val="center"/>
                </w:tcPr>
                <w:p w14:paraId="2F49E2F6">
                  <w:pPr>
                    <w:pStyle w:val="30"/>
                    <w:framePr w:hSpace="0" w:wrap="auto" w:vAnchor="margin" w:hAnchor="text" w:xAlign="left" w:yAlign="inline"/>
                    <w:rPr>
                      <w:lang w:val="en-US"/>
                    </w:rPr>
                  </w:pPr>
                </w:p>
              </w:tc>
              <w:tc>
                <w:tcPr>
                  <w:tcW w:w="474" w:type="dxa"/>
                  <w:shd w:val="clear" w:color="auto" w:fill="FFFFFF"/>
                  <w:tcMar>
                    <w:top w:w="0" w:type="dxa"/>
                    <w:left w:w="0" w:type="dxa"/>
                    <w:bottom w:w="0" w:type="dxa"/>
                    <w:right w:w="0" w:type="dxa"/>
                  </w:tcMar>
                  <w:vAlign w:val="center"/>
                </w:tcPr>
                <w:p w14:paraId="1E201963">
                  <w:pPr>
                    <w:pStyle w:val="30"/>
                    <w:framePr w:hSpace="0" w:wrap="auto" w:vAnchor="margin" w:hAnchor="text" w:xAlign="left" w:yAlign="inline"/>
                  </w:pPr>
                  <w:r>
                    <w:rPr>
                      <w:lang w:val="en-US"/>
                    </w:rPr>
                    <w:t>20</w:t>
                  </w:r>
                </w:p>
              </w:tc>
              <w:tc>
                <w:tcPr>
                  <w:tcW w:w="474" w:type="dxa"/>
                  <w:shd w:val="clear" w:color="auto" w:fill="FFFFFF"/>
                  <w:tcMar>
                    <w:top w:w="0" w:type="dxa"/>
                    <w:left w:w="0" w:type="dxa"/>
                    <w:bottom w:w="0" w:type="dxa"/>
                    <w:right w:w="0" w:type="dxa"/>
                  </w:tcMar>
                  <w:vAlign w:val="center"/>
                </w:tcPr>
                <w:p w14:paraId="657EABB1">
                  <w:pPr>
                    <w:pStyle w:val="30"/>
                    <w:framePr w:hSpace="0" w:wrap="auto" w:vAnchor="margin" w:hAnchor="text" w:xAlign="left" w:yAlign="inline"/>
                  </w:pPr>
                  <w:r>
                    <w:rPr>
                      <w:lang w:val="en-US"/>
                    </w:rPr>
                    <w:t>20</w:t>
                  </w:r>
                </w:p>
              </w:tc>
              <w:tc>
                <w:tcPr>
                  <w:tcW w:w="474" w:type="dxa"/>
                  <w:shd w:val="clear" w:color="auto" w:fill="FFFFFF"/>
                  <w:tcMar>
                    <w:top w:w="0" w:type="dxa"/>
                    <w:left w:w="0" w:type="dxa"/>
                    <w:bottom w:w="0" w:type="dxa"/>
                    <w:right w:w="0" w:type="dxa"/>
                  </w:tcMar>
                  <w:vAlign w:val="center"/>
                </w:tcPr>
                <w:p w14:paraId="0AB6BC8C">
                  <w:pPr>
                    <w:pStyle w:val="30"/>
                    <w:framePr w:hSpace="0" w:wrap="auto" w:vAnchor="margin" w:hAnchor="text" w:xAlign="left" w:yAlign="inline"/>
                  </w:pPr>
                  <w:r>
                    <w:rPr>
                      <w:lang w:val="en-US"/>
                    </w:rPr>
                    <w:t>20</w:t>
                  </w:r>
                </w:p>
              </w:tc>
              <w:tc>
                <w:tcPr>
                  <w:tcW w:w="477" w:type="dxa"/>
                  <w:shd w:val="clear" w:color="auto" w:fill="FFFFFF"/>
                  <w:tcMar>
                    <w:top w:w="0" w:type="dxa"/>
                    <w:left w:w="0" w:type="dxa"/>
                    <w:bottom w:w="0" w:type="dxa"/>
                    <w:right w:w="0" w:type="dxa"/>
                  </w:tcMar>
                  <w:vAlign w:val="center"/>
                </w:tcPr>
                <w:p w14:paraId="67FD9805">
                  <w:pPr>
                    <w:pStyle w:val="30"/>
                    <w:framePr w:hSpace="0" w:wrap="auto" w:vAnchor="margin" w:hAnchor="text" w:xAlign="left" w:yAlign="inline"/>
                  </w:pPr>
                  <w:r>
                    <w:rPr>
                      <w:lang w:val="en-US"/>
                    </w:rPr>
                    <w:t>20</w:t>
                  </w:r>
                </w:p>
              </w:tc>
              <w:tc>
                <w:tcPr>
                  <w:tcW w:w="504" w:type="dxa"/>
                  <w:shd w:val="clear" w:color="auto" w:fill="FFFFFF"/>
                  <w:tcMar>
                    <w:top w:w="0" w:type="dxa"/>
                    <w:left w:w="0" w:type="dxa"/>
                    <w:bottom w:w="0" w:type="dxa"/>
                    <w:right w:w="0" w:type="dxa"/>
                  </w:tcMar>
                  <w:vAlign w:val="center"/>
                </w:tcPr>
                <w:p w14:paraId="35DAD897">
                  <w:pPr>
                    <w:pStyle w:val="30"/>
                    <w:framePr w:hSpace="0" w:wrap="auto" w:vAnchor="margin" w:hAnchor="text" w:xAlign="left" w:yAlign="inline"/>
                    <w:rPr>
                      <w:lang w:val="en-US"/>
                    </w:rPr>
                  </w:pPr>
                  <w:r>
                    <w:rPr>
                      <w:lang w:val="en-US"/>
                    </w:rPr>
                    <w:t>25.3</w:t>
                  </w:r>
                </w:p>
              </w:tc>
              <w:tc>
                <w:tcPr>
                  <w:tcW w:w="504" w:type="dxa"/>
                  <w:shd w:val="clear" w:color="auto" w:fill="FFFFFF"/>
                  <w:tcMar>
                    <w:top w:w="0" w:type="dxa"/>
                    <w:left w:w="0" w:type="dxa"/>
                    <w:bottom w:w="0" w:type="dxa"/>
                    <w:right w:w="0" w:type="dxa"/>
                  </w:tcMar>
                  <w:vAlign w:val="center"/>
                </w:tcPr>
                <w:p w14:paraId="1E4DACE8">
                  <w:pPr>
                    <w:pStyle w:val="30"/>
                    <w:framePr w:hSpace="0" w:wrap="auto" w:vAnchor="margin" w:hAnchor="text" w:xAlign="left" w:yAlign="inline"/>
                    <w:rPr>
                      <w:lang w:val="en-US"/>
                    </w:rPr>
                  </w:pPr>
                  <w:r>
                    <w:rPr>
                      <w:lang w:val="en-US"/>
                    </w:rPr>
                    <w:t>25.3</w:t>
                  </w:r>
                </w:p>
              </w:tc>
              <w:tc>
                <w:tcPr>
                  <w:tcW w:w="504" w:type="dxa"/>
                  <w:shd w:val="clear" w:color="auto" w:fill="FFFFFF"/>
                  <w:tcMar>
                    <w:top w:w="0" w:type="dxa"/>
                    <w:left w:w="0" w:type="dxa"/>
                    <w:bottom w:w="0" w:type="dxa"/>
                    <w:right w:w="0" w:type="dxa"/>
                  </w:tcMar>
                  <w:vAlign w:val="center"/>
                </w:tcPr>
                <w:p w14:paraId="2F471A73">
                  <w:pPr>
                    <w:pStyle w:val="30"/>
                    <w:framePr w:hSpace="0" w:wrap="auto" w:vAnchor="margin" w:hAnchor="text" w:xAlign="left" w:yAlign="inline"/>
                    <w:rPr>
                      <w:lang w:val="en-US"/>
                    </w:rPr>
                  </w:pPr>
                  <w:r>
                    <w:rPr>
                      <w:lang w:val="en-US"/>
                    </w:rPr>
                    <w:t>25.3</w:t>
                  </w:r>
                </w:p>
              </w:tc>
              <w:tc>
                <w:tcPr>
                  <w:tcW w:w="507" w:type="dxa"/>
                  <w:shd w:val="clear" w:color="auto" w:fill="FFFFFF"/>
                  <w:tcMar>
                    <w:top w:w="0" w:type="dxa"/>
                    <w:left w:w="0" w:type="dxa"/>
                    <w:bottom w:w="0" w:type="dxa"/>
                    <w:right w:w="0" w:type="dxa"/>
                  </w:tcMar>
                  <w:vAlign w:val="center"/>
                </w:tcPr>
                <w:p w14:paraId="603E6552">
                  <w:pPr>
                    <w:pStyle w:val="30"/>
                    <w:framePr w:hSpace="0" w:wrap="auto" w:vAnchor="margin" w:hAnchor="text" w:xAlign="left" w:yAlign="inline"/>
                    <w:rPr>
                      <w:lang w:val="en-US"/>
                    </w:rPr>
                  </w:pPr>
                  <w:r>
                    <w:rPr>
                      <w:lang w:val="en-US"/>
                    </w:rPr>
                    <w:t>26.7</w:t>
                  </w:r>
                </w:p>
              </w:tc>
              <w:tc>
                <w:tcPr>
                  <w:tcW w:w="729" w:type="dxa"/>
                  <w:shd w:val="clear" w:color="auto" w:fill="FFFFFF"/>
                  <w:tcMar>
                    <w:top w:w="0" w:type="dxa"/>
                    <w:left w:w="0" w:type="dxa"/>
                    <w:bottom w:w="0" w:type="dxa"/>
                    <w:right w:w="0" w:type="dxa"/>
                  </w:tcMar>
                  <w:vAlign w:val="center"/>
                </w:tcPr>
                <w:p w14:paraId="0FDA0775">
                  <w:pPr>
                    <w:pStyle w:val="30"/>
                    <w:framePr w:hSpace="0" w:wrap="auto" w:vAnchor="margin" w:hAnchor="text" w:xAlign="left" w:yAlign="inline"/>
                  </w:pPr>
                  <w:r>
                    <w:t>1</w:t>
                  </w:r>
                </w:p>
              </w:tc>
            </w:tr>
            <w:tr w14:paraId="395A9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340" w:hRule="atLeast"/>
                <w:jc w:val="center"/>
              </w:trPr>
              <w:tc>
                <w:tcPr>
                  <w:tcW w:w="137" w:type="pct"/>
                  <w:shd w:val="clear" w:color="auto" w:fill="FFFFFF"/>
                  <w:tcMar>
                    <w:top w:w="0" w:type="dxa"/>
                    <w:left w:w="0" w:type="dxa"/>
                    <w:bottom w:w="0" w:type="dxa"/>
                    <w:right w:w="0" w:type="dxa"/>
                  </w:tcMar>
                  <w:vAlign w:val="center"/>
                </w:tcPr>
                <w:p w14:paraId="2003F818">
                  <w:pPr>
                    <w:pStyle w:val="30"/>
                    <w:framePr w:hSpace="0" w:wrap="auto" w:vAnchor="margin" w:hAnchor="text" w:xAlign="left" w:yAlign="inline"/>
                    <w:numPr>
                      <w:ilvl w:val="0"/>
                      <w:numId w:val="2"/>
                    </w:numPr>
                    <w:rPr>
                      <w:lang w:val="en-US"/>
                    </w:rPr>
                  </w:pPr>
                </w:p>
              </w:tc>
              <w:tc>
                <w:tcPr>
                  <w:tcW w:w="188" w:type="pct"/>
                  <w:vMerge w:val="continue"/>
                  <w:shd w:val="clear" w:color="auto" w:fill="FFFFFF"/>
                  <w:tcMar>
                    <w:top w:w="0" w:type="dxa"/>
                    <w:left w:w="0" w:type="dxa"/>
                    <w:bottom w:w="0" w:type="dxa"/>
                    <w:right w:w="0" w:type="dxa"/>
                  </w:tcMar>
                  <w:vAlign w:val="center"/>
                </w:tcPr>
                <w:p w14:paraId="1089245D">
                  <w:pPr>
                    <w:pStyle w:val="30"/>
                    <w:framePr w:hSpace="0" w:wrap="auto" w:vAnchor="margin" w:hAnchor="text" w:xAlign="left" w:yAlign="inline"/>
                  </w:pPr>
                </w:p>
              </w:tc>
              <w:tc>
                <w:tcPr>
                  <w:tcW w:w="314" w:type="pct"/>
                  <w:shd w:val="clear" w:color="auto" w:fill="FFFFFF"/>
                  <w:tcMar>
                    <w:top w:w="0" w:type="dxa"/>
                    <w:left w:w="0" w:type="dxa"/>
                    <w:bottom w:w="0" w:type="dxa"/>
                    <w:right w:w="0" w:type="dxa"/>
                  </w:tcMar>
                  <w:vAlign w:val="center"/>
                </w:tcPr>
                <w:p w14:paraId="6801F0F5">
                  <w:pPr>
                    <w:pStyle w:val="30"/>
                    <w:framePr w:hSpace="0" w:wrap="auto" w:vAnchor="margin" w:hAnchor="text" w:xAlign="left" w:yAlign="inline"/>
                    <w:rPr>
                      <w:lang w:val="en-US"/>
                    </w:rPr>
                  </w:pPr>
                  <w:r>
                    <w:rPr>
                      <w:rFonts w:hint="eastAsia"/>
                      <w:lang w:val="en-US"/>
                    </w:rPr>
                    <w:t>熬煮锅3</w:t>
                  </w:r>
                </w:p>
              </w:tc>
              <w:tc>
                <w:tcPr>
                  <w:tcW w:w="725" w:type="dxa"/>
                  <w:shd w:val="clear" w:color="auto" w:fill="FFFFFF"/>
                  <w:tcMar>
                    <w:top w:w="0" w:type="dxa"/>
                    <w:left w:w="0" w:type="dxa"/>
                    <w:bottom w:w="0" w:type="dxa"/>
                    <w:right w:w="0" w:type="dxa"/>
                  </w:tcMar>
                  <w:vAlign w:val="center"/>
                </w:tcPr>
                <w:p w14:paraId="6A2EAFFB">
                  <w:pPr>
                    <w:pStyle w:val="30"/>
                    <w:framePr w:hSpace="0" w:wrap="auto" w:vAnchor="margin" w:hAnchor="text" w:xAlign="left" w:yAlign="inline"/>
                  </w:pPr>
                  <w:r>
                    <w:rPr>
                      <w:lang w:val="en-US"/>
                    </w:rPr>
                    <w:t>80</w:t>
                  </w:r>
                </w:p>
              </w:tc>
              <w:tc>
                <w:tcPr>
                  <w:tcW w:w="171" w:type="pct"/>
                  <w:vMerge w:val="continue"/>
                  <w:shd w:val="clear" w:color="auto" w:fill="FFFFFF"/>
                  <w:tcMar>
                    <w:top w:w="0" w:type="dxa"/>
                    <w:left w:w="0" w:type="dxa"/>
                    <w:bottom w:w="0" w:type="dxa"/>
                    <w:right w:w="0" w:type="dxa"/>
                  </w:tcMar>
                  <w:vAlign w:val="center"/>
                </w:tcPr>
                <w:p w14:paraId="39C98DE6">
                  <w:pPr>
                    <w:pStyle w:val="30"/>
                    <w:framePr w:hSpace="0" w:wrap="auto" w:vAnchor="margin" w:hAnchor="text" w:xAlign="left" w:yAlign="inline"/>
                    <w:rPr>
                      <w:highlight w:val="red"/>
                      <w:lang w:val="en-US"/>
                    </w:rPr>
                  </w:pPr>
                </w:p>
              </w:tc>
              <w:tc>
                <w:tcPr>
                  <w:tcW w:w="313" w:type="dxa"/>
                  <w:shd w:val="clear" w:color="auto" w:fill="FFFFFF"/>
                  <w:tcMar>
                    <w:top w:w="0" w:type="dxa"/>
                    <w:left w:w="0" w:type="dxa"/>
                    <w:bottom w:w="0" w:type="dxa"/>
                    <w:right w:w="0" w:type="dxa"/>
                  </w:tcMar>
                  <w:vAlign w:val="center"/>
                </w:tcPr>
                <w:p w14:paraId="331BFDD6">
                  <w:pPr>
                    <w:pStyle w:val="30"/>
                    <w:framePr w:hSpace="0" w:wrap="auto" w:vAnchor="margin" w:hAnchor="text" w:xAlign="left" w:yAlign="inline"/>
                  </w:pPr>
                  <w:r>
                    <w:rPr>
                      <w:lang w:val="en-US"/>
                    </w:rPr>
                    <w:t>36</w:t>
                  </w:r>
                </w:p>
              </w:tc>
              <w:tc>
                <w:tcPr>
                  <w:tcW w:w="598" w:type="dxa"/>
                  <w:shd w:val="clear" w:color="auto" w:fill="FFFFFF"/>
                  <w:tcMar>
                    <w:top w:w="0" w:type="dxa"/>
                    <w:left w:w="0" w:type="dxa"/>
                    <w:bottom w:w="0" w:type="dxa"/>
                    <w:right w:w="0" w:type="dxa"/>
                  </w:tcMar>
                  <w:vAlign w:val="center"/>
                </w:tcPr>
                <w:p w14:paraId="573DF07F">
                  <w:pPr>
                    <w:pStyle w:val="30"/>
                    <w:framePr w:hSpace="0" w:wrap="auto" w:vAnchor="margin" w:hAnchor="text" w:xAlign="left" w:yAlign="inline"/>
                  </w:pPr>
                  <w:r>
                    <w:rPr>
                      <w:lang w:val="en-US"/>
                    </w:rPr>
                    <w:t>10</w:t>
                  </w:r>
                </w:p>
              </w:tc>
              <w:tc>
                <w:tcPr>
                  <w:tcW w:w="604" w:type="dxa"/>
                  <w:shd w:val="clear" w:color="auto" w:fill="FFFFFF"/>
                  <w:tcMar>
                    <w:top w:w="0" w:type="dxa"/>
                    <w:left w:w="0" w:type="dxa"/>
                    <w:bottom w:w="0" w:type="dxa"/>
                    <w:right w:w="0" w:type="dxa"/>
                  </w:tcMar>
                  <w:vAlign w:val="center"/>
                </w:tcPr>
                <w:p w14:paraId="2D978F55">
                  <w:pPr>
                    <w:pStyle w:val="30"/>
                    <w:framePr w:hSpace="0" w:wrap="auto" w:vAnchor="margin" w:hAnchor="text" w:xAlign="left" w:yAlign="inline"/>
                  </w:pPr>
                  <w:r>
                    <w:rPr>
                      <w:lang w:val="en-US"/>
                    </w:rPr>
                    <w:t>6.2</w:t>
                  </w:r>
                </w:p>
              </w:tc>
              <w:tc>
                <w:tcPr>
                  <w:tcW w:w="496" w:type="dxa"/>
                  <w:shd w:val="clear" w:color="auto" w:fill="FFFFFF"/>
                  <w:tcMar>
                    <w:top w:w="0" w:type="dxa"/>
                    <w:left w:w="0" w:type="dxa"/>
                    <w:bottom w:w="0" w:type="dxa"/>
                    <w:right w:w="0" w:type="dxa"/>
                  </w:tcMar>
                  <w:vAlign w:val="center"/>
                </w:tcPr>
                <w:p w14:paraId="3B44AE1E">
                  <w:pPr>
                    <w:pStyle w:val="30"/>
                    <w:framePr w:hSpace="0" w:wrap="auto" w:vAnchor="margin" w:hAnchor="text" w:xAlign="left" w:yAlign="inline"/>
                  </w:pPr>
                  <w:r>
                    <w:rPr>
                      <w:lang w:val="en-US"/>
                    </w:rPr>
                    <w:t>5</w:t>
                  </w:r>
                </w:p>
              </w:tc>
              <w:tc>
                <w:tcPr>
                  <w:tcW w:w="496" w:type="dxa"/>
                  <w:shd w:val="clear" w:color="auto" w:fill="FFFFFF"/>
                  <w:tcMar>
                    <w:top w:w="0" w:type="dxa"/>
                    <w:left w:w="0" w:type="dxa"/>
                    <w:bottom w:w="0" w:type="dxa"/>
                    <w:right w:w="0" w:type="dxa"/>
                  </w:tcMar>
                  <w:vAlign w:val="center"/>
                </w:tcPr>
                <w:p w14:paraId="0E185322">
                  <w:pPr>
                    <w:pStyle w:val="30"/>
                    <w:framePr w:hSpace="0" w:wrap="auto" w:vAnchor="margin" w:hAnchor="text" w:xAlign="left" w:yAlign="inline"/>
                  </w:pPr>
                  <w:r>
                    <w:rPr>
                      <w:lang w:val="en-US"/>
                    </w:rPr>
                    <w:t>10</w:t>
                  </w:r>
                </w:p>
              </w:tc>
              <w:tc>
                <w:tcPr>
                  <w:tcW w:w="496" w:type="dxa"/>
                  <w:shd w:val="clear" w:color="auto" w:fill="FFFFFF"/>
                  <w:tcMar>
                    <w:top w:w="0" w:type="dxa"/>
                    <w:left w:w="0" w:type="dxa"/>
                    <w:bottom w:w="0" w:type="dxa"/>
                    <w:right w:w="0" w:type="dxa"/>
                  </w:tcMar>
                  <w:vAlign w:val="center"/>
                </w:tcPr>
                <w:p w14:paraId="051A7600">
                  <w:pPr>
                    <w:pStyle w:val="30"/>
                    <w:framePr w:hSpace="0" w:wrap="auto" w:vAnchor="margin" w:hAnchor="text" w:xAlign="left" w:yAlign="inline"/>
                  </w:pPr>
                  <w:r>
                    <w:rPr>
                      <w:lang w:val="en-US"/>
                    </w:rPr>
                    <w:t>36</w:t>
                  </w:r>
                </w:p>
              </w:tc>
              <w:tc>
                <w:tcPr>
                  <w:tcW w:w="509" w:type="dxa"/>
                  <w:shd w:val="clear" w:color="auto" w:fill="FFFFFF"/>
                  <w:tcMar>
                    <w:top w:w="0" w:type="dxa"/>
                    <w:left w:w="0" w:type="dxa"/>
                    <w:bottom w:w="0" w:type="dxa"/>
                    <w:right w:w="0" w:type="dxa"/>
                  </w:tcMar>
                  <w:vAlign w:val="center"/>
                </w:tcPr>
                <w:p w14:paraId="0743B5B7">
                  <w:pPr>
                    <w:pStyle w:val="30"/>
                    <w:framePr w:hSpace="0" w:wrap="auto" w:vAnchor="margin" w:hAnchor="text" w:xAlign="left" w:yAlign="inline"/>
                  </w:pPr>
                  <w:r>
                    <w:rPr>
                      <w:lang w:val="en-US"/>
                    </w:rPr>
                    <w:t>49</w:t>
                  </w:r>
                </w:p>
              </w:tc>
              <w:tc>
                <w:tcPr>
                  <w:tcW w:w="493" w:type="dxa"/>
                  <w:shd w:val="clear" w:color="auto" w:fill="FFFFFF"/>
                  <w:tcMar>
                    <w:top w:w="0" w:type="dxa"/>
                    <w:left w:w="0" w:type="dxa"/>
                    <w:bottom w:w="0" w:type="dxa"/>
                    <w:right w:w="0" w:type="dxa"/>
                  </w:tcMar>
                  <w:vAlign w:val="center"/>
                </w:tcPr>
                <w:p w14:paraId="78CD38F2">
                  <w:pPr>
                    <w:pStyle w:val="30"/>
                    <w:framePr w:hSpace="0" w:wrap="auto" w:vAnchor="margin" w:hAnchor="text" w:xAlign="left" w:yAlign="inline"/>
                  </w:pPr>
                  <w:r>
                    <w:rPr>
                      <w:lang w:val="en-US"/>
                    </w:rPr>
                    <w:t>45.3</w:t>
                  </w:r>
                </w:p>
              </w:tc>
              <w:tc>
                <w:tcPr>
                  <w:tcW w:w="493" w:type="dxa"/>
                  <w:shd w:val="clear" w:color="auto" w:fill="FFFFFF"/>
                  <w:tcMar>
                    <w:top w:w="0" w:type="dxa"/>
                    <w:left w:w="0" w:type="dxa"/>
                    <w:bottom w:w="0" w:type="dxa"/>
                    <w:right w:w="0" w:type="dxa"/>
                  </w:tcMar>
                  <w:vAlign w:val="center"/>
                </w:tcPr>
                <w:p w14:paraId="06A09CAD">
                  <w:pPr>
                    <w:pStyle w:val="30"/>
                    <w:framePr w:hSpace="0" w:wrap="auto" w:vAnchor="margin" w:hAnchor="text" w:xAlign="left" w:yAlign="inline"/>
                  </w:pPr>
                  <w:r>
                    <w:rPr>
                      <w:lang w:val="en-US"/>
                    </w:rPr>
                    <w:t>45.3</w:t>
                  </w:r>
                </w:p>
              </w:tc>
              <w:tc>
                <w:tcPr>
                  <w:tcW w:w="493" w:type="dxa"/>
                  <w:shd w:val="clear" w:color="auto" w:fill="FFFFFF"/>
                  <w:tcMar>
                    <w:top w:w="0" w:type="dxa"/>
                    <w:left w:w="0" w:type="dxa"/>
                    <w:bottom w:w="0" w:type="dxa"/>
                    <w:right w:w="0" w:type="dxa"/>
                  </w:tcMar>
                  <w:vAlign w:val="center"/>
                </w:tcPr>
                <w:p w14:paraId="1308EBFB">
                  <w:pPr>
                    <w:pStyle w:val="30"/>
                    <w:framePr w:hSpace="0" w:wrap="auto" w:vAnchor="margin" w:hAnchor="text" w:xAlign="left" w:yAlign="inline"/>
                  </w:pPr>
                  <w:r>
                    <w:rPr>
                      <w:lang w:val="en-US"/>
                    </w:rPr>
                    <w:t>45.3</w:t>
                  </w:r>
                </w:p>
              </w:tc>
              <w:tc>
                <w:tcPr>
                  <w:tcW w:w="493" w:type="dxa"/>
                  <w:shd w:val="clear" w:color="auto" w:fill="FFFFFF"/>
                  <w:tcMar>
                    <w:top w:w="0" w:type="dxa"/>
                    <w:left w:w="0" w:type="dxa"/>
                    <w:bottom w:w="0" w:type="dxa"/>
                    <w:right w:w="0" w:type="dxa"/>
                  </w:tcMar>
                  <w:vAlign w:val="center"/>
                </w:tcPr>
                <w:p w14:paraId="3F7C326E">
                  <w:pPr>
                    <w:pStyle w:val="30"/>
                    <w:framePr w:hSpace="0" w:wrap="auto" w:vAnchor="margin" w:hAnchor="text" w:xAlign="left" w:yAlign="inline"/>
                  </w:pPr>
                  <w:r>
                    <w:rPr>
                      <w:lang w:val="en-US"/>
                    </w:rPr>
                    <w:t>46.7</w:t>
                  </w:r>
                </w:p>
              </w:tc>
              <w:tc>
                <w:tcPr>
                  <w:tcW w:w="158" w:type="pct"/>
                  <w:vMerge w:val="continue"/>
                  <w:shd w:val="clear" w:color="auto" w:fill="FFFFFF"/>
                  <w:tcMar>
                    <w:top w:w="0" w:type="dxa"/>
                    <w:left w:w="0" w:type="dxa"/>
                    <w:bottom w:w="0" w:type="dxa"/>
                    <w:right w:w="0" w:type="dxa"/>
                  </w:tcMar>
                  <w:vAlign w:val="center"/>
                </w:tcPr>
                <w:p w14:paraId="10472AFD">
                  <w:pPr>
                    <w:pStyle w:val="30"/>
                    <w:framePr w:hSpace="0" w:wrap="auto" w:vAnchor="margin" w:hAnchor="text" w:xAlign="left" w:yAlign="inline"/>
                    <w:rPr>
                      <w:highlight w:val="red"/>
                      <w:lang w:val="en-US"/>
                    </w:rPr>
                  </w:pPr>
                </w:p>
              </w:tc>
              <w:tc>
                <w:tcPr>
                  <w:tcW w:w="474" w:type="dxa"/>
                  <w:shd w:val="clear" w:color="auto" w:fill="FFFFFF"/>
                  <w:tcMar>
                    <w:top w:w="0" w:type="dxa"/>
                    <w:left w:w="0" w:type="dxa"/>
                    <w:bottom w:w="0" w:type="dxa"/>
                    <w:right w:w="0" w:type="dxa"/>
                  </w:tcMar>
                  <w:vAlign w:val="center"/>
                </w:tcPr>
                <w:p w14:paraId="72B46CDF">
                  <w:pPr>
                    <w:pStyle w:val="30"/>
                    <w:framePr w:hSpace="0" w:wrap="auto" w:vAnchor="margin" w:hAnchor="text" w:xAlign="left" w:yAlign="inline"/>
                  </w:pPr>
                  <w:r>
                    <w:rPr>
                      <w:lang w:val="en-US"/>
                    </w:rPr>
                    <w:t>20</w:t>
                  </w:r>
                </w:p>
              </w:tc>
              <w:tc>
                <w:tcPr>
                  <w:tcW w:w="474" w:type="dxa"/>
                  <w:shd w:val="clear" w:color="auto" w:fill="FFFFFF"/>
                  <w:tcMar>
                    <w:top w:w="0" w:type="dxa"/>
                    <w:left w:w="0" w:type="dxa"/>
                    <w:bottom w:w="0" w:type="dxa"/>
                    <w:right w:w="0" w:type="dxa"/>
                  </w:tcMar>
                  <w:vAlign w:val="center"/>
                </w:tcPr>
                <w:p w14:paraId="2D9309BC">
                  <w:pPr>
                    <w:pStyle w:val="30"/>
                    <w:framePr w:hSpace="0" w:wrap="auto" w:vAnchor="margin" w:hAnchor="text" w:xAlign="left" w:yAlign="inline"/>
                  </w:pPr>
                  <w:r>
                    <w:rPr>
                      <w:lang w:val="en-US"/>
                    </w:rPr>
                    <w:t>20</w:t>
                  </w:r>
                </w:p>
              </w:tc>
              <w:tc>
                <w:tcPr>
                  <w:tcW w:w="474" w:type="dxa"/>
                  <w:shd w:val="clear" w:color="auto" w:fill="FFFFFF"/>
                  <w:tcMar>
                    <w:top w:w="0" w:type="dxa"/>
                    <w:left w:w="0" w:type="dxa"/>
                    <w:bottom w:w="0" w:type="dxa"/>
                    <w:right w:w="0" w:type="dxa"/>
                  </w:tcMar>
                  <w:vAlign w:val="center"/>
                </w:tcPr>
                <w:p w14:paraId="6744D84F">
                  <w:pPr>
                    <w:pStyle w:val="30"/>
                    <w:framePr w:hSpace="0" w:wrap="auto" w:vAnchor="margin" w:hAnchor="text" w:xAlign="left" w:yAlign="inline"/>
                  </w:pPr>
                  <w:r>
                    <w:rPr>
                      <w:lang w:val="en-US"/>
                    </w:rPr>
                    <w:t>20</w:t>
                  </w:r>
                </w:p>
              </w:tc>
              <w:tc>
                <w:tcPr>
                  <w:tcW w:w="477" w:type="dxa"/>
                  <w:shd w:val="clear" w:color="auto" w:fill="FFFFFF"/>
                  <w:tcMar>
                    <w:top w:w="0" w:type="dxa"/>
                    <w:left w:w="0" w:type="dxa"/>
                    <w:bottom w:w="0" w:type="dxa"/>
                    <w:right w:w="0" w:type="dxa"/>
                  </w:tcMar>
                  <w:vAlign w:val="center"/>
                </w:tcPr>
                <w:p w14:paraId="0B76158A">
                  <w:pPr>
                    <w:pStyle w:val="30"/>
                    <w:framePr w:hSpace="0" w:wrap="auto" w:vAnchor="margin" w:hAnchor="text" w:xAlign="left" w:yAlign="inline"/>
                  </w:pPr>
                  <w:r>
                    <w:rPr>
                      <w:lang w:val="en-US"/>
                    </w:rPr>
                    <w:t>20</w:t>
                  </w:r>
                </w:p>
              </w:tc>
              <w:tc>
                <w:tcPr>
                  <w:tcW w:w="504" w:type="dxa"/>
                  <w:shd w:val="clear" w:color="auto" w:fill="FFFFFF"/>
                  <w:tcMar>
                    <w:top w:w="0" w:type="dxa"/>
                    <w:left w:w="0" w:type="dxa"/>
                    <w:bottom w:w="0" w:type="dxa"/>
                    <w:right w:w="0" w:type="dxa"/>
                  </w:tcMar>
                  <w:vAlign w:val="center"/>
                </w:tcPr>
                <w:p w14:paraId="42D48CB3">
                  <w:pPr>
                    <w:pStyle w:val="30"/>
                    <w:framePr w:hSpace="0" w:wrap="auto" w:vAnchor="margin" w:hAnchor="text" w:xAlign="left" w:yAlign="inline"/>
                    <w:rPr>
                      <w:lang w:val="en-US"/>
                    </w:rPr>
                  </w:pPr>
                  <w:r>
                    <w:rPr>
                      <w:lang w:val="en-US"/>
                    </w:rPr>
                    <w:t>25.3</w:t>
                  </w:r>
                </w:p>
              </w:tc>
              <w:tc>
                <w:tcPr>
                  <w:tcW w:w="504" w:type="dxa"/>
                  <w:shd w:val="clear" w:color="auto" w:fill="FFFFFF"/>
                  <w:tcMar>
                    <w:top w:w="0" w:type="dxa"/>
                    <w:left w:w="0" w:type="dxa"/>
                    <w:bottom w:w="0" w:type="dxa"/>
                    <w:right w:w="0" w:type="dxa"/>
                  </w:tcMar>
                  <w:vAlign w:val="center"/>
                </w:tcPr>
                <w:p w14:paraId="5739E16B">
                  <w:pPr>
                    <w:pStyle w:val="30"/>
                    <w:framePr w:hSpace="0" w:wrap="auto" w:vAnchor="margin" w:hAnchor="text" w:xAlign="left" w:yAlign="inline"/>
                    <w:rPr>
                      <w:lang w:val="en-US"/>
                    </w:rPr>
                  </w:pPr>
                  <w:r>
                    <w:rPr>
                      <w:lang w:val="en-US"/>
                    </w:rPr>
                    <w:t>25.3</w:t>
                  </w:r>
                </w:p>
              </w:tc>
              <w:tc>
                <w:tcPr>
                  <w:tcW w:w="504" w:type="dxa"/>
                  <w:shd w:val="clear" w:color="auto" w:fill="FFFFFF"/>
                  <w:tcMar>
                    <w:top w:w="0" w:type="dxa"/>
                    <w:left w:w="0" w:type="dxa"/>
                    <w:bottom w:w="0" w:type="dxa"/>
                    <w:right w:w="0" w:type="dxa"/>
                  </w:tcMar>
                  <w:vAlign w:val="center"/>
                </w:tcPr>
                <w:p w14:paraId="61DCE1EB">
                  <w:pPr>
                    <w:pStyle w:val="30"/>
                    <w:framePr w:hSpace="0" w:wrap="auto" w:vAnchor="margin" w:hAnchor="text" w:xAlign="left" w:yAlign="inline"/>
                    <w:rPr>
                      <w:lang w:val="en-US"/>
                    </w:rPr>
                  </w:pPr>
                  <w:r>
                    <w:rPr>
                      <w:lang w:val="en-US"/>
                    </w:rPr>
                    <w:t>25.3</w:t>
                  </w:r>
                </w:p>
              </w:tc>
              <w:tc>
                <w:tcPr>
                  <w:tcW w:w="507" w:type="dxa"/>
                  <w:shd w:val="clear" w:color="auto" w:fill="FFFFFF"/>
                  <w:tcMar>
                    <w:top w:w="0" w:type="dxa"/>
                    <w:left w:w="0" w:type="dxa"/>
                    <w:bottom w:w="0" w:type="dxa"/>
                    <w:right w:w="0" w:type="dxa"/>
                  </w:tcMar>
                  <w:vAlign w:val="center"/>
                </w:tcPr>
                <w:p w14:paraId="02C5CDA3">
                  <w:pPr>
                    <w:pStyle w:val="30"/>
                    <w:framePr w:hSpace="0" w:wrap="auto" w:vAnchor="margin" w:hAnchor="text" w:xAlign="left" w:yAlign="inline"/>
                    <w:rPr>
                      <w:lang w:val="en-US"/>
                    </w:rPr>
                  </w:pPr>
                  <w:r>
                    <w:rPr>
                      <w:lang w:val="en-US"/>
                    </w:rPr>
                    <w:t>26.7</w:t>
                  </w:r>
                </w:p>
              </w:tc>
              <w:tc>
                <w:tcPr>
                  <w:tcW w:w="729" w:type="dxa"/>
                  <w:shd w:val="clear" w:color="auto" w:fill="FFFFFF"/>
                  <w:tcMar>
                    <w:top w:w="0" w:type="dxa"/>
                    <w:left w:w="0" w:type="dxa"/>
                    <w:bottom w:w="0" w:type="dxa"/>
                    <w:right w:w="0" w:type="dxa"/>
                  </w:tcMar>
                  <w:vAlign w:val="center"/>
                </w:tcPr>
                <w:p w14:paraId="317F4C54">
                  <w:pPr>
                    <w:pStyle w:val="30"/>
                    <w:framePr w:hSpace="0" w:wrap="auto" w:vAnchor="margin" w:hAnchor="text" w:xAlign="left" w:yAlign="inline"/>
                    <w:rPr>
                      <w:highlight w:val="red"/>
                    </w:rPr>
                  </w:pPr>
                  <w:r>
                    <w:t>1</w:t>
                  </w:r>
                </w:p>
              </w:tc>
            </w:tr>
            <w:tr w14:paraId="54A71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340" w:hRule="atLeast"/>
                <w:jc w:val="center"/>
              </w:trPr>
              <w:tc>
                <w:tcPr>
                  <w:tcW w:w="137" w:type="pct"/>
                  <w:shd w:val="clear" w:color="auto" w:fill="FFFFFF"/>
                  <w:tcMar>
                    <w:top w:w="0" w:type="dxa"/>
                    <w:left w:w="0" w:type="dxa"/>
                    <w:bottom w:w="0" w:type="dxa"/>
                    <w:right w:w="0" w:type="dxa"/>
                  </w:tcMar>
                  <w:vAlign w:val="center"/>
                </w:tcPr>
                <w:p w14:paraId="39FE2AA2">
                  <w:pPr>
                    <w:pStyle w:val="30"/>
                    <w:framePr w:hSpace="0" w:wrap="auto" w:vAnchor="margin" w:hAnchor="text" w:xAlign="left" w:yAlign="inline"/>
                    <w:numPr>
                      <w:ilvl w:val="0"/>
                      <w:numId w:val="2"/>
                    </w:numPr>
                    <w:rPr>
                      <w:lang w:val="en-US"/>
                    </w:rPr>
                  </w:pPr>
                </w:p>
              </w:tc>
              <w:tc>
                <w:tcPr>
                  <w:tcW w:w="188" w:type="pct"/>
                  <w:vMerge w:val="continue"/>
                  <w:shd w:val="clear" w:color="auto" w:fill="FFFFFF"/>
                  <w:tcMar>
                    <w:top w:w="0" w:type="dxa"/>
                    <w:left w:w="0" w:type="dxa"/>
                    <w:bottom w:w="0" w:type="dxa"/>
                    <w:right w:w="0" w:type="dxa"/>
                  </w:tcMar>
                  <w:vAlign w:val="center"/>
                </w:tcPr>
                <w:p w14:paraId="59D220A2">
                  <w:pPr>
                    <w:pStyle w:val="30"/>
                    <w:framePr w:hSpace="0" w:wrap="auto" w:vAnchor="margin" w:hAnchor="text" w:xAlign="left" w:yAlign="inline"/>
                  </w:pPr>
                </w:p>
              </w:tc>
              <w:tc>
                <w:tcPr>
                  <w:tcW w:w="314" w:type="pct"/>
                  <w:shd w:val="clear" w:color="auto" w:fill="FFFFFF"/>
                  <w:tcMar>
                    <w:top w:w="0" w:type="dxa"/>
                    <w:left w:w="0" w:type="dxa"/>
                    <w:bottom w:w="0" w:type="dxa"/>
                    <w:right w:w="0" w:type="dxa"/>
                  </w:tcMar>
                  <w:vAlign w:val="center"/>
                </w:tcPr>
                <w:p w14:paraId="5BE0B6A5">
                  <w:pPr>
                    <w:pStyle w:val="30"/>
                    <w:framePr w:hSpace="0" w:wrap="auto" w:vAnchor="margin" w:hAnchor="text" w:xAlign="left" w:yAlign="inline"/>
                    <w:rPr>
                      <w:lang w:val="en-US"/>
                    </w:rPr>
                  </w:pPr>
                  <w:r>
                    <w:rPr>
                      <w:rFonts w:hint="eastAsia"/>
                      <w:lang w:val="en-US"/>
                    </w:rPr>
                    <w:t>搅拌锅</w:t>
                  </w:r>
                </w:p>
              </w:tc>
              <w:tc>
                <w:tcPr>
                  <w:tcW w:w="725" w:type="dxa"/>
                  <w:shd w:val="clear" w:color="auto" w:fill="FFFFFF"/>
                  <w:tcMar>
                    <w:top w:w="0" w:type="dxa"/>
                    <w:left w:w="0" w:type="dxa"/>
                    <w:bottom w:w="0" w:type="dxa"/>
                    <w:right w:w="0" w:type="dxa"/>
                  </w:tcMar>
                  <w:vAlign w:val="center"/>
                </w:tcPr>
                <w:p w14:paraId="1DFE902A">
                  <w:pPr>
                    <w:pStyle w:val="30"/>
                    <w:framePr w:hSpace="0" w:wrap="auto" w:vAnchor="margin" w:hAnchor="text" w:xAlign="left" w:yAlign="inline"/>
                    <w:rPr>
                      <w:lang w:val="en-US"/>
                    </w:rPr>
                  </w:pPr>
                  <w:r>
                    <w:rPr>
                      <w:lang w:val="en-US"/>
                    </w:rPr>
                    <w:t>80</w:t>
                  </w:r>
                </w:p>
              </w:tc>
              <w:tc>
                <w:tcPr>
                  <w:tcW w:w="171" w:type="pct"/>
                  <w:vMerge w:val="continue"/>
                  <w:shd w:val="clear" w:color="auto" w:fill="FFFFFF"/>
                  <w:tcMar>
                    <w:top w:w="0" w:type="dxa"/>
                    <w:left w:w="0" w:type="dxa"/>
                    <w:bottom w:w="0" w:type="dxa"/>
                    <w:right w:w="0" w:type="dxa"/>
                  </w:tcMar>
                  <w:vAlign w:val="center"/>
                </w:tcPr>
                <w:p w14:paraId="7035AD37">
                  <w:pPr>
                    <w:pStyle w:val="30"/>
                    <w:framePr w:hSpace="0" w:wrap="auto" w:vAnchor="margin" w:hAnchor="text" w:xAlign="left" w:yAlign="inline"/>
                    <w:rPr>
                      <w:highlight w:val="red"/>
                      <w:lang w:val="en-US"/>
                    </w:rPr>
                  </w:pPr>
                </w:p>
              </w:tc>
              <w:tc>
                <w:tcPr>
                  <w:tcW w:w="313" w:type="dxa"/>
                  <w:shd w:val="clear" w:color="auto" w:fill="FFFFFF"/>
                  <w:tcMar>
                    <w:top w:w="0" w:type="dxa"/>
                    <w:left w:w="0" w:type="dxa"/>
                    <w:bottom w:w="0" w:type="dxa"/>
                    <w:right w:w="0" w:type="dxa"/>
                  </w:tcMar>
                  <w:vAlign w:val="center"/>
                </w:tcPr>
                <w:p w14:paraId="531D73B1">
                  <w:pPr>
                    <w:pStyle w:val="30"/>
                    <w:framePr w:hSpace="0" w:wrap="auto" w:vAnchor="margin" w:hAnchor="text" w:xAlign="left" w:yAlign="inline"/>
                    <w:rPr>
                      <w:lang w:val="en-US"/>
                    </w:rPr>
                  </w:pPr>
                  <w:r>
                    <w:rPr>
                      <w:lang w:val="en-US"/>
                    </w:rPr>
                    <w:t>30</w:t>
                  </w:r>
                </w:p>
              </w:tc>
              <w:tc>
                <w:tcPr>
                  <w:tcW w:w="598" w:type="dxa"/>
                  <w:shd w:val="clear" w:color="auto" w:fill="FFFFFF"/>
                  <w:tcMar>
                    <w:top w:w="0" w:type="dxa"/>
                    <w:left w:w="0" w:type="dxa"/>
                    <w:bottom w:w="0" w:type="dxa"/>
                    <w:right w:w="0" w:type="dxa"/>
                  </w:tcMar>
                  <w:vAlign w:val="center"/>
                </w:tcPr>
                <w:p w14:paraId="11FDDAB9">
                  <w:pPr>
                    <w:pStyle w:val="30"/>
                    <w:framePr w:hSpace="0" w:wrap="auto" w:vAnchor="margin" w:hAnchor="text" w:xAlign="left" w:yAlign="inline"/>
                    <w:rPr>
                      <w:lang w:val="en-US"/>
                    </w:rPr>
                  </w:pPr>
                  <w:r>
                    <w:rPr>
                      <w:lang w:val="en-US"/>
                    </w:rPr>
                    <w:t>10</w:t>
                  </w:r>
                </w:p>
              </w:tc>
              <w:tc>
                <w:tcPr>
                  <w:tcW w:w="604" w:type="dxa"/>
                  <w:shd w:val="clear" w:color="auto" w:fill="FFFFFF"/>
                  <w:tcMar>
                    <w:top w:w="0" w:type="dxa"/>
                    <w:left w:w="0" w:type="dxa"/>
                    <w:bottom w:w="0" w:type="dxa"/>
                    <w:right w:w="0" w:type="dxa"/>
                  </w:tcMar>
                  <w:vAlign w:val="center"/>
                </w:tcPr>
                <w:p w14:paraId="182A3CD1">
                  <w:pPr>
                    <w:pStyle w:val="30"/>
                    <w:framePr w:hSpace="0" w:wrap="auto" w:vAnchor="margin" w:hAnchor="text" w:xAlign="left" w:yAlign="inline"/>
                    <w:rPr>
                      <w:lang w:val="en-US"/>
                    </w:rPr>
                  </w:pPr>
                  <w:r>
                    <w:rPr>
                      <w:lang w:val="en-US"/>
                    </w:rPr>
                    <w:t>6.2</w:t>
                  </w:r>
                </w:p>
              </w:tc>
              <w:tc>
                <w:tcPr>
                  <w:tcW w:w="496" w:type="dxa"/>
                  <w:shd w:val="clear" w:color="auto" w:fill="FFFFFF"/>
                  <w:tcMar>
                    <w:top w:w="0" w:type="dxa"/>
                    <w:left w:w="0" w:type="dxa"/>
                    <w:bottom w:w="0" w:type="dxa"/>
                    <w:right w:w="0" w:type="dxa"/>
                  </w:tcMar>
                  <w:vAlign w:val="center"/>
                </w:tcPr>
                <w:p w14:paraId="1820C0D0">
                  <w:pPr>
                    <w:pStyle w:val="30"/>
                    <w:framePr w:hSpace="0" w:wrap="auto" w:vAnchor="margin" w:hAnchor="text" w:xAlign="left" w:yAlign="inline"/>
                    <w:rPr>
                      <w:lang w:val="en-US"/>
                    </w:rPr>
                  </w:pPr>
                  <w:r>
                    <w:rPr>
                      <w:lang w:val="en-US"/>
                    </w:rPr>
                    <w:t>11</w:t>
                  </w:r>
                </w:p>
              </w:tc>
              <w:tc>
                <w:tcPr>
                  <w:tcW w:w="496" w:type="dxa"/>
                  <w:shd w:val="clear" w:color="auto" w:fill="FFFFFF"/>
                  <w:tcMar>
                    <w:top w:w="0" w:type="dxa"/>
                    <w:left w:w="0" w:type="dxa"/>
                    <w:bottom w:w="0" w:type="dxa"/>
                    <w:right w:w="0" w:type="dxa"/>
                  </w:tcMar>
                  <w:vAlign w:val="center"/>
                </w:tcPr>
                <w:p w14:paraId="593514F3">
                  <w:pPr>
                    <w:pStyle w:val="30"/>
                    <w:framePr w:hSpace="0" w:wrap="auto" w:vAnchor="margin" w:hAnchor="text" w:xAlign="left" w:yAlign="inline"/>
                    <w:rPr>
                      <w:lang w:val="en-US"/>
                    </w:rPr>
                  </w:pPr>
                  <w:r>
                    <w:rPr>
                      <w:lang w:val="en-US"/>
                    </w:rPr>
                    <w:t>10</w:t>
                  </w:r>
                </w:p>
              </w:tc>
              <w:tc>
                <w:tcPr>
                  <w:tcW w:w="496" w:type="dxa"/>
                  <w:shd w:val="clear" w:color="auto" w:fill="FFFFFF"/>
                  <w:tcMar>
                    <w:top w:w="0" w:type="dxa"/>
                    <w:left w:w="0" w:type="dxa"/>
                    <w:bottom w:w="0" w:type="dxa"/>
                    <w:right w:w="0" w:type="dxa"/>
                  </w:tcMar>
                  <w:vAlign w:val="center"/>
                </w:tcPr>
                <w:p w14:paraId="533A25A1">
                  <w:pPr>
                    <w:pStyle w:val="30"/>
                    <w:framePr w:hSpace="0" w:wrap="auto" w:vAnchor="margin" w:hAnchor="text" w:xAlign="left" w:yAlign="inline"/>
                    <w:rPr>
                      <w:lang w:val="en-US"/>
                    </w:rPr>
                  </w:pPr>
                  <w:r>
                    <w:rPr>
                      <w:lang w:val="en-US"/>
                    </w:rPr>
                    <w:t>30</w:t>
                  </w:r>
                </w:p>
              </w:tc>
              <w:tc>
                <w:tcPr>
                  <w:tcW w:w="509" w:type="dxa"/>
                  <w:shd w:val="clear" w:color="auto" w:fill="FFFFFF"/>
                  <w:tcMar>
                    <w:top w:w="0" w:type="dxa"/>
                    <w:left w:w="0" w:type="dxa"/>
                    <w:bottom w:w="0" w:type="dxa"/>
                    <w:right w:w="0" w:type="dxa"/>
                  </w:tcMar>
                  <w:vAlign w:val="center"/>
                </w:tcPr>
                <w:p w14:paraId="429E3455">
                  <w:pPr>
                    <w:pStyle w:val="30"/>
                    <w:framePr w:hSpace="0" w:wrap="auto" w:vAnchor="margin" w:hAnchor="text" w:xAlign="left" w:yAlign="inline"/>
                    <w:rPr>
                      <w:lang w:val="en-US"/>
                    </w:rPr>
                  </w:pPr>
                  <w:r>
                    <w:rPr>
                      <w:lang w:val="en-US"/>
                    </w:rPr>
                    <w:t>49</w:t>
                  </w:r>
                </w:p>
              </w:tc>
              <w:tc>
                <w:tcPr>
                  <w:tcW w:w="493" w:type="dxa"/>
                  <w:shd w:val="clear" w:color="auto" w:fill="FFFFFF"/>
                  <w:tcMar>
                    <w:top w:w="0" w:type="dxa"/>
                    <w:left w:w="0" w:type="dxa"/>
                    <w:bottom w:w="0" w:type="dxa"/>
                    <w:right w:w="0" w:type="dxa"/>
                  </w:tcMar>
                  <w:vAlign w:val="center"/>
                </w:tcPr>
                <w:p w14:paraId="7CC40254">
                  <w:pPr>
                    <w:pStyle w:val="30"/>
                    <w:framePr w:hSpace="0" w:wrap="auto" w:vAnchor="margin" w:hAnchor="text" w:xAlign="left" w:yAlign="inline"/>
                    <w:rPr>
                      <w:lang w:val="en-US"/>
                    </w:rPr>
                  </w:pPr>
                  <w:r>
                    <w:rPr>
                      <w:lang w:val="en-US"/>
                    </w:rPr>
                    <w:t>44.9</w:t>
                  </w:r>
                </w:p>
              </w:tc>
              <w:tc>
                <w:tcPr>
                  <w:tcW w:w="493" w:type="dxa"/>
                  <w:shd w:val="clear" w:color="auto" w:fill="FFFFFF"/>
                  <w:tcMar>
                    <w:top w:w="0" w:type="dxa"/>
                    <w:left w:w="0" w:type="dxa"/>
                    <w:bottom w:w="0" w:type="dxa"/>
                    <w:right w:w="0" w:type="dxa"/>
                  </w:tcMar>
                  <w:vAlign w:val="center"/>
                </w:tcPr>
                <w:p w14:paraId="25607656">
                  <w:pPr>
                    <w:pStyle w:val="30"/>
                    <w:framePr w:hSpace="0" w:wrap="auto" w:vAnchor="margin" w:hAnchor="text" w:xAlign="left" w:yAlign="inline"/>
                    <w:rPr>
                      <w:lang w:val="en-US"/>
                    </w:rPr>
                  </w:pPr>
                  <w:r>
                    <w:rPr>
                      <w:lang w:val="en-US"/>
                    </w:rPr>
                    <w:t>44.9</w:t>
                  </w:r>
                </w:p>
              </w:tc>
              <w:tc>
                <w:tcPr>
                  <w:tcW w:w="493" w:type="dxa"/>
                  <w:shd w:val="clear" w:color="auto" w:fill="FFFFFF"/>
                  <w:tcMar>
                    <w:top w:w="0" w:type="dxa"/>
                    <w:left w:w="0" w:type="dxa"/>
                    <w:bottom w:w="0" w:type="dxa"/>
                    <w:right w:w="0" w:type="dxa"/>
                  </w:tcMar>
                  <w:vAlign w:val="center"/>
                </w:tcPr>
                <w:p w14:paraId="66104CB6">
                  <w:pPr>
                    <w:pStyle w:val="30"/>
                    <w:framePr w:hSpace="0" w:wrap="auto" w:vAnchor="margin" w:hAnchor="text" w:xAlign="left" w:yAlign="inline"/>
                    <w:rPr>
                      <w:lang w:val="en-US"/>
                    </w:rPr>
                  </w:pPr>
                  <w:r>
                    <w:rPr>
                      <w:lang w:val="en-US"/>
                    </w:rPr>
                    <w:t>44.9</w:t>
                  </w:r>
                </w:p>
              </w:tc>
              <w:tc>
                <w:tcPr>
                  <w:tcW w:w="493" w:type="dxa"/>
                  <w:shd w:val="clear" w:color="auto" w:fill="FFFFFF"/>
                  <w:tcMar>
                    <w:top w:w="0" w:type="dxa"/>
                    <w:left w:w="0" w:type="dxa"/>
                    <w:bottom w:w="0" w:type="dxa"/>
                    <w:right w:w="0" w:type="dxa"/>
                  </w:tcMar>
                  <w:vAlign w:val="center"/>
                </w:tcPr>
                <w:p w14:paraId="01F534C5">
                  <w:pPr>
                    <w:pStyle w:val="30"/>
                    <w:framePr w:hSpace="0" w:wrap="auto" w:vAnchor="margin" w:hAnchor="text" w:xAlign="left" w:yAlign="inline"/>
                    <w:rPr>
                      <w:lang w:val="en-US"/>
                    </w:rPr>
                  </w:pPr>
                  <w:r>
                    <w:rPr>
                      <w:lang w:val="en-US"/>
                    </w:rPr>
                    <w:t>44.9</w:t>
                  </w:r>
                </w:p>
              </w:tc>
              <w:tc>
                <w:tcPr>
                  <w:tcW w:w="158" w:type="pct"/>
                  <w:vMerge w:val="continue"/>
                  <w:shd w:val="clear" w:color="auto" w:fill="FFFFFF"/>
                  <w:tcMar>
                    <w:top w:w="0" w:type="dxa"/>
                    <w:left w:w="0" w:type="dxa"/>
                    <w:bottom w:w="0" w:type="dxa"/>
                    <w:right w:w="0" w:type="dxa"/>
                  </w:tcMar>
                  <w:vAlign w:val="center"/>
                </w:tcPr>
                <w:p w14:paraId="4502941C">
                  <w:pPr>
                    <w:pStyle w:val="30"/>
                    <w:framePr w:hSpace="0" w:wrap="auto" w:vAnchor="margin" w:hAnchor="text" w:xAlign="left" w:yAlign="inline"/>
                    <w:rPr>
                      <w:highlight w:val="red"/>
                      <w:lang w:val="en-US"/>
                    </w:rPr>
                  </w:pPr>
                </w:p>
              </w:tc>
              <w:tc>
                <w:tcPr>
                  <w:tcW w:w="474" w:type="dxa"/>
                  <w:shd w:val="clear" w:color="auto" w:fill="FFFFFF"/>
                  <w:tcMar>
                    <w:top w:w="0" w:type="dxa"/>
                    <w:left w:w="0" w:type="dxa"/>
                    <w:bottom w:w="0" w:type="dxa"/>
                    <w:right w:w="0" w:type="dxa"/>
                  </w:tcMar>
                  <w:vAlign w:val="center"/>
                </w:tcPr>
                <w:p w14:paraId="7D72E574">
                  <w:pPr>
                    <w:pStyle w:val="30"/>
                    <w:framePr w:hSpace="0" w:wrap="auto" w:vAnchor="margin" w:hAnchor="text" w:xAlign="left" w:yAlign="inline"/>
                  </w:pPr>
                  <w:r>
                    <w:rPr>
                      <w:lang w:val="en-US"/>
                    </w:rPr>
                    <w:t>20</w:t>
                  </w:r>
                </w:p>
              </w:tc>
              <w:tc>
                <w:tcPr>
                  <w:tcW w:w="474" w:type="dxa"/>
                  <w:shd w:val="clear" w:color="auto" w:fill="FFFFFF"/>
                  <w:tcMar>
                    <w:top w:w="0" w:type="dxa"/>
                    <w:left w:w="0" w:type="dxa"/>
                    <w:bottom w:w="0" w:type="dxa"/>
                    <w:right w:w="0" w:type="dxa"/>
                  </w:tcMar>
                  <w:vAlign w:val="center"/>
                </w:tcPr>
                <w:p w14:paraId="5A2EBE80">
                  <w:pPr>
                    <w:pStyle w:val="30"/>
                    <w:framePr w:hSpace="0" w:wrap="auto" w:vAnchor="margin" w:hAnchor="text" w:xAlign="left" w:yAlign="inline"/>
                  </w:pPr>
                  <w:r>
                    <w:rPr>
                      <w:lang w:val="en-US"/>
                    </w:rPr>
                    <w:t>20</w:t>
                  </w:r>
                </w:p>
              </w:tc>
              <w:tc>
                <w:tcPr>
                  <w:tcW w:w="474" w:type="dxa"/>
                  <w:shd w:val="clear" w:color="auto" w:fill="FFFFFF"/>
                  <w:tcMar>
                    <w:top w:w="0" w:type="dxa"/>
                    <w:left w:w="0" w:type="dxa"/>
                    <w:bottom w:w="0" w:type="dxa"/>
                    <w:right w:w="0" w:type="dxa"/>
                  </w:tcMar>
                  <w:vAlign w:val="center"/>
                </w:tcPr>
                <w:p w14:paraId="22B7C8E4">
                  <w:pPr>
                    <w:pStyle w:val="30"/>
                    <w:framePr w:hSpace="0" w:wrap="auto" w:vAnchor="margin" w:hAnchor="text" w:xAlign="left" w:yAlign="inline"/>
                  </w:pPr>
                  <w:r>
                    <w:rPr>
                      <w:lang w:val="en-US"/>
                    </w:rPr>
                    <w:t>20</w:t>
                  </w:r>
                </w:p>
              </w:tc>
              <w:tc>
                <w:tcPr>
                  <w:tcW w:w="477" w:type="dxa"/>
                  <w:shd w:val="clear" w:color="auto" w:fill="FFFFFF"/>
                  <w:tcMar>
                    <w:top w:w="0" w:type="dxa"/>
                    <w:left w:w="0" w:type="dxa"/>
                    <w:bottom w:w="0" w:type="dxa"/>
                    <w:right w:w="0" w:type="dxa"/>
                  </w:tcMar>
                  <w:vAlign w:val="center"/>
                </w:tcPr>
                <w:p w14:paraId="6EEF3055">
                  <w:pPr>
                    <w:pStyle w:val="30"/>
                    <w:framePr w:hSpace="0" w:wrap="auto" w:vAnchor="margin" w:hAnchor="text" w:xAlign="left" w:yAlign="inline"/>
                  </w:pPr>
                  <w:r>
                    <w:rPr>
                      <w:lang w:val="en-US"/>
                    </w:rPr>
                    <w:t>20</w:t>
                  </w:r>
                </w:p>
              </w:tc>
              <w:tc>
                <w:tcPr>
                  <w:tcW w:w="504" w:type="dxa"/>
                  <w:shd w:val="clear" w:color="auto" w:fill="FFFFFF"/>
                  <w:tcMar>
                    <w:top w:w="0" w:type="dxa"/>
                    <w:left w:w="0" w:type="dxa"/>
                    <w:bottom w:w="0" w:type="dxa"/>
                    <w:right w:w="0" w:type="dxa"/>
                  </w:tcMar>
                  <w:vAlign w:val="center"/>
                </w:tcPr>
                <w:p w14:paraId="667603AB">
                  <w:pPr>
                    <w:pStyle w:val="30"/>
                    <w:framePr w:hSpace="0" w:wrap="auto" w:vAnchor="margin" w:hAnchor="text" w:xAlign="left" w:yAlign="inline"/>
                    <w:rPr>
                      <w:lang w:val="en-US"/>
                    </w:rPr>
                  </w:pPr>
                  <w:r>
                    <w:rPr>
                      <w:lang w:val="en-US"/>
                    </w:rPr>
                    <w:t>24.9</w:t>
                  </w:r>
                </w:p>
              </w:tc>
              <w:tc>
                <w:tcPr>
                  <w:tcW w:w="504" w:type="dxa"/>
                  <w:shd w:val="clear" w:color="auto" w:fill="FFFFFF"/>
                  <w:tcMar>
                    <w:top w:w="0" w:type="dxa"/>
                    <w:left w:w="0" w:type="dxa"/>
                    <w:bottom w:w="0" w:type="dxa"/>
                    <w:right w:w="0" w:type="dxa"/>
                  </w:tcMar>
                  <w:vAlign w:val="center"/>
                </w:tcPr>
                <w:p w14:paraId="35365730">
                  <w:pPr>
                    <w:pStyle w:val="30"/>
                    <w:framePr w:hSpace="0" w:wrap="auto" w:vAnchor="margin" w:hAnchor="text" w:xAlign="left" w:yAlign="inline"/>
                    <w:rPr>
                      <w:lang w:val="en-US"/>
                    </w:rPr>
                  </w:pPr>
                  <w:r>
                    <w:rPr>
                      <w:lang w:val="en-US"/>
                    </w:rPr>
                    <w:t>24.9</w:t>
                  </w:r>
                </w:p>
              </w:tc>
              <w:tc>
                <w:tcPr>
                  <w:tcW w:w="504" w:type="dxa"/>
                  <w:shd w:val="clear" w:color="auto" w:fill="FFFFFF"/>
                  <w:tcMar>
                    <w:top w:w="0" w:type="dxa"/>
                    <w:left w:w="0" w:type="dxa"/>
                    <w:bottom w:w="0" w:type="dxa"/>
                    <w:right w:w="0" w:type="dxa"/>
                  </w:tcMar>
                  <w:vAlign w:val="center"/>
                </w:tcPr>
                <w:p w14:paraId="02AF820E">
                  <w:pPr>
                    <w:pStyle w:val="30"/>
                    <w:framePr w:hSpace="0" w:wrap="auto" w:vAnchor="margin" w:hAnchor="text" w:xAlign="left" w:yAlign="inline"/>
                    <w:rPr>
                      <w:lang w:val="en-US"/>
                    </w:rPr>
                  </w:pPr>
                  <w:r>
                    <w:rPr>
                      <w:lang w:val="en-US"/>
                    </w:rPr>
                    <w:t>24.9</w:t>
                  </w:r>
                </w:p>
              </w:tc>
              <w:tc>
                <w:tcPr>
                  <w:tcW w:w="507" w:type="dxa"/>
                  <w:shd w:val="clear" w:color="auto" w:fill="FFFFFF"/>
                  <w:tcMar>
                    <w:top w:w="0" w:type="dxa"/>
                    <w:left w:w="0" w:type="dxa"/>
                    <w:bottom w:w="0" w:type="dxa"/>
                    <w:right w:w="0" w:type="dxa"/>
                  </w:tcMar>
                  <w:vAlign w:val="center"/>
                </w:tcPr>
                <w:p w14:paraId="2E19122A">
                  <w:pPr>
                    <w:pStyle w:val="30"/>
                    <w:framePr w:hSpace="0" w:wrap="auto" w:vAnchor="margin" w:hAnchor="text" w:xAlign="left" w:yAlign="inline"/>
                    <w:rPr>
                      <w:lang w:val="en-US"/>
                    </w:rPr>
                  </w:pPr>
                  <w:r>
                    <w:rPr>
                      <w:lang w:val="en-US"/>
                    </w:rPr>
                    <w:t>24.9</w:t>
                  </w:r>
                </w:p>
              </w:tc>
              <w:tc>
                <w:tcPr>
                  <w:tcW w:w="729" w:type="dxa"/>
                  <w:shd w:val="clear" w:color="auto" w:fill="FFFFFF"/>
                  <w:tcMar>
                    <w:top w:w="0" w:type="dxa"/>
                    <w:left w:w="0" w:type="dxa"/>
                    <w:bottom w:w="0" w:type="dxa"/>
                    <w:right w:w="0" w:type="dxa"/>
                  </w:tcMar>
                  <w:vAlign w:val="center"/>
                </w:tcPr>
                <w:p w14:paraId="69428773">
                  <w:pPr>
                    <w:pStyle w:val="30"/>
                    <w:framePr w:hSpace="0" w:wrap="auto" w:vAnchor="margin" w:hAnchor="text" w:xAlign="left" w:yAlign="inline"/>
                    <w:rPr>
                      <w:highlight w:val="red"/>
                    </w:rPr>
                  </w:pPr>
                  <w:r>
                    <w:t>1</w:t>
                  </w:r>
                </w:p>
              </w:tc>
            </w:tr>
            <w:tr w14:paraId="07D02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340" w:hRule="atLeast"/>
                <w:jc w:val="center"/>
              </w:trPr>
              <w:tc>
                <w:tcPr>
                  <w:tcW w:w="137" w:type="pct"/>
                  <w:shd w:val="clear" w:color="auto" w:fill="FFFFFF"/>
                  <w:tcMar>
                    <w:top w:w="0" w:type="dxa"/>
                    <w:left w:w="0" w:type="dxa"/>
                    <w:bottom w:w="0" w:type="dxa"/>
                    <w:right w:w="0" w:type="dxa"/>
                  </w:tcMar>
                  <w:vAlign w:val="center"/>
                </w:tcPr>
                <w:p w14:paraId="4143018C">
                  <w:pPr>
                    <w:pStyle w:val="30"/>
                    <w:framePr w:hSpace="0" w:wrap="auto" w:vAnchor="margin" w:hAnchor="text" w:xAlign="left" w:yAlign="inline"/>
                    <w:numPr>
                      <w:ilvl w:val="0"/>
                      <w:numId w:val="2"/>
                    </w:numPr>
                    <w:rPr>
                      <w:lang w:val="en-US"/>
                    </w:rPr>
                  </w:pPr>
                </w:p>
              </w:tc>
              <w:tc>
                <w:tcPr>
                  <w:tcW w:w="188" w:type="pct"/>
                  <w:vMerge w:val="continue"/>
                  <w:shd w:val="clear" w:color="auto" w:fill="FFFFFF"/>
                  <w:tcMar>
                    <w:top w:w="0" w:type="dxa"/>
                    <w:left w:w="0" w:type="dxa"/>
                    <w:bottom w:w="0" w:type="dxa"/>
                    <w:right w:w="0" w:type="dxa"/>
                  </w:tcMar>
                  <w:vAlign w:val="center"/>
                </w:tcPr>
                <w:p w14:paraId="4BF18C6B">
                  <w:pPr>
                    <w:pStyle w:val="30"/>
                    <w:framePr w:hSpace="0" w:wrap="auto" w:vAnchor="margin" w:hAnchor="text" w:xAlign="left" w:yAlign="inline"/>
                  </w:pPr>
                </w:p>
              </w:tc>
              <w:tc>
                <w:tcPr>
                  <w:tcW w:w="314" w:type="pct"/>
                  <w:shd w:val="clear" w:color="auto" w:fill="FFFFFF"/>
                  <w:tcMar>
                    <w:top w:w="0" w:type="dxa"/>
                    <w:left w:w="0" w:type="dxa"/>
                    <w:bottom w:w="0" w:type="dxa"/>
                    <w:right w:w="0" w:type="dxa"/>
                  </w:tcMar>
                  <w:vAlign w:val="center"/>
                </w:tcPr>
                <w:p w14:paraId="0E453ECE">
                  <w:pPr>
                    <w:pStyle w:val="30"/>
                    <w:framePr w:hSpace="0" w:wrap="auto" w:vAnchor="margin" w:hAnchor="text" w:xAlign="left" w:yAlign="inline"/>
                    <w:rPr>
                      <w:lang w:val="en-US"/>
                    </w:rPr>
                  </w:pPr>
                  <w:r>
                    <w:rPr>
                      <w:rFonts w:hint="eastAsia"/>
                      <w:lang w:val="en-US"/>
                    </w:rPr>
                    <w:t>杀菌锅</w:t>
                  </w:r>
                </w:p>
              </w:tc>
              <w:tc>
                <w:tcPr>
                  <w:tcW w:w="725" w:type="dxa"/>
                  <w:shd w:val="clear" w:color="auto" w:fill="FFFFFF"/>
                  <w:tcMar>
                    <w:top w:w="0" w:type="dxa"/>
                    <w:left w:w="0" w:type="dxa"/>
                    <w:bottom w:w="0" w:type="dxa"/>
                    <w:right w:w="0" w:type="dxa"/>
                  </w:tcMar>
                  <w:vAlign w:val="center"/>
                </w:tcPr>
                <w:p w14:paraId="3A1DDDEC">
                  <w:pPr>
                    <w:pStyle w:val="30"/>
                    <w:framePr w:hSpace="0" w:wrap="auto" w:vAnchor="margin" w:hAnchor="text" w:xAlign="left" w:yAlign="inline"/>
                    <w:rPr>
                      <w:lang w:val="en-US"/>
                    </w:rPr>
                  </w:pPr>
                  <w:r>
                    <w:rPr>
                      <w:lang w:val="en-US"/>
                    </w:rPr>
                    <w:t>80</w:t>
                  </w:r>
                </w:p>
              </w:tc>
              <w:tc>
                <w:tcPr>
                  <w:tcW w:w="171" w:type="pct"/>
                  <w:vMerge w:val="continue"/>
                  <w:shd w:val="clear" w:color="auto" w:fill="FFFFFF"/>
                  <w:tcMar>
                    <w:top w:w="0" w:type="dxa"/>
                    <w:left w:w="0" w:type="dxa"/>
                    <w:bottom w:w="0" w:type="dxa"/>
                    <w:right w:w="0" w:type="dxa"/>
                  </w:tcMar>
                  <w:vAlign w:val="center"/>
                </w:tcPr>
                <w:p w14:paraId="5BCAFABF">
                  <w:pPr>
                    <w:pStyle w:val="30"/>
                    <w:framePr w:hSpace="0" w:wrap="auto" w:vAnchor="margin" w:hAnchor="text" w:xAlign="left" w:yAlign="inline"/>
                    <w:rPr>
                      <w:highlight w:val="red"/>
                      <w:lang w:val="en-US"/>
                    </w:rPr>
                  </w:pPr>
                </w:p>
              </w:tc>
              <w:tc>
                <w:tcPr>
                  <w:tcW w:w="313" w:type="dxa"/>
                  <w:shd w:val="clear" w:color="auto" w:fill="FFFFFF"/>
                  <w:tcMar>
                    <w:top w:w="0" w:type="dxa"/>
                    <w:left w:w="0" w:type="dxa"/>
                    <w:bottom w:w="0" w:type="dxa"/>
                    <w:right w:w="0" w:type="dxa"/>
                  </w:tcMar>
                  <w:vAlign w:val="center"/>
                </w:tcPr>
                <w:p w14:paraId="541D8AFB">
                  <w:pPr>
                    <w:pStyle w:val="30"/>
                    <w:framePr w:hSpace="0" w:wrap="auto" w:vAnchor="margin" w:hAnchor="text" w:xAlign="left" w:yAlign="inline"/>
                    <w:rPr>
                      <w:lang w:val="en-US"/>
                    </w:rPr>
                  </w:pPr>
                  <w:r>
                    <w:rPr>
                      <w:lang w:val="en-US"/>
                    </w:rPr>
                    <w:t>30</w:t>
                  </w:r>
                </w:p>
              </w:tc>
              <w:tc>
                <w:tcPr>
                  <w:tcW w:w="598" w:type="dxa"/>
                  <w:shd w:val="clear" w:color="auto" w:fill="FFFFFF"/>
                  <w:tcMar>
                    <w:top w:w="0" w:type="dxa"/>
                    <w:left w:w="0" w:type="dxa"/>
                    <w:bottom w:w="0" w:type="dxa"/>
                    <w:right w:w="0" w:type="dxa"/>
                  </w:tcMar>
                  <w:vAlign w:val="center"/>
                </w:tcPr>
                <w:p w14:paraId="7DBAE77F">
                  <w:pPr>
                    <w:pStyle w:val="30"/>
                    <w:framePr w:hSpace="0" w:wrap="auto" w:vAnchor="margin" w:hAnchor="text" w:xAlign="left" w:yAlign="inline"/>
                    <w:rPr>
                      <w:lang w:val="en-US"/>
                    </w:rPr>
                  </w:pPr>
                  <w:r>
                    <w:rPr>
                      <w:lang w:val="en-US"/>
                    </w:rPr>
                    <w:t>4</w:t>
                  </w:r>
                </w:p>
              </w:tc>
              <w:tc>
                <w:tcPr>
                  <w:tcW w:w="604" w:type="dxa"/>
                  <w:shd w:val="clear" w:color="auto" w:fill="FFFFFF"/>
                  <w:tcMar>
                    <w:top w:w="0" w:type="dxa"/>
                    <w:left w:w="0" w:type="dxa"/>
                    <w:bottom w:w="0" w:type="dxa"/>
                    <w:right w:w="0" w:type="dxa"/>
                  </w:tcMar>
                  <w:vAlign w:val="center"/>
                </w:tcPr>
                <w:p w14:paraId="41030B97">
                  <w:pPr>
                    <w:pStyle w:val="30"/>
                    <w:framePr w:hSpace="0" w:wrap="auto" w:vAnchor="margin" w:hAnchor="text" w:xAlign="left" w:yAlign="inline"/>
                    <w:rPr>
                      <w:lang w:val="en-US"/>
                    </w:rPr>
                  </w:pPr>
                  <w:r>
                    <w:rPr>
                      <w:lang w:val="en-US"/>
                    </w:rPr>
                    <w:t>6.2</w:t>
                  </w:r>
                </w:p>
              </w:tc>
              <w:tc>
                <w:tcPr>
                  <w:tcW w:w="496" w:type="dxa"/>
                  <w:shd w:val="clear" w:color="auto" w:fill="FFFFFF"/>
                  <w:tcMar>
                    <w:top w:w="0" w:type="dxa"/>
                    <w:left w:w="0" w:type="dxa"/>
                    <w:bottom w:w="0" w:type="dxa"/>
                    <w:right w:w="0" w:type="dxa"/>
                  </w:tcMar>
                  <w:vAlign w:val="center"/>
                </w:tcPr>
                <w:p w14:paraId="36030D62">
                  <w:pPr>
                    <w:pStyle w:val="30"/>
                    <w:framePr w:hSpace="0" w:wrap="auto" w:vAnchor="margin" w:hAnchor="text" w:xAlign="left" w:yAlign="inline"/>
                    <w:rPr>
                      <w:lang w:val="en-US"/>
                    </w:rPr>
                  </w:pPr>
                  <w:r>
                    <w:rPr>
                      <w:lang w:val="en-US"/>
                    </w:rPr>
                    <w:t>11</w:t>
                  </w:r>
                </w:p>
              </w:tc>
              <w:tc>
                <w:tcPr>
                  <w:tcW w:w="496" w:type="dxa"/>
                  <w:shd w:val="clear" w:color="auto" w:fill="FFFFFF"/>
                  <w:tcMar>
                    <w:top w:w="0" w:type="dxa"/>
                    <w:left w:w="0" w:type="dxa"/>
                    <w:bottom w:w="0" w:type="dxa"/>
                    <w:right w:w="0" w:type="dxa"/>
                  </w:tcMar>
                  <w:vAlign w:val="center"/>
                </w:tcPr>
                <w:p w14:paraId="33737CE9">
                  <w:pPr>
                    <w:pStyle w:val="30"/>
                    <w:framePr w:hSpace="0" w:wrap="auto" w:vAnchor="margin" w:hAnchor="text" w:xAlign="left" w:yAlign="inline"/>
                    <w:rPr>
                      <w:lang w:val="en-US"/>
                    </w:rPr>
                  </w:pPr>
                  <w:r>
                    <w:rPr>
                      <w:lang w:val="en-US"/>
                    </w:rPr>
                    <w:t>4</w:t>
                  </w:r>
                </w:p>
              </w:tc>
              <w:tc>
                <w:tcPr>
                  <w:tcW w:w="496" w:type="dxa"/>
                  <w:shd w:val="clear" w:color="auto" w:fill="FFFFFF"/>
                  <w:tcMar>
                    <w:top w:w="0" w:type="dxa"/>
                    <w:left w:w="0" w:type="dxa"/>
                    <w:bottom w:w="0" w:type="dxa"/>
                    <w:right w:w="0" w:type="dxa"/>
                  </w:tcMar>
                  <w:vAlign w:val="center"/>
                </w:tcPr>
                <w:p w14:paraId="31F4BA0F">
                  <w:pPr>
                    <w:pStyle w:val="30"/>
                    <w:framePr w:hSpace="0" w:wrap="auto" w:vAnchor="margin" w:hAnchor="text" w:xAlign="left" w:yAlign="inline"/>
                    <w:rPr>
                      <w:lang w:val="en-US"/>
                    </w:rPr>
                  </w:pPr>
                  <w:r>
                    <w:rPr>
                      <w:lang w:val="en-US"/>
                    </w:rPr>
                    <w:t>30</w:t>
                  </w:r>
                </w:p>
              </w:tc>
              <w:tc>
                <w:tcPr>
                  <w:tcW w:w="509" w:type="dxa"/>
                  <w:shd w:val="clear" w:color="auto" w:fill="FFFFFF"/>
                  <w:tcMar>
                    <w:top w:w="0" w:type="dxa"/>
                    <w:left w:w="0" w:type="dxa"/>
                    <w:bottom w:w="0" w:type="dxa"/>
                    <w:right w:w="0" w:type="dxa"/>
                  </w:tcMar>
                  <w:vAlign w:val="center"/>
                </w:tcPr>
                <w:p w14:paraId="541C174F">
                  <w:pPr>
                    <w:pStyle w:val="30"/>
                    <w:framePr w:hSpace="0" w:wrap="auto" w:vAnchor="margin" w:hAnchor="text" w:xAlign="left" w:yAlign="inline"/>
                    <w:rPr>
                      <w:lang w:val="en-US"/>
                    </w:rPr>
                  </w:pPr>
                  <w:r>
                    <w:rPr>
                      <w:lang w:val="en-US"/>
                    </w:rPr>
                    <w:t>55</w:t>
                  </w:r>
                </w:p>
              </w:tc>
              <w:tc>
                <w:tcPr>
                  <w:tcW w:w="493" w:type="dxa"/>
                  <w:shd w:val="clear" w:color="auto" w:fill="FFFFFF"/>
                  <w:tcMar>
                    <w:top w:w="0" w:type="dxa"/>
                    <w:left w:w="0" w:type="dxa"/>
                    <w:bottom w:w="0" w:type="dxa"/>
                    <w:right w:w="0" w:type="dxa"/>
                  </w:tcMar>
                  <w:vAlign w:val="center"/>
                </w:tcPr>
                <w:p w14:paraId="3AFE2638">
                  <w:pPr>
                    <w:pStyle w:val="30"/>
                    <w:framePr w:hSpace="0" w:wrap="auto" w:vAnchor="margin" w:hAnchor="text" w:xAlign="left" w:yAlign="inline"/>
                    <w:rPr>
                      <w:lang w:val="en-US"/>
                    </w:rPr>
                  </w:pPr>
                  <w:r>
                    <w:rPr>
                      <w:lang w:val="en-US"/>
                    </w:rPr>
                    <w:t>44.6</w:t>
                  </w:r>
                </w:p>
              </w:tc>
              <w:tc>
                <w:tcPr>
                  <w:tcW w:w="493" w:type="dxa"/>
                  <w:shd w:val="clear" w:color="auto" w:fill="FFFFFF"/>
                  <w:tcMar>
                    <w:top w:w="0" w:type="dxa"/>
                    <w:left w:w="0" w:type="dxa"/>
                    <w:bottom w:w="0" w:type="dxa"/>
                    <w:right w:w="0" w:type="dxa"/>
                  </w:tcMar>
                  <w:vAlign w:val="center"/>
                </w:tcPr>
                <w:p w14:paraId="50482ACF">
                  <w:pPr>
                    <w:pStyle w:val="30"/>
                    <w:framePr w:hSpace="0" w:wrap="auto" w:vAnchor="margin" w:hAnchor="text" w:xAlign="left" w:yAlign="inline"/>
                    <w:rPr>
                      <w:lang w:val="en-US"/>
                    </w:rPr>
                  </w:pPr>
                  <w:r>
                    <w:rPr>
                      <w:lang w:val="en-US"/>
                    </w:rPr>
                    <w:t>44.6</w:t>
                  </w:r>
                </w:p>
              </w:tc>
              <w:tc>
                <w:tcPr>
                  <w:tcW w:w="493" w:type="dxa"/>
                  <w:shd w:val="clear" w:color="auto" w:fill="FFFFFF"/>
                  <w:tcMar>
                    <w:top w:w="0" w:type="dxa"/>
                    <w:left w:w="0" w:type="dxa"/>
                    <w:bottom w:w="0" w:type="dxa"/>
                    <w:right w:w="0" w:type="dxa"/>
                  </w:tcMar>
                  <w:vAlign w:val="center"/>
                </w:tcPr>
                <w:p w14:paraId="03670842">
                  <w:pPr>
                    <w:pStyle w:val="30"/>
                    <w:framePr w:hSpace="0" w:wrap="auto" w:vAnchor="margin" w:hAnchor="text" w:xAlign="left" w:yAlign="inline"/>
                    <w:rPr>
                      <w:lang w:val="en-US"/>
                    </w:rPr>
                  </w:pPr>
                  <w:r>
                    <w:rPr>
                      <w:lang w:val="en-US"/>
                    </w:rPr>
                    <w:t>44.6</w:t>
                  </w:r>
                </w:p>
              </w:tc>
              <w:tc>
                <w:tcPr>
                  <w:tcW w:w="493" w:type="dxa"/>
                  <w:shd w:val="clear" w:color="auto" w:fill="FFFFFF"/>
                  <w:tcMar>
                    <w:top w:w="0" w:type="dxa"/>
                    <w:left w:w="0" w:type="dxa"/>
                    <w:bottom w:w="0" w:type="dxa"/>
                    <w:right w:w="0" w:type="dxa"/>
                  </w:tcMar>
                  <w:vAlign w:val="center"/>
                </w:tcPr>
                <w:p w14:paraId="46FB5BB8">
                  <w:pPr>
                    <w:pStyle w:val="30"/>
                    <w:framePr w:hSpace="0" w:wrap="auto" w:vAnchor="margin" w:hAnchor="text" w:xAlign="left" w:yAlign="inline"/>
                    <w:rPr>
                      <w:lang w:val="en-US"/>
                    </w:rPr>
                  </w:pPr>
                  <w:r>
                    <w:rPr>
                      <w:lang w:val="en-US"/>
                    </w:rPr>
                    <w:t>44.6</w:t>
                  </w:r>
                </w:p>
              </w:tc>
              <w:tc>
                <w:tcPr>
                  <w:tcW w:w="158" w:type="pct"/>
                  <w:vMerge w:val="continue"/>
                  <w:shd w:val="clear" w:color="auto" w:fill="FFFFFF"/>
                  <w:tcMar>
                    <w:top w:w="0" w:type="dxa"/>
                    <w:left w:w="0" w:type="dxa"/>
                    <w:bottom w:w="0" w:type="dxa"/>
                    <w:right w:w="0" w:type="dxa"/>
                  </w:tcMar>
                  <w:vAlign w:val="center"/>
                </w:tcPr>
                <w:p w14:paraId="25DE4D50">
                  <w:pPr>
                    <w:pStyle w:val="30"/>
                    <w:framePr w:hSpace="0" w:wrap="auto" w:vAnchor="margin" w:hAnchor="text" w:xAlign="left" w:yAlign="inline"/>
                    <w:rPr>
                      <w:highlight w:val="red"/>
                      <w:lang w:val="en-US"/>
                    </w:rPr>
                  </w:pPr>
                </w:p>
              </w:tc>
              <w:tc>
                <w:tcPr>
                  <w:tcW w:w="474" w:type="dxa"/>
                  <w:shd w:val="clear" w:color="auto" w:fill="FFFFFF"/>
                  <w:tcMar>
                    <w:top w:w="0" w:type="dxa"/>
                    <w:left w:w="0" w:type="dxa"/>
                    <w:bottom w:w="0" w:type="dxa"/>
                    <w:right w:w="0" w:type="dxa"/>
                  </w:tcMar>
                  <w:vAlign w:val="center"/>
                </w:tcPr>
                <w:p w14:paraId="0E22EB17">
                  <w:pPr>
                    <w:pStyle w:val="30"/>
                    <w:framePr w:hSpace="0" w:wrap="auto" w:vAnchor="margin" w:hAnchor="text" w:xAlign="left" w:yAlign="inline"/>
                  </w:pPr>
                  <w:r>
                    <w:rPr>
                      <w:lang w:val="en-US"/>
                    </w:rPr>
                    <w:t>20</w:t>
                  </w:r>
                </w:p>
              </w:tc>
              <w:tc>
                <w:tcPr>
                  <w:tcW w:w="474" w:type="dxa"/>
                  <w:shd w:val="clear" w:color="auto" w:fill="FFFFFF"/>
                  <w:tcMar>
                    <w:top w:w="0" w:type="dxa"/>
                    <w:left w:w="0" w:type="dxa"/>
                    <w:bottom w:w="0" w:type="dxa"/>
                    <w:right w:w="0" w:type="dxa"/>
                  </w:tcMar>
                  <w:vAlign w:val="center"/>
                </w:tcPr>
                <w:p w14:paraId="48DF8C86">
                  <w:pPr>
                    <w:pStyle w:val="30"/>
                    <w:framePr w:hSpace="0" w:wrap="auto" w:vAnchor="margin" w:hAnchor="text" w:xAlign="left" w:yAlign="inline"/>
                  </w:pPr>
                  <w:r>
                    <w:rPr>
                      <w:lang w:val="en-US"/>
                    </w:rPr>
                    <w:t>20</w:t>
                  </w:r>
                </w:p>
              </w:tc>
              <w:tc>
                <w:tcPr>
                  <w:tcW w:w="474" w:type="dxa"/>
                  <w:shd w:val="clear" w:color="auto" w:fill="FFFFFF"/>
                  <w:tcMar>
                    <w:top w:w="0" w:type="dxa"/>
                    <w:left w:w="0" w:type="dxa"/>
                    <w:bottom w:w="0" w:type="dxa"/>
                    <w:right w:w="0" w:type="dxa"/>
                  </w:tcMar>
                  <w:vAlign w:val="center"/>
                </w:tcPr>
                <w:p w14:paraId="77E29D59">
                  <w:pPr>
                    <w:pStyle w:val="30"/>
                    <w:framePr w:hSpace="0" w:wrap="auto" w:vAnchor="margin" w:hAnchor="text" w:xAlign="left" w:yAlign="inline"/>
                  </w:pPr>
                  <w:r>
                    <w:rPr>
                      <w:lang w:val="en-US"/>
                    </w:rPr>
                    <w:t>20</w:t>
                  </w:r>
                </w:p>
              </w:tc>
              <w:tc>
                <w:tcPr>
                  <w:tcW w:w="477" w:type="dxa"/>
                  <w:shd w:val="clear" w:color="auto" w:fill="FFFFFF"/>
                  <w:tcMar>
                    <w:top w:w="0" w:type="dxa"/>
                    <w:left w:w="0" w:type="dxa"/>
                    <w:bottom w:w="0" w:type="dxa"/>
                    <w:right w:w="0" w:type="dxa"/>
                  </w:tcMar>
                  <w:vAlign w:val="center"/>
                </w:tcPr>
                <w:p w14:paraId="2C566848">
                  <w:pPr>
                    <w:pStyle w:val="30"/>
                    <w:framePr w:hSpace="0" w:wrap="auto" w:vAnchor="margin" w:hAnchor="text" w:xAlign="left" w:yAlign="inline"/>
                  </w:pPr>
                  <w:r>
                    <w:rPr>
                      <w:lang w:val="en-US"/>
                    </w:rPr>
                    <w:t>20</w:t>
                  </w:r>
                </w:p>
              </w:tc>
              <w:tc>
                <w:tcPr>
                  <w:tcW w:w="504" w:type="dxa"/>
                  <w:shd w:val="clear" w:color="auto" w:fill="FFFFFF"/>
                  <w:tcMar>
                    <w:top w:w="0" w:type="dxa"/>
                    <w:left w:w="0" w:type="dxa"/>
                    <w:bottom w:w="0" w:type="dxa"/>
                    <w:right w:w="0" w:type="dxa"/>
                  </w:tcMar>
                  <w:vAlign w:val="center"/>
                </w:tcPr>
                <w:p w14:paraId="3DD5C3EB">
                  <w:pPr>
                    <w:pStyle w:val="30"/>
                    <w:framePr w:hSpace="0" w:wrap="auto" w:vAnchor="margin" w:hAnchor="text" w:xAlign="left" w:yAlign="inline"/>
                    <w:rPr>
                      <w:lang w:val="en-US"/>
                    </w:rPr>
                  </w:pPr>
                  <w:r>
                    <w:rPr>
                      <w:lang w:val="en-US"/>
                    </w:rPr>
                    <w:t>24.6</w:t>
                  </w:r>
                </w:p>
              </w:tc>
              <w:tc>
                <w:tcPr>
                  <w:tcW w:w="504" w:type="dxa"/>
                  <w:shd w:val="clear" w:color="auto" w:fill="FFFFFF"/>
                  <w:tcMar>
                    <w:top w:w="0" w:type="dxa"/>
                    <w:left w:w="0" w:type="dxa"/>
                    <w:bottom w:w="0" w:type="dxa"/>
                    <w:right w:w="0" w:type="dxa"/>
                  </w:tcMar>
                  <w:vAlign w:val="center"/>
                </w:tcPr>
                <w:p w14:paraId="46D5B2BD">
                  <w:pPr>
                    <w:pStyle w:val="30"/>
                    <w:framePr w:hSpace="0" w:wrap="auto" w:vAnchor="margin" w:hAnchor="text" w:xAlign="left" w:yAlign="inline"/>
                    <w:rPr>
                      <w:lang w:val="en-US"/>
                    </w:rPr>
                  </w:pPr>
                  <w:r>
                    <w:rPr>
                      <w:lang w:val="en-US"/>
                    </w:rPr>
                    <w:t>24.6</w:t>
                  </w:r>
                </w:p>
              </w:tc>
              <w:tc>
                <w:tcPr>
                  <w:tcW w:w="504" w:type="dxa"/>
                  <w:shd w:val="clear" w:color="auto" w:fill="FFFFFF"/>
                  <w:tcMar>
                    <w:top w:w="0" w:type="dxa"/>
                    <w:left w:w="0" w:type="dxa"/>
                    <w:bottom w:w="0" w:type="dxa"/>
                    <w:right w:w="0" w:type="dxa"/>
                  </w:tcMar>
                  <w:vAlign w:val="center"/>
                </w:tcPr>
                <w:p w14:paraId="0DD9D9E5">
                  <w:pPr>
                    <w:pStyle w:val="30"/>
                    <w:framePr w:hSpace="0" w:wrap="auto" w:vAnchor="margin" w:hAnchor="text" w:xAlign="left" w:yAlign="inline"/>
                    <w:rPr>
                      <w:lang w:val="en-US"/>
                    </w:rPr>
                  </w:pPr>
                  <w:r>
                    <w:rPr>
                      <w:lang w:val="en-US"/>
                    </w:rPr>
                    <w:t>24.6</w:t>
                  </w:r>
                </w:p>
              </w:tc>
              <w:tc>
                <w:tcPr>
                  <w:tcW w:w="507" w:type="dxa"/>
                  <w:shd w:val="clear" w:color="auto" w:fill="FFFFFF"/>
                  <w:tcMar>
                    <w:top w:w="0" w:type="dxa"/>
                    <w:left w:w="0" w:type="dxa"/>
                    <w:bottom w:w="0" w:type="dxa"/>
                    <w:right w:w="0" w:type="dxa"/>
                  </w:tcMar>
                  <w:vAlign w:val="center"/>
                </w:tcPr>
                <w:p w14:paraId="536D32A7">
                  <w:pPr>
                    <w:pStyle w:val="30"/>
                    <w:framePr w:hSpace="0" w:wrap="auto" w:vAnchor="margin" w:hAnchor="text" w:xAlign="left" w:yAlign="inline"/>
                    <w:rPr>
                      <w:lang w:val="en-US"/>
                    </w:rPr>
                  </w:pPr>
                  <w:r>
                    <w:rPr>
                      <w:lang w:val="en-US"/>
                    </w:rPr>
                    <w:t>24.6</w:t>
                  </w:r>
                </w:p>
              </w:tc>
              <w:tc>
                <w:tcPr>
                  <w:tcW w:w="729" w:type="dxa"/>
                  <w:shd w:val="clear" w:color="auto" w:fill="FFFFFF"/>
                  <w:tcMar>
                    <w:top w:w="0" w:type="dxa"/>
                    <w:left w:w="0" w:type="dxa"/>
                    <w:bottom w:w="0" w:type="dxa"/>
                    <w:right w:w="0" w:type="dxa"/>
                  </w:tcMar>
                  <w:vAlign w:val="center"/>
                </w:tcPr>
                <w:p w14:paraId="731E3137">
                  <w:pPr>
                    <w:pStyle w:val="30"/>
                    <w:framePr w:hSpace="0" w:wrap="auto" w:vAnchor="margin" w:hAnchor="text" w:xAlign="left" w:yAlign="inline"/>
                    <w:rPr>
                      <w:highlight w:val="red"/>
                    </w:rPr>
                  </w:pPr>
                  <w:r>
                    <w:t>1</w:t>
                  </w:r>
                </w:p>
              </w:tc>
            </w:tr>
            <w:tr w14:paraId="25BA9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340" w:hRule="atLeast"/>
                <w:jc w:val="center"/>
              </w:trPr>
              <w:tc>
                <w:tcPr>
                  <w:tcW w:w="137" w:type="pct"/>
                  <w:shd w:val="clear" w:color="auto" w:fill="FFFFFF"/>
                  <w:tcMar>
                    <w:top w:w="0" w:type="dxa"/>
                    <w:left w:w="0" w:type="dxa"/>
                    <w:bottom w:w="0" w:type="dxa"/>
                    <w:right w:w="0" w:type="dxa"/>
                  </w:tcMar>
                  <w:vAlign w:val="center"/>
                </w:tcPr>
                <w:p w14:paraId="2026072F">
                  <w:pPr>
                    <w:pStyle w:val="30"/>
                    <w:framePr w:hSpace="0" w:wrap="auto" w:vAnchor="margin" w:hAnchor="text" w:xAlign="left" w:yAlign="inline"/>
                    <w:numPr>
                      <w:ilvl w:val="0"/>
                      <w:numId w:val="2"/>
                    </w:numPr>
                    <w:rPr>
                      <w:lang w:val="en-US"/>
                    </w:rPr>
                  </w:pPr>
                </w:p>
              </w:tc>
              <w:tc>
                <w:tcPr>
                  <w:tcW w:w="188" w:type="pct"/>
                  <w:vMerge w:val="continue"/>
                  <w:shd w:val="clear" w:color="auto" w:fill="FFFFFF"/>
                  <w:tcMar>
                    <w:top w:w="0" w:type="dxa"/>
                    <w:left w:w="0" w:type="dxa"/>
                    <w:bottom w:w="0" w:type="dxa"/>
                    <w:right w:w="0" w:type="dxa"/>
                  </w:tcMar>
                  <w:vAlign w:val="center"/>
                </w:tcPr>
                <w:p w14:paraId="5F0D3DC4">
                  <w:pPr>
                    <w:pStyle w:val="30"/>
                    <w:framePr w:hSpace="0" w:wrap="auto" w:vAnchor="margin" w:hAnchor="text" w:xAlign="left" w:yAlign="inline"/>
                  </w:pPr>
                </w:p>
              </w:tc>
              <w:tc>
                <w:tcPr>
                  <w:tcW w:w="314" w:type="pct"/>
                  <w:shd w:val="clear" w:color="auto" w:fill="FFFFFF"/>
                  <w:tcMar>
                    <w:top w:w="0" w:type="dxa"/>
                    <w:left w:w="0" w:type="dxa"/>
                    <w:bottom w:w="0" w:type="dxa"/>
                    <w:right w:w="0" w:type="dxa"/>
                  </w:tcMar>
                  <w:vAlign w:val="center"/>
                </w:tcPr>
                <w:p w14:paraId="44117D4D">
                  <w:pPr>
                    <w:pStyle w:val="30"/>
                    <w:framePr w:hSpace="0" w:wrap="auto" w:vAnchor="margin" w:hAnchor="text" w:xAlign="left" w:yAlign="inline"/>
                    <w:rPr>
                      <w:lang w:val="en-US"/>
                    </w:rPr>
                  </w:pPr>
                  <w:r>
                    <w:rPr>
                      <w:rFonts w:hint="eastAsia"/>
                      <w:lang w:val="en-US"/>
                    </w:rPr>
                    <w:t>风干线</w:t>
                  </w:r>
                </w:p>
              </w:tc>
              <w:tc>
                <w:tcPr>
                  <w:tcW w:w="725" w:type="dxa"/>
                  <w:shd w:val="clear" w:color="auto" w:fill="FFFFFF"/>
                  <w:tcMar>
                    <w:top w:w="0" w:type="dxa"/>
                    <w:left w:w="0" w:type="dxa"/>
                    <w:bottom w:w="0" w:type="dxa"/>
                    <w:right w:w="0" w:type="dxa"/>
                  </w:tcMar>
                  <w:vAlign w:val="center"/>
                </w:tcPr>
                <w:p w14:paraId="560CEEE4">
                  <w:pPr>
                    <w:pStyle w:val="30"/>
                    <w:framePr w:hSpace="0" w:wrap="auto" w:vAnchor="margin" w:hAnchor="text" w:xAlign="left" w:yAlign="inline"/>
                    <w:rPr>
                      <w:lang w:val="en-US"/>
                    </w:rPr>
                  </w:pPr>
                  <w:r>
                    <w:rPr>
                      <w:lang w:val="en-US"/>
                    </w:rPr>
                    <w:t>85</w:t>
                  </w:r>
                </w:p>
              </w:tc>
              <w:tc>
                <w:tcPr>
                  <w:tcW w:w="171" w:type="pct"/>
                  <w:vMerge w:val="continue"/>
                  <w:shd w:val="clear" w:color="auto" w:fill="FFFFFF"/>
                  <w:tcMar>
                    <w:top w:w="0" w:type="dxa"/>
                    <w:left w:w="0" w:type="dxa"/>
                    <w:bottom w:w="0" w:type="dxa"/>
                    <w:right w:w="0" w:type="dxa"/>
                  </w:tcMar>
                  <w:vAlign w:val="center"/>
                </w:tcPr>
                <w:p w14:paraId="3455C55E">
                  <w:pPr>
                    <w:pStyle w:val="30"/>
                    <w:framePr w:hSpace="0" w:wrap="auto" w:vAnchor="margin" w:hAnchor="text" w:xAlign="left" w:yAlign="inline"/>
                    <w:rPr>
                      <w:highlight w:val="red"/>
                      <w:lang w:val="en-US"/>
                    </w:rPr>
                  </w:pPr>
                </w:p>
              </w:tc>
              <w:tc>
                <w:tcPr>
                  <w:tcW w:w="313" w:type="dxa"/>
                  <w:shd w:val="clear" w:color="auto" w:fill="FFFFFF"/>
                  <w:tcMar>
                    <w:top w:w="0" w:type="dxa"/>
                    <w:left w:w="0" w:type="dxa"/>
                    <w:bottom w:w="0" w:type="dxa"/>
                    <w:right w:w="0" w:type="dxa"/>
                  </w:tcMar>
                  <w:vAlign w:val="center"/>
                </w:tcPr>
                <w:p w14:paraId="29F93E7A">
                  <w:pPr>
                    <w:pStyle w:val="30"/>
                    <w:framePr w:hSpace="0" w:wrap="auto" w:vAnchor="margin" w:hAnchor="text" w:xAlign="left" w:yAlign="inline"/>
                    <w:rPr>
                      <w:lang w:val="en-US"/>
                    </w:rPr>
                  </w:pPr>
                  <w:r>
                    <w:rPr>
                      <w:lang w:val="en-US"/>
                    </w:rPr>
                    <w:t>26</w:t>
                  </w:r>
                </w:p>
              </w:tc>
              <w:tc>
                <w:tcPr>
                  <w:tcW w:w="598" w:type="dxa"/>
                  <w:shd w:val="clear" w:color="auto" w:fill="FFFFFF"/>
                  <w:tcMar>
                    <w:top w:w="0" w:type="dxa"/>
                    <w:left w:w="0" w:type="dxa"/>
                    <w:bottom w:w="0" w:type="dxa"/>
                    <w:right w:w="0" w:type="dxa"/>
                  </w:tcMar>
                  <w:vAlign w:val="center"/>
                </w:tcPr>
                <w:p w14:paraId="0B0C510C">
                  <w:pPr>
                    <w:pStyle w:val="30"/>
                    <w:framePr w:hSpace="0" w:wrap="auto" w:vAnchor="margin" w:hAnchor="text" w:xAlign="left" w:yAlign="inline"/>
                    <w:rPr>
                      <w:lang w:val="en-US"/>
                    </w:rPr>
                  </w:pPr>
                  <w:r>
                    <w:rPr>
                      <w:lang w:val="en-US"/>
                    </w:rPr>
                    <w:t>10</w:t>
                  </w:r>
                </w:p>
              </w:tc>
              <w:tc>
                <w:tcPr>
                  <w:tcW w:w="604" w:type="dxa"/>
                  <w:shd w:val="clear" w:color="auto" w:fill="FFFFFF"/>
                  <w:tcMar>
                    <w:top w:w="0" w:type="dxa"/>
                    <w:left w:w="0" w:type="dxa"/>
                    <w:bottom w:w="0" w:type="dxa"/>
                    <w:right w:w="0" w:type="dxa"/>
                  </w:tcMar>
                  <w:vAlign w:val="center"/>
                </w:tcPr>
                <w:p w14:paraId="0BF51EC4">
                  <w:pPr>
                    <w:pStyle w:val="30"/>
                    <w:framePr w:hSpace="0" w:wrap="auto" w:vAnchor="margin" w:hAnchor="text" w:xAlign="left" w:yAlign="inline"/>
                    <w:rPr>
                      <w:lang w:val="en-US"/>
                    </w:rPr>
                  </w:pPr>
                  <w:r>
                    <w:rPr>
                      <w:lang w:val="en-US"/>
                    </w:rPr>
                    <w:t>6.2</w:t>
                  </w:r>
                </w:p>
              </w:tc>
              <w:tc>
                <w:tcPr>
                  <w:tcW w:w="496" w:type="dxa"/>
                  <w:shd w:val="clear" w:color="auto" w:fill="FFFFFF"/>
                  <w:tcMar>
                    <w:top w:w="0" w:type="dxa"/>
                    <w:left w:w="0" w:type="dxa"/>
                    <w:bottom w:w="0" w:type="dxa"/>
                    <w:right w:w="0" w:type="dxa"/>
                  </w:tcMar>
                  <w:vAlign w:val="center"/>
                </w:tcPr>
                <w:p w14:paraId="50955DFF">
                  <w:pPr>
                    <w:pStyle w:val="30"/>
                    <w:framePr w:hSpace="0" w:wrap="auto" w:vAnchor="margin" w:hAnchor="text" w:xAlign="left" w:yAlign="inline"/>
                    <w:rPr>
                      <w:lang w:val="en-US"/>
                    </w:rPr>
                  </w:pPr>
                  <w:r>
                    <w:rPr>
                      <w:lang w:val="en-US"/>
                    </w:rPr>
                    <w:t>15</w:t>
                  </w:r>
                </w:p>
              </w:tc>
              <w:tc>
                <w:tcPr>
                  <w:tcW w:w="496" w:type="dxa"/>
                  <w:shd w:val="clear" w:color="auto" w:fill="FFFFFF"/>
                  <w:tcMar>
                    <w:top w:w="0" w:type="dxa"/>
                    <w:left w:w="0" w:type="dxa"/>
                    <w:bottom w:w="0" w:type="dxa"/>
                    <w:right w:w="0" w:type="dxa"/>
                  </w:tcMar>
                  <w:vAlign w:val="center"/>
                </w:tcPr>
                <w:p w14:paraId="45BDF62F">
                  <w:pPr>
                    <w:pStyle w:val="30"/>
                    <w:framePr w:hSpace="0" w:wrap="auto" w:vAnchor="margin" w:hAnchor="text" w:xAlign="left" w:yAlign="inline"/>
                    <w:rPr>
                      <w:lang w:val="en-US"/>
                    </w:rPr>
                  </w:pPr>
                  <w:r>
                    <w:rPr>
                      <w:lang w:val="en-US"/>
                    </w:rPr>
                    <w:t>10</w:t>
                  </w:r>
                </w:p>
              </w:tc>
              <w:tc>
                <w:tcPr>
                  <w:tcW w:w="496" w:type="dxa"/>
                  <w:shd w:val="clear" w:color="auto" w:fill="FFFFFF"/>
                  <w:tcMar>
                    <w:top w:w="0" w:type="dxa"/>
                    <w:left w:w="0" w:type="dxa"/>
                    <w:bottom w:w="0" w:type="dxa"/>
                    <w:right w:w="0" w:type="dxa"/>
                  </w:tcMar>
                  <w:vAlign w:val="center"/>
                </w:tcPr>
                <w:p w14:paraId="485EB4F3">
                  <w:pPr>
                    <w:pStyle w:val="30"/>
                    <w:framePr w:hSpace="0" w:wrap="auto" w:vAnchor="margin" w:hAnchor="text" w:xAlign="left" w:yAlign="inline"/>
                    <w:rPr>
                      <w:lang w:val="en-US"/>
                    </w:rPr>
                  </w:pPr>
                  <w:r>
                    <w:rPr>
                      <w:lang w:val="en-US"/>
                    </w:rPr>
                    <w:t>26</w:t>
                  </w:r>
                </w:p>
              </w:tc>
              <w:tc>
                <w:tcPr>
                  <w:tcW w:w="509" w:type="dxa"/>
                  <w:shd w:val="clear" w:color="auto" w:fill="FFFFFF"/>
                  <w:tcMar>
                    <w:top w:w="0" w:type="dxa"/>
                    <w:left w:w="0" w:type="dxa"/>
                    <w:bottom w:w="0" w:type="dxa"/>
                    <w:right w:w="0" w:type="dxa"/>
                  </w:tcMar>
                  <w:vAlign w:val="center"/>
                </w:tcPr>
                <w:p w14:paraId="44A88933">
                  <w:pPr>
                    <w:pStyle w:val="30"/>
                    <w:framePr w:hSpace="0" w:wrap="auto" w:vAnchor="margin" w:hAnchor="text" w:xAlign="left" w:yAlign="inline"/>
                    <w:rPr>
                      <w:lang w:val="en-US"/>
                    </w:rPr>
                  </w:pPr>
                  <w:r>
                    <w:rPr>
                      <w:lang w:val="en-US"/>
                    </w:rPr>
                    <w:t>49</w:t>
                  </w:r>
                </w:p>
              </w:tc>
              <w:tc>
                <w:tcPr>
                  <w:tcW w:w="493" w:type="dxa"/>
                  <w:shd w:val="clear" w:color="auto" w:fill="FFFFFF"/>
                  <w:tcMar>
                    <w:top w:w="0" w:type="dxa"/>
                    <w:left w:w="0" w:type="dxa"/>
                    <w:bottom w:w="0" w:type="dxa"/>
                    <w:right w:w="0" w:type="dxa"/>
                  </w:tcMar>
                  <w:vAlign w:val="center"/>
                </w:tcPr>
                <w:p w14:paraId="325B5780">
                  <w:pPr>
                    <w:pStyle w:val="30"/>
                    <w:framePr w:hSpace="0" w:wrap="auto" w:vAnchor="margin" w:hAnchor="text" w:xAlign="left" w:yAlign="inline"/>
                    <w:rPr>
                      <w:lang w:val="en-US"/>
                    </w:rPr>
                  </w:pPr>
                  <w:r>
                    <w:rPr>
                      <w:lang w:val="en-US"/>
                    </w:rPr>
                    <w:t>48.6</w:t>
                  </w:r>
                </w:p>
              </w:tc>
              <w:tc>
                <w:tcPr>
                  <w:tcW w:w="493" w:type="dxa"/>
                  <w:shd w:val="clear" w:color="auto" w:fill="FFFFFF"/>
                  <w:tcMar>
                    <w:top w:w="0" w:type="dxa"/>
                    <w:left w:w="0" w:type="dxa"/>
                    <w:bottom w:w="0" w:type="dxa"/>
                    <w:right w:w="0" w:type="dxa"/>
                  </w:tcMar>
                  <w:vAlign w:val="center"/>
                </w:tcPr>
                <w:p w14:paraId="1F7DAFE6">
                  <w:pPr>
                    <w:pStyle w:val="30"/>
                    <w:framePr w:hSpace="0" w:wrap="auto" w:vAnchor="margin" w:hAnchor="text" w:xAlign="left" w:yAlign="inline"/>
                    <w:rPr>
                      <w:lang w:val="en-US"/>
                    </w:rPr>
                  </w:pPr>
                  <w:r>
                    <w:rPr>
                      <w:lang w:val="en-US"/>
                    </w:rPr>
                    <w:t>48.6</w:t>
                  </w:r>
                </w:p>
              </w:tc>
              <w:tc>
                <w:tcPr>
                  <w:tcW w:w="493" w:type="dxa"/>
                  <w:shd w:val="clear" w:color="auto" w:fill="FFFFFF"/>
                  <w:tcMar>
                    <w:top w:w="0" w:type="dxa"/>
                    <w:left w:w="0" w:type="dxa"/>
                    <w:bottom w:w="0" w:type="dxa"/>
                    <w:right w:w="0" w:type="dxa"/>
                  </w:tcMar>
                  <w:vAlign w:val="center"/>
                </w:tcPr>
                <w:p w14:paraId="273B7614">
                  <w:pPr>
                    <w:pStyle w:val="30"/>
                    <w:framePr w:hSpace="0" w:wrap="auto" w:vAnchor="margin" w:hAnchor="text" w:xAlign="left" w:yAlign="inline"/>
                    <w:rPr>
                      <w:lang w:val="en-US"/>
                    </w:rPr>
                  </w:pPr>
                  <w:r>
                    <w:rPr>
                      <w:lang w:val="en-US"/>
                    </w:rPr>
                    <w:t>48.2</w:t>
                  </w:r>
                </w:p>
              </w:tc>
              <w:tc>
                <w:tcPr>
                  <w:tcW w:w="493" w:type="dxa"/>
                  <w:shd w:val="clear" w:color="auto" w:fill="FFFFFF"/>
                  <w:tcMar>
                    <w:top w:w="0" w:type="dxa"/>
                    <w:left w:w="0" w:type="dxa"/>
                    <w:bottom w:w="0" w:type="dxa"/>
                    <w:right w:w="0" w:type="dxa"/>
                  </w:tcMar>
                  <w:vAlign w:val="center"/>
                </w:tcPr>
                <w:p w14:paraId="54BFE1AD">
                  <w:pPr>
                    <w:pStyle w:val="30"/>
                    <w:framePr w:hSpace="0" w:wrap="auto" w:vAnchor="margin" w:hAnchor="text" w:xAlign="left" w:yAlign="inline"/>
                    <w:rPr>
                      <w:lang w:val="en-US"/>
                    </w:rPr>
                  </w:pPr>
                  <w:r>
                    <w:rPr>
                      <w:lang w:val="en-US"/>
                    </w:rPr>
                    <w:t>48.2</w:t>
                  </w:r>
                </w:p>
              </w:tc>
              <w:tc>
                <w:tcPr>
                  <w:tcW w:w="158" w:type="pct"/>
                  <w:vMerge w:val="continue"/>
                  <w:shd w:val="clear" w:color="auto" w:fill="FFFFFF"/>
                  <w:tcMar>
                    <w:top w:w="0" w:type="dxa"/>
                    <w:left w:w="0" w:type="dxa"/>
                    <w:bottom w:w="0" w:type="dxa"/>
                    <w:right w:w="0" w:type="dxa"/>
                  </w:tcMar>
                  <w:vAlign w:val="center"/>
                </w:tcPr>
                <w:p w14:paraId="3A7F9753">
                  <w:pPr>
                    <w:pStyle w:val="30"/>
                    <w:framePr w:hSpace="0" w:wrap="auto" w:vAnchor="margin" w:hAnchor="text" w:xAlign="left" w:yAlign="inline"/>
                    <w:rPr>
                      <w:highlight w:val="red"/>
                      <w:lang w:val="en-US"/>
                    </w:rPr>
                  </w:pPr>
                </w:p>
              </w:tc>
              <w:tc>
                <w:tcPr>
                  <w:tcW w:w="474" w:type="dxa"/>
                  <w:shd w:val="clear" w:color="auto" w:fill="FFFFFF"/>
                  <w:tcMar>
                    <w:top w:w="0" w:type="dxa"/>
                    <w:left w:w="0" w:type="dxa"/>
                    <w:bottom w:w="0" w:type="dxa"/>
                    <w:right w:w="0" w:type="dxa"/>
                  </w:tcMar>
                  <w:vAlign w:val="center"/>
                </w:tcPr>
                <w:p w14:paraId="76A4D50A">
                  <w:pPr>
                    <w:pStyle w:val="30"/>
                    <w:framePr w:hSpace="0" w:wrap="auto" w:vAnchor="margin" w:hAnchor="text" w:xAlign="left" w:yAlign="inline"/>
                  </w:pPr>
                  <w:r>
                    <w:rPr>
                      <w:lang w:val="en-US"/>
                    </w:rPr>
                    <w:t>20</w:t>
                  </w:r>
                </w:p>
              </w:tc>
              <w:tc>
                <w:tcPr>
                  <w:tcW w:w="474" w:type="dxa"/>
                  <w:shd w:val="clear" w:color="auto" w:fill="FFFFFF"/>
                  <w:tcMar>
                    <w:top w:w="0" w:type="dxa"/>
                    <w:left w:w="0" w:type="dxa"/>
                    <w:bottom w:w="0" w:type="dxa"/>
                    <w:right w:w="0" w:type="dxa"/>
                  </w:tcMar>
                  <w:vAlign w:val="center"/>
                </w:tcPr>
                <w:p w14:paraId="5BDCC99E">
                  <w:pPr>
                    <w:pStyle w:val="30"/>
                    <w:framePr w:hSpace="0" w:wrap="auto" w:vAnchor="margin" w:hAnchor="text" w:xAlign="left" w:yAlign="inline"/>
                  </w:pPr>
                  <w:r>
                    <w:rPr>
                      <w:lang w:val="en-US"/>
                    </w:rPr>
                    <w:t>20</w:t>
                  </w:r>
                </w:p>
              </w:tc>
              <w:tc>
                <w:tcPr>
                  <w:tcW w:w="474" w:type="dxa"/>
                  <w:shd w:val="clear" w:color="auto" w:fill="FFFFFF"/>
                  <w:tcMar>
                    <w:top w:w="0" w:type="dxa"/>
                    <w:left w:w="0" w:type="dxa"/>
                    <w:bottom w:w="0" w:type="dxa"/>
                    <w:right w:w="0" w:type="dxa"/>
                  </w:tcMar>
                  <w:vAlign w:val="center"/>
                </w:tcPr>
                <w:p w14:paraId="721DCD8F">
                  <w:pPr>
                    <w:pStyle w:val="30"/>
                    <w:framePr w:hSpace="0" w:wrap="auto" w:vAnchor="margin" w:hAnchor="text" w:xAlign="left" w:yAlign="inline"/>
                  </w:pPr>
                  <w:r>
                    <w:rPr>
                      <w:lang w:val="en-US"/>
                    </w:rPr>
                    <w:t>20</w:t>
                  </w:r>
                </w:p>
              </w:tc>
              <w:tc>
                <w:tcPr>
                  <w:tcW w:w="477" w:type="dxa"/>
                  <w:shd w:val="clear" w:color="auto" w:fill="FFFFFF"/>
                  <w:tcMar>
                    <w:top w:w="0" w:type="dxa"/>
                    <w:left w:w="0" w:type="dxa"/>
                    <w:bottom w:w="0" w:type="dxa"/>
                    <w:right w:w="0" w:type="dxa"/>
                  </w:tcMar>
                  <w:vAlign w:val="center"/>
                </w:tcPr>
                <w:p w14:paraId="38BD8882">
                  <w:pPr>
                    <w:pStyle w:val="30"/>
                    <w:framePr w:hSpace="0" w:wrap="auto" w:vAnchor="margin" w:hAnchor="text" w:xAlign="left" w:yAlign="inline"/>
                  </w:pPr>
                  <w:r>
                    <w:rPr>
                      <w:lang w:val="en-US"/>
                    </w:rPr>
                    <w:t>20</w:t>
                  </w:r>
                </w:p>
              </w:tc>
              <w:tc>
                <w:tcPr>
                  <w:tcW w:w="504" w:type="dxa"/>
                  <w:shd w:val="clear" w:color="auto" w:fill="FFFFFF"/>
                  <w:tcMar>
                    <w:top w:w="0" w:type="dxa"/>
                    <w:left w:w="0" w:type="dxa"/>
                    <w:bottom w:w="0" w:type="dxa"/>
                    <w:right w:w="0" w:type="dxa"/>
                  </w:tcMar>
                  <w:vAlign w:val="center"/>
                </w:tcPr>
                <w:p w14:paraId="1A355CC6">
                  <w:pPr>
                    <w:pStyle w:val="30"/>
                    <w:framePr w:hSpace="0" w:wrap="auto" w:vAnchor="margin" w:hAnchor="text" w:xAlign="left" w:yAlign="inline"/>
                    <w:rPr>
                      <w:lang w:val="en-US"/>
                    </w:rPr>
                  </w:pPr>
                  <w:r>
                    <w:rPr>
                      <w:lang w:val="en-US"/>
                    </w:rPr>
                    <w:t>28.6</w:t>
                  </w:r>
                </w:p>
              </w:tc>
              <w:tc>
                <w:tcPr>
                  <w:tcW w:w="504" w:type="dxa"/>
                  <w:shd w:val="clear" w:color="auto" w:fill="FFFFFF"/>
                  <w:tcMar>
                    <w:top w:w="0" w:type="dxa"/>
                    <w:left w:w="0" w:type="dxa"/>
                    <w:bottom w:w="0" w:type="dxa"/>
                    <w:right w:w="0" w:type="dxa"/>
                  </w:tcMar>
                  <w:vAlign w:val="center"/>
                </w:tcPr>
                <w:p w14:paraId="201FA79C">
                  <w:pPr>
                    <w:pStyle w:val="30"/>
                    <w:framePr w:hSpace="0" w:wrap="auto" w:vAnchor="margin" w:hAnchor="text" w:xAlign="left" w:yAlign="inline"/>
                    <w:rPr>
                      <w:lang w:val="en-US"/>
                    </w:rPr>
                  </w:pPr>
                  <w:r>
                    <w:rPr>
                      <w:lang w:val="en-US"/>
                    </w:rPr>
                    <w:t>28.6</w:t>
                  </w:r>
                </w:p>
              </w:tc>
              <w:tc>
                <w:tcPr>
                  <w:tcW w:w="504" w:type="dxa"/>
                  <w:shd w:val="clear" w:color="auto" w:fill="FFFFFF"/>
                  <w:tcMar>
                    <w:top w:w="0" w:type="dxa"/>
                    <w:left w:w="0" w:type="dxa"/>
                    <w:bottom w:w="0" w:type="dxa"/>
                    <w:right w:w="0" w:type="dxa"/>
                  </w:tcMar>
                  <w:vAlign w:val="center"/>
                </w:tcPr>
                <w:p w14:paraId="7BA180D0">
                  <w:pPr>
                    <w:pStyle w:val="30"/>
                    <w:framePr w:hSpace="0" w:wrap="auto" w:vAnchor="margin" w:hAnchor="text" w:xAlign="left" w:yAlign="inline"/>
                    <w:rPr>
                      <w:lang w:val="en-US"/>
                    </w:rPr>
                  </w:pPr>
                  <w:r>
                    <w:rPr>
                      <w:lang w:val="en-US"/>
                    </w:rPr>
                    <w:t>28.2</w:t>
                  </w:r>
                </w:p>
              </w:tc>
              <w:tc>
                <w:tcPr>
                  <w:tcW w:w="507" w:type="dxa"/>
                  <w:shd w:val="clear" w:color="auto" w:fill="FFFFFF"/>
                  <w:tcMar>
                    <w:top w:w="0" w:type="dxa"/>
                    <w:left w:w="0" w:type="dxa"/>
                    <w:bottom w:w="0" w:type="dxa"/>
                    <w:right w:w="0" w:type="dxa"/>
                  </w:tcMar>
                  <w:vAlign w:val="center"/>
                </w:tcPr>
                <w:p w14:paraId="5F7494AE">
                  <w:pPr>
                    <w:pStyle w:val="30"/>
                    <w:framePr w:hSpace="0" w:wrap="auto" w:vAnchor="margin" w:hAnchor="text" w:xAlign="left" w:yAlign="inline"/>
                    <w:rPr>
                      <w:lang w:val="en-US"/>
                    </w:rPr>
                  </w:pPr>
                  <w:r>
                    <w:rPr>
                      <w:lang w:val="en-US"/>
                    </w:rPr>
                    <w:t>28.2</w:t>
                  </w:r>
                </w:p>
              </w:tc>
              <w:tc>
                <w:tcPr>
                  <w:tcW w:w="729" w:type="dxa"/>
                  <w:shd w:val="clear" w:color="auto" w:fill="FFFFFF"/>
                  <w:tcMar>
                    <w:top w:w="0" w:type="dxa"/>
                    <w:left w:w="0" w:type="dxa"/>
                    <w:bottom w:w="0" w:type="dxa"/>
                    <w:right w:w="0" w:type="dxa"/>
                  </w:tcMar>
                  <w:vAlign w:val="center"/>
                </w:tcPr>
                <w:p w14:paraId="43030001">
                  <w:pPr>
                    <w:pStyle w:val="30"/>
                    <w:framePr w:hSpace="0" w:wrap="auto" w:vAnchor="margin" w:hAnchor="text" w:xAlign="left" w:yAlign="inline"/>
                    <w:rPr>
                      <w:highlight w:val="red"/>
                    </w:rPr>
                  </w:pPr>
                  <w:r>
                    <w:t>1</w:t>
                  </w:r>
                </w:p>
              </w:tc>
            </w:tr>
            <w:tr w14:paraId="1A01A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340" w:hRule="atLeast"/>
                <w:jc w:val="center"/>
              </w:trPr>
              <w:tc>
                <w:tcPr>
                  <w:tcW w:w="137" w:type="pct"/>
                  <w:shd w:val="clear" w:color="auto" w:fill="FFFFFF"/>
                  <w:tcMar>
                    <w:top w:w="0" w:type="dxa"/>
                    <w:left w:w="0" w:type="dxa"/>
                    <w:bottom w:w="0" w:type="dxa"/>
                    <w:right w:w="0" w:type="dxa"/>
                  </w:tcMar>
                  <w:vAlign w:val="center"/>
                </w:tcPr>
                <w:p w14:paraId="4C546CA8">
                  <w:pPr>
                    <w:pStyle w:val="30"/>
                    <w:framePr w:hSpace="0" w:wrap="auto" w:vAnchor="margin" w:hAnchor="text" w:xAlign="left" w:yAlign="inline"/>
                    <w:numPr>
                      <w:ilvl w:val="0"/>
                      <w:numId w:val="2"/>
                    </w:numPr>
                    <w:rPr>
                      <w:lang w:val="en-US"/>
                    </w:rPr>
                  </w:pPr>
                </w:p>
              </w:tc>
              <w:tc>
                <w:tcPr>
                  <w:tcW w:w="188" w:type="pct"/>
                  <w:vMerge w:val="continue"/>
                  <w:shd w:val="clear" w:color="auto" w:fill="FFFFFF"/>
                  <w:tcMar>
                    <w:top w:w="0" w:type="dxa"/>
                    <w:left w:w="0" w:type="dxa"/>
                    <w:bottom w:w="0" w:type="dxa"/>
                    <w:right w:w="0" w:type="dxa"/>
                  </w:tcMar>
                  <w:vAlign w:val="center"/>
                </w:tcPr>
                <w:p w14:paraId="7A6440C6">
                  <w:pPr>
                    <w:pStyle w:val="30"/>
                    <w:framePr w:hSpace="0" w:wrap="auto" w:vAnchor="margin" w:hAnchor="text" w:xAlign="left" w:yAlign="inline"/>
                  </w:pPr>
                </w:p>
              </w:tc>
              <w:tc>
                <w:tcPr>
                  <w:tcW w:w="314" w:type="pct"/>
                  <w:shd w:val="clear" w:color="auto" w:fill="FFFFFF"/>
                  <w:tcMar>
                    <w:top w:w="0" w:type="dxa"/>
                    <w:left w:w="0" w:type="dxa"/>
                    <w:bottom w:w="0" w:type="dxa"/>
                    <w:right w:w="0" w:type="dxa"/>
                  </w:tcMar>
                  <w:vAlign w:val="center"/>
                </w:tcPr>
                <w:p w14:paraId="74424E9C">
                  <w:pPr>
                    <w:pStyle w:val="30"/>
                    <w:framePr w:hSpace="0" w:wrap="auto" w:vAnchor="margin" w:hAnchor="text" w:xAlign="left" w:yAlign="inline"/>
                    <w:rPr>
                      <w:lang w:val="en-US"/>
                    </w:rPr>
                  </w:pPr>
                  <w:r>
                    <w:rPr>
                      <w:rFonts w:hint="eastAsia"/>
                      <w:lang w:val="en-US"/>
                    </w:rPr>
                    <w:t>清洗线</w:t>
                  </w:r>
                </w:p>
              </w:tc>
              <w:tc>
                <w:tcPr>
                  <w:tcW w:w="725" w:type="dxa"/>
                  <w:shd w:val="clear" w:color="auto" w:fill="FFFFFF"/>
                  <w:tcMar>
                    <w:top w:w="0" w:type="dxa"/>
                    <w:left w:w="0" w:type="dxa"/>
                    <w:bottom w:w="0" w:type="dxa"/>
                    <w:right w:w="0" w:type="dxa"/>
                  </w:tcMar>
                  <w:vAlign w:val="center"/>
                </w:tcPr>
                <w:p w14:paraId="45AEFE40">
                  <w:pPr>
                    <w:pStyle w:val="30"/>
                    <w:framePr w:hSpace="0" w:wrap="auto" w:vAnchor="margin" w:hAnchor="text" w:xAlign="left" w:yAlign="inline"/>
                    <w:rPr>
                      <w:lang w:val="en-US"/>
                    </w:rPr>
                  </w:pPr>
                  <w:r>
                    <w:rPr>
                      <w:lang w:val="en-US"/>
                    </w:rPr>
                    <w:t>80</w:t>
                  </w:r>
                </w:p>
              </w:tc>
              <w:tc>
                <w:tcPr>
                  <w:tcW w:w="171" w:type="pct"/>
                  <w:vMerge w:val="continue"/>
                  <w:shd w:val="clear" w:color="auto" w:fill="FFFFFF"/>
                  <w:tcMar>
                    <w:top w:w="0" w:type="dxa"/>
                    <w:left w:w="0" w:type="dxa"/>
                    <w:bottom w:w="0" w:type="dxa"/>
                    <w:right w:w="0" w:type="dxa"/>
                  </w:tcMar>
                  <w:vAlign w:val="center"/>
                </w:tcPr>
                <w:p w14:paraId="31C38D5E">
                  <w:pPr>
                    <w:pStyle w:val="30"/>
                    <w:framePr w:hSpace="0" w:wrap="auto" w:vAnchor="margin" w:hAnchor="text" w:xAlign="left" w:yAlign="inline"/>
                    <w:rPr>
                      <w:highlight w:val="red"/>
                      <w:lang w:val="en-US"/>
                    </w:rPr>
                  </w:pPr>
                </w:p>
              </w:tc>
              <w:tc>
                <w:tcPr>
                  <w:tcW w:w="313" w:type="dxa"/>
                  <w:shd w:val="clear" w:color="auto" w:fill="FFFFFF"/>
                  <w:tcMar>
                    <w:top w:w="0" w:type="dxa"/>
                    <w:left w:w="0" w:type="dxa"/>
                    <w:bottom w:w="0" w:type="dxa"/>
                    <w:right w:w="0" w:type="dxa"/>
                  </w:tcMar>
                  <w:vAlign w:val="center"/>
                </w:tcPr>
                <w:p w14:paraId="5EBCA78A">
                  <w:pPr>
                    <w:pStyle w:val="30"/>
                    <w:framePr w:hSpace="0" w:wrap="auto" w:vAnchor="margin" w:hAnchor="text" w:xAlign="left" w:yAlign="inline"/>
                    <w:rPr>
                      <w:lang w:val="en-US"/>
                    </w:rPr>
                  </w:pPr>
                  <w:r>
                    <w:rPr>
                      <w:lang w:val="en-US"/>
                    </w:rPr>
                    <w:t>36</w:t>
                  </w:r>
                </w:p>
              </w:tc>
              <w:tc>
                <w:tcPr>
                  <w:tcW w:w="598" w:type="dxa"/>
                  <w:shd w:val="clear" w:color="auto" w:fill="FFFFFF"/>
                  <w:tcMar>
                    <w:top w:w="0" w:type="dxa"/>
                    <w:left w:w="0" w:type="dxa"/>
                    <w:bottom w:w="0" w:type="dxa"/>
                    <w:right w:w="0" w:type="dxa"/>
                  </w:tcMar>
                  <w:vAlign w:val="center"/>
                </w:tcPr>
                <w:p w14:paraId="52DB78FD">
                  <w:pPr>
                    <w:pStyle w:val="30"/>
                    <w:framePr w:hSpace="0" w:wrap="auto" w:vAnchor="margin" w:hAnchor="text" w:xAlign="left" w:yAlign="inline"/>
                    <w:rPr>
                      <w:lang w:val="en-US"/>
                    </w:rPr>
                  </w:pPr>
                  <w:r>
                    <w:rPr>
                      <w:lang w:val="en-US"/>
                    </w:rPr>
                    <w:t>12</w:t>
                  </w:r>
                </w:p>
              </w:tc>
              <w:tc>
                <w:tcPr>
                  <w:tcW w:w="604" w:type="dxa"/>
                  <w:shd w:val="clear" w:color="auto" w:fill="FFFFFF"/>
                  <w:tcMar>
                    <w:top w:w="0" w:type="dxa"/>
                    <w:left w:w="0" w:type="dxa"/>
                    <w:bottom w:w="0" w:type="dxa"/>
                    <w:right w:w="0" w:type="dxa"/>
                  </w:tcMar>
                  <w:vAlign w:val="center"/>
                </w:tcPr>
                <w:p w14:paraId="7963C5C3">
                  <w:pPr>
                    <w:pStyle w:val="30"/>
                    <w:framePr w:hSpace="0" w:wrap="auto" w:vAnchor="margin" w:hAnchor="text" w:xAlign="left" w:yAlign="inline"/>
                    <w:rPr>
                      <w:lang w:val="en-US"/>
                    </w:rPr>
                  </w:pPr>
                  <w:r>
                    <w:rPr>
                      <w:lang w:val="en-US"/>
                    </w:rPr>
                    <w:t>6.2</w:t>
                  </w:r>
                </w:p>
              </w:tc>
              <w:tc>
                <w:tcPr>
                  <w:tcW w:w="496" w:type="dxa"/>
                  <w:shd w:val="clear" w:color="auto" w:fill="FFFFFF"/>
                  <w:tcMar>
                    <w:top w:w="0" w:type="dxa"/>
                    <w:left w:w="0" w:type="dxa"/>
                    <w:bottom w:w="0" w:type="dxa"/>
                    <w:right w:w="0" w:type="dxa"/>
                  </w:tcMar>
                  <w:vAlign w:val="center"/>
                </w:tcPr>
                <w:p w14:paraId="10C0EA47">
                  <w:pPr>
                    <w:pStyle w:val="30"/>
                    <w:framePr w:hSpace="0" w:wrap="auto" w:vAnchor="margin" w:hAnchor="text" w:xAlign="left" w:yAlign="inline"/>
                    <w:rPr>
                      <w:lang w:val="en-US"/>
                    </w:rPr>
                  </w:pPr>
                  <w:r>
                    <w:rPr>
                      <w:lang w:val="en-US"/>
                    </w:rPr>
                    <w:t>5</w:t>
                  </w:r>
                </w:p>
              </w:tc>
              <w:tc>
                <w:tcPr>
                  <w:tcW w:w="496" w:type="dxa"/>
                  <w:shd w:val="clear" w:color="auto" w:fill="FFFFFF"/>
                  <w:tcMar>
                    <w:top w:w="0" w:type="dxa"/>
                    <w:left w:w="0" w:type="dxa"/>
                    <w:bottom w:w="0" w:type="dxa"/>
                    <w:right w:w="0" w:type="dxa"/>
                  </w:tcMar>
                  <w:vAlign w:val="center"/>
                </w:tcPr>
                <w:p w14:paraId="0B0D785F">
                  <w:pPr>
                    <w:pStyle w:val="30"/>
                    <w:framePr w:hSpace="0" w:wrap="auto" w:vAnchor="margin" w:hAnchor="text" w:xAlign="left" w:yAlign="inline"/>
                    <w:rPr>
                      <w:lang w:val="en-US"/>
                    </w:rPr>
                  </w:pPr>
                  <w:r>
                    <w:rPr>
                      <w:lang w:val="en-US"/>
                    </w:rPr>
                    <w:t>12</w:t>
                  </w:r>
                </w:p>
              </w:tc>
              <w:tc>
                <w:tcPr>
                  <w:tcW w:w="496" w:type="dxa"/>
                  <w:shd w:val="clear" w:color="auto" w:fill="FFFFFF"/>
                  <w:tcMar>
                    <w:top w:w="0" w:type="dxa"/>
                    <w:left w:w="0" w:type="dxa"/>
                    <w:bottom w:w="0" w:type="dxa"/>
                    <w:right w:w="0" w:type="dxa"/>
                  </w:tcMar>
                  <w:vAlign w:val="center"/>
                </w:tcPr>
                <w:p w14:paraId="61D3676A">
                  <w:pPr>
                    <w:pStyle w:val="30"/>
                    <w:framePr w:hSpace="0" w:wrap="auto" w:vAnchor="margin" w:hAnchor="text" w:xAlign="left" w:yAlign="inline"/>
                    <w:rPr>
                      <w:lang w:val="en-US"/>
                    </w:rPr>
                  </w:pPr>
                  <w:r>
                    <w:rPr>
                      <w:lang w:val="en-US"/>
                    </w:rPr>
                    <w:t>36</w:t>
                  </w:r>
                </w:p>
              </w:tc>
              <w:tc>
                <w:tcPr>
                  <w:tcW w:w="509" w:type="dxa"/>
                  <w:shd w:val="clear" w:color="auto" w:fill="FFFFFF"/>
                  <w:tcMar>
                    <w:top w:w="0" w:type="dxa"/>
                    <w:left w:w="0" w:type="dxa"/>
                    <w:bottom w:w="0" w:type="dxa"/>
                    <w:right w:w="0" w:type="dxa"/>
                  </w:tcMar>
                  <w:vAlign w:val="center"/>
                </w:tcPr>
                <w:p w14:paraId="353A89C2">
                  <w:pPr>
                    <w:pStyle w:val="30"/>
                    <w:framePr w:hSpace="0" w:wrap="auto" w:vAnchor="margin" w:hAnchor="text" w:xAlign="left" w:yAlign="inline"/>
                    <w:rPr>
                      <w:lang w:val="en-US"/>
                    </w:rPr>
                  </w:pPr>
                  <w:r>
                    <w:rPr>
                      <w:lang w:val="en-US"/>
                    </w:rPr>
                    <w:t>47</w:t>
                  </w:r>
                </w:p>
              </w:tc>
              <w:tc>
                <w:tcPr>
                  <w:tcW w:w="493" w:type="dxa"/>
                  <w:shd w:val="clear" w:color="auto" w:fill="FFFFFF"/>
                  <w:tcMar>
                    <w:top w:w="0" w:type="dxa"/>
                    <w:left w:w="0" w:type="dxa"/>
                    <w:bottom w:w="0" w:type="dxa"/>
                    <w:right w:w="0" w:type="dxa"/>
                  </w:tcMar>
                  <w:vAlign w:val="center"/>
                </w:tcPr>
                <w:p w14:paraId="7F7B2700">
                  <w:pPr>
                    <w:pStyle w:val="30"/>
                    <w:framePr w:hSpace="0" w:wrap="auto" w:vAnchor="margin" w:hAnchor="text" w:xAlign="left" w:yAlign="inline"/>
                    <w:rPr>
                      <w:lang w:val="en-US"/>
                    </w:rPr>
                  </w:pPr>
                  <w:r>
                    <w:rPr>
                      <w:lang w:val="en-US"/>
                    </w:rPr>
                    <w:t>45.7</w:t>
                  </w:r>
                </w:p>
              </w:tc>
              <w:tc>
                <w:tcPr>
                  <w:tcW w:w="493" w:type="dxa"/>
                  <w:shd w:val="clear" w:color="auto" w:fill="FFFFFF"/>
                  <w:tcMar>
                    <w:top w:w="0" w:type="dxa"/>
                    <w:left w:w="0" w:type="dxa"/>
                    <w:bottom w:w="0" w:type="dxa"/>
                    <w:right w:w="0" w:type="dxa"/>
                  </w:tcMar>
                  <w:vAlign w:val="center"/>
                </w:tcPr>
                <w:p w14:paraId="78409623">
                  <w:pPr>
                    <w:pStyle w:val="30"/>
                    <w:framePr w:hSpace="0" w:wrap="auto" w:vAnchor="margin" w:hAnchor="text" w:xAlign="left" w:yAlign="inline"/>
                    <w:rPr>
                      <w:lang w:val="en-US"/>
                    </w:rPr>
                  </w:pPr>
                  <w:r>
                    <w:rPr>
                      <w:lang w:val="en-US"/>
                    </w:rPr>
                    <w:t>45.7</w:t>
                  </w:r>
                </w:p>
              </w:tc>
              <w:tc>
                <w:tcPr>
                  <w:tcW w:w="493" w:type="dxa"/>
                  <w:shd w:val="clear" w:color="auto" w:fill="FFFFFF"/>
                  <w:tcMar>
                    <w:top w:w="0" w:type="dxa"/>
                    <w:left w:w="0" w:type="dxa"/>
                    <w:bottom w:w="0" w:type="dxa"/>
                    <w:right w:w="0" w:type="dxa"/>
                  </w:tcMar>
                  <w:vAlign w:val="center"/>
                </w:tcPr>
                <w:p w14:paraId="73483C56">
                  <w:pPr>
                    <w:pStyle w:val="30"/>
                    <w:framePr w:hSpace="0" w:wrap="auto" w:vAnchor="margin" w:hAnchor="text" w:xAlign="left" w:yAlign="inline"/>
                    <w:rPr>
                      <w:lang w:val="en-US"/>
                    </w:rPr>
                  </w:pPr>
                  <w:r>
                    <w:rPr>
                      <w:lang w:val="en-US"/>
                    </w:rPr>
                    <w:t>45.7</w:t>
                  </w:r>
                </w:p>
              </w:tc>
              <w:tc>
                <w:tcPr>
                  <w:tcW w:w="493" w:type="dxa"/>
                  <w:shd w:val="clear" w:color="auto" w:fill="FFFFFF"/>
                  <w:tcMar>
                    <w:top w:w="0" w:type="dxa"/>
                    <w:left w:w="0" w:type="dxa"/>
                    <w:bottom w:w="0" w:type="dxa"/>
                    <w:right w:w="0" w:type="dxa"/>
                  </w:tcMar>
                  <w:vAlign w:val="center"/>
                </w:tcPr>
                <w:p w14:paraId="3A0CBFC4">
                  <w:pPr>
                    <w:pStyle w:val="30"/>
                    <w:framePr w:hSpace="0" w:wrap="auto" w:vAnchor="margin" w:hAnchor="text" w:xAlign="left" w:yAlign="inline"/>
                    <w:rPr>
                      <w:lang w:val="en-US"/>
                    </w:rPr>
                  </w:pPr>
                  <w:r>
                    <w:rPr>
                      <w:lang w:val="en-US"/>
                    </w:rPr>
                    <w:t>45.3</w:t>
                  </w:r>
                </w:p>
              </w:tc>
              <w:tc>
                <w:tcPr>
                  <w:tcW w:w="158" w:type="pct"/>
                  <w:vMerge w:val="continue"/>
                  <w:shd w:val="clear" w:color="auto" w:fill="FFFFFF"/>
                  <w:tcMar>
                    <w:top w:w="0" w:type="dxa"/>
                    <w:left w:w="0" w:type="dxa"/>
                    <w:bottom w:w="0" w:type="dxa"/>
                    <w:right w:w="0" w:type="dxa"/>
                  </w:tcMar>
                  <w:vAlign w:val="center"/>
                </w:tcPr>
                <w:p w14:paraId="70CF7124">
                  <w:pPr>
                    <w:pStyle w:val="30"/>
                    <w:framePr w:hSpace="0" w:wrap="auto" w:vAnchor="margin" w:hAnchor="text" w:xAlign="left" w:yAlign="inline"/>
                    <w:rPr>
                      <w:highlight w:val="red"/>
                      <w:lang w:val="en-US"/>
                    </w:rPr>
                  </w:pPr>
                </w:p>
              </w:tc>
              <w:tc>
                <w:tcPr>
                  <w:tcW w:w="474" w:type="dxa"/>
                  <w:shd w:val="clear" w:color="auto" w:fill="FFFFFF"/>
                  <w:tcMar>
                    <w:top w:w="0" w:type="dxa"/>
                    <w:left w:w="0" w:type="dxa"/>
                    <w:bottom w:w="0" w:type="dxa"/>
                    <w:right w:w="0" w:type="dxa"/>
                  </w:tcMar>
                  <w:vAlign w:val="center"/>
                </w:tcPr>
                <w:p w14:paraId="7AB8EF61">
                  <w:pPr>
                    <w:pStyle w:val="30"/>
                    <w:framePr w:hSpace="0" w:wrap="auto" w:vAnchor="margin" w:hAnchor="text" w:xAlign="left" w:yAlign="inline"/>
                  </w:pPr>
                  <w:r>
                    <w:rPr>
                      <w:lang w:val="en-US"/>
                    </w:rPr>
                    <w:t>20</w:t>
                  </w:r>
                </w:p>
              </w:tc>
              <w:tc>
                <w:tcPr>
                  <w:tcW w:w="474" w:type="dxa"/>
                  <w:shd w:val="clear" w:color="auto" w:fill="FFFFFF"/>
                  <w:tcMar>
                    <w:top w:w="0" w:type="dxa"/>
                    <w:left w:w="0" w:type="dxa"/>
                    <w:bottom w:w="0" w:type="dxa"/>
                    <w:right w:w="0" w:type="dxa"/>
                  </w:tcMar>
                  <w:vAlign w:val="center"/>
                </w:tcPr>
                <w:p w14:paraId="75A5AD45">
                  <w:pPr>
                    <w:pStyle w:val="30"/>
                    <w:framePr w:hSpace="0" w:wrap="auto" w:vAnchor="margin" w:hAnchor="text" w:xAlign="left" w:yAlign="inline"/>
                  </w:pPr>
                  <w:r>
                    <w:rPr>
                      <w:lang w:val="en-US"/>
                    </w:rPr>
                    <w:t>20</w:t>
                  </w:r>
                </w:p>
              </w:tc>
              <w:tc>
                <w:tcPr>
                  <w:tcW w:w="474" w:type="dxa"/>
                  <w:shd w:val="clear" w:color="auto" w:fill="FFFFFF"/>
                  <w:tcMar>
                    <w:top w:w="0" w:type="dxa"/>
                    <w:left w:w="0" w:type="dxa"/>
                    <w:bottom w:w="0" w:type="dxa"/>
                    <w:right w:w="0" w:type="dxa"/>
                  </w:tcMar>
                  <w:vAlign w:val="center"/>
                </w:tcPr>
                <w:p w14:paraId="5469B020">
                  <w:pPr>
                    <w:pStyle w:val="30"/>
                    <w:framePr w:hSpace="0" w:wrap="auto" w:vAnchor="margin" w:hAnchor="text" w:xAlign="left" w:yAlign="inline"/>
                  </w:pPr>
                  <w:r>
                    <w:rPr>
                      <w:lang w:val="en-US"/>
                    </w:rPr>
                    <w:t>20</w:t>
                  </w:r>
                </w:p>
              </w:tc>
              <w:tc>
                <w:tcPr>
                  <w:tcW w:w="477" w:type="dxa"/>
                  <w:shd w:val="clear" w:color="auto" w:fill="FFFFFF"/>
                  <w:tcMar>
                    <w:top w:w="0" w:type="dxa"/>
                    <w:left w:w="0" w:type="dxa"/>
                    <w:bottom w:w="0" w:type="dxa"/>
                    <w:right w:w="0" w:type="dxa"/>
                  </w:tcMar>
                  <w:vAlign w:val="center"/>
                </w:tcPr>
                <w:p w14:paraId="3CB2B5AF">
                  <w:pPr>
                    <w:pStyle w:val="30"/>
                    <w:framePr w:hSpace="0" w:wrap="auto" w:vAnchor="margin" w:hAnchor="text" w:xAlign="left" w:yAlign="inline"/>
                  </w:pPr>
                  <w:r>
                    <w:rPr>
                      <w:lang w:val="en-US"/>
                    </w:rPr>
                    <w:t>20</w:t>
                  </w:r>
                </w:p>
              </w:tc>
              <w:tc>
                <w:tcPr>
                  <w:tcW w:w="504" w:type="dxa"/>
                  <w:shd w:val="clear" w:color="auto" w:fill="FFFFFF"/>
                  <w:tcMar>
                    <w:top w:w="0" w:type="dxa"/>
                    <w:left w:w="0" w:type="dxa"/>
                    <w:bottom w:w="0" w:type="dxa"/>
                    <w:right w:w="0" w:type="dxa"/>
                  </w:tcMar>
                  <w:vAlign w:val="center"/>
                </w:tcPr>
                <w:p w14:paraId="48BD9296">
                  <w:pPr>
                    <w:pStyle w:val="30"/>
                    <w:framePr w:hSpace="0" w:wrap="auto" w:vAnchor="margin" w:hAnchor="text" w:xAlign="left" w:yAlign="inline"/>
                    <w:rPr>
                      <w:lang w:val="en-US"/>
                    </w:rPr>
                  </w:pPr>
                  <w:r>
                    <w:rPr>
                      <w:lang w:val="en-US"/>
                    </w:rPr>
                    <w:t>25.7</w:t>
                  </w:r>
                </w:p>
              </w:tc>
              <w:tc>
                <w:tcPr>
                  <w:tcW w:w="504" w:type="dxa"/>
                  <w:shd w:val="clear" w:color="auto" w:fill="FFFFFF"/>
                  <w:tcMar>
                    <w:top w:w="0" w:type="dxa"/>
                    <w:left w:w="0" w:type="dxa"/>
                    <w:bottom w:w="0" w:type="dxa"/>
                    <w:right w:w="0" w:type="dxa"/>
                  </w:tcMar>
                  <w:vAlign w:val="center"/>
                </w:tcPr>
                <w:p w14:paraId="7E68D133">
                  <w:pPr>
                    <w:pStyle w:val="30"/>
                    <w:framePr w:hSpace="0" w:wrap="auto" w:vAnchor="margin" w:hAnchor="text" w:xAlign="left" w:yAlign="inline"/>
                    <w:rPr>
                      <w:lang w:val="en-US"/>
                    </w:rPr>
                  </w:pPr>
                  <w:r>
                    <w:rPr>
                      <w:lang w:val="en-US"/>
                    </w:rPr>
                    <w:t>25.7</w:t>
                  </w:r>
                </w:p>
              </w:tc>
              <w:tc>
                <w:tcPr>
                  <w:tcW w:w="504" w:type="dxa"/>
                  <w:shd w:val="clear" w:color="auto" w:fill="FFFFFF"/>
                  <w:tcMar>
                    <w:top w:w="0" w:type="dxa"/>
                    <w:left w:w="0" w:type="dxa"/>
                    <w:bottom w:w="0" w:type="dxa"/>
                    <w:right w:w="0" w:type="dxa"/>
                  </w:tcMar>
                  <w:vAlign w:val="center"/>
                </w:tcPr>
                <w:p w14:paraId="3C6B7234">
                  <w:pPr>
                    <w:pStyle w:val="30"/>
                    <w:framePr w:hSpace="0" w:wrap="auto" w:vAnchor="margin" w:hAnchor="text" w:xAlign="left" w:yAlign="inline"/>
                    <w:rPr>
                      <w:lang w:val="en-US"/>
                    </w:rPr>
                  </w:pPr>
                  <w:r>
                    <w:rPr>
                      <w:lang w:val="en-US"/>
                    </w:rPr>
                    <w:t>25.7</w:t>
                  </w:r>
                </w:p>
              </w:tc>
              <w:tc>
                <w:tcPr>
                  <w:tcW w:w="507" w:type="dxa"/>
                  <w:shd w:val="clear" w:color="auto" w:fill="FFFFFF"/>
                  <w:tcMar>
                    <w:top w:w="0" w:type="dxa"/>
                    <w:left w:w="0" w:type="dxa"/>
                    <w:bottom w:w="0" w:type="dxa"/>
                    <w:right w:w="0" w:type="dxa"/>
                  </w:tcMar>
                  <w:vAlign w:val="center"/>
                </w:tcPr>
                <w:p w14:paraId="63F82A6E">
                  <w:pPr>
                    <w:pStyle w:val="30"/>
                    <w:framePr w:hSpace="0" w:wrap="auto" w:vAnchor="margin" w:hAnchor="text" w:xAlign="left" w:yAlign="inline"/>
                    <w:rPr>
                      <w:lang w:val="en-US"/>
                    </w:rPr>
                  </w:pPr>
                  <w:r>
                    <w:rPr>
                      <w:lang w:val="en-US"/>
                    </w:rPr>
                    <w:t>25.3</w:t>
                  </w:r>
                </w:p>
              </w:tc>
              <w:tc>
                <w:tcPr>
                  <w:tcW w:w="729" w:type="dxa"/>
                  <w:shd w:val="clear" w:color="auto" w:fill="FFFFFF"/>
                  <w:tcMar>
                    <w:top w:w="0" w:type="dxa"/>
                    <w:left w:w="0" w:type="dxa"/>
                    <w:bottom w:w="0" w:type="dxa"/>
                    <w:right w:w="0" w:type="dxa"/>
                  </w:tcMar>
                  <w:vAlign w:val="center"/>
                </w:tcPr>
                <w:p w14:paraId="0744E3FB">
                  <w:pPr>
                    <w:pStyle w:val="30"/>
                    <w:framePr w:hSpace="0" w:wrap="auto" w:vAnchor="margin" w:hAnchor="text" w:xAlign="left" w:yAlign="inline"/>
                    <w:rPr>
                      <w:highlight w:val="red"/>
                    </w:rPr>
                  </w:pPr>
                  <w:r>
                    <w:t>1</w:t>
                  </w:r>
                </w:p>
              </w:tc>
            </w:tr>
            <w:tr w14:paraId="65B69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340" w:hRule="atLeast"/>
                <w:jc w:val="center"/>
              </w:trPr>
              <w:tc>
                <w:tcPr>
                  <w:tcW w:w="137" w:type="pct"/>
                  <w:shd w:val="clear" w:color="auto" w:fill="FFFFFF"/>
                  <w:tcMar>
                    <w:top w:w="0" w:type="dxa"/>
                    <w:left w:w="0" w:type="dxa"/>
                    <w:bottom w:w="0" w:type="dxa"/>
                    <w:right w:w="0" w:type="dxa"/>
                  </w:tcMar>
                  <w:vAlign w:val="center"/>
                </w:tcPr>
                <w:p w14:paraId="77F8356B">
                  <w:pPr>
                    <w:pStyle w:val="30"/>
                    <w:framePr w:hSpace="0" w:wrap="auto" w:vAnchor="margin" w:hAnchor="text" w:xAlign="left" w:yAlign="inline"/>
                    <w:numPr>
                      <w:ilvl w:val="0"/>
                      <w:numId w:val="2"/>
                    </w:numPr>
                    <w:rPr>
                      <w:lang w:val="en-US"/>
                    </w:rPr>
                  </w:pPr>
                </w:p>
              </w:tc>
              <w:tc>
                <w:tcPr>
                  <w:tcW w:w="188" w:type="pct"/>
                  <w:vMerge w:val="continue"/>
                  <w:shd w:val="clear" w:color="auto" w:fill="FFFFFF"/>
                  <w:tcMar>
                    <w:top w:w="0" w:type="dxa"/>
                    <w:left w:w="0" w:type="dxa"/>
                    <w:bottom w:w="0" w:type="dxa"/>
                    <w:right w:w="0" w:type="dxa"/>
                  </w:tcMar>
                  <w:vAlign w:val="center"/>
                </w:tcPr>
                <w:p w14:paraId="523821A4">
                  <w:pPr>
                    <w:pStyle w:val="30"/>
                    <w:framePr w:hSpace="0" w:wrap="auto" w:vAnchor="margin" w:hAnchor="text" w:xAlign="left" w:yAlign="inline"/>
                  </w:pPr>
                </w:p>
              </w:tc>
              <w:tc>
                <w:tcPr>
                  <w:tcW w:w="314" w:type="pct"/>
                  <w:shd w:val="clear" w:color="auto" w:fill="FFFFFF"/>
                  <w:tcMar>
                    <w:top w:w="0" w:type="dxa"/>
                    <w:left w:w="0" w:type="dxa"/>
                    <w:bottom w:w="0" w:type="dxa"/>
                    <w:right w:w="0" w:type="dxa"/>
                  </w:tcMar>
                  <w:vAlign w:val="center"/>
                </w:tcPr>
                <w:p w14:paraId="3792FCCA">
                  <w:pPr>
                    <w:pStyle w:val="30"/>
                    <w:framePr w:hSpace="0" w:wrap="auto" w:vAnchor="margin" w:hAnchor="text" w:xAlign="left" w:yAlign="inline"/>
                    <w:rPr>
                      <w:lang w:val="en-US"/>
                    </w:rPr>
                  </w:pPr>
                  <w:r>
                    <w:rPr>
                      <w:rFonts w:hint="eastAsia"/>
                      <w:lang w:val="en-US"/>
                    </w:rPr>
                    <w:t>气泡解冻池</w:t>
                  </w:r>
                </w:p>
              </w:tc>
              <w:tc>
                <w:tcPr>
                  <w:tcW w:w="725" w:type="dxa"/>
                  <w:shd w:val="clear" w:color="auto" w:fill="FFFFFF"/>
                  <w:tcMar>
                    <w:top w:w="0" w:type="dxa"/>
                    <w:left w:w="0" w:type="dxa"/>
                    <w:bottom w:w="0" w:type="dxa"/>
                    <w:right w:w="0" w:type="dxa"/>
                  </w:tcMar>
                  <w:vAlign w:val="center"/>
                </w:tcPr>
                <w:p w14:paraId="235FB814">
                  <w:pPr>
                    <w:pStyle w:val="30"/>
                    <w:framePr w:hSpace="0" w:wrap="auto" w:vAnchor="margin" w:hAnchor="text" w:xAlign="left" w:yAlign="inline"/>
                    <w:rPr>
                      <w:lang w:val="en-US"/>
                    </w:rPr>
                  </w:pPr>
                  <w:r>
                    <w:rPr>
                      <w:lang w:val="en-US"/>
                    </w:rPr>
                    <w:t>80</w:t>
                  </w:r>
                </w:p>
              </w:tc>
              <w:tc>
                <w:tcPr>
                  <w:tcW w:w="171" w:type="pct"/>
                  <w:vMerge w:val="continue"/>
                  <w:shd w:val="clear" w:color="auto" w:fill="FFFFFF"/>
                  <w:tcMar>
                    <w:top w:w="0" w:type="dxa"/>
                    <w:left w:w="0" w:type="dxa"/>
                    <w:bottom w:w="0" w:type="dxa"/>
                    <w:right w:w="0" w:type="dxa"/>
                  </w:tcMar>
                  <w:vAlign w:val="center"/>
                </w:tcPr>
                <w:p w14:paraId="66E512AB">
                  <w:pPr>
                    <w:pStyle w:val="30"/>
                    <w:framePr w:hSpace="0" w:wrap="auto" w:vAnchor="margin" w:hAnchor="text" w:xAlign="left" w:yAlign="inline"/>
                    <w:rPr>
                      <w:highlight w:val="red"/>
                      <w:lang w:val="en-US"/>
                    </w:rPr>
                  </w:pPr>
                </w:p>
              </w:tc>
              <w:tc>
                <w:tcPr>
                  <w:tcW w:w="313" w:type="dxa"/>
                  <w:shd w:val="clear" w:color="auto" w:fill="FFFFFF"/>
                  <w:tcMar>
                    <w:top w:w="0" w:type="dxa"/>
                    <w:left w:w="0" w:type="dxa"/>
                    <w:bottom w:w="0" w:type="dxa"/>
                    <w:right w:w="0" w:type="dxa"/>
                  </w:tcMar>
                  <w:vAlign w:val="center"/>
                </w:tcPr>
                <w:p w14:paraId="0D00D278">
                  <w:pPr>
                    <w:pStyle w:val="30"/>
                    <w:framePr w:hSpace="0" w:wrap="auto" w:vAnchor="margin" w:hAnchor="text" w:xAlign="left" w:yAlign="inline"/>
                    <w:rPr>
                      <w:lang w:val="en-US"/>
                    </w:rPr>
                  </w:pPr>
                  <w:r>
                    <w:rPr>
                      <w:lang w:val="en-US"/>
                    </w:rPr>
                    <w:t>36</w:t>
                  </w:r>
                </w:p>
              </w:tc>
              <w:tc>
                <w:tcPr>
                  <w:tcW w:w="598" w:type="dxa"/>
                  <w:shd w:val="clear" w:color="auto" w:fill="FFFFFF"/>
                  <w:tcMar>
                    <w:top w:w="0" w:type="dxa"/>
                    <w:left w:w="0" w:type="dxa"/>
                    <w:bottom w:w="0" w:type="dxa"/>
                    <w:right w:w="0" w:type="dxa"/>
                  </w:tcMar>
                  <w:vAlign w:val="center"/>
                </w:tcPr>
                <w:p w14:paraId="56900B47">
                  <w:pPr>
                    <w:pStyle w:val="30"/>
                    <w:framePr w:hSpace="0" w:wrap="auto" w:vAnchor="margin" w:hAnchor="text" w:xAlign="left" w:yAlign="inline"/>
                    <w:rPr>
                      <w:lang w:val="en-US"/>
                    </w:rPr>
                  </w:pPr>
                  <w:r>
                    <w:rPr>
                      <w:lang w:val="en-US"/>
                    </w:rPr>
                    <w:t>14</w:t>
                  </w:r>
                </w:p>
              </w:tc>
              <w:tc>
                <w:tcPr>
                  <w:tcW w:w="604" w:type="dxa"/>
                  <w:shd w:val="clear" w:color="auto" w:fill="FFFFFF"/>
                  <w:tcMar>
                    <w:top w:w="0" w:type="dxa"/>
                    <w:left w:w="0" w:type="dxa"/>
                    <w:bottom w:w="0" w:type="dxa"/>
                    <w:right w:w="0" w:type="dxa"/>
                  </w:tcMar>
                  <w:vAlign w:val="center"/>
                </w:tcPr>
                <w:p w14:paraId="51E15A43">
                  <w:pPr>
                    <w:pStyle w:val="30"/>
                    <w:framePr w:hSpace="0" w:wrap="auto" w:vAnchor="margin" w:hAnchor="text" w:xAlign="left" w:yAlign="inline"/>
                    <w:rPr>
                      <w:lang w:val="en-US"/>
                    </w:rPr>
                  </w:pPr>
                  <w:r>
                    <w:rPr>
                      <w:lang w:val="en-US"/>
                    </w:rPr>
                    <w:t>6.2</w:t>
                  </w:r>
                </w:p>
              </w:tc>
              <w:tc>
                <w:tcPr>
                  <w:tcW w:w="496" w:type="dxa"/>
                  <w:shd w:val="clear" w:color="auto" w:fill="FFFFFF"/>
                  <w:tcMar>
                    <w:top w:w="0" w:type="dxa"/>
                    <w:left w:w="0" w:type="dxa"/>
                    <w:bottom w:w="0" w:type="dxa"/>
                    <w:right w:w="0" w:type="dxa"/>
                  </w:tcMar>
                  <w:vAlign w:val="center"/>
                </w:tcPr>
                <w:p w14:paraId="2AD52110">
                  <w:pPr>
                    <w:pStyle w:val="30"/>
                    <w:framePr w:hSpace="0" w:wrap="auto" w:vAnchor="margin" w:hAnchor="text" w:xAlign="left" w:yAlign="inline"/>
                    <w:rPr>
                      <w:lang w:val="en-US"/>
                    </w:rPr>
                  </w:pPr>
                  <w:r>
                    <w:rPr>
                      <w:lang w:val="en-US"/>
                    </w:rPr>
                    <w:t>5</w:t>
                  </w:r>
                </w:p>
              </w:tc>
              <w:tc>
                <w:tcPr>
                  <w:tcW w:w="496" w:type="dxa"/>
                  <w:shd w:val="clear" w:color="auto" w:fill="FFFFFF"/>
                  <w:tcMar>
                    <w:top w:w="0" w:type="dxa"/>
                    <w:left w:w="0" w:type="dxa"/>
                    <w:bottom w:w="0" w:type="dxa"/>
                    <w:right w:w="0" w:type="dxa"/>
                  </w:tcMar>
                  <w:vAlign w:val="center"/>
                </w:tcPr>
                <w:p w14:paraId="7CA08E3D">
                  <w:pPr>
                    <w:pStyle w:val="30"/>
                    <w:framePr w:hSpace="0" w:wrap="auto" w:vAnchor="margin" w:hAnchor="text" w:xAlign="left" w:yAlign="inline"/>
                    <w:rPr>
                      <w:lang w:val="en-US"/>
                    </w:rPr>
                  </w:pPr>
                  <w:r>
                    <w:rPr>
                      <w:lang w:val="en-US"/>
                    </w:rPr>
                    <w:t>14</w:t>
                  </w:r>
                </w:p>
              </w:tc>
              <w:tc>
                <w:tcPr>
                  <w:tcW w:w="496" w:type="dxa"/>
                  <w:shd w:val="clear" w:color="auto" w:fill="FFFFFF"/>
                  <w:tcMar>
                    <w:top w:w="0" w:type="dxa"/>
                    <w:left w:w="0" w:type="dxa"/>
                    <w:bottom w:w="0" w:type="dxa"/>
                    <w:right w:w="0" w:type="dxa"/>
                  </w:tcMar>
                  <w:vAlign w:val="center"/>
                </w:tcPr>
                <w:p w14:paraId="760B2AD7">
                  <w:pPr>
                    <w:pStyle w:val="30"/>
                    <w:framePr w:hSpace="0" w:wrap="auto" w:vAnchor="margin" w:hAnchor="text" w:xAlign="left" w:yAlign="inline"/>
                    <w:rPr>
                      <w:lang w:val="en-US"/>
                    </w:rPr>
                  </w:pPr>
                  <w:r>
                    <w:rPr>
                      <w:lang w:val="en-US"/>
                    </w:rPr>
                    <w:t>36</w:t>
                  </w:r>
                </w:p>
              </w:tc>
              <w:tc>
                <w:tcPr>
                  <w:tcW w:w="509" w:type="dxa"/>
                  <w:shd w:val="clear" w:color="auto" w:fill="FFFFFF"/>
                  <w:tcMar>
                    <w:top w:w="0" w:type="dxa"/>
                    <w:left w:w="0" w:type="dxa"/>
                    <w:bottom w:w="0" w:type="dxa"/>
                    <w:right w:w="0" w:type="dxa"/>
                  </w:tcMar>
                  <w:vAlign w:val="center"/>
                </w:tcPr>
                <w:p w14:paraId="52038ADE">
                  <w:pPr>
                    <w:pStyle w:val="30"/>
                    <w:framePr w:hSpace="0" w:wrap="auto" w:vAnchor="margin" w:hAnchor="text" w:xAlign="left" w:yAlign="inline"/>
                    <w:rPr>
                      <w:lang w:val="en-US"/>
                    </w:rPr>
                  </w:pPr>
                  <w:r>
                    <w:rPr>
                      <w:lang w:val="en-US"/>
                    </w:rPr>
                    <w:t>45</w:t>
                  </w:r>
                </w:p>
              </w:tc>
              <w:tc>
                <w:tcPr>
                  <w:tcW w:w="493" w:type="dxa"/>
                  <w:shd w:val="clear" w:color="auto" w:fill="FFFFFF"/>
                  <w:tcMar>
                    <w:top w:w="0" w:type="dxa"/>
                    <w:left w:w="0" w:type="dxa"/>
                    <w:bottom w:w="0" w:type="dxa"/>
                    <w:right w:w="0" w:type="dxa"/>
                  </w:tcMar>
                  <w:vAlign w:val="center"/>
                </w:tcPr>
                <w:p w14:paraId="49BB6945">
                  <w:pPr>
                    <w:pStyle w:val="30"/>
                    <w:framePr w:hSpace="0" w:wrap="auto" w:vAnchor="margin" w:hAnchor="text" w:xAlign="left" w:yAlign="inline"/>
                    <w:rPr>
                      <w:lang w:val="en-US"/>
                    </w:rPr>
                  </w:pPr>
                  <w:r>
                    <w:rPr>
                      <w:lang w:val="en-US"/>
                    </w:rPr>
                    <w:t>45.9</w:t>
                  </w:r>
                </w:p>
              </w:tc>
              <w:tc>
                <w:tcPr>
                  <w:tcW w:w="493" w:type="dxa"/>
                  <w:shd w:val="clear" w:color="auto" w:fill="FFFFFF"/>
                  <w:tcMar>
                    <w:top w:w="0" w:type="dxa"/>
                    <w:left w:w="0" w:type="dxa"/>
                    <w:bottom w:w="0" w:type="dxa"/>
                    <w:right w:w="0" w:type="dxa"/>
                  </w:tcMar>
                  <w:vAlign w:val="center"/>
                </w:tcPr>
                <w:p w14:paraId="2CACE33E">
                  <w:pPr>
                    <w:pStyle w:val="30"/>
                    <w:framePr w:hSpace="0" w:wrap="auto" w:vAnchor="margin" w:hAnchor="text" w:xAlign="left" w:yAlign="inline"/>
                    <w:rPr>
                      <w:lang w:val="en-US"/>
                    </w:rPr>
                  </w:pPr>
                  <w:r>
                    <w:rPr>
                      <w:lang w:val="en-US"/>
                    </w:rPr>
                    <w:t>45.9</w:t>
                  </w:r>
                </w:p>
              </w:tc>
              <w:tc>
                <w:tcPr>
                  <w:tcW w:w="493" w:type="dxa"/>
                  <w:shd w:val="clear" w:color="auto" w:fill="FFFFFF"/>
                  <w:tcMar>
                    <w:top w:w="0" w:type="dxa"/>
                    <w:left w:w="0" w:type="dxa"/>
                    <w:bottom w:w="0" w:type="dxa"/>
                    <w:right w:w="0" w:type="dxa"/>
                  </w:tcMar>
                  <w:vAlign w:val="center"/>
                </w:tcPr>
                <w:p w14:paraId="384B1ABA">
                  <w:pPr>
                    <w:pStyle w:val="30"/>
                    <w:framePr w:hSpace="0" w:wrap="auto" w:vAnchor="margin" w:hAnchor="text" w:xAlign="left" w:yAlign="inline"/>
                    <w:rPr>
                      <w:lang w:val="en-US"/>
                    </w:rPr>
                  </w:pPr>
                  <w:r>
                    <w:rPr>
                      <w:lang w:val="en-US"/>
                    </w:rPr>
                    <w:t>45.9</w:t>
                  </w:r>
                </w:p>
              </w:tc>
              <w:tc>
                <w:tcPr>
                  <w:tcW w:w="493" w:type="dxa"/>
                  <w:shd w:val="clear" w:color="auto" w:fill="FFFFFF"/>
                  <w:tcMar>
                    <w:top w:w="0" w:type="dxa"/>
                    <w:left w:w="0" w:type="dxa"/>
                    <w:bottom w:w="0" w:type="dxa"/>
                    <w:right w:w="0" w:type="dxa"/>
                  </w:tcMar>
                  <w:vAlign w:val="center"/>
                </w:tcPr>
                <w:p w14:paraId="2B71AFC0">
                  <w:pPr>
                    <w:pStyle w:val="30"/>
                    <w:framePr w:hSpace="0" w:wrap="auto" w:vAnchor="margin" w:hAnchor="text" w:xAlign="left" w:yAlign="inline"/>
                    <w:rPr>
                      <w:lang w:val="en-US"/>
                    </w:rPr>
                  </w:pPr>
                  <w:r>
                    <w:rPr>
                      <w:lang w:val="en-US"/>
                    </w:rPr>
                    <w:t>45.9</w:t>
                  </w:r>
                </w:p>
              </w:tc>
              <w:tc>
                <w:tcPr>
                  <w:tcW w:w="158" w:type="pct"/>
                  <w:vMerge w:val="continue"/>
                  <w:shd w:val="clear" w:color="auto" w:fill="FFFFFF"/>
                  <w:tcMar>
                    <w:top w:w="0" w:type="dxa"/>
                    <w:left w:w="0" w:type="dxa"/>
                    <w:bottom w:w="0" w:type="dxa"/>
                    <w:right w:w="0" w:type="dxa"/>
                  </w:tcMar>
                  <w:vAlign w:val="center"/>
                </w:tcPr>
                <w:p w14:paraId="4162AFAF">
                  <w:pPr>
                    <w:pStyle w:val="30"/>
                    <w:framePr w:hSpace="0" w:wrap="auto" w:vAnchor="margin" w:hAnchor="text" w:xAlign="left" w:yAlign="inline"/>
                    <w:rPr>
                      <w:highlight w:val="red"/>
                      <w:lang w:val="en-US"/>
                    </w:rPr>
                  </w:pPr>
                </w:p>
              </w:tc>
              <w:tc>
                <w:tcPr>
                  <w:tcW w:w="474" w:type="dxa"/>
                  <w:shd w:val="clear" w:color="auto" w:fill="FFFFFF"/>
                  <w:tcMar>
                    <w:top w:w="0" w:type="dxa"/>
                    <w:left w:w="0" w:type="dxa"/>
                    <w:bottom w:w="0" w:type="dxa"/>
                    <w:right w:w="0" w:type="dxa"/>
                  </w:tcMar>
                  <w:vAlign w:val="center"/>
                </w:tcPr>
                <w:p w14:paraId="20757A90">
                  <w:pPr>
                    <w:pStyle w:val="30"/>
                    <w:framePr w:hSpace="0" w:wrap="auto" w:vAnchor="margin" w:hAnchor="text" w:xAlign="left" w:yAlign="inline"/>
                  </w:pPr>
                  <w:r>
                    <w:rPr>
                      <w:lang w:val="en-US"/>
                    </w:rPr>
                    <w:t>20</w:t>
                  </w:r>
                </w:p>
              </w:tc>
              <w:tc>
                <w:tcPr>
                  <w:tcW w:w="474" w:type="dxa"/>
                  <w:shd w:val="clear" w:color="auto" w:fill="FFFFFF"/>
                  <w:tcMar>
                    <w:top w:w="0" w:type="dxa"/>
                    <w:left w:w="0" w:type="dxa"/>
                    <w:bottom w:w="0" w:type="dxa"/>
                    <w:right w:w="0" w:type="dxa"/>
                  </w:tcMar>
                  <w:vAlign w:val="center"/>
                </w:tcPr>
                <w:p w14:paraId="2B977436">
                  <w:pPr>
                    <w:pStyle w:val="30"/>
                    <w:framePr w:hSpace="0" w:wrap="auto" w:vAnchor="margin" w:hAnchor="text" w:xAlign="left" w:yAlign="inline"/>
                  </w:pPr>
                  <w:r>
                    <w:rPr>
                      <w:lang w:val="en-US"/>
                    </w:rPr>
                    <w:t>20</w:t>
                  </w:r>
                </w:p>
              </w:tc>
              <w:tc>
                <w:tcPr>
                  <w:tcW w:w="474" w:type="dxa"/>
                  <w:shd w:val="clear" w:color="auto" w:fill="FFFFFF"/>
                  <w:tcMar>
                    <w:top w:w="0" w:type="dxa"/>
                    <w:left w:w="0" w:type="dxa"/>
                    <w:bottom w:w="0" w:type="dxa"/>
                    <w:right w:w="0" w:type="dxa"/>
                  </w:tcMar>
                  <w:vAlign w:val="center"/>
                </w:tcPr>
                <w:p w14:paraId="593F201D">
                  <w:pPr>
                    <w:pStyle w:val="30"/>
                    <w:framePr w:hSpace="0" w:wrap="auto" w:vAnchor="margin" w:hAnchor="text" w:xAlign="left" w:yAlign="inline"/>
                  </w:pPr>
                  <w:r>
                    <w:rPr>
                      <w:lang w:val="en-US"/>
                    </w:rPr>
                    <w:t>20</w:t>
                  </w:r>
                </w:p>
              </w:tc>
              <w:tc>
                <w:tcPr>
                  <w:tcW w:w="477" w:type="dxa"/>
                  <w:shd w:val="clear" w:color="auto" w:fill="FFFFFF"/>
                  <w:tcMar>
                    <w:top w:w="0" w:type="dxa"/>
                    <w:left w:w="0" w:type="dxa"/>
                    <w:bottom w:w="0" w:type="dxa"/>
                    <w:right w:w="0" w:type="dxa"/>
                  </w:tcMar>
                  <w:vAlign w:val="center"/>
                </w:tcPr>
                <w:p w14:paraId="57647CF6">
                  <w:pPr>
                    <w:pStyle w:val="30"/>
                    <w:framePr w:hSpace="0" w:wrap="auto" w:vAnchor="margin" w:hAnchor="text" w:xAlign="left" w:yAlign="inline"/>
                  </w:pPr>
                  <w:r>
                    <w:rPr>
                      <w:lang w:val="en-US"/>
                    </w:rPr>
                    <w:t>20</w:t>
                  </w:r>
                </w:p>
              </w:tc>
              <w:tc>
                <w:tcPr>
                  <w:tcW w:w="504" w:type="dxa"/>
                  <w:shd w:val="clear" w:color="auto" w:fill="FFFFFF"/>
                  <w:tcMar>
                    <w:top w:w="0" w:type="dxa"/>
                    <w:left w:w="0" w:type="dxa"/>
                    <w:bottom w:w="0" w:type="dxa"/>
                    <w:right w:w="0" w:type="dxa"/>
                  </w:tcMar>
                  <w:vAlign w:val="center"/>
                </w:tcPr>
                <w:p w14:paraId="44CD9FB2">
                  <w:pPr>
                    <w:pStyle w:val="30"/>
                    <w:framePr w:hSpace="0" w:wrap="auto" w:vAnchor="margin" w:hAnchor="text" w:xAlign="left" w:yAlign="inline"/>
                    <w:rPr>
                      <w:lang w:val="en-US"/>
                    </w:rPr>
                  </w:pPr>
                  <w:r>
                    <w:rPr>
                      <w:lang w:val="en-US"/>
                    </w:rPr>
                    <w:t>25.9</w:t>
                  </w:r>
                </w:p>
              </w:tc>
              <w:tc>
                <w:tcPr>
                  <w:tcW w:w="504" w:type="dxa"/>
                  <w:shd w:val="clear" w:color="auto" w:fill="FFFFFF"/>
                  <w:tcMar>
                    <w:top w:w="0" w:type="dxa"/>
                    <w:left w:w="0" w:type="dxa"/>
                    <w:bottom w:w="0" w:type="dxa"/>
                    <w:right w:w="0" w:type="dxa"/>
                  </w:tcMar>
                  <w:vAlign w:val="center"/>
                </w:tcPr>
                <w:p w14:paraId="1D27FF3F">
                  <w:pPr>
                    <w:pStyle w:val="30"/>
                    <w:framePr w:hSpace="0" w:wrap="auto" w:vAnchor="margin" w:hAnchor="text" w:xAlign="left" w:yAlign="inline"/>
                    <w:rPr>
                      <w:lang w:val="en-US"/>
                    </w:rPr>
                  </w:pPr>
                  <w:r>
                    <w:rPr>
                      <w:lang w:val="en-US"/>
                    </w:rPr>
                    <w:t>25.9</w:t>
                  </w:r>
                </w:p>
              </w:tc>
              <w:tc>
                <w:tcPr>
                  <w:tcW w:w="504" w:type="dxa"/>
                  <w:shd w:val="clear" w:color="auto" w:fill="FFFFFF"/>
                  <w:tcMar>
                    <w:top w:w="0" w:type="dxa"/>
                    <w:left w:w="0" w:type="dxa"/>
                    <w:bottom w:w="0" w:type="dxa"/>
                    <w:right w:w="0" w:type="dxa"/>
                  </w:tcMar>
                  <w:vAlign w:val="center"/>
                </w:tcPr>
                <w:p w14:paraId="02093B2A">
                  <w:pPr>
                    <w:pStyle w:val="30"/>
                    <w:framePr w:hSpace="0" w:wrap="auto" w:vAnchor="margin" w:hAnchor="text" w:xAlign="left" w:yAlign="inline"/>
                    <w:rPr>
                      <w:lang w:val="en-US"/>
                    </w:rPr>
                  </w:pPr>
                  <w:r>
                    <w:rPr>
                      <w:lang w:val="en-US"/>
                    </w:rPr>
                    <w:t>25.9</w:t>
                  </w:r>
                </w:p>
              </w:tc>
              <w:tc>
                <w:tcPr>
                  <w:tcW w:w="507" w:type="dxa"/>
                  <w:shd w:val="clear" w:color="auto" w:fill="FFFFFF"/>
                  <w:tcMar>
                    <w:top w:w="0" w:type="dxa"/>
                    <w:left w:w="0" w:type="dxa"/>
                    <w:bottom w:w="0" w:type="dxa"/>
                    <w:right w:w="0" w:type="dxa"/>
                  </w:tcMar>
                  <w:vAlign w:val="center"/>
                </w:tcPr>
                <w:p w14:paraId="5623186E">
                  <w:pPr>
                    <w:pStyle w:val="30"/>
                    <w:framePr w:hSpace="0" w:wrap="auto" w:vAnchor="margin" w:hAnchor="text" w:xAlign="left" w:yAlign="inline"/>
                    <w:rPr>
                      <w:lang w:val="en-US"/>
                    </w:rPr>
                  </w:pPr>
                  <w:r>
                    <w:rPr>
                      <w:lang w:val="en-US"/>
                    </w:rPr>
                    <w:t>25.9</w:t>
                  </w:r>
                </w:p>
              </w:tc>
              <w:tc>
                <w:tcPr>
                  <w:tcW w:w="729" w:type="dxa"/>
                  <w:shd w:val="clear" w:color="auto" w:fill="FFFFFF"/>
                  <w:tcMar>
                    <w:top w:w="0" w:type="dxa"/>
                    <w:left w:w="0" w:type="dxa"/>
                    <w:bottom w:w="0" w:type="dxa"/>
                    <w:right w:w="0" w:type="dxa"/>
                  </w:tcMar>
                  <w:vAlign w:val="center"/>
                </w:tcPr>
                <w:p w14:paraId="0CE25746">
                  <w:pPr>
                    <w:pStyle w:val="30"/>
                    <w:framePr w:hSpace="0" w:wrap="auto" w:vAnchor="margin" w:hAnchor="text" w:xAlign="left" w:yAlign="inline"/>
                    <w:rPr>
                      <w:highlight w:val="red"/>
                    </w:rPr>
                  </w:pPr>
                  <w:r>
                    <w:t>1</w:t>
                  </w:r>
                </w:p>
              </w:tc>
            </w:tr>
            <w:tr w14:paraId="232F9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340" w:hRule="atLeast"/>
                <w:jc w:val="center"/>
              </w:trPr>
              <w:tc>
                <w:tcPr>
                  <w:tcW w:w="137" w:type="pct"/>
                  <w:shd w:val="clear" w:color="auto" w:fill="FFFFFF"/>
                  <w:tcMar>
                    <w:top w:w="0" w:type="dxa"/>
                    <w:left w:w="0" w:type="dxa"/>
                    <w:bottom w:w="0" w:type="dxa"/>
                    <w:right w:w="0" w:type="dxa"/>
                  </w:tcMar>
                  <w:vAlign w:val="center"/>
                </w:tcPr>
                <w:p w14:paraId="104711CA">
                  <w:pPr>
                    <w:pStyle w:val="30"/>
                    <w:framePr w:hSpace="0" w:wrap="auto" w:vAnchor="margin" w:hAnchor="text" w:xAlign="left" w:yAlign="inline"/>
                    <w:numPr>
                      <w:ilvl w:val="0"/>
                      <w:numId w:val="2"/>
                    </w:numPr>
                    <w:rPr>
                      <w:lang w:val="en-US"/>
                    </w:rPr>
                  </w:pPr>
                </w:p>
              </w:tc>
              <w:tc>
                <w:tcPr>
                  <w:tcW w:w="188" w:type="pct"/>
                  <w:vMerge w:val="restart"/>
                  <w:shd w:val="clear" w:color="auto" w:fill="FFFFFF"/>
                  <w:tcMar>
                    <w:top w:w="0" w:type="dxa"/>
                    <w:left w:w="0" w:type="dxa"/>
                    <w:bottom w:w="0" w:type="dxa"/>
                    <w:right w:w="0" w:type="dxa"/>
                  </w:tcMar>
                  <w:vAlign w:val="center"/>
                </w:tcPr>
                <w:p w14:paraId="37B1001E">
                  <w:pPr>
                    <w:pStyle w:val="30"/>
                    <w:framePr w:hSpace="0" w:wrap="auto" w:vAnchor="margin" w:hAnchor="text" w:xAlign="left" w:yAlign="inline"/>
                  </w:pPr>
                  <w:r>
                    <w:rPr>
                      <w:rFonts w:hint="eastAsia"/>
                    </w:rPr>
                    <w:t>公用</w:t>
                  </w:r>
                </w:p>
              </w:tc>
              <w:tc>
                <w:tcPr>
                  <w:tcW w:w="314" w:type="pct"/>
                  <w:shd w:val="clear" w:color="auto" w:fill="FFFFFF"/>
                  <w:tcMar>
                    <w:top w:w="0" w:type="dxa"/>
                    <w:left w:w="0" w:type="dxa"/>
                    <w:bottom w:w="0" w:type="dxa"/>
                    <w:right w:w="0" w:type="dxa"/>
                  </w:tcMar>
                  <w:vAlign w:val="center"/>
                </w:tcPr>
                <w:p w14:paraId="0F30D832">
                  <w:pPr>
                    <w:pStyle w:val="30"/>
                    <w:framePr w:hSpace="0" w:wrap="auto" w:vAnchor="margin" w:hAnchor="text" w:xAlign="left" w:yAlign="inline"/>
                    <w:rPr>
                      <w:lang w:val="en-US"/>
                    </w:rPr>
                  </w:pPr>
                  <w:r>
                    <w:rPr>
                      <w:rFonts w:hint="eastAsia"/>
                    </w:rPr>
                    <w:t>包装机</w:t>
                  </w:r>
                </w:p>
              </w:tc>
              <w:tc>
                <w:tcPr>
                  <w:tcW w:w="725" w:type="dxa"/>
                  <w:shd w:val="clear" w:color="auto" w:fill="FFFFFF"/>
                  <w:tcMar>
                    <w:top w:w="0" w:type="dxa"/>
                    <w:left w:w="0" w:type="dxa"/>
                    <w:bottom w:w="0" w:type="dxa"/>
                    <w:right w:w="0" w:type="dxa"/>
                  </w:tcMar>
                  <w:vAlign w:val="center"/>
                </w:tcPr>
                <w:p w14:paraId="4F6AED64">
                  <w:pPr>
                    <w:pStyle w:val="30"/>
                    <w:framePr w:hSpace="0" w:wrap="auto" w:vAnchor="margin" w:hAnchor="text" w:xAlign="left" w:yAlign="inline"/>
                    <w:rPr>
                      <w:lang w:val="en-US"/>
                    </w:rPr>
                  </w:pPr>
                  <w:r>
                    <w:rPr>
                      <w:rFonts w:hint="eastAsia"/>
                      <w:lang w:val="en-US"/>
                    </w:rPr>
                    <w:t>80</w:t>
                  </w:r>
                </w:p>
              </w:tc>
              <w:tc>
                <w:tcPr>
                  <w:tcW w:w="171" w:type="pct"/>
                  <w:vMerge w:val="continue"/>
                  <w:shd w:val="clear" w:color="auto" w:fill="FFFFFF"/>
                  <w:tcMar>
                    <w:top w:w="0" w:type="dxa"/>
                    <w:left w:w="0" w:type="dxa"/>
                    <w:bottom w:w="0" w:type="dxa"/>
                    <w:right w:w="0" w:type="dxa"/>
                  </w:tcMar>
                  <w:vAlign w:val="center"/>
                </w:tcPr>
                <w:p w14:paraId="38BD9CCA">
                  <w:pPr>
                    <w:pStyle w:val="30"/>
                    <w:framePr w:hSpace="0" w:wrap="auto" w:vAnchor="margin" w:hAnchor="text" w:xAlign="left" w:yAlign="inline"/>
                    <w:rPr>
                      <w:highlight w:val="red"/>
                      <w:lang w:val="en-US"/>
                    </w:rPr>
                  </w:pPr>
                </w:p>
              </w:tc>
              <w:tc>
                <w:tcPr>
                  <w:tcW w:w="313" w:type="dxa"/>
                  <w:shd w:val="clear" w:color="auto" w:fill="FFFFFF"/>
                  <w:tcMar>
                    <w:top w:w="0" w:type="dxa"/>
                    <w:left w:w="0" w:type="dxa"/>
                    <w:bottom w:w="0" w:type="dxa"/>
                    <w:right w:w="0" w:type="dxa"/>
                  </w:tcMar>
                  <w:vAlign w:val="center"/>
                </w:tcPr>
                <w:p w14:paraId="61A83305">
                  <w:pPr>
                    <w:pStyle w:val="30"/>
                    <w:framePr w:hSpace="0" w:wrap="auto" w:vAnchor="margin" w:hAnchor="text" w:xAlign="left" w:yAlign="inline"/>
                    <w:rPr>
                      <w:lang w:val="en-US"/>
                    </w:rPr>
                  </w:pPr>
                  <w:r>
                    <w:rPr>
                      <w:lang w:val="en-US"/>
                    </w:rPr>
                    <w:t>10</w:t>
                  </w:r>
                </w:p>
              </w:tc>
              <w:tc>
                <w:tcPr>
                  <w:tcW w:w="598" w:type="dxa"/>
                  <w:shd w:val="clear" w:color="auto" w:fill="FFFFFF"/>
                  <w:tcMar>
                    <w:top w:w="0" w:type="dxa"/>
                    <w:left w:w="0" w:type="dxa"/>
                    <w:bottom w:w="0" w:type="dxa"/>
                    <w:right w:w="0" w:type="dxa"/>
                  </w:tcMar>
                  <w:vAlign w:val="center"/>
                </w:tcPr>
                <w:p w14:paraId="0263BB66">
                  <w:pPr>
                    <w:pStyle w:val="30"/>
                    <w:framePr w:hSpace="0" w:wrap="auto" w:vAnchor="margin" w:hAnchor="text" w:xAlign="left" w:yAlign="inline"/>
                    <w:rPr>
                      <w:lang w:val="en-US"/>
                    </w:rPr>
                  </w:pPr>
                  <w:r>
                    <w:rPr>
                      <w:lang w:val="en-US"/>
                    </w:rPr>
                    <w:t>28</w:t>
                  </w:r>
                </w:p>
              </w:tc>
              <w:tc>
                <w:tcPr>
                  <w:tcW w:w="604" w:type="dxa"/>
                  <w:shd w:val="clear" w:color="auto" w:fill="FFFFFF"/>
                  <w:tcMar>
                    <w:top w:w="0" w:type="dxa"/>
                    <w:left w:w="0" w:type="dxa"/>
                    <w:bottom w:w="0" w:type="dxa"/>
                    <w:right w:w="0" w:type="dxa"/>
                  </w:tcMar>
                  <w:vAlign w:val="center"/>
                </w:tcPr>
                <w:p w14:paraId="0DA88F02">
                  <w:pPr>
                    <w:pStyle w:val="30"/>
                    <w:framePr w:hSpace="0" w:wrap="auto" w:vAnchor="margin" w:hAnchor="text" w:xAlign="left" w:yAlign="inline"/>
                    <w:rPr>
                      <w:lang w:val="en-US"/>
                    </w:rPr>
                  </w:pPr>
                  <w:r>
                    <w:rPr>
                      <w:lang w:val="en-US"/>
                    </w:rPr>
                    <w:t>6.2</w:t>
                  </w:r>
                </w:p>
              </w:tc>
              <w:tc>
                <w:tcPr>
                  <w:tcW w:w="496" w:type="dxa"/>
                  <w:shd w:val="clear" w:color="auto" w:fill="FFFFFF"/>
                  <w:tcMar>
                    <w:top w:w="0" w:type="dxa"/>
                    <w:left w:w="0" w:type="dxa"/>
                    <w:bottom w:w="0" w:type="dxa"/>
                    <w:right w:w="0" w:type="dxa"/>
                  </w:tcMar>
                  <w:vAlign w:val="center"/>
                </w:tcPr>
                <w:p w14:paraId="69E202D5">
                  <w:pPr>
                    <w:pStyle w:val="30"/>
                    <w:framePr w:hSpace="0" w:wrap="auto" w:vAnchor="margin" w:hAnchor="text" w:xAlign="left" w:yAlign="inline"/>
                    <w:rPr>
                      <w:lang w:val="en-US"/>
                    </w:rPr>
                  </w:pPr>
                  <w:r>
                    <w:rPr>
                      <w:lang w:val="en-US"/>
                    </w:rPr>
                    <w:t>31</w:t>
                  </w:r>
                </w:p>
              </w:tc>
              <w:tc>
                <w:tcPr>
                  <w:tcW w:w="496" w:type="dxa"/>
                  <w:shd w:val="clear" w:color="auto" w:fill="FFFFFF"/>
                  <w:tcMar>
                    <w:top w:w="0" w:type="dxa"/>
                    <w:left w:w="0" w:type="dxa"/>
                    <w:bottom w:w="0" w:type="dxa"/>
                    <w:right w:w="0" w:type="dxa"/>
                  </w:tcMar>
                  <w:vAlign w:val="center"/>
                </w:tcPr>
                <w:p w14:paraId="210B220B">
                  <w:pPr>
                    <w:pStyle w:val="30"/>
                    <w:framePr w:hSpace="0" w:wrap="auto" w:vAnchor="margin" w:hAnchor="text" w:xAlign="left" w:yAlign="inline"/>
                    <w:rPr>
                      <w:lang w:val="en-US"/>
                    </w:rPr>
                  </w:pPr>
                  <w:r>
                    <w:rPr>
                      <w:lang w:val="en-US"/>
                    </w:rPr>
                    <w:t>28</w:t>
                  </w:r>
                </w:p>
              </w:tc>
              <w:tc>
                <w:tcPr>
                  <w:tcW w:w="496" w:type="dxa"/>
                  <w:shd w:val="clear" w:color="auto" w:fill="FFFFFF"/>
                  <w:tcMar>
                    <w:top w:w="0" w:type="dxa"/>
                    <w:left w:w="0" w:type="dxa"/>
                    <w:bottom w:w="0" w:type="dxa"/>
                    <w:right w:w="0" w:type="dxa"/>
                  </w:tcMar>
                  <w:vAlign w:val="center"/>
                </w:tcPr>
                <w:p w14:paraId="0ACA759B">
                  <w:pPr>
                    <w:pStyle w:val="30"/>
                    <w:framePr w:hSpace="0" w:wrap="auto" w:vAnchor="margin" w:hAnchor="text" w:xAlign="left" w:yAlign="inline"/>
                    <w:rPr>
                      <w:lang w:val="en-US"/>
                    </w:rPr>
                  </w:pPr>
                  <w:r>
                    <w:rPr>
                      <w:lang w:val="en-US"/>
                    </w:rPr>
                    <w:t>10</w:t>
                  </w:r>
                </w:p>
              </w:tc>
              <w:tc>
                <w:tcPr>
                  <w:tcW w:w="509" w:type="dxa"/>
                  <w:shd w:val="clear" w:color="auto" w:fill="FFFFFF"/>
                  <w:tcMar>
                    <w:top w:w="0" w:type="dxa"/>
                    <w:left w:w="0" w:type="dxa"/>
                    <w:bottom w:w="0" w:type="dxa"/>
                    <w:right w:w="0" w:type="dxa"/>
                  </w:tcMar>
                  <w:vAlign w:val="center"/>
                </w:tcPr>
                <w:p w14:paraId="019FCF21">
                  <w:pPr>
                    <w:pStyle w:val="30"/>
                    <w:framePr w:hSpace="0" w:wrap="auto" w:vAnchor="margin" w:hAnchor="text" w:xAlign="left" w:yAlign="inline"/>
                    <w:rPr>
                      <w:lang w:val="en-US"/>
                    </w:rPr>
                  </w:pPr>
                  <w:r>
                    <w:rPr>
                      <w:lang w:val="en-US"/>
                    </w:rPr>
                    <w:t>31</w:t>
                  </w:r>
                </w:p>
              </w:tc>
              <w:tc>
                <w:tcPr>
                  <w:tcW w:w="493" w:type="dxa"/>
                  <w:shd w:val="clear" w:color="auto" w:fill="FFFFFF"/>
                  <w:tcMar>
                    <w:top w:w="0" w:type="dxa"/>
                    <w:left w:w="0" w:type="dxa"/>
                    <w:bottom w:w="0" w:type="dxa"/>
                    <w:right w:w="0" w:type="dxa"/>
                  </w:tcMar>
                  <w:vAlign w:val="center"/>
                </w:tcPr>
                <w:p w14:paraId="44CB9423">
                  <w:pPr>
                    <w:pStyle w:val="30"/>
                    <w:framePr w:hSpace="0" w:wrap="auto" w:vAnchor="margin" w:hAnchor="text" w:xAlign="left" w:yAlign="inline"/>
                    <w:rPr>
                      <w:lang w:val="en-US"/>
                    </w:rPr>
                  </w:pPr>
                  <w:r>
                    <w:rPr>
                      <w:lang w:val="en-US"/>
                    </w:rPr>
                    <w:t>49.5</w:t>
                  </w:r>
                </w:p>
              </w:tc>
              <w:tc>
                <w:tcPr>
                  <w:tcW w:w="493" w:type="dxa"/>
                  <w:shd w:val="clear" w:color="auto" w:fill="FFFFFF"/>
                  <w:tcMar>
                    <w:top w:w="0" w:type="dxa"/>
                    <w:left w:w="0" w:type="dxa"/>
                    <w:bottom w:w="0" w:type="dxa"/>
                    <w:right w:w="0" w:type="dxa"/>
                  </w:tcMar>
                  <w:vAlign w:val="center"/>
                </w:tcPr>
                <w:p w14:paraId="01217FB9">
                  <w:pPr>
                    <w:pStyle w:val="30"/>
                    <w:framePr w:hSpace="0" w:wrap="auto" w:vAnchor="margin" w:hAnchor="text" w:xAlign="left" w:yAlign="inline"/>
                    <w:rPr>
                      <w:lang w:val="en-US"/>
                    </w:rPr>
                  </w:pPr>
                  <w:r>
                    <w:rPr>
                      <w:lang w:val="en-US"/>
                    </w:rPr>
                    <w:t>49.5</w:t>
                  </w:r>
                </w:p>
              </w:tc>
              <w:tc>
                <w:tcPr>
                  <w:tcW w:w="493" w:type="dxa"/>
                  <w:shd w:val="clear" w:color="auto" w:fill="FFFFFF"/>
                  <w:tcMar>
                    <w:top w:w="0" w:type="dxa"/>
                    <w:left w:w="0" w:type="dxa"/>
                    <w:bottom w:w="0" w:type="dxa"/>
                    <w:right w:w="0" w:type="dxa"/>
                  </w:tcMar>
                  <w:vAlign w:val="center"/>
                </w:tcPr>
                <w:p w14:paraId="6CF3B515">
                  <w:pPr>
                    <w:pStyle w:val="30"/>
                    <w:framePr w:hSpace="0" w:wrap="auto" w:vAnchor="margin" w:hAnchor="text" w:xAlign="left" w:yAlign="inline"/>
                    <w:rPr>
                      <w:lang w:val="en-US"/>
                    </w:rPr>
                  </w:pPr>
                  <w:r>
                    <w:rPr>
                      <w:lang w:val="en-US"/>
                    </w:rPr>
                    <w:t>49.5</w:t>
                  </w:r>
                </w:p>
              </w:tc>
              <w:tc>
                <w:tcPr>
                  <w:tcW w:w="493" w:type="dxa"/>
                  <w:shd w:val="clear" w:color="auto" w:fill="FFFFFF"/>
                  <w:tcMar>
                    <w:top w:w="0" w:type="dxa"/>
                    <w:left w:w="0" w:type="dxa"/>
                    <w:bottom w:w="0" w:type="dxa"/>
                    <w:right w:w="0" w:type="dxa"/>
                  </w:tcMar>
                  <w:vAlign w:val="center"/>
                </w:tcPr>
                <w:p w14:paraId="41E8BAB3">
                  <w:pPr>
                    <w:pStyle w:val="30"/>
                    <w:framePr w:hSpace="0" w:wrap="auto" w:vAnchor="margin" w:hAnchor="text" w:xAlign="left" w:yAlign="inline"/>
                    <w:rPr>
                      <w:lang w:val="en-US"/>
                    </w:rPr>
                  </w:pPr>
                  <w:r>
                    <w:rPr>
                      <w:lang w:val="en-US"/>
                    </w:rPr>
                    <w:t>49.5</w:t>
                  </w:r>
                </w:p>
              </w:tc>
              <w:tc>
                <w:tcPr>
                  <w:tcW w:w="158" w:type="pct"/>
                  <w:vMerge w:val="continue"/>
                  <w:shd w:val="clear" w:color="auto" w:fill="FFFFFF"/>
                  <w:tcMar>
                    <w:top w:w="0" w:type="dxa"/>
                    <w:left w:w="0" w:type="dxa"/>
                    <w:bottom w:w="0" w:type="dxa"/>
                    <w:right w:w="0" w:type="dxa"/>
                  </w:tcMar>
                  <w:vAlign w:val="center"/>
                </w:tcPr>
                <w:p w14:paraId="6F4C6D50">
                  <w:pPr>
                    <w:pStyle w:val="30"/>
                    <w:framePr w:hSpace="0" w:wrap="auto" w:vAnchor="margin" w:hAnchor="text" w:xAlign="left" w:yAlign="inline"/>
                    <w:rPr>
                      <w:highlight w:val="red"/>
                      <w:lang w:val="en-US"/>
                    </w:rPr>
                  </w:pPr>
                </w:p>
              </w:tc>
              <w:tc>
                <w:tcPr>
                  <w:tcW w:w="474" w:type="dxa"/>
                  <w:shd w:val="clear" w:color="auto" w:fill="FFFFFF"/>
                  <w:tcMar>
                    <w:top w:w="0" w:type="dxa"/>
                    <w:left w:w="0" w:type="dxa"/>
                    <w:bottom w:w="0" w:type="dxa"/>
                    <w:right w:w="0" w:type="dxa"/>
                  </w:tcMar>
                  <w:vAlign w:val="center"/>
                </w:tcPr>
                <w:p w14:paraId="0897253F">
                  <w:pPr>
                    <w:pStyle w:val="30"/>
                    <w:framePr w:hSpace="0" w:wrap="auto" w:vAnchor="margin" w:hAnchor="text" w:xAlign="left" w:yAlign="inline"/>
                  </w:pPr>
                  <w:r>
                    <w:rPr>
                      <w:lang w:val="en-US"/>
                    </w:rPr>
                    <w:t>20</w:t>
                  </w:r>
                </w:p>
              </w:tc>
              <w:tc>
                <w:tcPr>
                  <w:tcW w:w="474" w:type="dxa"/>
                  <w:shd w:val="clear" w:color="auto" w:fill="FFFFFF"/>
                  <w:tcMar>
                    <w:top w:w="0" w:type="dxa"/>
                    <w:left w:w="0" w:type="dxa"/>
                    <w:bottom w:w="0" w:type="dxa"/>
                    <w:right w:w="0" w:type="dxa"/>
                  </w:tcMar>
                  <w:vAlign w:val="center"/>
                </w:tcPr>
                <w:p w14:paraId="51314A29">
                  <w:pPr>
                    <w:pStyle w:val="30"/>
                    <w:framePr w:hSpace="0" w:wrap="auto" w:vAnchor="margin" w:hAnchor="text" w:xAlign="left" w:yAlign="inline"/>
                  </w:pPr>
                  <w:r>
                    <w:rPr>
                      <w:lang w:val="en-US"/>
                    </w:rPr>
                    <w:t>20</w:t>
                  </w:r>
                </w:p>
              </w:tc>
              <w:tc>
                <w:tcPr>
                  <w:tcW w:w="474" w:type="dxa"/>
                  <w:shd w:val="clear" w:color="auto" w:fill="FFFFFF"/>
                  <w:tcMar>
                    <w:top w:w="0" w:type="dxa"/>
                    <w:left w:w="0" w:type="dxa"/>
                    <w:bottom w:w="0" w:type="dxa"/>
                    <w:right w:w="0" w:type="dxa"/>
                  </w:tcMar>
                  <w:vAlign w:val="center"/>
                </w:tcPr>
                <w:p w14:paraId="498FC97B">
                  <w:pPr>
                    <w:pStyle w:val="30"/>
                    <w:framePr w:hSpace="0" w:wrap="auto" w:vAnchor="margin" w:hAnchor="text" w:xAlign="left" w:yAlign="inline"/>
                  </w:pPr>
                  <w:r>
                    <w:rPr>
                      <w:lang w:val="en-US"/>
                    </w:rPr>
                    <w:t>20</w:t>
                  </w:r>
                </w:p>
              </w:tc>
              <w:tc>
                <w:tcPr>
                  <w:tcW w:w="477" w:type="dxa"/>
                  <w:shd w:val="clear" w:color="auto" w:fill="FFFFFF"/>
                  <w:tcMar>
                    <w:top w:w="0" w:type="dxa"/>
                    <w:left w:w="0" w:type="dxa"/>
                    <w:bottom w:w="0" w:type="dxa"/>
                    <w:right w:w="0" w:type="dxa"/>
                  </w:tcMar>
                  <w:vAlign w:val="center"/>
                </w:tcPr>
                <w:p w14:paraId="607B98C7">
                  <w:pPr>
                    <w:pStyle w:val="30"/>
                    <w:framePr w:hSpace="0" w:wrap="auto" w:vAnchor="margin" w:hAnchor="text" w:xAlign="left" w:yAlign="inline"/>
                  </w:pPr>
                  <w:r>
                    <w:rPr>
                      <w:lang w:val="en-US"/>
                    </w:rPr>
                    <w:t>20</w:t>
                  </w:r>
                </w:p>
              </w:tc>
              <w:tc>
                <w:tcPr>
                  <w:tcW w:w="504" w:type="dxa"/>
                  <w:shd w:val="clear" w:color="auto" w:fill="FFFFFF"/>
                  <w:tcMar>
                    <w:top w:w="0" w:type="dxa"/>
                    <w:left w:w="0" w:type="dxa"/>
                    <w:bottom w:w="0" w:type="dxa"/>
                    <w:right w:w="0" w:type="dxa"/>
                  </w:tcMar>
                  <w:vAlign w:val="center"/>
                </w:tcPr>
                <w:p w14:paraId="412DF055">
                  <w:pPr>
                    <w:pStyle w:val="30"/>
                    <w:framePr w:hSpace="0" w:wrap="auto" w:vAnchor="margin" w:hAnchor="text" w:xAlign="left" w:yAlign="inline"/>
                    <w:rPr>
                      <w:lang w:val="en-US"/>
                    </w:rPr>
                  </w:pPr>
                  <w:r>
                    <w:rPr>
                      <w:lang w:val="en-US"/>
                    </w:rPr>
                    <w:t>29.5</w:t>
                  </w:r>
                </w:p>
              </w:tc>
              <w:tc>
                <w:tcPr>
                  <w:tcW w:w="504" w:type="dxa"/>
                  <w:shd w:val="clear" w:color="auto" w:fill="FFFFFF"/>
                  <w:tcMar>
                    <w:top w:w="0" w:type="dxa"/>
                    <w:left w:w="0" w:type="dxa"/>
                    <w:bottom w:w="0" w:type="dxa"/>
                    <w:right w:w="0" w:type="dxa"/>
                  </w:tcMar>
                  <w:vAlign w:val="center"/>
                </w:tcPr>
                <w:p w14:paraId="21D379CB">
                  <w:pPr>
                    <w:pStyle w:val="30"/>
                    <w:framePr w:hSpace="0" w:wrap="auto" w:vAnchor="margin" w:hAnchor="text" w:xAlign="left" w:yAlign="inline"/>
                    <w:rPr>
                      <w:lang w:val="en-US"/>
                    </w:rPr>
                  </w:pPr>
                  <w:r>
                    <w:rPr>
                      <w:lang w:val="en-US"/>
                    </w:rPr>
                    <w:t>29.5</w:t>
                  </w:r>
                </w:p>
              </w:tc>
              <w:tc>
                <w:tcPr>
                  <w:tcW w:w="504" w:type="dxa"/>
                  <w:shd w:val="clear" w:color="auto" w:fill="FFFFFF"/>
                  <w:tcMar>
                    <w:top w:w="0" w:type="dxa"/>
                    <w:left w:w="0" w:type="dxa"/>
                    <w:bottom w:w="0" w:type="dxa"/>
                    <w:right w:w="0" w:type="dxa"/>
                  </w:tcMar>
                  <w:vAlign w:val="center"/>
                </w:tcPr>
                <w:p w14:paraId="0875B89A">
                  <w:pPr>
                    <w:pStyle w:val="30"/>
                    <w:framePr w:hSpace="0" w:wrap="auto" w:vAnchor="margin" w:hAnchor="text" w:xAlign="left" w:yAlign="inline"/>
                    <w:rPr>
                      <w:lang w:val="en-US"/>
                    </w:rPr>
                  </w:pPr>
                  <w:r>
                    <w:rPr>
                      <w:lang w:val="en-US"/>
                    </w:rPr>
                    <w:t>29.5</w:t>
                  </w:r>
                </w:p>
              </w:tc>
              <w:tc>
                <w:tcPr>
                  <w:tcW w:w="507" w:type="dxa"/>
                  <w:shd w:val="clear" w:color="auto" w:fill="FFFFFF"/>
                  <w:tcMar>
                    <w:top w:w="0" w:type="dxa"/>
                    <w:left w:w="0" w:type="dxa"/>
                    <w:bottom w:w="0" w:type="dxa"/>
                    <w:right w:w="0" w:type="dxa"/>
                  </w:tcMar>
                  <w:vAlign w:val="center"/>
                </w:tcPr>
                <w:p w14:paraId="4C9527BB">
                  <w:pPr>
                    <w:pStyle w:val="30"/>
                    <w:framePr w:hSpace="0" w:wrap="auto" w:vAnchor="margin" w:hAnchor="text" w:xAlign="left" w:yAlign="inline"/>
                    <w:rPr>
                      <w:lang w:val="en-US"/>
                    </w:rPr>
                  </w:pPr>
                  <w:r>
                    <w:rPr>
                      <w:lang w:val="en-US"/>
                    </w:rPr>
                    <w:t>29.5</w:t>
                  </w:r>
                </w:p>
              </w:tc>
              <w:tc>
                <w:tcPr>
                  <w:tcW w:w="729" w:type="dxa"/>
                  <w:shd w:val="clear" w:color="auto" w:fill="FFFFFF"/>
                  <w:tcMar>
                    <w:top w:w="0" w:type="dxa"/>
                    <w:left w:w="0" w:type="dxa"/>
                    <w:bottom w:w="0" w:type="dxa"/>
                    <w:right w:w="0" w:type="dxa"/>
                  </w:tcMar>
                  <w:vAlign w:val="center"/>
                </w:tcPr>
                <w:p w14:paraId="1EFE95FF">
                  <w:pPr>
                    <w:pStyle w:val="30"/>
                    <w:framePr w:hSpace="0" w:wrap="auto" w:vAnchor="margin" w:hAnchor="text" w:xAlign="left" w:yAlign="inline"/>
                    <w:rPr>
                      <w:highlight w:val="red"/>
                    </w:rPr>
                  </w:pPr>
                  <w:r>
                    <w:t>1</w:t>
                  </w:r>
                </w:p>
              </w:tc>
            </w:tr>
            <w:tr w14:paraId="34790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340" w:hRule="atLeast"/>
                <w:jc w:val="center"/>
              </w:trPr>
              <w:tc>
                <w:tcPr>
                  <w:tcW w:w="137" w:type="pct"/>
                  <w:shd w:val="clear" w:color="auto" w:fill="FFFFFF"/>
                  <w:tcMar>
                    <w:top w:w="0" w:type="dxa"/>
                    <w:left w:w="0" w:type="dxa"/>
                    <w:bottom w:w="0" w:type="dxa"/>
                    <w:right w:w="0" w:type="dxa"/>
                  </w:tcMar>
                  <w:vAlign w:val="center"/>
                </w:tcPr>
                <w:p w14:paraId="4840EEE5">
                  <w:pPr>
                    <w:pStyle w:val="30"/>
                    <w:framePr w:hSpace="0" w:wrap="auto" w:vAnchor="margin" w:hAnchor="text" w:xAlign="left" w:yAlign="inline"/>
                    <w:numPr>
                      <w:ilvl w:val="0"/>
                      <w:numId w:val="2"/>
                    </w:numPr>
                    <w:rPr>
                      <w:lang w:val="en-US"/>
                    </w:rPr>
                  </w:pPr>
                </w:p>
              </w:tc>
              <w:tc>
                <w:tcPr>
                  <w:tcW w:w="188" w:type="pct"/>
                  <w:vMerge w:val="continue"/>
                  <w:shd w:val="clear" w:color="auto" w:fill="FFFFFF"/>
                  <w:tcMar>
                    <w:top w:w="0" w:type="dxa"/>
                    <w:left w:w="0" w:type="dxa"/>
                    <w:bottom w:w="0" w:type="dxa"/>
                    <w:right w:w="0" w:type="dxa"/>
                  </w:tcMar>
                  <w:vAlign w:val="center"/>
                </w:tcPr>
                <w:p w14:paraId="1E06BFAD">
                  <w:pPr>
                    <w:pStyle w:val="30"/>
                    <w:framePr w:hSpace="0" w:wrap="auto" w:vAnchor="margin" w:hAnchor="text" w:xAlign="left" w:yAlign="inline"/>
                  </w:pPr>
                </w:p>
              </w:tc>
              <w:tc>
                <w:tcPr>
                  <w:tcW w:w="314" w:type="pct"/>
                  <w:shd w:val="clear" w:color="auto" w:fill="FFFFFF"/>
                  <w:tcMar>
                    <w:top w:w="0" w:type="dxa"/>
                    <w:left w:w="0" w:type="dxa"/>
                    <w:bottom w:w="0" w:type="dxa"/>
                    <w:right w:w="0" w:type="dxa"/>
                  </w:tcMar>
                  <w:vAlign w:val="center"/>
                </w:tcPr>
                <w:p w14:paraId="03F57F94">
                  <w:pPr>
                    <w:pStyle w:val="30"/>
                    <w:framePr w:hSpace="0" w:wrap="auto" w:vAnchor="margin" w:hAnchor="text" w:xAlign="left" w:yAlign="inline"/>
                    <w:rPr>
                      <w:lang w:val="en-US"/>
                    </w:rPr>
                  </w:pPr>
                  <w:r>
                    <w:rPr>
                      <w:rFonts w:hint="eastAsia"/>
                    </w:rPr>
                    <w:t>空压机</w:t>
                  </w:r>
                </w:p>
              </w:tc>
              <w:tc>
                <w:tcPr>
                  <w:tcW w:w="725" w:type="dxa"/>
                  <w:shd w:val="clear" w:color="auto" w:fill="FFFFFF"/>
                  <w:tcMar>
                    <w:top w:w="0" w:type="dxa"/>
                    <w:left w:w="0" w:type="dxa"/>
                    <w:bottom w:w="0" w:type="dxa"/>
                    <w:right w:w="0" w:type="dxa"/>
                  </w:tcMar>
                  <w:vAlign w:val="center"/>
                </w:tcPr>
                <w:p w14:paraId="0DFD0D69">
                  <w:pPr>
                    <w:pStyle w:val="30"/>
                    <w:framePr w:hSpace="0" w:wrap="auto" w:vAnchor="margin" w:hAnchor="text" w:xAlign="left" w:yAlign="inline"/>
                    <w:rPr>
                      <w:lang w:val="en-US"/>
                    </w:rPr>
                  </w:pPr>
                  <w:r>
                    <w:rPr>
                      <w:rFonts w:hint="eastAsia"/>
                      <w:lang w:val="en-US"/>
                    </w:rPr>
                    <w:t>85</w:t>
                  </w:r>
                </w:p>
              </w:tc>
              <w:tc>
                <w:tcPr>
                  <w:tcW w:w="171" w:type="pct"/>
                  <w:vMerge w:val="continue"/>
                  <w:shd w:val="clear" w:color="auto" w:fill="FFFFFF"/>
                  <w:tcMar>
                    <w:top w:w="0" w:type="dxa"/>
                    <w:left w:w="0" w:type="dxa"/>
                    <w:bottom w:w="0" w:type="dxa"/>
                    <w:right w:w="0" w:type="dxa"/>
                  </w:tcMar>
                  <w:vAlign w:val="center"/>
                </w:tcPr>
                <w:p w14:paraId="3AABDA0D">
                  <w:pPr>
                    <w:pStyle w:val="30"/>
                    <w:framePr w:hSpace="0" w:wrap="auto" w:vAnchor="margin" w:hAnchor="text" w:xAlign="left" w:yAlign="inline"/>
                    <w:rPr>
                      <w:highlight w:val="red"/>
                      <w:lang w:val="en-US"/>
                    </w:rPr>
                  </w:pPr>
                </w:p>
              </w:tc>
              <w:tc>
                <w:tcPr>
                  <w:tcW w:w="313" w:type="dxa"/>
                  <w:shd w:val="clear" w:color="auto" w:fill="FFFFFF"/>
                  <w:tcMar>
                    <w:top w:w="0" w:type="dxa"/>
                    <w:left w:w="0" w:type="dxa"/>
                    <w:bottom w:w="0" w:type="dxa"/>
                    <w:right w:w="0" w:type="dxa"/>
                  </w:tcMar>
                  <w:vAlign w:val="center"/>
                </w:tcPr>
                <w:p w14:paraId="0F5DAFAE">
                  <w:pPr>
                    <w:pStyle w:val="30"/>
                    <w:framePr w:hSpace="0" w:wrap="auto" w:vAnchor="margin" w:hAnchor="text" w:xAlign="left" w:yAlign="inline"/>
                    <w:rPr>
                      <w:lang w:val="en-US"/>
                    </w:rPr>
                  </w:pPr>
                  <w:r>
                    <w:rPr>
                      <w:lang w:val="en-US"/>
                    </w:rPr>
                    <w:t>1.5</w:t>
                  </w:r>
                </w:p>
              </w:tc>
              <w:tc>
                <w:tcPr>
                  <w:tcW w:w="598" w:type="dxa"/>
                  <w:shd w:val="clear" w:color="auto" w:fill="FFFFFF"/>
                  <w:tcMar>
                    <w:top w:w="0" w:type="dxa"/>
                    <w:left w:w="0" w:type="dxa"/>
                    <w:bottom w:w="0" w:type="dxa"/>
                    <w:right w:w="0" w:type="dxa"/>
                  </w:tcMar>
                  <w:vAlign w:val="center"/>
                </w:tcPr>
                <w:p w14:paraId="793EC2E7">
                  <w:pPr>
                    <w:pStyle w:val="30"/>
                    <w:framePr w:hSpace="0" w:wrap="auto" w:vAnchor="margin" w:hAnchor="text" w:xAlign="left" w:yAlign="inline"/>
                    <w:rPr>
                      <w:lang w:val="en-US"/>
                    </w:rPr>
                  </w:pPr>
                  <w:r>
                    <w:rPr>
                      <w:lang w:val="en-US"/>
                    </w:rPr>
                    <w:t>2</w:t>
                  </w:r>
                </w:p>
              </w:tc>
              <w:tc>
                <w:tcPr>
                  <w:tcW w:w="604" w:type="dxa"/>
                  <w:shd w:val="clear" w:color="auto" w:fill="FFFFFF"/>
                  <w:tcMar>
                    <w:top w:w="0" w:type="dxa"/>
                    <w:left w:w="0" w:type="dxa"/>
                    <w:bottom w:w="0" w:type="dxa"/>
                    <w:right w:w="0" w:type="dxa"/>
                  </w:tcMar>
                  <w:vAlign w:val="center"/>
                </w:tcPr>
                <w:p w14:paraId="3DF16C60">
                  <w:pPr>
                    <w:pStyle w:val="30"/>
                    <w:framePr w:hSpace="0" w:wrap="auto" w:vAnchor="margin" w:hAnchor="text" w:xAlign="left" w:yAlign="inline"/>
                    <w:rPr>
                      <w:lang w:val="en-US"/>
                    </w:rPr>
                  </w:pPr>
                  <w:r>
                    <w:rPr>
                      <w:lang w:val="en-US"/>
                    </w:rPr>
                    <w:t>1.2</w:t>
                  </w:r>
                </w:p>
              </w:tc>
              <w:tc>
                <w:tcPr>
                  <w:tcW w:w="496" w:type="dxa"/>
                  <w:shd w:val="clear" w:color="auto" w:fill="FFFFFF"/>
                  <w:tcMar>
                    <w:top w:w="0" w:type="dxa"/>
                    <w:left w:w="0" w:type="dxa"/>
                    <w:bottom w:w="0" w:type="dxa"/>
                    <w:right w:w="0" w:type="dxa"/>
                  </w:tcMar>
                  <w:vAlign w:val="center"/>
                </w:tcPr>
                <w:p w14:paraId="0A9E203B">
                  <w:pPr>
                    <w:pStyle w:val="30"/>
                    <w:framePr w:hSpace="0" w:wrap="auto" w:vAnchor="margin" w:hAnchor="text" w:xAlign="left" w:yAlign="inline"/>
                    <w:rPr>
                      <w:lang w:val="en-US"/>
                    </w:rPr>
                  </w:pPr>
                  <w:r>
                    <w:rPr>
                      <w:lang w:val="en-US"/>
                    </w:rPr>
                    <w:t>39.5</w:t>
                  </w:r>
                </w:p>
              </w:tc>
              <w:tc>
                <w:tcPr>
                  <w:tcW w:w="496" w:type="dxa"/>
                  <w:shd w:val="clear" w:color="auto" w:fill="FFFFFF"/>
                  <w:tcMar>
                    <w:top w:w="0" w:type="dxa"/>
                    <w:left w:w="0" w:type="dxa"/>
                    <w:bottom w:w="0" w:type="dxa"/>
                    <w:right w:w="0" w:type="dxa"/>
                  </w:tcMar>
                  <w:vAlign w:val="center"/>
                </w:tcPr>
                <w:p w14:paraId="4C03BBB5">
                  <w:pPr>
                    <w:pStyle w:val="30"/>
                    <w:framePr w:hSpace="0" w:wrap="auto" w:vAnchor="margin" w:hAnchor="text" w:xAlign="left" w:yAlign="inline"/>
                    <w:rPr>
                      <w:lang w:val="en-US"/>
                    </w:rPr>
                  </w:pPr>
                  <w:r>
                    <w:rPr>
                      <w:lang w:val="en-US"/>
                    </w:rPr>
                    <w:t>2</w:t>
                  </w:r>
                </w:p>
              </w:tc>
              <w:tc>
                <w:tcPr>
                  <w:tcW w:w="496" w:type="dxa"/>
                  <w:shd w:val="clear" w:color="auto" w:fill="FFFFFF"/>
                  <w:tcMar>
                    <w:top w:w="0" w:type="dxa"/>
                    <w:left w:w="0" w:type="dxa"/>
                    <w:bottom w:w="0" w:type="dxa"/>
                    <w:right w:w="0" w:type="dxa"/>
                  </w:tcMar>
                  <w:vAlign w:val="center"/>
                </w:tcPr>
                <w:p w14:paraId="06033A6C">
                  <w:pPr>
                    <w:pStyle w:val="30"/>
                    <w:framePr w:hSpace="0" w:wrap="auto" w:vAnchor="margin" w:hAnchor="text" w:xAlign="left" w:yAlign="inline"/>
                    <w:rPr>
                      <w:lang w:val="en-US"/>
                    </w:rPr>
                  </w:pPr>
                  <w:r>
                    <w:rPr>
                      <w:lang w:val="en-US"/>
                    </w:rPr>
                    <w:t>1.5</w:t>
                  </w:r>
                </w:p>
              </w:tc>
              <w:tc>
                <w:tcPr>
                  <w:tcW w:w="509" w:type="dxa"/>
                  <w:shd w:val="clear" w:color="auto" w:fill="FFFFFF"/>
                  <w:tcMar>
                    <w:top w:w="0" w:type="dxa"/>
                    <w:left w:w="0" w:type="dxa"/>
                    <w:bottom w:w="0" w:type="dxa"/>
                    <w:right w:w="0" w:type="dxa"/>
                  </w:tcMar>
                  <w:vAlign w:val="center"/>
                </w:tcPr>
                <w:p w14:paraId="15489E7E">
                  <w:pPr>
                    <w:pStyle w:val="30"/>
                    <w:framePr w:hSpace="0" w:wrap="auto" w:vAnchor="margin" w:hAnchor="text" w:xAlign="left" w:yAlign="inline"/>
                    <w:rPr>
                      <w:lang w:val="en-US"/>
                    </w:rPr>
                  </w:pPr>
                  <w:r>
                    <w:rPr>
                      <w:lang w:val="en-US"/>
                    </w:rPr>
                    <w:t>57</w:t>
                  </w:r>
                </w:p>
              </w:tc>
              <w:tc>
                <w:tcPr>
                  <w:tcW w:w="493" w:type="dxa"/>
                  <w:shd w:val="clear" w:color="auto" w:fill="FFFFFF"/>
                  <w:tcMar>
                    <w:top w:w="0" w:type="dxa"/>
                    <w:left w:w="0" w:type="dxa"/>
                    <w:bottom w:w="0" w:type="dxa"/>
                    <w:right w:w="0" w:type="dxa"/>
                  </w:tcMar>
                  <w:vAlign w:val="center"/>
                </w:tcPr>
                <w:p w14:paraId="51A3EA3F">
                  <w:pPr>
                    <w:pStyle w:val="30"/>
                    <w:framePr w:hSpace="0" w:wrap="auto" w:vAnchor="margin" w:hAnchor="text" w:xAlign="left" w:yAlign="inline"/>
                    <w:rPr>
                      <w:lang w:val="en-US"/>
                    </w:rPr>
                  </w:pPr>
                  <w:r>
                    <w:rPr>
                      <w:lang w:val="en-US"/>
                    </w:rPr>
                    <w:t>52.4</w:t>
                  </w:r>
                </w:p>
              </w:tc>
              <w:tc>
                <w:tcPr>
                  <w:tcW w:w="493" w:type="dxa"/>
                  <w:shd w:val="clear" w:color="auto" w:fill="FFFFFF"/>
                  <w:tcMar>
                    <w:top w:w="0" w:type="dxa"/>
                    <w:left w:w="0" w:type="dxa"/>
                    <w:bottom w:w="0" w:type="dxa"/>
                    <w:right w:w="0" w:type="dxa"/>
                  </w:tcMar>
                  <w:vAlign w:val="center"/>
                </w:tcPr>
                <w:p w14:paraId="6C1B1BB9">
                  <w:pPr>
                    <w:pStyle w:val="30"/>
                    <w:framePr w:hSpace="0" w:wrap="auto" w:vAnchor="margin" w:hAnchor="text" w:xAlign="left" w:yAlign="inline"/>
                    <w:rPr>
                      <w:lang w:val="en-US"/>
                    </w:rPr>
                  </w:pPr>
                  <w:r>
                    <w:rPr>
                      <w:lang w:val="en-US"/>
                    </w:rPr>
                    <w:t>53.8</w:t>
                  </w:r>
                </w:p>
              </w:tc>
              <w:tc>
                <w:tcPr>
                  <w:tcW w:w="493" w:type="dxa"/>
                  <w:shd w:val="clear" w:color="auto" w:fill="FFFFFF"/>
                  <w:tcMar>
                    <w:top w:w="0" w:type="dxa"/>
                    <w:left w:w="0" w:type="dxa"/>
                    <w:bottom w:w="0" w:type="dxa"/>
                    <w:right w:w="0" w:type="dxa"/>
                  </w:tcMar>
                  <w:vAlign w:val="center"/>
                </w:tcPr>
                <w:p w14:paraId="48481215">
                  <w:pPr>
                    <w:pStyle w:val="30"/>
                    <w:framePr w:hSpace="0" w:wrap="auto" w:vAnchor="margin" w:hAnchor="text" w:xAlign="left" w:yAlign="inline"/>
                    <w:rPr>
                      <w:lang w:val="en-US"/>
                    </w:rPr>
                  </w:pPr>
                  <w:r>
                    <w:rPr>
                      <w:lang w:val="en-US"/>
                    </w:rPr>
                    <w:t>53.8</w:t>
                  </w:r>
                </w:p>
              </w:tc>
              <w:tc>
                <w:tcPr>
                  <w:tcW w:w="493" w:type="dxa"/>
                  <w:shd w:val="clear" w:color="auto" w:fill="FFFFFF"/>
                  <w:tcMar>
                    <w:top w:w="0" w:type="dxa"/>
                    <w:left w:w="0" w:type="dxa"/>
                    <w:bottom w:w="0" w:type="dxa"/>
                    <w:right w:w="0" w:type="dxa"/>
                  </w:tcMar>
                  <w:vAlign w:val="center"/>
                </w:tcPr>
                <w:p w14:paraId="0ACB6F28">
                  <w:pPr>
                    <w:pStyle w:val="30"/>
                    <w:framePr w:hSpace="0" w:wrap="auto" w:vAnchor="margin" w:hAnchor="text" w:xAlign="left" w:yAlign="inline"/>
                    <w:rPr>
                      <w:lang w:val="en-US"/>
                    </w:rPr>
                  </w:pPr>
                  <w:r>
                    <w:rPr>
                      <w:lang w:val="en-US"/>
                    </w:rPr>
                    <w:t>53.1</w:t>
                  </w:r>
                </w:p>
              </w:tc>
              <w:tc>
                <w:tcPr>
                  <w:tcW w:w="158" w:type="pct"/>
                  <w:vMerge w:val="continue"/>
                  <w:shd w:val="clear" w:color="auto" w:fill="FFFFFF"/>
                  <w:tcMar>
                    <w:top w:w="0" w:type="dxa"/>
                    <w:left w:w="0" w:type="dxa"/>
                    <w:bottom w:w="0" w:type="dxa"/>
                    <w:right w:w="0" w:type="dxa"/>
                  </w:tcMar>
                  <w:vAlign w:val="center"/>
                </w:tcPr>
                <w:p w14:paraId="5FA6B011">
                  <w:pPr>
                    <w:pStyle w:val="30"/>
                    <w:framePr w:hSpace="0" w:wrap="auto" w:vAnchor="margin" w:hAnchor="text" w:xAlign="left" w:yAlign="inline"/>
                    <w:rPr>
                      <w:highlight w:val="red"/>
                      <w:lang w:val="en-US"/>
                    </w:rPr>
                  </w:pPr>
                </w:p>
              </w:tc>
              <w:tc>
                <w:tcPr>
                  <w:tcW w:w="474" w:type="dxa"/>
                  <w:shd w:val="clear" w:color="auto" w:fill="FFFFFF"/>
                  <w:tcMar>
                    <w:top w:w="0" w:type="dxa"/>
                    <w:left w:w="0" w:type="dxa"/>
                    <w:bottom w:w="0" w:type="dxa"/>
                    <w:right w:w="0" w:type="dxa"/>
                  </w:tcMar>
                  <w:vAlign w:val="center"/>
                </w:tcPr>
                <w:p w14:paraId="4F5442F7">
                  <w:pPr>
                    <w:pStyle w:val="30"/>
                    <w:framePr w:hSpace="0" w:wrap="auto" w:vAnchor="margin" w:hAnchor="text" w:xAlign="left" w:yAlign="inline"/>
                  </w:pPr>
                  <w:r>
                    <w:rPr>
                      <w:lang w:val="en-US"/>
                    </w:rPr>
                    <w:t>20</w:t>
                  </w:r>
                </w:p>
              </w:tc>
              <w:tc>
                <w:tcPr>
                  <w:tcW w:w="474" w:type="dxa"/>
                  <w:shd w:val="clear" w:color="auto" w:fill="FFFFFF"/>
                  <w:tcMar>
                    <w:top w:w="0" w:type="dxa"/>
                    <w:left w:w="0" w:type="dxa"/>
                    <w:bottom w:w="0" w:type="dxa"/>
                    <w:right w:w="0" w:type="dxa"/>
                  </w:tcMar>
                  <w:vAlign w:val="center"/>
                </w:tcPr>
                <w:p w14:paraId="21B3BB77">
                  <w:pPr>
                    <w:pStyle w:val="30"/>
                    <w:framePr w:hSpace="0" w:wrap="auto" w:vAnchor="margin" w:hAnchor="text" w:xAlign="left" w:yAlign="inline"/>
                  </w:pPr>
                  <w:r>
                    <w:rPr>
                      <w:lang w:val="en-US"/>
                    </w:rPr>
                    <w:t>20</w:t>
                  </w:r>
                </w:p>
              </w:tc>
              <w:tc>
                <w:tcPr>
                  <w:tcW w:w="474" w:type="dxa"/>
                  <w:shd w:val="clear" w:color="auto" w:fill="FFFFFF"/>
                  <w:tcMar>
                    <w:top w:w="0" w:type="dxa"/>
                    <w:left w:w="0" w:type="dxa"/>
                    <w:bottom w:w="0" w:type="dxa"/>
                    <w:right w:w="0" w:type="dxa"/>
                  </w:tcMar>
                  <w:vAlign w:val="center"/>
                </w:tcPr>
                <w:p w14:paraId="285DB73F">
                  <w:pPr>
                    <w:pStyle w:val="30"/>
                    <w:framePr w:hSpace="0" w:wrap="auto" w:vAnchor="margin" w:hAnchor="text" w:xAlign="left" w:yAlign="inline"/>
                  </w:pPr>
                  <w:r>
                    <w:rPr>
                      <w:lang w:val="en-US"/>
                    </w:rPr>
                    <w:t>20</w:t>
                  </w:r>
                </w:p>
              </w:tc>
              <w:tc>
                <w:tcPr>
                  <w:tcW w:w="477" w:type="dxa"/>
                  <w:shd w:val="clear" w:color="auto" w:fill="FFFFFF"/>
                  <w:tcMar>
                    <w:top w:w="0" w:type="dxa"/>
                    <w:left w:w="0" w:type="dxa"/>
                    <w:bottom w:w="0" w:type="dxa"/>
                    <w:right w:w="0" w:type="dxa"/>
                  </w:tcMar>
                  <w:vAlign w:val="center"/>
                </w:tcPr>
                <w:p w14:paraId="6546259F">
                  <w:pPr>
                    <w:pStyle w:val="30"/>
                    <w:framePr w:hSpace="0" w:wrap="auto" w:vAnchor="margin" w:hAnchor="text" w:xAlign="left" w:yAlign="inline"/>
                  </w:pPr>
                  <w:r>
                    <w:rPr>
                      <w:lang w:val="en-US"/>
                    </w:rPr>
                    <w:t>20</w:t>
                  </w:r>
                </w:p>
              </w:tc>
              <w:tc>
                <w:tcPr>
                  <w:tcW w:w="504" w:type="dxa"/>
                  <w:shd w:val="clear" w:color="auto" w:fill="FFFFFF"/>
                  <w:tcMar>
                    <w:top w:w="0" w:type="dxa"/>
                    <w:left w:w="0" w:type="dxa"/>
                    <w:bottom w:w="0" w:type="dxa"/>
                    <w:right w:w="0" w:type="dxa"/>
                  </w:tcMar>
                  <w:vAlign w:val="center"/>
                </w:tcPr>
                <w:p w14:paraId="3BCAD2D3">
                  <w:pPr>
                    <w:pStyle w:val="30"/>
                    <w:framePr w:hSpace="0" w:wrap="auto" w:vAnchor="margin" w:hAnchor="text" w:xAlign="left" w:yAlign="inline"/>
                    <w:rPr>
                      <w:lang w:val="en-US"/>
                    </w:rPr>
                  </w:pPr>
                  <w:r>
                    <w:rPr>
                      <w:lang w:val="en-US"/>
                    </w:rPr>
                    <w:t>32.4</w:t>
                  </w:r>
                </w:p>
              </w:tc>
              <w:tc>
                <w:tcPr>
                  <w:tcW w:w="504" w:type="dxa"/>
                  <w:shd w:val="clear" w:color="auto" w:fill="FFFFFF"/>
                  <w:tcMar>
                    <w:top w:w="0" w:type="dxa"/>
                    <w:left w:w="0" w:type="dxa"/>
                    <w:bottom w:w="0" w:type="dxa"/>
                    <w:right w:w="0" w:type="dxa"/>
                  </w:tcMar>
                  <w:vAlign w:val="center"/>
                </w:tcPr>
                <w:p w14:paraId="47CFC509">
                  <w:pPr>
                    <w:pStyle w:val="30"/>
                    <w:framePr w:hSpace="0" w:wrap="auto" w:vAnchor="margin" w:hAnchor="text" w:xAlign="left" w:yAlign="inline"/>
                    <w:rPr>
                      <w:lang w:val="en-US"/>
                    </w:rPr>
                  </w:pPr>
                  <w:r>
                    <w:rPr>
                      <w:lang w:val="en-US"/>
                    </w:rPr>
                    <w:t>33.8</w:t>
                  </w:r>
                </w:p>
              </w:tc>
              <w:tc>
                <w:tcPr>
                  <w:tcW w:w="504" w:type="dxa"/>
                  <w:shd w:val="clear" w:color="auto" w:fill="FFFFFF"/>
                  <w:tcMar>
                    <w:top w:w="0" w:type="dxa"/>
                    <w:left w:w="0" w:type="dxa"/>
                    <w:bottom w:w="0" w:type="dxa"/>
                    <w:right w:w="0" w:type="dxa"/>
                  </w:tcMar>
                  <w:vAlign w:val="center"/>
                </w:tcPr>
                <w:p w14:paraId="0B10158D">
                  <w:pPr>
                    <w:pStyle w:val="30"/>
                    <w:framePr w:hSpace="0" w:wrap="auto" w:vAnchor="margin" w:hAnchor="text" w:xAlign="left" w:yAlign="inline"/>
                    <w:rPr>
                      <w:lang w:val="en-US"/>
                    </w:rPr>
                  </w:pPr>
                  <w:r>
                    <w:rPr>
                      <w:lang w:val="en-US"/>
                    </w:rPr>
                    <w:t>33.8</w:t>
                  </w:r>
                </w:p>
              </w:tc>
              <w:tc>
                <w:tcPr>
                  <w:tcW w:w="507" w:type="dxa"/>
                  <w:shd w:val="clear" w:color="auto" w:fill="FFFFFF"/>
                  <w:tcMar>
                    <w:top w:w="0" w:type="dxa"/>
                    <w:left w:w="0" w:type="dxa"/>
                    <w:bottom w:w="0" w:type="dxa"/>
                    <w:right w:w="0" w:type="dxa"/>
                  </w:tcMar>
                  <w:vAlign w:val="center"/>
                </w:tcPr>
                <w:p w14:paraId="13F53DCB">
                  <w:pPr>
                    <w:pStyle w:val="30"/>
                    <w:framePr w:hSpace="0" w:wrap="auto" w:vAnchor="margin" w:hAnchor="text" w:xAlign="left" w:yAlign="inline"/>
                    <w:rPr>
                      <w:lang w:val="en-US"/>
                    </w:rPr>
                  </w:pPr>
                  <w:r>
                    <w:rPr>
                      <w:lang w:val="en-US"/>
                    </w:rPr>
                    <w:t>33.1</w:t>
                  </w:r>
                </w:p>
              </w:tc>
              <w:tc>
                <w:tcPr>
                  <w:tcW w:w="729" w:type="dxa"/>
                  <w:shd w:val="clear" w:color="auto" w:fill="FFFFFF"/>
                  <w:tcMar>
                    <w:top w:w="0" w:type="dxa"/>
                    <w:left w:w="0" w:type="dxa"/>
                    <w:bottom w:w="0" w:type="dxa"/>
                    <w:right w:w="0" w:type="dxa"/>
                  </w:tcMar>
                  <w:vAlign w:val="center"/>
                </w:tcPr>
                <w:p w14:paraId="50532DFF">
                  <w:pPr>
                    <w:pStyle w:val="30"/>
                    <w:framePr w:hSpace="0" w:wrap="auto" w:vAnchor="margin" w:hAnchor="text" w:xAlign="left" w:yAlign="inline"/>
                    <w:rPr>
                      <w:highlight w:val="red"/>
                    </w:rPr>
                  </w:pPr>
                  <w:r>
                    <w:t>1</w:t>
                  </w:r>
                </w:p>
              </w:tc>
            </w:tr>
            <w:bookmarkEnd w:id="61"/>
          </w:tbl>
          <w:p w14:paraId="56A6768A">
            <w:pPr>
              <w:ind w:firstLine="480"/>
            </w:pPr>
            <w:r>
              <w:rPr>
                <w:rFonts w:hint="eastAsia"/>
                <w:bCs/>
                <w:sz w:val="18"/>
                <w:szCs w:val="13"/>
              </w:rPr>
              <w:t>表中坐标以厂界西南角（116.969644350,32.646857533）为坐标原点，正东向为X轴正方向，正北向为Y轴正方向。</w:t>
            </w:r>
          </w:p>
        </w:tc>
      </w:tr>
      <w:tr w14:paraId="3FA4612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771" w:hRule="atLeast"/>
          <w:jc w:val="center"/>
        </w:trPr>
        <w:tc>
          <w:tcPr>
            <w:tcW w:w="470" w:type="dxa"/>
            <w:tcMar>
              <w:left w:w="28" w:type="dxa"/>
              <w:right w:w="28" w:type="dxa"/>
            </w:tcMar>
            <w:vAlign w:val="center"/>
          </w:tcPr>
          <w:p w14:paraId="4CF6B510">
            <w:pPr>
              <w:adjustRightInd w:val="0"/>
              <w:snapToGrid w:val="0"/>
              <w:jc w:val="center"/>
              <w:rPr>
                <w:rFonts w:ascii="Calibri" w:hAnsi="Calibri"/>
                <w:kern w:val="2"/>
                <w:sz w:val="21"/>
                <w:szCs w:val="21"/>
              </w:rPr>
            </w:pPr>
          </w:p>
        </w:tc>
        <w:tc>
          <w:tcPr>
            <w:tcW w:w="14194" w:type="dxa"/>
          </w:tcPr>
          <w:p w14:paraId="2AC63CCA">
            <w:pPr>
              <w:ind w:firstLine="480"/>
              <w:rPr>
                <w:bCs/>
                <w:sz w:val="18"/>
                <w:szCs w:val="13"/>
                <w:highlight w:val="red"/>
              </w:rPr>
            </w:pPr>
          </w:p>
        </w:tc>
      </w:tr>
    </w:tbl>
    <w:p w14:paraId="22F6B544">
      <w:pPr>
        <w:sectPr>
          <w:pgSz w:w="16838" w:h="11906" w:orient="landscape"/>
          <w:pgMar w:top="1800" w:right="1440" w:bottom="1800" w:left="1440" w:header="851" w:footer="992" w:gutter="0"/>
          <w:cols w:space="425" w:num="1"/>
          <w:docGrid w:type="lines" w:linePitch="312" w:charSpace="0"/>
        </w:sectPr>
      </w:pPr>
    </w:p>
    <w:tbl>
      <w:tblPr>
        <w:tblStyle w:val="23"/>
        <w:tblpPr w:leftFromText="180" w:rightFromText="180" w:vertAnchor="text" w:tblpXSpec="center" w:tblpY="1"/>
        <w:tblOverlap w:val="never"/>
        <w:tblW w:w="5000" w:type="pct"/>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44"/>
        <w:gridCol w:w="7998"/>
      </w:tblGrid>
      <w:tr w14:paraId="51A2586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82" w:hRule="atLeast"/>
        </w:trPr>
        <w:tc>
          <w:tcPr>
            <w:tcW w:w="588" w:type="dxa"/>
            <w:tcMar>
              <w:left w:w="28" w:type="dxa"/>
              <w:right w:w="28" w:type="dxa"/>
            </w:tcMar>
            <w:vAlign w:val="center"/>
          </w:tcPr>
          <w:p w14:paraId="54016E27">
            <w:pPr>
              <w:adjustRightInd w:val="0"/>
              <w:snapToGrid w:val="0"/>
              <w:jc w:val="center"/>
              <w:rPr>
                <w:rFonts w:ascii="Calibri" w:hAnsi="Calibri"/>
                <w:color w:val="auto"/>
                <w:kern w:val="2"/>
                <w:sz w:val="21"/>
                <w:szCs w:val="21"/>
              </w:rPr>
            </w:pPr>
            <w:r>
              <w:rPr>
                <w:rFonts w:ascii="Calibri" w:hAnsi="Calibri"/>
                <w:color w:val="auto"/>
                <w:kern w:val="2"/>
                <w:sz w:val="21"/>
                <w:szCs w:val="21"/>
              </w:rPr>
              <w:t>运营</w:t>
            </w:r>
          </w:p>
          <w:p w14:paraId="24713AD9">
            <w:pPr>
              <w:adjustRightInd w:val="0"/>
              <w:snapToGrid w:val="0"/>
              <w:jc w:val="center"/>
              <w:rPr>
                <w:rFonts w:ascii="Calibri" w:hAnsi="Calibri"/>
                <w:color w:val="auto"/>
                <w:kern w:val="2"/>
                <w:sz w:val="21"/>
                <w:szCs w:val="21"/>
              </w:rPr>
            </w:pPr>
            <w:r>
              <w:rPr>
                <w:rFonts w:ascii="Calibri" w:hAnsi="Calibri"/>
                <w:color w:val="auto"/>
                <w:kern w:val="2"/>
                <w:sz w:val="21"/>
                <w:szCs w:val="21"/>
              </w:rPr>
              <w:t>期环</w:t>
            </w:r>
          </w:p>
          <w:p w14:paraId="4E17ED58">
            <w:pPr>
              <w:adjustRightInd w:val="0"/>
              <w:snapToGrid w:val="0"/>
              <w:jc w:val="center"/>
              <w:rPr>
                <w:rFonts w:ascii="Calibri" w:hAnsi="Calibri"/>
                <w:color w:val="auto"/>
                <w:kern w:val="2"/>
                <w:sz w:val="21"/>
                <w:szCs w:val="21"/>
              </w:rPr>
            </w:pPr>
            <w:r>
              <w:rPr>
                <w:rFonts w:ascii="Calibri" w:hAnsi="Calibri"/>
                <w:color w:val="auto"/>
                <w:kern w:val="2"/>
                <w:sz w:val="21"/>
                <w:szCs w:val="21"/>
              </w:rPr>
              <w:t>境影</w:t>
            </w:r>
          </w:p>
          <w:p w14:paraId="573C4E13">
            <w:pPr>
              <w:adjustRightInd w:val="0"/>
              <w:snapToGrid w:val="0"/>
              <w:jc w:val="center"/>
              <w:rPr>
                <w:rFonts w:ascii="Calibri" w:hAnsi="Calibri"/>
                <w:color w:val="auto"/>
                <w:kern w:val="2"/>
                <w:sz w:val="21"/>
                <w:szCs w:val="21"/>
              </w:rPr>
            </w:pPr>
            <w:r>
              <w:rPr>
                <w:rFonts w:ascii="Calibri" w:hAnsi="Calibri"/>
                <w:color w:val="auto"/>
                <w:kern w:val="2"/>
                <w:sz w:val="21"/>
                <w:szCs w:val="21"/>
              </w:rPr>
              <w:t>响和</w:t>
            </w:r>
          </w:p>
          <w:p w14:paraId="3AB63CF7">
            <w:pPr>
              <w:adjustRightInd w:val="0"/>
              <w:snapToGrid w:val="0"/>
              <w:jc w:val="center"/>
              <w:rPr>
                <w:rFonts w:ascii="Calibri" w:hAnsi="Calibri"/>
                <w:color w:val="auto"/>
                <w:kern w:val="2"/>
                <w:sz w:val="21"/>
                <w:szCs w:val="21"/>
              </w:rPr>
            </w:pPr>
            <w:r>
              <w:rPr>
                <w:rFonts w:ascii="Calibri" w:hAnsi="Calibri"/>
                <w:color w:val="auto"/>
                <w:kern w:val="2"/>
                <w:sz w:val="21"/>
                <w:szCs w:val="21"/>
              </w:rPr>
              <w:t>保护</w:t>
            </w:r>
          </w:p>
          <w:p w14:paraId="335EBB59">
            <w:pPr>
              <w:adjustRightInd w:val="0"/>
              <w:snapToGrid w:val="0"/>
              <w:jc w:val="center"/>
              <w:rPr>
                <w:rFonts w:ascii="Calibri" w:hAnsi="Calibri"/>
                <w:b/>
                <w:bCs/>
                <w:color w:val="auto"/>
                <w:kern w:val="2"/>
                <w:sz w:val="21"/>
                <w:szCs w:val="21"/>
              </w:rPr>
            </w:pPr>
            <w:r>
              <w:rPr>
                <w:rFonts w:ascii="Calibri" w:hAnsi="Calibri"/>
                <w:color w:val="auto"/>
                <w:kern w:val="2"/>
                <w:sz w:val="21"/>
                <w:szCs w:val="21"/>
              </w:rPr>
              <w:t>措施</w:t>
            </w:r>
          </w:p>
        </w:tc>
        <w:tc>
          <w:tcPr>
            <w:tcW w:w="10884" w:type="dxa"/>
            <w:shd w:val="clear" w:color="auto" w:fill="auto"/>
            <w:vAlign w:val="center"/>
          </w:tcPr>
          <w:p w14:paraId="76ED008E">
            <w:pPr>
              <w:rPr>
                <w:b/>
                <w:bCs/>
                <w:color w:val="auto"/>
                <w:shd w:val="clear" w:color="auto" w:fill="FFFFFF"/>
              </w:rPr>
            </w:pPr>
            <w:r>
              <w:rPr>
                <w:rFonts w:eastAsiaTheme="minorEastAsia"/>
                <w:b/>
                <w:bCs/>
                <w:color w:val="auto"/>
                <w:shd w:val="clear" w:color="auto" w:fill="FFFFFF"/>
              </w:rPr>
              <w:t>4.4.2</w:t>
            </w:r>
            <w:r>
              <w:rPr>
                <w:rFonts w:hint="eastAsia"/>
                <w:b/>
                <w:bCs/>
                <w:color w:val="auto"/>
                <w:shd w:val="clear" w:color="auto" w:fill="FFFFFF"/>
              </w:rPr>
              <w:t>项目噪声预测情况</w:t>
            </w:r>
          </w:p>
          <w:p w14:paraId="3BD7830D">
            <w:pPr>
              <w:rPr>
                <w:color w:val="auto"/>
              </w:rPr>
            </w:pPr>
            <w:r>
              <w:rPr>
                <w:rFonts w:hint="eastAsia"/>
                <w:color w:val="auto"/>
              </w:rPr>
              <w:t>1、</w:t>
            </w:r>
            <w:r>
              <w:rPr>
                <w:color w:val="auto"/>
              </w:rPr>
              <w:t>预测模式</w:t>
            </w:r>
          </w:p>
          <w:p w14:paraId="2BF0EB0D">
            <w:pPr>
              <w:ind w:firstLine="480" w:firstLineChars="200"/>
              <w:rPr>
                <w:color w:val="auto"/>
              </w:rPr>
            </w:pPr>
            <w:r>
              <w:rPr>
                <w:color w:val="auto"/>
              </w:rPr>
              <w:t>根据项目建设内容及《环境影响评价技术导则—声环境》（HJ2.4-2021）的要求，项目环评釆用环安噪声环境影响评价系统。该软件计算工业噪声时采用的模型为《环境影响评价技术导则 声环境》</w:t>
            </w:r>
            <w:r>
              <w:rPr>
                <w:rFonts w:hint="eastAsia"/>
                <w:color w:val="auto"/>
              </w:rPr>
              <w:t>（</w:t>
            </w:r>
            <w:r>
              <w:rPr>
                <w:color w:val="auto"/>
              </w:rPr>
              <w:t>HJ2.4.2021</w:t>
            </w:r>
            <w:r>
              <w:rPr>
                <w:rFonts w:hint="eastAsia"/>
                <w:color w:val="auto"/>
              </w:rPr>
              <w:t>）</w:t>
            </w:r>
            <w:r>
              <w:rPr>
                <w:color w:val="auto"/>
              </w:rPr>
              <w:t>附录B（规范性附录）中“B.1工业噪声预测计算模型”。</w:t>
            </w:r>
          </w:p>
          <w:p w14:paraId="33678517">
            <w:pPr>
              <w:ind w:firstLine="480" w:firstLineChars="200"/>
              <w:rPr>
                <w:color w:val="auto"/>
              </w:rPr>
            </w:pPr>
            <w:r>
              <w:rPr>
                <w:color w:val="auto"/>
              </w:rPr>
              <w:t>声环境影响预测时，一般采用声源的倍频带声功率级，A声功率级或靠近声源某一位置的倍频带声压级，A声级来预测计算距声源不同距离的声级。分别计算室外和室内两种工业声源。</w:t>
            </w:r>
          </w:p>
          <w:p w14:paraId="046384FF">
            <w:pPr>
              <w:ind w:firstLine="480" w:firstLineChars="200"/>
              <w:rPr>
                <w:color w:val="auto"/>
              </w:rPr>
            </w:pPr>
            <w:r>
              <w:rPr>
                <w:rFonts w:hint="eastAsia"/>
                <w:color w:val="auto"/>
              </w:rPr>
              <w:t>（1）</w:t>
            </w:r>
            <w:r>
              <w:rPr>
                <w:color w:val="auto"/>
              </w:rPr>
              <w:t>室内声源等效室外声源声功率级计算方法</w:t>
            </w:r>
          </w:p>
          <w:p w14:paraId="4FFBC77F">
            <w:pPr>
              <w:ind w:firstLine="480" w:firstLineChars="200"/>
              <w:rPr>
                <w:color w:val="auto"/>
              </w:rPr>
            </w:pPr>
            <w:r>
              <w:rPr>
                <w:color w:val="auto"/>
              </w:rPr>
              <w:t>如图1所示，声源位于室内，室内声源可采用等效室外声源声功率级法进行计算。设靠近开口处（或窗户）室内、室外某倍频带的声压级分别为Lp1和Lp2。若声源所在室内声场为近似扩散声场，式4-1计算某一室内声源靠近围护结构处产生的倍频带声压级：</w:t>
            </w:r>
          </w:p>
          <w:p w14:paraId="7C7AFB25">
            <w:pPr>
              <w:autoSpaceDE w:val="0"/>
              <w:autoSpaceDN w:val="0"/>
              <w:adjustRightInd w:val="0"/>
              <w:spacing w:line="360" w:lineRule="auto"/>
              <w:ind w:firstLine="2"/>
              <w:jc w:val="center"/>
              <w:rPr>
                <w:rFonts w:ascii="Calibri" w:hAnsi="Calibri"/>
                <w:color w:val="auto"/>
                <w:kern w:val="2"/>
                <w:sz w:val="21"/>
                <w:szCs w:val="21"/>
              </w:rPr>
            </w:pPr>
            <w:r>
              <w:rPr>
                <w:rFonts w:ascii="Calibri" w:hAnsi="Calibri"/>
                <w:color w:val="auto"/>
                <w:kern w:val="2"/>
                <w:sz w:val="21"/>
                <w:szCs w:val="21"/>
              </w:rPr>
              <w:drawing>
                <wp:inline distT="0" distB="0" distL="0" distR="0">
                  <wp:extent cx="2671445" cy="1209040"/>
                  <wp:effectExtent l="0" t="0" r="14605" b="10160"/>
                  <wp:docPr id="1276776284"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776284" name="图片 12"/>
                          <pic:cNvPicPr>
                            <a:picLocks noChangeAspect="1" noChangeArrowheads="1"/>
                          </pic:cNvPicPr>
                        </pic:nvPicPr>
                        <pic:blipFill>
                          <a:blip r:embed="rId32">
                            <a:extLst>
                              <a:ext uri="{28A0092B-C50C-407E-A947-70E740481C1C}">
                                <a14:useLocalDpi xmlns:a14="http://schemas.microsoft.com/office/drawing/2010/main" val="0"/>
                              </a:ext>
                            </a:extLst>
                          </a:blip>
                          <a:srcRect t="7907" b="6047"/>
                          <a:stretch>
                            <a:fillRect/>
                          </a:stretch>
                        </pic:blipFill>
                        <pic:spPr>
                          <a:xfrm>
                            <a:off x="0" y="0"/>
                            <a:ext cx="2746900" cy="1243635"/>
                          </a:xfrm>
                          <a:prstGeom prst="rect">
                            <a:avLst/>
                          </a:prstGeom>
                          <a:noFill/>
                          <a:ln>
                            <a:noFill/>
                          </a:ln>
                        </pic:spPr>
                      </pic:pic>
                    </a:graphicData>
                  </a:graphic>
                </wp:inline>
              </w:drawing>
            </w:r>
          </w:p>
          <w:p w14:paraId="66E331A0">
            <w:pPr>
              <w:pStyle w:val="6"/>
              <w:adjustRightInd w:val="0"/>
              <w:snapToGrid w:val="0"/>
              <w:rPr>
                <w:rFonts w:ascii="Calibri" w:hAnsi="Calibri"/>
                <w:color w:val="auto"/>
                <w:kern w:val="2"/>
              </w:rPr>
            </w:pPr>
            <w:r>
              <w:rPr>
                <w:color w:val="auto"/>
              </w:rPr>
              <w:t xml:space="preserve">图 </w:t>
            </w:r>
            <w:r>
              <w:rPr>
                <w:rFonts w:hint="eastAsia"/>
                <w:color w:val="auto"/>
              </w:rPr>
              <w:t>4-</w:t>
            </w:r>
            <w:r>
              <w:rPr>
                <w:color w:val="auto"/>
              </w:rPr>
              <w:fldChar w:fldCharType="begin"/>
            </w:r>
            <w:r>
              <w:rPr>
                <w:color w:val="auto"/>
              </w:rPr>
              <w:instrText xml:space="preserve"> SEQ 图 \* ARABIC \s 1 </w:instrText>
            </w:r>
            <w:r>
              <w:rPr>
                <w:color w:val="auto"/>
              </w:rPr>
              <w:fldChar w:fldCharType="separate"/>
            </w:r>
            <w:r>
              <w:rPr>
                <w:color w:val="auto"/>
              </w:rPr>
              <w:t>1</w:t>
            </w:r>
            <w:r>
              <w:rPr>
                <w:color w:val="auto"/>
              </w:rPr>
              <w:fldChar w:fldCharType="end"/>
            </w:r>
            <w:r>
              <w:rPr>
                <w:color w:val="auto"/>
              </w:rPr>
              <w:t>室内声源等效为室外声源图</w:t>
            </w:r>
            <w:r>
              <w:rPr>
                <w:rFonts w:ascii="Calibri" w:hAnsi="Calibri"/>
                <w:color w:val="auto"/>
                <w:kern w:val="2"/>
              </w:rPr>
              <w:t>例</w:t>
            </w:r>
            <w:r>
              <w:rPr>
                <w:b w:val="0"/>
                <w:color w:val="auto"/>
              </w:rPr>
              <w:drawing>
                <wp:anchor distT="0" distB="0" distL="114300" distR="114300" simplePos="0" relativeHeight="251663360" behindDoc="0" locked="0" layoutInCell="1" allowOverlap="1">
                  <wp:simplePos x="0" y="0"/>
                  <wp:positionH relativeFrom="column">
                    <wp:posOffset>1748155</wp:posOffset>
                  </wp:positionH>
                  <wp:positionV relativeFrom="paragraph">
                    <wp:posOffset>204470</wp:posOffset>
                  </wp:positionV>
                  <wp:extent cx="1716405" cy="431800"/>
                  <wp:effectExtent l="0" t="0" r="17145" b="5715"/>
                  <wp:wrapNone/>
                  <wp:docPr id="37" name="Object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Object 288"/>
                          <pic:cNvPicPr>
                            <a:picLocks noChangeAspect="1"/>
                          </pic:cNvPicPr>
                        </pic:nvPicPr>
                        <pic:blipFill>
                          <a:blip r:embed="rId33"/>
                          <a:stretch>
                            <a:fillRect/>
                          </a:stretch>
                        </pic:blipFill>
                        <pic:spPr>
                          <a:xfrm>
                            <a:off x="0" y="0"/>
                            <a:ext cx="1716405" cy="431800"/>
                          </a:xfrm>
                          <a:prstGeom prst="rect">
                            <a:avLst/>
                          </a:prstGeom>
                          <a:noFill/>
                          <a:ln>
                            <a:noFill/>
                          </a:ln>
                        </pic:spPr>
                      </pic:pic>
                    </a:graphicData>
                  </a:graphic>
                </wp:anchor>
              </w:drawing>
            </w:r>
          </w:p>
          <w:p w14:paraId="042EB364">
            <w:pPr>
              <w:adjustRightInd w:val="0"/>
              <w:snapToGrid w:val="0"/>
              <w:spacing w:line="480" w:lineRule="exact"/>
              <w:ind w:firstLine="3150" w:firstLineChars="1500"/>
              <w:outlineLvl w:val="2"/>
              <w:rPr>
                <w:rFonts w:ascii="Calibri" w:hAnsi="Calibri"/>
                <w:bCs/>
                <w:color w:val="auto"/>
                <w:kern w:val="2"/>
                <w:sz w:val="21"/>
                <w:szCs w:val="21"/>
              </w:rPr>
            </w:pPr>
            <w:r>
              <w:rPr>
                <w:rFonts w:ascii="Calibri" w:hAnsi="Calibri"/>
                <w:bCs/>
                <w:color w:val="auto"/>
                <w:kern w:val="2"/>
                <w:sz w:val="21"/>
                <w:szCs w:val="21"/>
              </w:rPr>
              <w:t>（式4-1）</w:t>
            </w:r>
          </w:p>
          <w:p w14:paraId="186FDAD5">
            <w:pPr>
              <w:ind w:firstLine="480"/>
              <w:rPr>
                <w:bCs/>
                <w:color w:val="auto"/>
                <w:shd w:val="clear" w:color="auto" w:fill="FFFFFF"/>
              </w:rPr>
            </w:pPr>
            <w:r>
              <w:rPr>
                <w:bCs/>
                <w:color w:val="auto"/>
                <w:shd w:val="clear" w:color="auto" w:fill="FFFFFF"/>
              </w:rPr>
              <w:t>式中：</w:t>
            </w:r>
          </w:p>
          <w:p w14:paraId="5095C580">
            <w:pPr>
              <w:ind w:firstLine="480"/>
              <w:rPr>
                <w:bCs/>
                <w:color w:val="auto"/>
                <w:shd w:val="clear" w:color="auto" w:fill="FFFFFF"/>
              </w:rPr>
            </w:pPr>
            <w:r>
              <w:rPr>
                <w:bCs/>
                <w:i/>
                <w:iCs/>
                <w:color w:val="auto"/>
                <w:shd w:val="clear" w:color="auto" w:fill="FFFFFF"/>
              </w:rPr>
              <w:t>L</w:t>
            </w:r>
            <w:r>
              <w:rPr>
                <w:bCs/>
                <w:i/>
                <w:iCs/>
                <w:color w:val="auto"/>
                <w:shd w:val="clear" w:color="auto" w:fill="FFFFFF"/>
                <w:vertAlign w:val="subscript"/>
              </w:rPr>
              <w:t>p1</w:t>
            </w:r>
            <w:r>
              <w:rPr>
                <w:bCs/>
                <w:color w:val="auto"/>
                <w:shd w:val="clear" w:color="auto" w:fill="FFFFFF"/>
              </w:rPr>
              <w:t xml:space="preserve">—靠近开口处（或窗户）室内某倍频带的声压级或A声级，dB； </w:t>
            </w:r>
          </w:p>
          <w:p w14:paraId="47258864">
            <w:pPr>
              <w:ind w:firstLine="480"/>
              <w:rPr>
                <w:bCs/>
                <w:color w:val="auto"/>
                <w:shd w:val="clear" w:color="auto" w:fill="FFFFFF"/>
              </w:rPr>
            </w:pPr>
            <w:r>
              <w:rPr>
                <w:bCs/>
                <w:i/>
                <w:iCs/>
                <w:color w:val="auto"/>
                <w:shd w:val="clear" w:color="auto" w:fill="FFFFFF"/>
              </w:rPr>
              <w:t>L</w:t>
            </w:r>
            <w:r>
              <w:rPr>
                <w:bCs/>
                <w:i/>
                <w:iCs/>
                <w:color w:val="auto"/>
                <w:shd w:val="clear" w:color="auto" w:fill="FFFFFF"/>
                <w:vertAlign w:val="subscript"/>
              </w:rPr>
              <w:t>w</w:t>
            </w:r>
            <w:r>
              <w:rPr>
                <w:bCs/>
                <w:color w:val="auto"/>
                <w:shd w:val="clear" w:color="auto" w:fill="FFFFFF"/>
              </w:rPr>
              <w:t>—点声源声功率级（A计权或倍频带），dB；</w:t>
            </w:r>
          </w:p>
          <w:p w14:paraId="6EEF354E">
            <w:pPr>
              <w:ind w:firstLine="480"/>
              <w:rPr>
                <w:bCs/>
                <w:color w:val="auto"/>
                <w:shd w:val="clear" w:color="auto" w:fill="FFFFFF"/>
              </w:rPr>
            </w:pPr>
            <w:r>
              <w:rPr>
                <w:bCs/>
                <w:i/>
                <w:iCs/>
                <w:color w:val="auto"/>
                <w:shd w:val="clear" w:color="auto" w:fill="FFFFFF"/>
              </w:rPr>
              <w:t>Q</w:t>
            </w:r>
            <w:r>
              <w:rPr>
                <w:bCs/>
                <w:color w:val="auto"/>
                <w:shd w:val="clear" w:color="auto" w:fill="FFFFFF"/>
              </w:rPr>
              <w:t xml:space="preserve"> —指向性因数：通常对无指向性声源，当声源放在房间中心时，</w:t>
            </w:r>
            <w:r>
              <w:rPr>
                <w:bCs/>
                <w:i/>
                <w:iCs/>
                <w:color w:val="auto"/>
                <w:shd w:val="clear" w:color="auto" w:fill="FFFFFF"/>
              </w:rPr>
              <w:t>Q</w:t>
            </w:r>
            <w:r>
              <w:rPr>
                <w:bCs/>
                <w:color w:val="auto"/>
                <w:shd w:val="clear" w:color="auto" w:fill="FFFFFF"/>
              </w:rPr>
              <w:t>=1；当放在一面墙的中心时，</w:t>
            </w:r>
            <w:r>
              <w:rPr>
                <w:bCs/>
                <w:i/>
                <w:iCs/>
                <w:color w:val="auto"/>
                <w:shd w:val="clear" w:color="auto" w:fill="FFFFFF"/>
              </w:rPr>
              <w:t>Q</w:t>
            </w:r>
            <w:r>
              <w:rPr>
                <w:bCs/>
                <w:color w:val="auto"/>
                <w:shd w:val="clear" w:color="auto" w:fill="FFFFFF"/>
              </w:rPr>
              <w:t>=2；当放在两面墙夹角处时，</w:t>
            </w:r>
            <w:r>
              <w:rPr>
                <w:bCs/>
                <w:i/>
                <w:iCs/>
                <w:color w:val="auto"/>
                <w:shd w:val="clear" w:color="auto" w:fill="FFFFFF"/>
              </w:rPr>
              <w:t>Q</w:t>
            </w:r>
            <w:r>
              <w:rPr>
                <w:bCs/>
                <w:color w:val="auto"/>
                <w:shd w:val="clear" w:color="auto" w:fill="FFFFFF"/>
              </w:rPr>
              <w:t>=4；当放在三面墙夹角处时，</w:t>
            </w:r>
            <w:r>
              <w:rPr>
                <w:bCs/>
                <w:i/>
                <w:iCs/>
                <w:color w:val="auto"/>
                <w:shd w:val="clear" w:color="auto" w:fill="FFFFFF"/>
              </w:rPr>
              <w:t>Q</w:t>
            </w:r>
            <w:r>
              <w:rPr>
                <w:bCs/>
                <w:color w:val="auto"/>
                <w:shd w:val="clear" w:color="auto" w:fill="FFFFFF"/>
              </w:rPr>
              <w:t>=8。</w:t>
            </w:r>
          </w:p>
          <w:p w14:paraId="42973785">
            <w:pPr>
              <w:ind w:firstLine="480"/>
              <w:rPr>
                <w:bCs/>
                <w:color w:val="auto"/>
                <w:shd w:val="clear" w:color="auto" w:fill="FFFFFF"/>
              </w:rPr>
            </w:pPr>
            <w:r>
              <w:rPr>
                <w:bCs/>
                <w:i/>
                <w:iCs/>
                <w:color w:val="auto"/>
                <w:shd w:val="clear" w:color="auto" w:fill="FFFFFF"/>
              </w:rPr>
              <w:t>R</w:t>
            </w:r>
            <w:r>
              <w:rPr>
                <w:bCs/>
                <w:color w:val="auto"/>
                <w:shd w:val="clear" w:color="auto" w:fill="FFFFFF"/>
              </w:rPr>
              <w:t>—房间常数：</w:t>
            </w:r>
            <w:r>
              <w:rPr>
                <w:bCs/>
                <w:i/>
                <w:iCs/>
                <w:color w:val="auto"/>
                <w:shd w:val="clear" w:color="auto" w:fill="FFFFFF"/>
              </w:rPr>
              <w:t>R=Sα/</w:t>
            </w:r>
            <w:r>
              <w:rPr>
                <w:rFonts w:hint="eastAsia"/>
                <w:bCs/>
                <w:i/>
                <w:iCs/>
                <w:color w:val="auto"/>
                <w:shd w:val="clear" w:color="auto" w:fill="FFFFFF"/>
              </w:rPr>
              <w:t>（</w:t>
            </w:r>
            <w:r>
              <w:rPr>
                <w:bCs/>
                <w:i/>
                <w:iCs/>
                <w:color w:val="auto"/>
                <w:shd w:val="clear" w:color="auto" w:fill="FFFFFF"/>
              </w:rPr>
              <w:t>1−α</w:t>
            </w:r>
            <w:r>
              <w:rPr>
                <w:rFonts w:hint="eastAsia"/>
                <w:bCs/>
                <w:i/>
                <w:iCs/>
                <w:color w:val="auto"/>
                <w:shd w:val="clear" w:color="auto" w:fill="FFFFFF"/>
              </w:rPr>
              <w:t>）</w:t>
            </w:r>
            <w:r>
              <w:rPr>
                <w:bCs/>
                <w:color w:val="auto"/>
                <w:shd w:val="clear" w:color="auto" w:fill="FFFFFF"/>
              </w:rPr>
              <w:t>，</w:t>
            </w:r>
            <w:r>
              <w:rPr>
                <w:bCs/>
                <w:i/>
                <w:iCs/>
                <w:color w:val="auto"/>
                <w:shd w:val="clear" w:color="auto" w:fill="FFFFFF"/>
              </w:rPr>
              <w:t>S</w:t>
            </w:r>
            <w:r>
              <w:rPr>
                <w:bCs/>
                <w:color w:val="auto"/>
                <w:shd w:val="clear" w:color="auto" w:fill="FFFFFF"/>
              </w:rPr>
              <w:t>为房间内表面面积，m</w:t>
            </w:r>
            <w:r>
              <w:rPr>
                <w:bCs/>
                <w:color w:val="auto"/>
                <w:shd w:val="clear" w:color="auto" w:fill="FFFFFF"/>
                <w:vertAlign w:val="superscript"/>
              </w:rPr>
              <w:t>2</w:t>
            </w:r>
            <w:r>
              <w:rPr>
                <w:bCs/>
                <w:color w:val="auto"/>
                <w:shd w:val="clear" w:color="auto" w:fill="FFFFFF"/>
              </w:rPr>
              <w:t>；</w:t>
            </w:r>
            <w:r>
              <w:rPr>
                <w:bCs/>
                <w:i/>
                <w:iCs/>
                <w:color w:val="auto"/>
                <w:shd w:val="clear" w:color="auto" w:fill="FFFFFF"/>
              </w:rPr>
              <w:t>α</w:t>
            </w:r>
            <w:r>
              <w:rPr>
                <w:bCs/>
                <w:color w:val="auto"/>
                <w:shd w:val="clear" w:color="auto" w:fill="FFFFFF"/>
              </w:rPr>
              <w:t>为平均吸声系数。</w:t>
            </w:r>
          </w:p>
          <w:p w14:paraId="3616BD7D">
            <w:pPr>
              <w:ind w:firstLine="480"/>
              <w:rPr>
                <w:bCs/>
                <w:color w:val="auto"/>
                <w:shd w:val="clear" w:color="auto" w:fill="FFFFFF"/>
              </w:rPr>
            </w:pPr>
            <w:r>
              <w:rPr>
                <w:bCs/>
                <w:i/>
                <w:iCs/>
                <w:color w:val="auto"/>
                <w:shd w:val="clear" w:color="auto" w:fill="FFFFFF"/>
              </w:rPr>
              <w:t>r</w:t>
            </w:r>
            <w:r>
              <w:rPr>
                <w:bCs/>
                <w:color w:val="auto"/>
                <w:shd w:val="clear" w:color="auto" w:fill="FFFFFF"/>
              </w:rPr>
              <w:t>—声源到靠近围护结构某点处的距离，m。</w:t>
            </w:r>
          </w:p>
          <w:p w14:paraId="372582A5">
            <w:pPr>
              <w:ind w:firstLine="480"/>
              <w:rPr>
                <w:bCs/>
                <w:color w:val="auto"/>
                <w:shd w:val="clear" w:color="auto" w:fill="FFFFFF"/>
              </w:rPr>
            </w:pPr>
            <w:r>
              <w:rPr>
                <w:bCs/>
                <w:color w:val="auto"/>
                <w:position w:val="-32"/>
                <w:shd w:val="clear" w:color="auto" w:fill="FFFFFF"/>
              </w:rPr>
              <w:drawing>
                <wp:anchor distT="0" distB="0" distL="114300" distR="114300" simplePos="0" relativeHeight="251664384" behindDoc="0" locked="0" layoutInCell="1" allowOverlap="1">
                  <wp:simplePos x="0" y="0"/>
                  <wp:positionH relativeFrom="column">
                    <wp:posOffset>1880870</wp:posOffset>
                  </wp:positionH>
                  <wp:positionV relativeFrom="paragraph">
                    <wp:posOffset>276860</wp:posOffset>
                  </wp:positionV>
                  <wp:extent cx="1487170" cy="482600"/>
                  <wp:effectExtent l="0" t="0" r="17780" b="13335"/>
                  <wp:wrapNone/>
                  <wp:docPr id="38" name="Object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Object 289"/>
                          <pic:cNvPicPr>
                            <a:picLocks noChangeAspect="1"/>
                          </pic:cNvPicPr>
                        </pic:nvPicPr>
                        <pic:blipFill>
                          <a:blip r:embed="rId34"/>
                          <a:stretch>
                            <a:fillRect/>
                          </a:stretch>
                        </pic:blipFill>
                        <pic:spPr>
                          <a:xfrm>
                            <a:off x="0" y="0"/>
                            <a:ext cx="1487170" cy="482600"/>
                          </a:xfrm>
                          <a:prstGeom prst="rect">
                            <a:avLst/>
                          </a:prstGeom>
                          <a:noFill/>
                          <a:ln>
                            <a:noFill/>
                          </a:ln>
                        </pic:spPr>
                      </pic:pic>
                    </a:graphicData>
                  </a:graphic>
                </wp:anchor>
              </w:drawing>
            </w:r>
            <w:r>
              <w:rPr>
                <w:bCs/>
                <w:color w:val="auto"/>
                <w:shd w:val="clear" w:color="auto" w:fill="FFFFFF"/>
              </w:rPr>
              <w:t>然后按式4-2计算出所有室内声源在围护结构处产生的i倍频带叠加声压级：</w:t>
            </w:r>
          </w:p>
          <w:p w14:paraId="5AF46176">
            <w:pPr>
              <w:ind w:firstLine="480"/>
              <w:rPr>
                <w:bCs/>
                <w:color w:val="auto"/>
              </w:rPr>
            </w:pPr>
            <w:r>
              <w:rPr>
                <w:bCs/>
                <w:color w:val="auto"/>
              </w:rPr>
              <w:t xml:space="preserve">                                                       （式4-2）</w:t>
            </w:r>
          </w:p>
          <w:p w14:paraId="49BA37A3">
            <w:pPr>
              <w:ind w:firstLine="480"/>
              <w:rPr>
                <w:bCs/>
                <w:color w:val="auto"/>
                <w:shd w:val="clear" w:color="auto" w:fill="FFFFFF"/>
              </w:rPr>
            </w:pPr>
            <w:r>
              <w:rPr>
                <w:bCs/>
                <w:color w:val="auto"/>
                <w:shd w:val="clear" w:color="auto" w:fill="FFFFFF"/>
              </w:rPr>
              <w:t>式中：</w:t>
            </w:r>
          </w:p>
          <w:p w14:paraId="53AA0A19">
            <w:pPr>
              <w:ind w:firstLine="480"/>
              <w:rPr>
                <w:bCs/>
                <w:color w:val="auto"/>
                <w:shd w:val="clear" w:color="auto" w:fill="FFFFFF"/>
              </w:rPr>
            </w:pPr>
            <w:r>
              <w:rPr>
                <w:bCs/>
                <w:i/>
                <w:iCs/>
                <w:color w:val="auto"/>
                <w:shd w:val="clear" w:color="auto" w:fill="FFFFFF"/>
              </w:rPr>
              <w:t>L</w:t>
            </w:r>
            <w:r>
              <w:rPr>
                <w:bCs/>
                <w:i/>
                <w:iCs/>
                <w:color w:val="auto"/>
                <w:shd w:val="clear" w:color="auto" w:fill="FFFFFF"/>
                <w:vertAlign w:val="subscript"/>
              </w:rPr>
              <w:t>P1i</w:t>
            </w:r>
            <w:r>
              <w:rPr>
                <w:rFonts w:hint="eastAsia"/>
                <w:bCs/>
                <w:i/>
                <w:iCs/>
                <w:color w:val="auto"/>
                <w:shd w:val="clear" w:color="auto" w:fill="FFFFFF"/>
              </w:rPr>
              <w:t>（</w:t>
            </w:r>
            <w:r>
              <w:rPr>
                <w:bCs/>
                <w:i/>
                <w:iCs/>
                <w:color w:val="auto"/>
                <w:shd w:val="clear" w:color="auto" w:fill="FFFFFF"/>
              </w:rPr>
              <w:t>T</w:t>
            </w:r>
            <w:r>
              <w:rPr>
                <w:rFonts w:hint="eastAsia"/>
                <w:bCs/>
                <w:i/>
                <w:iCs/>
                <w:color w:val="auto"/>
                <w:shd w:val="clear" w:color="auto" w:fill="FFFFFF"/>
              </w:rPr>
              <w:t>）</w:t>
            </w:r>
            <w:r>
              <w:rPr>
                <w:bCs/>
                <w:color w:val="auto"/>
                <w:shd w:val="clear" w:color="auto" w:fill="FFFFFF"/>
              </w:rPr>
              <w:t>—靠近围护结构处室内</w:t>
            </w:r>
            <w:r>
              <w:rPr>
                <w:bCs/>
                <w:i/>
                <w:iCs/>
                <w:color w:val="auto"/>
                <w:shd w:val="clear" w:color="auto" w:fill="FFFFFF"/>
              </w:rPr>
              <w:t>N</w:t>
            </w:r>
            <w:r>
              <w:rPr>
                <w:bCs/>
                <w:color w:val="auto"/>
                <w:shd w:val="clear" w:color="auto" w:fill="FFFFFF"/>
              </w:rPr>
              <w:t>个声源</w:t>
            </w:r>
            <w:r>
              <w:rPr>
                <w:bCs/>
                <w:i/>
                <w:iCs/>
                <w:color w:val="auto"/>
                <w:shd w:val="clear" w:color="auto" w:fill="FFFFFF"/>
              </w:rPr>
              <w:t>i</w:t>
            </w:r>
            <w:r>
              <w:rPr>
                <w:bCs/>
                <w:color w:val="auto"/>
                <w:shd w:val="clear" w:color="auto" w:fill="FFFFFF"/>
              </w:rPr>
              <w:t>倍频带的叠加声压级，dB；</w:t>
            </w:r>
          </w:p>
          <w:p w14:paraId="715B3B61">
            <w:pPr>
              <w:ind w:firstLine="480"/>
              <w:rPr>
                <w:bCs/>
                <w:color w:val="auto"/>
                <w:shd w:val="clear" w:color="auto" w:fill="FFFFFF"/>
              </w:rPr>
            </w:pPr>
            <w:r>
              <w:rPr>
                <w:bCs/>
                <w:i/>
                <w:iCs/>
                <w:color w:val="auto"/>
                <w:shd w:val="clear" w:color="auto" w:fill="FFFFFF"/>
              </w:rPr>
              <w:t>L</w:t>
            </w:r>
            <w:r>
              <w:rPr>
                <w:bCs/>
                <w:i/>
                <w:iCs/>
                <w:color w:val="auto"/>
                <w:shd w:val="clear" w:color="auto" w:fill="FFFFFF"/>
                <w:vertAlign w:val="subscript"/>
              </w:rPr>
              <w:t>P1ij</w:t>
            </w:r>
            <w:r>
              <w:rPr>
                <w:bCs/>
                <w:color w:val="auto"/>
                <w:shd w:val="clear" w:color="auto" w:fill="FFFFFF"/>
              </w:rPr>
              <w:t>—室内</w:t>
            </w:r>
            <w:r>
              <w:rPr>
                <w:bCs/>
                <w:i/>
                <w:iCs/>
                <w:color w:val="auto"/>
                <w:shd w:val="clear" w:color="auto" w:fill="FFFFFF"/>
              </w:rPr>
              <w:t>j</w:t>
            </w:r>
            <w:r>
              <w:rPr>
                <w:bCs/>
                <w:color w:val="auto"/>
                <w:shd w:val="clear" w:color="auto" w:fill="FFFFFF"/>
              </w:rPr>
              <w:t>声源</w:t>
            </w:r>
            <w:r>
              <w:rPr>
                <w:bCs/>
                <w:i/>
                <w:iCs/>
                <w:color w:val="auto"/>
                <w:shd w:val="clear" w:color="auto" w:fill="FFFFFF"/>
              </w:rPr>
              <w:t>i</w:t>
            </w:r>
            <w:r>
              <w:rPr>
                <w:bCs/>
                <w:color w:val="auto"/>
                <w:shd w:val="clear" w:color="auto" w:fill="FFFFFF"/>
              </w:rPr>
              <w:t>倍频带的声压级，dB；</w:t>
            </w:r>
          </w:p>
          <w:p w14:paraId="1C58825E">
            <w:pPr>
              <w:ind w:firstLine="480"/>
              <w:rPr>
                <w:bCs/>
                <w:color w:val="auto"/>
                <w:shd w:val="clear" w:color="auto" w:fill="FFFFFF"/>
              </w:rPr>
            </w:pPr>
            <w:r>
              <w:rPr>
                <w:bCs/>
                <w:i/>
                <w:iCs/>
                <w:color w:val="auto"/>
                <w:shd w:val="clear" w:color="auto" w:fill="FFFFFF"/>
              </w:rPr>
              <w:t>N</w:t>
            </w:r>
            <w:r>
              <w:rPr>
                <w:bCs/>
                <w:color w:val="auto"/>
                <w:shd w:val="clear" w:color="auto" w:fill="FFFFFF"/>
              </w:rPr>
              <w:t>—室内声源总数。</w:t>
            </w:r>
          </w:p>
          <w:p w14:paraId="12C0E6B5">
            <w:pPr>
              <w:ind w:firstLine="480"/>
              <w:rPr>
                <w:bCs/>
                <w:color w:val="auto"/>
                <w:shd w:val="clear" w:color="auto" w:fill="FFFFFF"/>
              </w:rPr>
            </w:pPr>
            <w:r>
              <w:rPr>
                <w:bCs/>
                <w:color w:val="auto"/>
                <w:shd w:val="clear" w:color="auto" w:fill="FFFFFF"/>
              </w:rPr>
              <w:t>在室内近似为扩散声场时，按式4-3计算出靠近室外围护结构处的声压级</w:t>
            </w:r>
            <w:r>
              <w:rPr>
                <w:rFonts w:hint="eastAsia"/>
                <w:bCs/>
                <w:color w:val="auto"/>
                <w:shd w:val="clear" w:color="auto" w:fill="FFFFFF"/>
              </w:rPr>
              <w:t>；</w:t>
            </w:r>
          </w:p>
          <w:p w14:paraId="4D4FF3A0">
            <w:pPr>
              <w:ind w:firstLine="480"/>
              <w:rPr>
                <w:bCs/>
                <w:color w:val="auto"/>
                <w:shd w:val="clear" w:color="auto" w:fill="FFFFFF"/>
              </w:rPr>
            </w:pPr>
            <w:r>
              <w:rPr>
                <w:bCs/>
                <w:i/>
                <w:iCs/>
                <w:color w:val="auto"/>
                <w:shd w:val="clear" w:color="auto" w:fill="FFFFFF"/>
              </w:rPr>
              <w:t>L</w:t>
            </w:r>
            <w:r>
              <w:rPr>
                <w:bCs/>
                <w:i/>
                <w:iCs/>
                <w:color w:val="auto"/>
                <w:shd w:val="clear" w:color="auto" w:fill="FFFFFF"/>
                <w:vertAlign w:val="subscript"/>
              </w:rPr>
              <w:t>P2i</w:t>
            </w:r>
            <w:r>
              <w:rPr>
                <w:rFonts w:hint="eastAsia"/>
                <w:bCs/>
                <w:i/>
                <w:iCs/>
                <w:color w:val="auto"/>
                <w:shd w:val="clear" w:color="auto" w:fill="FFFFFF"/>
              </w:rPr>
              <w:t>（</w:t>
            </w:r>
            <w:r>
              <w:rPr>
                <w:bCs/>
                <w:i/>
                <w:iCs/>
                <w:color w:val="auto"/>
                <w:shd w:val="clear" w:color="auto" w:fill="FFFFFF"/>
              </w:rPr>
              <w:t>T</w:t>
            </w:r>
            <w:r>
              <w:rPr>
                <w:rFonts w:hint="eastAsia"/>
                <w:bCs/>
                <w:i/>
                <w:iCs/>
                <w:color w:val="auto"/>
                <w:shd w:val="clear" w:color="auto" w:fill="FFFFFF"/>
              </w:rPr>
              <w:t>）</w:t>
            </w:r>
            <w:r>
              <w:rPr>
                <w:bCs/>
                <w:i/>
                <w:iCs/>
                <w:color w:val="auto"/>
                <w:shd w:val="clear" w:color="auto" w:fill="FFFFFF"/>
              </w:rPr>
              <w:t>=L</w:t>
            </w:r>
            <w:r>
              <w:rPr>
                <w:bCs/>
                <w:i/>
                <w:iCs/>
                <w:color w:val="auto"/>
                <w:shd w:val="clear" w:color="auto" w:fill="FFFFFF"/>
                <w:vertAlign w:val="subscript"/>
              </w:rPr>
              <w:t>P1i</w:t>
            </w:r>
            <w:r>
              <w:rPr>
                <w:rFonts w:hint="eastAsia"/>
                <w:bCs/>
                <w:i/>
                <w:iCs/>
                <w:color w:val="auto"/>
                <w:shd w:val="clear" w:color="auto" w:fill="FFFFFF"/>
              </w:rPr>
              <w:t>（</w:t>
            </w:r>
            <w:r>
              <w:rPr>
                <w:bCs/>
                <w:i/>
                <w:iCs/>
                <w:color w:val="auto"/>
                <w:shd w:val="clear" w:color="auto" w:fill="FFFFFF"/>
              </w:rPr>
              <w:t>T</w:t>
            </w:r>
            <w:r>
              <w:rPr>
                <w:rFonts w:hint="eastAsia"/>
                <w:bCs/>
                <w:i/>
                <w:iCs/>
                <w:color w:val="auto"/>
                <w:shd w:val="clear" w:color="auto" w:fill="FFFFFF"/>
              </w:rPr>
              <w:t>）</w:t>
            </w:r>
            <w:r>
              <w:rPr>
                <w:bCs/>
                <w:i/>
                <w:iCs/>
                <w:color w:val="auto"/>
                <w:shd w:val="clear" w:color="auto" w:fill="FFFFFF"/>
              </w:rPr>
              <w:t>-（T</w:t>
            </w:r>
            <w:r>
              <w:rPr>
                <w:bCs/>
                <w:i/>
                <w:iCs/>
                <w:color w:val="auto"/>
                <w:shd w:val="clear" w:color="auto" w:fill="FFFFFF"/>
                <w:vertAlign w:val="subscript"/>
              </w:rPr>
              <w:t>Li</w:t>
            </w:r>
            <w:r>
              <w:rPr>
                <w:bCs/>
                <w:i/>
                <w:iCs/>
                <w:color w:val="auto"/>
                <w:shd w:val="clear" w:color="auto" w:fill="FFFFFF"/>
              </w:rPr>
              <w:t>+6）</w:t>
            </w:r>
            <w:r>
              <w:rPr>
                <w:bCs/>
                <w:color w:val="auto"/>
                <w:shd w:val="clear" w:color="auto" w:fill="FFFFFF"/>
              </w:rPr>
              <w:t xml:space="preserve">          （式4-3）</w:t>
            </w:r>
          </w:p>
          <w:p w14:paraId="19DDD513">
            <w:pPr>
              <w:ind w:firstLine="480"/>
              <w:rPr>
                <w:bCs/>
                <w:color w:val="auto"/>
                <w:shd w:val="clear" w:color="auto" w:fill="FFFFFF"/>
              </w:rPr>
            </w:pPr>
            <w:r>
              <w:rPr>
                <w:bCs/>
                <w:color w:val="auto"/>
                <w:shd w:val="clear" w:color="auto" w:fill="FFFFFF"/>
              </w:rPr>
              <w:t>式中：</w:t>
            </w:r>
          </w:p>
          <w:p w14:paraId="2C248CA0">
            <w:pPr>
              <w:ind w:firstLine="480"/>
              <w:rPr>
                <w:bCs/>
                <w:color w:val="auto"/>
                <w:shd w:val="clear" w:color="auto" w:fill="FFFFFF"/>
              </w:rPr>
            </w:pPr>
            <w:r>
              <w:rPr>
                <w:bCs/>
                <w:i/>
                <w:iCs/>
                <w:color w:val="auto"/>
                <w:shd w:val="clear" w:color="auto" w:fill="FFFFFF"/>
              </w:rPr>
              <w:t>L</w:t>
            </w:r>
            <w:r>
              <w:rPr>
                <w:bCs/>
                <w:i/>
                <w:iCs/>
                <w:color w:val="auto"/>
                <w:shd w:val="clear" w:color="auto" w:fill="FFFFFF"/>
                <w:vertAlign w:val="subscript"/>
              </w:rPr>
              <w:t>P2i</w:t>
            </w:r>
            <w:r>
              <w:rPr>
                <w:rFonts w:hint="eastAsia"/>
                <w:bCs/>
                <w:i/>
                <w:iCs/>
                <w:color w:val="auto"/>
                <w:shd w:val="clear" w:color="auto" w:fill="FFFFFF"/>
              </w:rPr>
              <w:t>（</w:t>
            </w:r>
            <w:r>
              <w:rPr>
                <w:bCs/>
                <w:i/>
                <w:iCs/>
                <w:color w:val="auto"/>
                <w:shd w:val="clear" w:color="auto" w:fill="FFFFFF"/>
              </w:rPr>
              <w:t>T</w:t>
            </w:r>
            <w:r>
              <w:rPr>
                <w:rFonts w:hint="eastAsia"/>
                <w:bCs/>
                <w:i/>
                <w:iCs/>
                <w:color w:val="auto"/>
                <w:shd w:val="clear" w:color="auto" w:fill="FFFFFF"/>
              </w:rPr>
              <w:t>）</w:t>
            </w:r>
            <w:r>
              <w:rPr>
                <w:bCs/>
                <w:color w:val="auto"/>
                <w:shd w:val="clear" w:color="auto" w:fill="FFFFFF"/>
              </w:rPr>
              <w:t>—靠近围护结构处室外</w:t>
            </w:r>
            <w:r>
              <w:rPr>
                <w:bCs/>
                <w:i/>
                <w:iCs/>
                <w:color w:val="auto"/>
                <w:shd w:val="clear" w:color="auto" w:fill="FFFFFF"/>
              </w:rPr>
              <w:t>N</w:t>
            </w:r>
            <w:r>
              <w:rPr>
                <w:bCs/>
                <w:color w:val="auto"/>
                <w:shd w:val="clear" w:color="auto" w:fill="FFFFFF"/>
              </w:rPr>
              <w:t>个声源</w:t>
            </w:r>
            <w:r>
              <w:rPr>
                <w:bCs/>
                <w:i/>
                <w:iCs/>
                <w:color w:val="auto"/>
                <w:shd w:val="clear" w:color="auto" w:fill="FFFFFF"/>
              </w:rPr>
              <w:t>i</w:t>
            </w:r>
            <w:r>
              <w:rPr>
                <w:bCs/>
                <w:color w:val="auto"/>
                <w:shd w:val="clear" w:color="auto" w:fill="FFFFFF"/>
              </w:rPr>
              <w:t>倍频带的叠加声压级，dB；</w:t>
            </w:r>
          </w:p>
          <w:p w14:paraId="280E1CC0">
            <w:pPr>
              <w:ind w:firstLine="480"/>
              <w:rPr>
                <w:bCs/>
                <w:color w:val="auto"/>
                <w:shd w:val="clear" w:color="auto" w:fill="FFFFFF"/>
              </w:rPr>
            </w:pPr>
            <w:r>
              <w:rPr>
                <w:bCs/>
                <w:i/>
                <w:iCs/>
                <w:color w:val="auto"/>
                <w:shd w:val="clear" w:color="auto" w:fill="FFFFFF"/>
              </w:rPr>
              <w:t>T</w:t>
            </w:r>
            <w:r>
              <w:rPr>
                <w:bCs/>
                <w:i/>
                <w:iCs/>
                <w:color w:val="auto"/>
                <w:shd w:val="clear" w:color="auto" w:fill="FFFFFF"/>
                <w:vertAlign w:val="subscript"/>
              </w:rPr>
              <w:t>Li</w:t>
            </w:r>
            <w:r>
              <w:rPr>
                <w:bCs/>
                <w:color w:val="auto"/>
                <w:shd w:val="clear" w:color="auto" w:fill="FFFFFF"/>
              </w:rPr>
              <w:t>—围护结构</w:t>
            </w:r>
            <w:r>
              <w:rPr>
                <w:bCs/>
                <w:i/>
                <w:iCs/>
                <w:color w:val="auto"/>
                <w:shd w:val="clear" w:color="auto" w:fill="FFFFFF"/>
              </w:rPr>
              <w:t>i</w:t>
            </w:r>
            <w:r>
              <w:rPr>
                <w:bCs/>
                <w:color w:val="auto"/>
                <w:shd w:val="clear" w:color="auto" w:fill="FFFFFF"/>
              </w:rPr>
              <w:t>倍频带的隔声量，dB。</w:t>
            </w:r>
          </w:p>
          <w:p w14:paraId="1E73C7E9">
            <w:pPr>
              <w:ind w:firstLine="480"/>
              <w:rPr>
                <w:bCs/>
                <w:color w:val="auto"/>
                <w:shd w:val="clear" w:color="auto" w:fill="FFFFFF"/>
              </w:rPr>
            </w:pPr>
            <w:r>
              <w:rPr>
                <w:bCs/>
                <w:color w:val="auto"/>
                <w:shd w:val="clear" w:color="auto" w:fill="FFFFFF"/>
              </w:rPr>
              <w:t>然后按式4-4将室外声源的声压级和透过面积换算成等效的室外声源，计算出中心位置位于透声面积（</w:t>
            </w:r>
            <w:r>
              <w:rPr>
                <w:bCs/>
                <w:i/>
                <w:iCs/>
                <w:color w:val="auto"/>
                <w:shd w:val="clear" w:color="auto" w:fill="FFFFFF"/>
              </w:rPr>
              <w:t>S</w:t>
            </w:r>
            <w:r>
              <w:rPr>
                <w:bCs/>
                <w:color w:val="auto"/>
                <w:shd w:val="clear" w:color="auto" w:fill="FFFFFF"/>
              </w:rPr>
              <w:t>）处的等效声源的倍频带声功率级。</w:t>
            </w:r>
          </w:p>
          <w:p w14:paraId="6AA9045F">
            <w:pPr>
              <w:jc w:val="center"/>
              <w:rPr>
                <w:bCs/>
                <w:color w:val="auto"/>
                <w:shd w:val="clear" w:color="auto" w:fill="FFFFFF"/>
              </w:rPr>
            </w:pPr>
            <w:r>
              <w:rPr>
                <w:bCs/>
                <w:i/>
                <w:iCs/>
                <w:color w:val="auto"/>
                <w:shd w:val="clear" w:color="auto" w:fill="FFFFFF"/>
              </w:rPr>
              <w:t>L</w:t>
            </w:r>
            <w:r>
              <w:rPr>
                <w:bCs/>
                <w:i/>
                <w:iCs/>
                <w:color w:val="auto"/>
                <w:shd w:val="clear" w:color="auto" w:fill="FFFFFF"/>
                <w:vertAlign w:val="subscript"/>
              </w:rPr>
              <w:t>w</w:t>
            </w:r>
            <w:r>
              <w:rPr>
                <w:bCs/>
                <w:i/>
                <w:iCs/>
                <w:color w:val="auto"/>
                <w:shd w:val="clear" w:color="auto" w:fill="FFFFFF"/>
              </w:rPr>
              <w:t>=L</w:t>
            </w:r>
            <w:r>
              <w:rPr>
                <w:bCs/>
                <w:i/>
                <w:iCs/>
                <w:color w:val="auto"/>
                <w:shd w:val="clear" w:color="auto" w:fill="FFFFFF"/>
                <w:vertAlign w:val="subscript"/>
              </w:rPr>
              <w:t>P2</w:t>
            </w:r>
            <w:r>
              <w:rPr>
                <w:rFonts w:hint="eastAsia"/>
                <w:bCs/>
                <w:i/>
                <w:iCs/>
                <w:color w:val="auto"/>
                <w:shd w:val="clear" w:color="auto" w:fill="FFFFFF"/>
              </w:rPr>
              <w:t>（</w:t>
            </w:r>
            <w:r>
              <w:rPr>
                <w:bCs/>
                <w:i/>
                <w:iCs/>
                <w:color w:val="auto"/>
                <w:shd w:val="clear" w:color="auto" w:fill="FFFFFF"/>
              </w:rPr>
              <w:t>T</w:t>
            </w:r>
            <w:r>
              <w:rPr>
                <w:rFonts w:hint="eastAsia"/>
                <w:bCs/>
                <w:i/>
                <w:iCs/>
                <w:color w:val="auto"/>
                <w:shd w:val="clear" w:color="auto" w:fill="FFFFFF"/>
              </w:rPr>
              <w:t>）</w:t>
            </w:r>
            <w:r>
              <w:rPr>
                <w:bCs/>
                <w:i/>
                <w:iCs/>
                <w:color w:val="auto"/>
                <w:shd w:val="clear" w:color="auto" w:fill="FFFFFF"/>
              </w:rPr>
              <w:t xml:space="preserve">+10lgS </w:t>
            </w:r>
            <w:r>
              <w:rPr>
                <w:bCs/>
                <w:color w:val="auto"/>
                <w:shd w:val="clear" w:color="auto" w:fill="FFFFFF"/>
              </w:rPr>
              <w:t xml:space="preserve">            （式4-4）</w:t>
            </w:r>
          </w:p>
          <w:p w14:paraId="4075775D">
            <w:pPr>
              <w:ind w:firstLine="480"/>
              <w:rPr>
                <w:bCs/>
                <w:color w:val="auto"/>
                <w:shd w:val="clear" w:color="auto" w:fill="FFFFFF"/>
              </w:rPr>
            </w:pPr>
            <w:r>
              <w:rPr>
                <w:bCs/>
                <w:color w:val="auto"/>
                <w:shd w:val="clear" w:color="auto" w:fill="FFFFFF"/>
              </w:rPr>
              <w:t>式中：</w:t>
            </w:r>
            <w:r>
              <w:rPr>
                <w:bCs/>
                <w:color w:val="auto"/>
                <w:position w:val="-10"/>
                <w:shd w:val="clear" w:color="auto" w:fill="FFFFFF"/>
              </w:rPr>
              <w:object>
                <v:shape id="_x0000_i1025" o:spt="75" type="#_x0000_t75" style="height:21.65pt;width:72pt;" o:ole="t" filled="f" o:preferrelative="t" stroked="f" coordsize="21600,21600">
                  <v:path/>
                  <v:fill on="f" focussize="0,0"/>
                  <v:stroke on="f" joinstyle="miter"/>
                  <v:imagedata r:id="rId36" o:title=""/>
                  <o:lock v:ext="edit" aspectratio="t"/>
                  <w10:wrap type="none"/>
                  <w10:anchorlock/>
                </v:shape>
                <o:OLEObject Type="Embed" ProgID="Equation.3" ShapeID="_x0000_i1025" DrawAspect="Content" ObjectID="_1468075725" r:id="rId35">
                  <o:LockedField>false</o:LockedField>
                </o:OLEObject>
              </w:object>
            </w:r>
          </w:p>
          <w:p w14:paraId="0F6C2D07">
            <w:pPr>
              <w:ind w:firstLine="480"/>
              <w:rPr>
                <w:bCs/>
                <w:color w:val="auto"/>
                <w:shd w:val="clear" w:color="auto" w:fill="FFFFFF"/>
              </w:rPr>
            </w:pPr>
            <w:r>
              <w:rPr>
                <w:bCs/>
                <w:i/>
                <w:iCs/>
                <w:color w:val="auto"/>
                <w:shd w:val="clear" w:color="auto" w:fill="FFFFFF"/>
              </w:rPr>
              <w:t>L</w:t>
            </w:r>
            <w:r>
              <w:rPr>
                <w:bCs/>
                <w:i/>
                <w:iCs/>
                <w:color w:val="auto"/>
                <w:shd w:val="clear" w:color="auto" w:fill="FFFFFF"/>
                <w:vertAlign w:val="subscript"/>
              </w:rPr>
              <w:t>w</w:t>
            </w:r>
            <w:r>
              <w:rPr>
                <w:bCs/>
                <w:color w:val="auto"/>
                <w:shd w:val="clear" w:color="auto" w:fill="FFFFFF"/>
              </w:rPr>
              <w:t>—中心位置位于透声面积（</w:t>
            </w:r>
            <w:r>
              <w:rPr>
                <w:bCs/>
                <w:i/>
                <w:iCs/>
                <w:color w:val="auto"/>
                <w:shd w:val="clear" w:color="auto" w:fill="FFFFFF"/>
              </w:rPr>
              <w:t>S</w:t>
            </w:r>
            <w:r>
              <w:rPr>
                <w:bCs/>
                <w:color w:val="auto"/>
                <w:shd w:val="clear" w:color="auto" w:fill="FFFFFF"/>
              </w:rPr>
              <w:t>）处的等效声源的倍频带声功率级，dB；</w:t>
            </w:r>
          </w:p>
          <w:p w14:paraId="39529B89">
            <w:pPr>
              <w:ind w:firstLine="480"/>
              <w:rPr>
                <w:bCs/>
                <w:color w:val="auto"/>
                <w:shd w:val="clear" w:color="auto" w:fill="FFFFFF"/>
              </w:rPr>
            </w:pPr>
            <w:r>
              <w:rPr>
                <w:bCs/>
                <w:i/>
                <w:iCs/>
                <w:color w:val="auto"/>
                <w:shd w:val="clear" w:color="auto" w:fill="FFFFFF"/>
              </w:rPr>
              <w:t>L</w:t>
            </w:r>
            <w:r>
              <w:rPr>
                <w:bCs/>
                <w:i/>
                <w:iCs/>
                <w:color w:val="auto"/>
                <w:shd w:val="clear" w:color="auto" w:fill="FFFFFF"/>
                <w:vertAlign w:val="subscript"/>
              </w:rPr>
              <w:t>p2</w:t>
            </w:r>
            <w:r>
              <w:rPr>
                <w:rFonts w:hint="eastAsia"/>
                <w:bCs/>
                <w:i/>
                <w:iCs/>
                <w:color w:val="auto"/>
                <w:shd w:val="clear" w:color="auto" w:fill="FFFFFF"/>
              </w:rPr>
              <w:t>（</w:t>
            </w:r>
            <w:r>
              <w:rPr>
                <w:bCs/>
                <w:i/>
                <w:iCs/>
                <w:color w:val="auto"/>
                <w:shd w:val="clear" w:color="auto" w:fill="FFFFFF"/>
              </w:rPr>
              <w:t>T</w:t>
            </w:r>
            <w:r>
              <w:rPr>
                <w:rFonts w:hint="eastAsia"/>
                <w:bCs/>
                <w:i/>
                <w:iCs/>
                <w:color w:val="auto"/>
                <w:shd w:val="clear" w:color="auto" w:fill="FFFFFF"/>
              </w:rPr>
              <w:t>）</w:t>
            </w:r>
            <w:r>
              <w:rPr>
                <w:bCs/>
                <w:color w:val="auto"/>
                <w:shd w:val="clear" w:color="auto" w:fill="FFFFFF"/>
              </w:rPr>
              <w:t>—靠近围护结构处室外声源的声压级，dB；</w:t>
            </w:r>
          </w:p>
          <w:p w14:paraId="39E3D1C9">
            <w:pPr>
              <w:ind w:firstLine="480"/>
              <w:rPr>
                <w:bCs/>
                <w:color w:val="auto"/>
                <w:shd w:val="clear" w:color="auto" w:fill="FFFFFF"/>
              </w:rPr>
            </w:pPr>
            <w:r>
              <w:rPr>
                <w:bCs/>
                <w:i/>
                <w:iCs/>
                <w:color w:val="auto"/>
                <w:shd w:val="clear" w:color="auto" w:fill="FFFFFF"/>
              </w:rPr>
              <w:t>S</w:t>
            </w:r>
            <w:r>
              <w:rPr>
                <w:bCs/>
                <w:color w:val="auto"/>
                <w:shd w:val="clear" w:color="auto" w:fill="FFFFFF"/>
              </w:rPr>
              <w:t>—透声面积，m</w:t>
            </w:r>
            <w:r>
              <w:rPr>
                <w:bCs/>
                <w:color w:val="auto"/>
                <w:shd w:val="clear" w:color="auto" w:fill="FFFFFF"/>
                <w:vertAlign w:val="superscript"/>
              </w:rPr>
              <w:t>2</w:t>
            </w:r>
            <w:r>
              <w:rPr>
                <w:bCs/>
                <w:color w:val="auto"/>
                <w:shd w:val="clear" w:color="auto" w:fill="FFFFFF"/>
              </w:rPr>
              <w:t>。</w:t>
            </w:r>
          </w:p>
          <w:p w14:paraId="7D086289">
            <w:pPr>
              <w:ind w:firstLine="480"/>
              <w:rPr>
                <w:bCs/>
                <w:color w:val="auto"/>
                <w:shd w:val="clear" w:color="auto" w:fill="FFFFFF"/>
              </w:rPr>
            </w:pPr>
            <w:r>
              <w:rPr>
                <w:bCs/>
                <w:color w:val="auto"/>
                <w:shd w:val="clear" w:color="auto" w:fill="FFFFFF"/>
              </w:rPr>
              <w:t>然后按室外声源预测方法计算预测点处的A声级。</w:t>
            </w:r>
          </w:p>
          <w:p w14:paraId="1EFC2B3C">
            <w:pPr>
              <w:ind w:firstLine="480"/>
              <w:rPr>
                <w:bCs/>
                <w:color w:val="auto"/>
                <w:shd w:val="clear" w:color="auto" w:fill="FFFFFF"/>
              </w:rPr>
            </w:pPr>
            <w:r>
              <w:rPr>
                <w:rFonts w:hint="eastAsia"/>
                <w:bCs/>
                <w:color w:val="auto"/>
                <w:shd w:val="clear" w:color="auto" w:fill="FFFFFF"/>
              </w:rPr>
              <w:t>（2）</w:t>
            </w:r>
            <w:r>
              <w:rPr>
                <w:bCs/>
                <w:color w:val="auto"/>
                <w:shd w:val="clear" w:color="auto" w:fill="FFFFFF"/>
              </w:rPr>
              <w:t>工业企业噪声计算</w:t>
            </w:r>
          </w:p>
          <w:p w14:paraId="660459B8">
            <w:pPr>
              <w:ind w:firstLine="480"/>
              <w:rPr>
                <w:bCs/>
                <w:color w:val="auto"/>
                <w:shd w:val="clear" w:color="auto" w:fill="FFFFFF"/>
              </w:rPr>
            </w:pPr>
            <w:r>
              <w:rPr>
                <w:bCs/>
                <w:color w:val="auto"/>
                <w:shd w:val="clear" w:color="auto" w:fill="FFFFFF"/>
              </w:rPr>
              <w:t>设第</w:t>
            </w:r>
            <w:r>
              <w:rPr>
                <w:bCs/>
                <w:i/>
                <w:iCs/>
                <w:color w:val="auto"/>
                <w:shd w:val="clear" w:color="auto" w:fill="FFFFFF"/>
              </w:rPr>
              <w:t>i</w:t>
            </w:r>
            <w:r>
              <w:rPr>
                <w:bCs/>
                <w:color w:val="auto"/>
                <w:shd w:val="clear" w:color="auto" w:fill="FFFFFF"/>
              </w:rPr>
              <w:t>个室外声源在预测点产生的A声级为</w:t>
            </w:r>
            <w:r>
              <w:rPr>
                <w:bCs/>
                <w:i/>
                <w:iCs/>
                <w:color w:val="auto"/>
                <w:shd w:val="clear" w:color="auto" w:fill="FFFFFF"/>
              </w:rPr>
              <w:t>L</w:t>
            </w:r>
            <w:r>
              <w:rPr>
                <w:bCs/>
                <w:i/>
                <w:iCs/>
                <w:color w:val="auto"/>
                <w:shd w:val="clear" w:color="auto" w:fill="FFFFFF"/>
                <w:vertAlign w:val="subscript"/>
              </w:rPr>
              <w:t>Ai</w:t>
            </w:r>
            <w:r>
              <w:rPr>
                <w:bCs/>
                <w:color w:val="auto"/>
                <w:shd w:val="clear" w:color="auto" w:fill="FFFFFF"/>
              </w:rPr>
              <w:t>，在</w:t>
            </w:r>
            <w:r>
              <w:rPr>
                <w:bCs/>
                <w:i/>
                <w:iCs/>
                <w:color w:val="auto"/>
                <w:shd w:val="clear" w:color="auto" w:fill="FFFFFF"/>
              </w:rPr>
              <w:t>T</w:t>
            </w:r>
            <w:r>
              <w:rPr>
                <w:bCs/>
                <w:color w:val="auto"/>
                <w:shd w:val="clear" w:color="auto" w:fill="FFFFFF"/>
              </w:rPr>
              <w:t>时间内该声源工作时间为</w:t>
            </w:r>
            <w:r>
              <w:rPr>
                <w:bCs/>
                <w:i/>
                <w:iCs/>
                <w:color w:val="auto"/>
                <w:shd w:val="clear" w:color="auto" w:fill="FFFFFF"/>
              </w:rPr>
              <w:t>t</w:t>
            </w:r>
            <w:r>
              <w:rPr>
                <w:bCs/>
                <w:i/>
                <w:iCs/>
                <w:color w:val="auto"/>
                <w:shd w:val="clear" w:color="auto" w:fill="FFFFFF"/>
                <w:vertAlign w:val="subscript"/>
              </w:rPr>
              <w:t>i</w:t>
            </w:r>
            <w:r>
              <w:rPr>
                <w:bCs/>
                <w:color w:val="auto"/>
                <w:shd w:val="clear" w:color="auto" w:fill="FFFFFF"/>
              </w:rPr>
              <w:t>；第</w:t>
            </w:r>
            <w:r>
              <w:rPr>
                <w:bCs/>
                <w:i/>
                <w:iCs/>
                <w:color w:val="auto"/>
                <w:shd w:val="clear" w:color="auto" w:fill="FFFFFF"/>
              </w:rPr>
              <w:t>j</w:t>
            </w:r>
            <w:r>
              <w:rPr>
                <w:bCs/>
                <w:color w:val="auto"/>
                <w:shd w:val="clear" w:color="auto" w:fill="FFFFFF"/>
              </w:rPr>
              <w:t>个等效室外声源在预测点产生的A声级为</w:t>
            </w:r>
            <w:r>
              <w:rPr>
                <w:bCs/>
                <w:i/>
                <w:iCs/>
                <w:color w:val="auto"/>
                <w:shd w:val="clear" w:color="auto" w:fill="FFFFFF"/>
              </w:rPr>
              <w:t>L</w:t>
            </w:r>
            <w:r>
              <w:rPr>
                <w:bCs/>
                <w:i/>
                <w:iCs/>
                <w:color w:val="auto"/>
                <w:shd w:val="clear" w:color="auto" w:fill="FFFFFF"/>
                <w:vertAlign w:val="subscript"/>
              </w:rPr>
              <w:t>Aj</w:t>
            </w:r>
            <w:r>
              <w:rPr>
                <w:bCs/>
                <w:color w:val="auto"/>
                <w:shd w:val="clear" w:color="auto" w:fill="FFFFFF"/>
              </w:rPr>
              <w:t>，在T时间内该声源工作时间为</w:t>
            </w:r>
            <w:r>
              <w:rPr>
                <w:bCs/>
                <w:i/>
                <w:iCs/>
                <w:color w:val="auto"/>
                <w:shd w:val="clear" w:color="auto" w:fill="FFFFFF"/>
              </w:rPr>
              <w:t>t</w:t>
            </w:r>
            <w:r>
              <w:rPr>
                <w:bCs/>
                <w:i/>
                <w:iCs/>
                <w:color w:val="auto"/>
                <w:shd w:val="clear" w:color="auto" w:fill="FFFFFF"/>
                <w:vertAlign w:val="subscript"/>
              </w:rPr>
              <w:t>j</w:t>
            </w:r>
            <w:r>
              <w:rPr>
                <w:bCs/>
                <w:color w:val="auto"/>
                <w:shd w:val="clear" w:color="auto" w:fill="FFFFFF"/>
              </w:rPr>
              <w:t>，则拟建工程声源对预测点产生的贡献值（</w:t>
            </w:r>
            <w:r>
              <w:rPr>
                <w:bCs/>
                <w:i/>
                <w:iCs/>
                <w:color w:val="auto"/>
                <w:shd w:val="clear" w:color="auto" w:fill="FFFFFF"/>
              </w:rPr>
              <w:t>L</w:t>
            </w:r>
            <w:r>
              <w:rPr>
                <w:bCs/>
                <w:i/>
                <w:iCs/>
                <w:color w:val="auto"/>
                <w:shd w:val="clear" w:color="auto" w:fill="FFFFFF"/>
                <w:vertAlign w:val="subscript"/>
              </w:rPr>
              <w:t>eqg</w:t>
            </w:r>
            <w:r>
              <w:rPr>
                <w:bCs/>
                <w:color w:val="auto"/>
                <w:shd w:val="clear" w:color="auto" w:fill="FFFFFF"/>
              </w:rPr>
              <w:t>）为：</w:t>
            </w:r>
          </w:p>
          <w:p w14:paraId="4E074F3F">
            <w:pPr>
              <w:ind w:firstLine="480"/>
              <w:rPr>
                <w:bCs/>
                <w:color w:val="auto"/>
                <w:shd w:val="clear" w:color="auto" w:fill="FFFFFF"/>
              </w:rPr>
            </w:pPr>
            <w:r>
              <w:rPr>
                <w:bCs/>
                <w:color w:val="auto"/>
                <w:position w:val="-34"/>
                <w:shd w:val="clear" w:color="auto" w:fill="FFFFFF"/>
              </w:rPr>
              <w:drawing>
                <wp:anchor distT="0" distB="0" distL="114300" distR="114300" simplePos="0" relativeHeight="251662336" behindDoc="0" locked="0" layoutInCell="1" allowOverlap="1">
                  <wp:simplePos x="0" y="0"/>
                  <wp:positionH relativeFrom="column">
                    <wp:posOffset>797560</wp:posOffset>
                  </wp:positionH>
                  <wp:positionV relativeFrom="paragraph">
                    <wp:posOffset>162560</wp:posOffset>
                  </wp:positionV>
                  <wp:extent cx="2590800" cy="508000"/>
                  <wp:effectExtent l="0" t="0" r="0" b="5715"/>
                  <wp:wrapNone/>
                  <wp:docPr id="39" name="Object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Object 291"/>
                          <pic:cNvPicPr>
                            <a:picLocks noChangeAspect="1"/>
                          </pic:cNvPicPr>
                        </pic:nvPicPr>
                        <pic:blipFill>
                          <a:blip r:embed="rId37"/>
                          <a:stretch>
                            <a:fillRect/>
                          </a:stretch>
                        </pic:blipFill>
                        <pic:spPr>
                          <a:xfrm>
                            <a:off x="0" y="0"/>
                            <a:ext cx="2590800" cy="508000"/>
                          </a:xfrm>
                          <a:prstGeom prst="rect">
                            <a:avLst/>
                          </a:prstGeom>
                          <a:noFill/>
                          <a:ln>
                            <a:noFill/>
                          </a:ln>
                        </pic:spPr>
                      </pic:pic>
                    </a:graphicData>
                  </a:graphic>
                </wp:anchor>
              </w:drawing>
            </w:r>
            <w:r>
              <w:rPr>
                <w:bCs/>
                <w:color w:val="auto"/>
                <w:shd w:val="clear" w:color="auto" w:fill="FFFFFF"/>
              </w:rPr>
              <w:t>（式4-9）</w:t>
            </w:r>
          </w:p>
          <w:p w14:paraId="03AFE3E1">
            <w:pPr>
              <w:ind w:firstLine="480"/>
              <w:rPr>
                <w:bCs/>
                <w:color w:val="auto"/>
                <w:shd w:val="clear" w:color="auto" w:fill="FFFFFF"/>
              </w:rPr>
            </w:pPr>
            <w:r>
              <w:rPr>
                <w:bCs/>
                <w:color w:val="auto"/>
                <w:shd w:val="clear" w:color="auto" w:fill="FFFFFF"/>
              </w:rPr>
              <w:t>式中：</w:t>
            </w:r>
          </w:p>
          <w:p w14:paraId="51FA9768">
            <w:pPr>
              <w:ind w:firstLine="480"/>
              <w:rPr>
                <w:bCs/>
                <w:color w:val="auto"/>
                <w:shd w:val="clear" w:color="auto" w:fill="FFFFFF"/>
              </w:rPr>
            </w:pPr>
            <w:r>
              <w:rPr>
                <w:bCs/>
                <w:i/>
                <w:iCs/>
                <w:color w:val="auto"/>
                <w:shd w:val="clear" w:color="auto" w:fill="FFFFFF"/>
              </w:rPr>
              <w:t>L</w:t>
            </w:r>
            <w:r>
              <w:rPr>
                <w:bCs/>
                <w:i/>
                <w:iCs/>
                <w:color w:val="auto"/>
                <w:shd w:val="clear" w:color="auto" w:fill="FFFFFF"/>
                <w:vertAlign w:val="subscript"/>
              </w:rPr>
              <w:t>eqg</w:t>
            </w:r>
            <w:r>
              <w:rPr>
                <w:bCs/>
                <w:color w:val="auto"/>
                <w:shd w:val="clear" w:color="auto" w:fill="FFFFFF"/>
              </w:rPr>
              <w:t xml:space="preserve">—建设项目声源在预测点产生的噪声贡献值，dB； </w:t>
            </w:r>
          </w:p>
          <w:p w14:paraId="589DB114">
            <w:pPr>
              <w:ind w:firstLine="480"/>
              <w:rPr>
                <w:bCs/>
                <w:color w:val="auto"/>
                <w:shd w:val="clear" w:color="auto" w:fill="FFFFFF"/>
              </w:rPr>
            </w:pPr>
            <w:r>
              <w:rPr>
                <w:bCs/>
                <w:i/>
                <w:iCs/>
                <w:color w:val="auto"/>
                <w:shd w:val="clear" w:color="auto" w:fill="FFFFFF"/>
              </w:rPr>
              <w:t>T</w:t>
            </w:r>
            <w:r>
              <w:rPr>
                <w:bCs/>
                <w:color w:val="auto"/>
                <w:shd w:val="clear" w:color="auto" w:fill="FFFFFF"/>
              </w:rPr>
              <w:t xml:space="preserve">—用于计算等效声级的时间，s； </w:t>
            </w:r>
          </w:p>
          <w:p w14:paraId="68FEE669">
            <w:pPr>
              <w:ind w:firstLine="480"/>
              <w:rPr>
                <w:bCs/>
                <w:color w:val="auto"/>
                <w:shd w:val="clear" w:color="auto" w:fill="FFFFFF"/>
              </w:rPr>
            </w:pPr>
            <w:r>
              <w:rPr>
                <w:bCs/>
                <w:i/>
                <w:iCs/>
                <w:color w:val="auto"/>
                <w:shd w:val="clear" w:color="auto" w:fill="FFFFFF"/>
              </w:rPr>
              <w:t>N</w:t>
            </w:r>
            <w:r>
              <w:rPr>
                <w:bCs/>
                <w:color w:val="auto"/>
                <w:shd w:val="clear" w:color="auto" w:fill="FFFFFF"/>
              </w:rPr>
              <w:t>—室外声源个数；</w:t>
            </w:r>
          </w:p>
          <w:p w14:paraId="4625CFE4">
            <w:pPr>
              <w:ind w:firstLine="480"/>
              <w:rPr>
                <w:bCs/>
                <w:color w:val="auto"/>
                <w:shd w:val="clear" w:color="auto" w:fill="FFFFFF"/>
              </w:rPr>
            </w:pPr>
            <w:r>
              <w:rPr>
                <w:bCs/>
                <w:i/>
                <w:iCs/>
                <w:color w:val="auto"/>
                <w:shd w:val="clear" w:color="auto" w:fill="FFFFFF"/>
              </w:rPr>
              <w:t>t</w:t>
            </w:r>
            <w:r>
              <w:rPr>
                <w:bCs/>
                <w:i/>
                <w:iCs/>
                <w:color w:val="auto"/>
                <w:shd w:val="clear" w:color="auto" w:fill="FFFFFF"/>
                <w:vertAlign w:val="subscript"/>
              </w:rPr>
              <w:t>i</w:t>
            </w:r>
            <w:r>
              <w:rPr>
                <w:bCs/>
                <w:color w:val="auto"/>
                <w:shd w:val="clear" w:color="auto" w:fill="FFFFFF"/>
              </w:rPr>
              <w:t>—在</w:t>
            </w:r>
            <w:r>
              <w:rPr>
                <w:bCs/>
                <w:i/>
                <w:iCs/>
                <w:color w:val="auto"/>
                <w:shd w:val="clear" w:color="auto" w:fill="FFFFFF"/>
              </w:rPr>
              <w:t>T</w:t>
            </w:r>
            <w:r>
              <w:rPr>
                <w:bCs/>
                <w:color w:val="auto"/>
                <w:shd w:val="clear" w:color="auto" w:fill="FFFFFF"/>
              </w:rPr>
              <w:t>时间内</w:t>
            </w:r>
            <w:r>
              <w:rPr>
                <w:bCs/>
                <w:i/>
                <w:iCs/>
                <w:color w:val="auto"/>
                <w:shd w:val="clear" w:color="auto" w:fill="FFFFFF"/>
              </w:rPr>
              <w:t>i</w:t>
            </w:r>
            <w:r>
              <w:rPr>
                <w:bCs/>
                <w:color w:val="auto"/>
                <w:shd w:val="clear" w:color="auto" w:fill="FFFFFF"/>
              </w:rPr>
              <w:t xml:space="preserve">声源工作时间，s； </w:t>
            </w:r>
          </w:p>
          <w:p w14:paraId="4138E0D9">
            <w:pPr>
              <w:ind w:firstLine="480"/>
              <w:rPr>
                <w:bCs/>
                <w:color w:val="auto"/>
                <w:shd w:val="clear" w:color="auto" w:fill="FFFFFF"/>
              </w:rPr>
            </w:pPr>
            <w:r>
              <w:rPr>
                <w:bCs/>
                <w:i/>
                <w:iCs/>
                <w:color w:val="auto"/>
                <w:shd w:val="clear" w:color="auto" w:fill="FFFFFF"/>
              </w:rPr>
              <w:t>M</w:t>
            </w:r>
            <w:r>
              <w:rPr>
                <w:bCs/>
                <w:color w:val="auto"/>
                <w:shd w:val="clear" w:color="auto" w:fill="FFFFFF"/>
              </w:rPr>
              <w:t>—等效室外声源个数；</w:t>
            </w:r>
          </w:p>
          <w:p w14:paraId="6DB6DBB6">
            <w:pPr>
              <w:ind w:firstLine="480"/>
              <w:rPr>
                <w:bCs/>
                <w:color w:val="auto"/>
                <w:shd w:val="clear" w:color="auto" w:fill="FFFFFF"/>
              </w:rPr>
            </w:pPr>
            <w:r>
              <w:rPr>
                <w:bCs/>
                <w:i/>
                <w:iCs/>
                <w:color w:val="auto"/>
                <w:shd w:val="clear" w:color="auto" w:fill="FFFFFF"/>
              </w:rPr>
              <w:t>t</w:t>
            </w:r>
            <w:r>
              <w:rPr>
                <w:bCs/>
                <w:i/>
                <w:iCs/>
                <w:color w:val="auto"/>
                <w:shd w:val="clear" w:color="auto" w:fill="FFFFFF"/>
                <w:vertAlign w:val="subscript"/>
              </w:rPr>
              <w:t>j</w:t>
            </w:r>
            <w:r>
              <w:rPr>
                <w:bCs/>
                <w:color w:val="auto"/>
                <w:shd w:val="clear" w:color="auto" w:fill="FFFFFF"/>
              </w:rPr>
              <w:t>—在</w:t>
            </w:r>
            <w:r>
              <w:rPr>
                <w:bCs/>
                <w:i/>
                <w:iCs/>
                <w:color w:val="auto"/>
                <w:shd w:val="clear" w:color="auto" w:fill="FFFFFF"/>
              </w:rPr>
              <w:t>T</w:t>
            </w:r>
            <w:r>
              <w:rPr>
                <w:bCs/>
                <w:color w:val="auto"/>
                <w:shd w:val="clear" w:color="auto" w:fill="FFFFFF"/>
              </w:rPr>
              <w:t>时间内</w:t>
            </w:r>
            <w:r>
              <w:rPr>
                <w:bCs/>
                <w:i/>
                <w:iCs/>
                <w:color w:val="auto"/>
                <w:shd w:val="clear" w:color="auto" w:fill="FFFFFF"/>
              </w:rPr>
              <w:t>j</w:t>
            </w:r>
            <w:r>
              <w:rPr>
                <w:bCs/>
                <w:color w:val="auto"/>
                <w:shd w:val="clear" w:color="auto" w:fill="FFFFFF"/>
              </w:rPr>
              <w:t>声源工作时间，s。</w:t>
            </w:r>
          </w:p>
          <w:p w14:paraId="2EE182F9">
            <w:pPr>
              <w:ind w:firstLine="480"/>
              <w:rPr>
                <w:bCs/>
                <w:color w:val="auto"/>
                <w:shd w:val="clear" w:color="auto" w:fill="FFFFFF"/>
              </w:rPr>
            </w:pPr>
            <w:r>
              <w:rPr>
                <w:bCs/>
                <w:color w:val="auto"/>
                <w:shd w:val="clear" w:color="auto" w:fill="FFFFFF"/>
              </w:rPr>
              <w:t>E、预测值计算</w:t>
            </w:r>
          </w:p>
          <w:p w14:paraId="6086316D">
            <w:pPr>
              <w:ind w:firstLine="480"/>
              <w:jc w:val="center"/>
              <w:rPr>
                <w:bCs/>
                <w:color w:val="auto"/>
                <w:shd w:val="clear" w:color="auto" w:fill="FFFFFF"/>
              </w:rPr>
            </w:pPr>
            <w:r>
              <w:rPr>
                <w:color w:val="auto"/>
                <w:position w:val="-14"/>
                <w:shd w:val="clear" w:color="auto" w:fill="FFFFFF"/>
              </w:rPr>
              <w:drawing>
                <wp:inline distT="0" distB="0" distL="0" distR="0">
                  <wp:extent cx="2202815" cy="318135"/>
                  <wp:effectExtent l="0" t="0" r="6985" b="5080"/>
                  <wp:docPr id="1004835986"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835986" name="图片 1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a:xfrm>
                            <a:off x="0" y="0"/>
                            <a:ext cx="2202815" cy="318135"/>
                          </a:xfrm>
                          <a:prstGeom prst="rect">
                            <a:avLst/>
                          </a:prstGeom>
                          <a:noFill/>
                          <a:ln>
                            <a:noFill/>
                          </a:ln>
                        </pic:spPr>
                      </pic:pic>
                    </a:graphicData>
                  </a:graphic>
                </wp:inline>
              </w:drawing>
            </w:r>
            <w:r>
              <w:rPr>
                <w:bCs/>
                <w:color w:val="auto"/>
                <w:shd w:val="clear" w:color="auto" w:fill="FFFFFF"/>
              </w:rPr>
              <w:t>（式4-10）</w:t>
            </w:r>
          </w:p>
          <w:p w14:paraId="2BC9597F">
            <w:pPr>
              <w:ind w:firstLine="480"/>
              <w:rPr>
                <w:bCs/>
                <w:color w:val="auto"/>
                <w:shd w:val="clear" w:color="auto" w:fill="FFFFFF"/>
              </w:rPr>
            </w:pPr>
            <w:r>
              <w:rPr>
                <w:bCs/>
                <w:color w:val="auto"/>
                <w:shd w:val="clear" w:color="auto" w:fill="FFFFFF"/>
              </w:rPr>
              <w:t>式中：</w:t>
            </w:r>
          </w:p>
          <w:p w14:paraId="4B8747E6">
            <w:pPr>
              <w:ind w:firstLine="480"/>
              <w:rPr>
                <w:bCs/>
                <w:color w:val="auto"/>
                <w:shd w:val="clear" w:color="auto" w:fill="FFFFFF"/>
              </w:rPr>
            </w:pPr>
            <w:r>
              <w:rPr>
                <w:bCs/>
                <w:i/>
                <w:iCs/>
                <w:color w:val="auto"/>
                <w:shd w:val="clear" w:color="auto" w:fill="FFFFFF"/>
              </w:rPr>
              <w:t>L</w:t>
            </w:r>
            <w:r>
              <w:rPr>
                <w:bCs/>
                <w:i/>
                <w:iCs/>
                <w:color w:val="auto"/>
                <w:shd w:val="clear" w:color="auto" w:fill="FFFFFF"/>
                <w:vertAlign w:val="subscript"/>
              </w:rPr>
              <w:t>eq</w:t>
            </w:r>
            <w:r>
              <w:rPr>
                <w:bCs/>
                <w:color w:val="auto"/>
                <w:shd w:val="clear" w:color="auto" w:fill="FFFFFF"/>
              </w:rPr>
              <w:t>—预测点的噪声预测值，dB；</w:t>
            </w:r>
          </w:p>
          <w:p w14:paraId="69601D24">
            <w:pPr>
              <w:ind w:firstLine="480"/>
              <w:rPr>
                <w:bCs/>
                <w:color w:val="auto"/>
                <w:shd w:val="clear" w:color="auto" w:fill="FFFFFF"/>
              </w:rPr>
            </w:pPr>
            <w:r>
              <w:rPr>
                <w:bCs/>
                <w:i/>
                <w:iCs/>
                <w:color w:val="auto"/>
                <w:shd w:val="clear" w:color="auto" w:fill="FFFFFF"/>
              </w:rPr>
              <w:t>L</w:t>
            </w:r>
            <w:r>
              <w:rPr>
                <w:bCs/>
                <w:i/>
                <w:iCs/>
                <w:color w:val="auto"/>
                <w:shd w:val="clear" w:color="auto" w:fill="FFFFFF"/>
                <w:vertAlign w:val="subscript"/>
              </w:rPr>
              <w:t>eqg</w:t>
            </w:r>
            <w:r>
              <w:rPr>
                <w:bCs/>
                <w:color w:val="auto"/>
                <w:shd w:val="clear" w:color="auto" w:fill="FFFFFF"/>
              </w:rPr>
              <w:t xml:space="preserve">—建设项目声源在预测点产生的噪声贡献值，dB； </w:t>
            </w:r>
          </w:p>
          <w:p w14:paraId="46E154CE">
            <w:pPr>
              <w:ind w:firstLine="480"/>
              <w:rPr>
                <w:bCs/>
                <w:color w:val="auto"/>
                <w:shd w:val="clear" w:color="auto" w:fill="FFFFFF"/>
              </w:rPr>
            </w:pPr>
            <w:r>
              <w:rPr>
                <w:bCs/>
                <w:i/>
                <w:iCs/>
                <w:color w:val="auto"/>
                <w:shd w:val="clear" w:color="auto" w:fill="FFFFFF"/>
              </w:rPr>
              <w:t>L</w:t>
            </w:r>
            <w:r>
              <w:rPr>
                <w:bCs/>
                <w:i/>
                <w:iCs/>
                <w:color w:val="auto"/>
                <w:shd w:val="clear" w:color="auto" w:fill="FFFFFF"/>
                <w:vertAlign w:val="subscript"/>
              </w:rPr>
              <w:t>eqb</w:t>
            </w:r>
            <w:r>
              <w:rPr>
                <w:bCs/>
                <w:color w:val="auto"/>
                <w:shd w:val="clear" w:color="auto" w:fill="FFFFFF"/>
              </w:rPr>
              <w:t>—预测点的背景噪声值，dB。</w:t>
            </w:r>
          </w:p>
          <w:p w14:paraId="282E0170">
            <w:pPr>
              <w:ind w:firstLine="480"/>
              <w:rPr>
                <w:bCs/>
                <w:color w:val="auto"/>
                <w:shd w:val="clear" w:color="auto" w:fill="FFFFFF"/>
              </w:rPr>
            </w:pPr>
            <w:r>
              <w:rPr>
                <w:rFonts w:hint="eastAsia"/>
                <w:bCs/>
                <w:color w:val="auto"/>
                <w:shd w:val="clear" w:color="auto" w:fill="FFFFFF"/>
              </w:rPr>
              <w:t>2、</w:t>
            </w:r>
            <w:r>
              <w:rPr>
                <w:bCs/>
                <w:color w:val="auto"/>
                <w:shd w:val="clear" w:color="auto" w:fill="FFFFFF"/>
              </w:rPr>
              <w:t>预测参数选取</w:t>
            </w:r>
          </w:p>
          <w:p w14:paraId="02C70798">
            <w:pPr>
              <w:ind w:firstLine="480"/>
              <w:rPr>
                <w:bCs/>
                <w:color w:val="auto"/>
                <w:shd w:val="clear" w:color="auto" w:fill="FFFFFF"/>
              </w:rPr>
            </w:pPr>
            <w:r>
              <w:rPr>
                <w:bCs/>
                <w:color w:val="auto"/>
                <w:shd w:val="clear" w:color="auto" w:fill="FFFFFF"/>
              </w:rPr>
              <w:t>本项目主要噪声设备及噪声源强见项目源强分析。</w:t>
            </w:r>
          </w:p>
          <w:p w14:paraId="47EF7204">
            <w:pPr>
              <w:ind w:firstLine="480"/>
              <w:rPr>
                <w:bCs/>
                <w:color w:val="auto"/>
                <w:shd w:val="clear" w:color="auto" w:fill="FFFFFF"/>
              </w:rPr>
            </w:pPr>
            <w:r>
              <w:rPr>
                <w:rFonts w:hint="eastAsia"/>
                <w:bCs/>
                <w:color w:val="auto"/>
                <w:shd w:val="clear" w:color="auto" w:fill="FFFFFF"/>
              </w:rPr>
              <w:t>3、</w:t>
            </w:r>
            <w:r>
              <w:rPr>
                <w:bCs/>
                <w:color w:val="auto"/>
                <w:shd w:val="clear" w:color="auto" w:fill="FFFFFF"/>
              </w:rPr>
              <w:t>预测计算结果</w:t>
            </w:r>
          </w:p>
          <w:p w14:paraId="3B582074">
            <w:pPr>
              <w:ind w:firstLine="480"/>
              <w:rPr>
                <w:bCs/>
                <w:color w:val="auto"/>
                <w:shd w:val="clear" w:color="auto" w:fill="FFFFFF"/>
              </w:rPr>
            </w:pPr>
            <w:r>
              <w:rPr>
                <w:rFonts w:eastAsiaTheme="minorEastAsia"/>
                <w:color w:val="auto"/>
              </w:rPr>
              <w:t>通过预测模型计算，项目厂界噪声预测结果与达标分析见</w:t>
            </w:r>
            <w:r>
              <w:rPr>
                <w:rFonts w:hint="eastAsia" w:eastAsiaTheme="minorEastAsia"/>
                <w:color w:val="auto"/>
              </w:rPr>
              <w:t>下表</w:t>
            </w:r>
            <w:r>
              <w:rPr>
                <w:bCs/>
                <w:color w:val="auto"/>
                <w:shd w:val="clear" w:color="auto" w:fill="FFFFFF"/>
              </w:rPr>
              <w:t>。</w:t>
            </w:r>
          </w:p>
          <w:p w14:paraId="0A217284">
            <w:pPr>
              <w:pStyle w:val="6"/>
              <w:adjustRightInd w:val="0"/>
              <w:snapToGrid w:val="0"/>
              <w:rPr>
                <w:color w:val="auto"/>
              </w:rPr>
            </w:pPr>
            <w:r>
              <w:rPr>
                <w:color w:val="auto"/>
              </w:rPr>
              <w:t xml:space="preserve">表 </w:t>
            </w:r>
            <w:r>
              <w:rPr>
                <w:rFonts w:hint="eastAsia"/>
                <w:color w:val="auto"/>
              </w:rPr>
              <w:t>4-7</w:t>
            </w:r>
            <w:r>
              <w:rPr>
                <w:color w:val="auto"/>
              </w:rPr>
              <w:t xml:space="preserve"> 项目噪声预测结果表  单位：dB</w:t>
            </w:r>
            <w:r>
              <w:rPr>
                <w:rFonts w:hint="eastAsia"/>
                <w:color w:val="auto"/>
              </w:rPr>
              <w:t>（</w:t>
            </w:r>
            <w:r>
              <w:rPr>
                <w:color w:val="auto"/>
              </w:rPr>
              <w:t>A</w:t>
            </w:r>
            <w:r>
              <w:rPr>
                <w:rFonts w:hint="eastAsia"/>
                <w:color w:val="auto"/>
              </w:rPr>
              <w:t>）</w:t>
            </w:r>
          </w:p>
          <w:tbl>
            <w:tblPr>
              <w:tblStyle w:val="23"/>
              <w:tblpPr w:leftFromText="180" w:rightFromText="180" w:vertAnchor="text" w:tblpXSpec="center" w:tblpY="1"/>
              <w:tblOverlap w:val="never"/>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01"/>
              <w:gridCol w:w="1264"/>
              <w:gridCol w:w="1797"/>
              <w:gridCol w:w="1799"/>
              <w:gridCol w:w="1508"/>
            </w:tblGrid>
            <w:tr w14:paraId="7FDD9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901" w:type="pct"/>
                  <w:vMerge w:val="restart"/>
                  <w:vAlign w:val="center"/>
                </w:tcPr>
                <w:p w14:paraId="3E701F5B">
                  <w:pPr>
                    <w:pStyle w:val="30"/>
                    <w:framePr w:hSpace="0" w:wrap="auto" w:vAnchor="margin" w:hAnchor="text" w:xAlign="left" w:yAlign="inline"/>
                    <w:rPr>
                      <w:color w:val="auto"/>
                    </w:rPr>
                  </w:pPr>
                  <w:r>
                    <w:rPr>
                      <w:color w:val="auto"/>
                    </w:rPr>
                    <w:t>预测方位</w:t>
                  </w:r>
                </w:p>
              </w:tc>
              <w:tc>
                <w:tcPr>
                  <w:tcW w:w="813" w:type="pct"/>
                  <w:vMerge w:val="restart"/>
                  <w:vAlign w:val="center"/>
                </w:tcPr>
                <w:p w14:paraId="35E5073C">
                  <w:pPr>
                    <w:pStyle w:val="30"/>
                    <w:framePr w:hSpace="0" w:wrap="auto" w:vAnchor="margin" w:hAnchor="text" w:xAlign="left" w:yAlign="inline"/>
                    <w:rPr>
                      <w:color w:val="auto"/>
                    </w:rPr>
                  </w:pPr>
                  <w:r>
                    <w:rPr>
                      <w:color w:val="auto"/>
                    </w:rPr>
                    <w:t>时段</w:t>
                  </w:r>
                </w:p>
              </w:tc>
              <w:tc>
                <w:tcPr>
                  <w:tcW w:w="1156" w:type="pct"/>
                  <w:vMerge w:val="restart"/>
                  <w:vAlign w:val="center"/>
                </w:tcPr>
                <w:p w14:paraId="208EE00E">
                  <w:pPr>
                    <w:pStyle w:val="30"/>
                    <w:framePr w:hSpace="0" w:wrap="auto" w:vAnchor="margin" w:hAnchor="text" w:xAlign="left" w:yAlign="inline"/>
                    <w:rPr>
                      <w:color w:val="auto"/>
                    </w:rPr>
                  </w:pPr>
                  <w:r>
                    <w:rPr>
                      <w:color w:val="auto"/>
                    </w:rPr>
                    <w:t>贡献值（dB</w:t>
                  </w:r>
                  <w:r>
                    <w:rPr>
                      <w:rFonts w:hint="eastAsia"/>
                      <w:color w:val="auto"/>
                    </w:rPr>
                    <w:t>（</w:t>
                  </w:r>
                  <w:r>
                    <w:rPr>
                      <w:color w:val="auto"/>
                    </w:rPr>
                    <w:t>A</w:t>
                  </w:r>
                  <w:r>
                    <w:rPr>
                      <w:rFonts w:hint="eastAsia"/>
                      <w:color w:val="auto"/>
                    </w:rPr>
                    <w:t>）</w:t>
                  </w:r>
                  <w:r>
                    <w:rPr>
                      <w:color w:val="auto"/>
                    </w:rPr>
                    <w:t>）</w:t>
                  </w:r>
                </w:p>
              </w:tc>
              <w:tc>
                <w:tcPr>
                  <w:tcW w:w="1157" w:type="pct"/>
                  <w:vMerge w:val="restart"/>
                  <w:vAlign w:val="center"/>
                </w:tcPr>
                <w:p w14:paraId="078F52CB">
                  <w:pPr>
                    <w:pStyle w:val="30"/>
                    <w:framePr w:hSpace="0" w:wrap="auto" w:vAnchor="margin" w:hAnchor="text" w:xAlign="left" w:yAlign="inline"/>
                    <w:rPr>
                      <w:color w:val="auto"/>
                    </w:rPr>
                  </w:pPr>
                  <w:r>
                    <w:rPr>
                      <w:color w:val="auto"/>
                    </w:rPr>
                    <w:t>标准限值（dB</w:t>
                  </w:r>
                  <w:r>
                    <w:rPr>
                      <w:rFonts w:hint="eastAsia"/>
                      <w:color w:val="auto"/>
                    </w:rPr>
                    <w:t>（</w:t>
                  </w:r>
                  <w:r>
                    <w:rPr>
                      <w:color w:val="auto"/>
                    </w:rPr>
                    <w:t>A</w:t>
                  </w:r>
                  <w:r>
                    <w:rPr>
                      <w:rFonts w:hint="eastAsia"/>
                      <w:color w:val="auto"/>
                    </w:rPr>
                    <w:t>）</w:t>
                  </w:r>
                  <w:r>
                    <w:rPr>
                      <w:color w:val="auto"/>
                    </w:rPr>
                    <w:t>）</w:t>
                  </w:r>
                </w:p>
              </w:tc>
              <w:tc>
                <w:tcPr>
                  <w:tcW w:w="970" w:type="pct"/>
                  <w:vMerge w:val="restart"/>
                  <w:vAlign w:val="center"/>
                </w:tcPr>
                <w:p w14:paraId="188F5EF7">
                  <w:pPr>
                    <w:pStyle w:val="30"/>
                    <w:framePr w:hSpace="0" w:wrap="auto" w:vAnchor="margin" w:hAnchor="text" w:xAlign="left" w:yAlign="inline"/>
                    <w:rPr>
                      <w:color w:val="auto"/>
                    </w:rPr>
                  </w:pPr>
                  <w:r>
                    <w:rPr>
                      <w:color w:val="auto"/>
                    </w:rPr>
                    <w:t>达标情况</w:t>
                  </w:r>
                </w:p>
              </w:tc>
            </w:tr>
            <w:tr w14:paraId="77342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trPr>
              <w:tc>
                <w:tcPr>
                  <w:tcW w:w="901" w:type="pct"/>
                  <w:vMerge w:val="continue"/>
                  <w:shd w:val="clear" w:color="auto" w:fill="FFFFFF"/>
                  <w:vAlign w:val="center"/>
                </w:tcPr>
                <w:p w14:paraId="170DB742">
                  <w:pPr>
                    <w:pStyle w:val="30"/>
                    <w:framePr w:hSpace="0" w:wrap="auto" w:vAnchor="margin" w:hAnchor="text" w:xAlign="left" w:yAlign="inline"/>
                    <w:rPr>
                      <w:color w:val="auto"/>
                    </w:rPr>
                  </w:pPr>
                </w:p>
              </w:tc>
              <w:tc>
                <w:tcPr>
                  <w:tcW w:w="813" w:type="pct"/>
                  <w:vMerge w:val="continue"/>
                  <w:shd w:val="clear" w:color="auto" w:fill="FFFFFF"/>
                  <w:vAlign w:val="center"/>
                </w:tcPr>
                <w:p w14:paraId="177B6450">
                  <w:pPr>
                    <w:pStyle w:val="30"/>
                    <w:framePr w:hSpace="0" w:wrap="auto" w:vAnchor="margin" w:hAnchor="text" w:xAlign="left" w:yAlign="inline"/>
                    <w:rPr>
                      <w:color w:val="auto"/>
                    </w:rPr>
                  </w:pPr>
                </w:p>
              </w:tc>
              <w:tc>
                <w:tcPr>
                  <w:tcW w:w="1156" w:type="pct"/>
                  <w:vMerge w:val="continue"/>
                  <w:shd w:val="clear" w:color="auto" w:fill="FFFFFF"/>
                  <w:vAlign w:val="center"/>
                </w:tcPr>
                <w:p w14:paraId="6C5A3A17">
                  <w:pPr>
                    <w:pStyle w:val="30"/>
                    <w:framePr w:hSpace="0" w:wrap="auto" w:vAnchor="margin" w:hAnchor="text" w:xAlign="left" w:yAlign="inline"/>
                    <w:rPr>
                      <w:color w:val="auto"/>
                    </w:rPr>
                  </w:pPr>
                </w:p>
              </w:tc>
              <w:tc>
                <w:tcPr>
                  <w:tcW w:w="1157" w:type="pct"/>
                  <w:vMerge w:val="continue"/>
                  <w:shd w:val="clear" w:color="auto" w:fill="FFFFFF"/>
                  <w:vAlign w:val="center"/>
                </w:tcPr>
                <w:p w14:paraId="594B4767">
                  <w:pPr>
                    <w:pStyle w:val="30"/>
                    <w:framePr w:hSpace="0" w:wrap="auto" w:vAnchor="margin" w:hAnchor="text" w:xAlign="left" w:yAlign="inline"/>
                    <w:rPr>
                      <w:color w:val="auto"/>
                    </w:rPr>
                  </w:pPr>
                </w:p>
              </w:tc>
              <w:tc>
                <w:tcPr>
                  <w:tcW w:w="970" w:type="pct"/>
                  <w:vMerge w:val="continue"/>
                  <w:shd w:val="clear" w:color="auto" w:fill="FFFFFF"/>
                  <w:vAlign w:val="center"/>
                </w:tcPr>
                <w:p w14:paraId="0B32A995">
                  <w:pPr>
                    <w:pStyle w:val="30"/>
                    <w:framePr w:hSpace="0" w:wrap="auto" w:vAnchor="margin" w:hAnchor="text" w:xAlign="left" w:yAlign="inline"/>
                    <w:rPr>
                      <w:color w:val="auto"/>
                    </w:rPr>
                  </w:pPr>
                </w:p>
              </w:tc>
            </w:tr>
            <w:tr w14:paraId="7452F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340" w:hRule="exact"/>
              </w:trPr>
              <w:tc>
                <w:tcPr>
                  <w:tcW w:w="901" w:type="pct"/>
                  <w:shd w:val="clear" w:color="auto" w:fill="FFFFFF"/>
                  <w:vAlign w:val="center"/>
                </w:tcPr>
                <w:p w14:paraId="74E4B7EC">
                  <w:pPr>
                    <w:pStyle w:val="30"/>
                    <w:framePr w:hSpace="0" w:wrap="auto" w:vAnchor="margin" w:hAnchor="text" w:xAlign="left" w:yAlign="inline"/>
                    <w:rPr>
                      <w:color w:val="auto"/>
                    </w:rPr>
                  </w:pPr>
                  <w:r>
                    <w:rPr>
                      <w:color w:val="auto"/>
                    </w:rPr>
                    <w:t>东侧</w:t>
                  </w:r>
                </w:p>
              </w:tc>
              <w:tc>
                <w:tcPr>
                  <w:tcW w:w="813" w:type="pct"/>
                  <w:shd w:val="clear" w:color="auto" w:fill="FFFFFF"/>
                  <w:vAlign w:val="center"/>
                </w:tcPr>
                <w:p w14:paraId="6C2F0039">
                  <w:pPr>
                    <w:pStyle w:val="30"/>
                    <w:framePr w:hSpace="0" w:wrap="auto" w:vAnchor="margin" w:hAnchor="text" w:xAlign="left" w:yAlign="inline"/>
                    <w:rPr>
                      <w:color w:val="auto"/>
                    </w:rPr>
                  </w:pPr>
                  <w:r>
                    <w:rPr>
                      <w:color w:val="auto"/>
                    </w:rPr>
                    <w:t>昼间</w:t>
                  </w:r>
                </w:p>
              </w:tc>
              <w:tc>
                <w:tcPr>
                  <w:tcW w:w="1156" w:type="pct"/>
                  <w:shd w:val="clear" w:color="auto" w:fill="FFFFFF"/>
                  <w:vAlign w:val="center"/>
                </w:tcPr>
                <w:p w14:paraId="32D594FE">
                  <w:pPr>
                    <w:pStyle w:val="30"/>
                    <w:framePr w:hSpace="0" w:wrap="auto" w:vAnchor="margin" w:hAnchor="text" w:xAlign="left" w:yAlign="inline"/>
                    <w:rPr>
                      <w:rFonts w:hint="default" w:eastAsia="宋体"/>
                      <w:color w:val="auto"/>
                      <w:lang w:val="en-US" w:eastAsia="zh-CN"/>
                    </w:rPr>
                  </w:pPr>
                  <w:r>
                    <w:rPr>
                      <w:rFonts w:hint="eastAsia"/>
                      <w:color w:val="auto"/>
                      <w:lang w:val="en-US" w:eastAsia="zh-CN"/>
                    </w:rPr>
                    <w:t>51.2</w:t>
                  </w:r>
                </w:p>
              </w:tc>
              <w:tc>
                <w:tcPr>
                  <w:tcW w:w="1157" w:type="pct"/>
                  <w:shd w:val="clear" w:color="auto" w:fill="FFFFFF"/>
                  <w:vAlign w:val="center"/>
                </w:tcPr>
                <w:p w14:paraId="4C2E5E7A">
                  <w:pPr>
                    <w:pStyle w:val="30"/>
                    <w:framePr w:hSpace="0" w:wrap="auto" w:vAnchor="margin" w:hAnchor="text" w:xAlign="left" w:yAlign="inline"/>
                    <w:rPr>
                      <w:color w:val="auto"/>
                    </w:rPr>
                  </w:pPr>
                  <w:r>
                    <w:rPr>
                      <w:color w:val="auto"/>
                    </w:rPr>
                    <w:t>65</w:t>
                  </w:r>
                </w:p>
              </w:tc>
              <w:tc>
                <w:tcPr>
                  <w:tcW w:w="970" w:type="pct"/>
                  <w:shd w:val="clear" w:color="auto" w:fill="FFFFFF"/>
                  <w:vAlign w:val="center"/>
                </w:tcPr>
                <w:p w14:paraId="1129B6E6">
                  <w:pPr>
                    <w:pStyle w:val="30"/>
                    <w:framePr w:hSpace="0" w:wrap="auto" w:vAnchor="margin" w:hAnchor="text" w:xAlign="left" w:yAlign="inline"/>
                    <w:rPr>
                      <w:color w:val="auto"/>
                    </w:rPr>
                  </w:pPr>
                  <w:r>
                    <w:rPr>
                      <w:color w:val="auto"/>
                    </w:rPr>
                    <w:t>达标</w:t>
                  </w:r>
                </w:p>
              </w:tc>
            </w:tr>
            <w:tr w14:paraId="5B239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340" w:hRule="exact"/>
              </w:trPr>
              <w:tc>
                <w:tcPr>
                  <w:tcW w:w="901" w:type="pct"/>
                  <w:shd w:val="clear" w:color="auto" w:fill="FFFFFF"/>
                  <w:vAlign w:val="center"/>
                </w:tcPr>
                <w:p w14:paraId="040B2A63">
                  <w:pPr>
                    <w:pStyle w:val="30"/>
                    <w:framePr w:hSpace="0" w:wrap="auto" w:vAnchor="margin" w:hAnchor="text" w:xAlign="left" w:yAlign="inline"/>
                    <w:rPr>
                      <w:color w:val="auto"/>
                    </w:rPr>
                  </w:pPr>
                  <w:r>
                    <w:rPr>
                      <w:color w:val="auto"/>
                    </w:rPr>
                    <w:t>南侧</w:t>
                  </w:r>
                </w:p>
              </w:tc>
              <w:tc>
                <w:tcPr>
                  <w:tcW w:w="813" w:type="pct"/>
                  <w:shd w:val="clear" w:color="auto" w:fill="FFFFFF"/>
                  <w:vAlign w:val="center"/>
                </w:tcPr>
                <w:p w14:paraId="608E4331">
                  <w:pPr>
                    <w:pStyle w:val="30"/>
                    <w:framePr w:hSpace="0" w:wrap="auto" w:vAnchor="margin" w:hAnchor="text" w:xAlign="left" w:yAlign="inline"/>
                    <w:rPr>
                      <w:color w:val="auto"/>
                    </w:rPr>
                  </w:pPr>
                  <w:r>
                    <w:rPr>
                      <w:color w:val="auto"/>
                    </w:rPr>
                    <w:t>昼间</w:t>
                  </w:r>
                </w:p>
              </w:tc>
              <w:tc>
                <w:tcPr>
                  <w:tcW w:w="1156" w:type="pct"/>
                  <w:shd w:val="clear" w:color="auto" w:fill="FFFFFF"/>
                  <w:vAlign w:val="center"/>
                </w:tcPr>
                <w:p w14:paraId="4447A19E">
                  <w:pPr>
                    <w:pStyle w:val="30"/>
                    <w:framePr w:hSpace="0" w:wrap="auto" w:vAnchor="margin" w:hAnchor="text" w:xAlign="left" w:yAlign="inline"/>
                    <w:rPr>
                      <w:rFonts w:hint="default" w:eastAsia="宋体"/>
                      <w:color w:val="auto"/>
                      <w:lang w:val="en-US" w:eastAsia="zh-CN"/>
                    </w:rPr>
                  </w:pPr>
                  <w:r>
                    <w:rPr>
                      <w:rFonts w:hint="eastAsia"/>
                      <w:color w:val="auto"/>
                      <w:lang w:val="en-US" w:eastAsia="zh-CN"/>
                    </w:rPr>
                    <w:t>49.8</w:t>
                  </w:r>
                </w:p>
              </w:tc>
              <w:tc>
                <w:tcPr>
                  <w:tcW w:w="1157" w:type="pct"/>
                  <w:shd w:val="clear" w:color="auto" w:fill="FFFFFF"/>
                  <w:vAlign w:val="center"/>
                </w:tcPr>
                <w:p w14:paraId="35307716">
                  <w:pPr>
                    <w:pStyle w:val="30"/>
                    <w:framePr w:hSpace="0" w:wrap="auto" w:vAnchor="margin" w:hAnchor="text" w:xAlign="left" w:yAlign="inline"/>
                    <w:rPr>
                      <w:color w:val="auto"/>
                    </w:rPr>
                  </w:pPr>
                  <w:r>
                    <w:rPr>
                      <w:color w:val="auto"/>
                    </w:rPr>
                    <w:t>65</w:t>
                  </w:r>
                </w:p>
              </w:tc>
              <w:tc>
                <w:tcPr>
                  <w:tcW w:w="970" w:type="pct"/>
                  <w:shd w:val="clear" w:color="auto" w:fill="FFFFFF"/>
                  <w:vAlign w:val="center"/>
                </w:tcPr>
                <w:p w14:paraId="345938F9">
                  <w:pPr>
                    <w:pStyle w:val="30"/>
                    <w:framePr w:hSpace="0" w:wrap="auto" w:vAnchor="margin" w:hAnchor="text" w:xAlign="left" w:yAlign="inline"/>
                    <w:rPr>
                      <w:color w:val="auto"/>
                    </w:rPr>
                  </w:pPr>
                  <w:r>
                    <w:rPr>
                      <w:color w:val="auto"/>
                    </w:rPr>
                    <w:t>达标</w:t>
                  </w:r>
                </w:p>
              </w:tc>
            </w:tr>
            <w:tr w14:paraId="6DC43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340" w:hRule="exact"/>
              </w:trPr>
              <w:tc>
                <w:tcPr>
                  <w:tcW w:w="901" w:type="pct"/>
                  <w:shd w:val="clear" w:color="auto" w:fill="FFFFFF"/>
                  <w:vAlign w:val="center"/>
                </w:tcPr>
                <w:p w14:paraId="4D1519D6">
                  <w:pPr>
                    <w:pStyle w:val="30"/>
                    <w:framePr w:hSpace="0" w:wrap="auto" w:vAnchor="margin" w:hAnchor="text" w:xAlign="left" w:yAlign="inline"/>
                    <w:rPr>
                      <w:color w:val="auto"/>
                    </w:rPr>
                  </w:pPr>
                  <w:r>
                    <w:rPr>
                      <w:color w:val="auto"/>
                    </w:rPr>
                    <w:t>西侧</w:t>
                  </w:r>
                </w:p>
              </w:tc>
              <w:tc>
                <w:tcPr>
                  <w:tcW w:w="813" w:type="pct"/>
                  <w:shd w:val="clear" w:color="auto" w:fill="FFFFFF"/>
                  <w:vAlign w:val="center"/>
                </w:tcPr>
                <w:p w14:paraId="7E77CDD1">
                  <w:pPr>
                    <w:pStyle w:val="30"/>
                    <w:framePr w:hSpace="0" w:wrap="auto" w:vAnchor="margin" w:hAnchor="text" w:xAlign="left" w:yAlign="inline"/>
                    <w:rPr>
                      <w:color w:val="auto"/>
                    </w:rPr>
                  </w:pPr>
                  <w:r>
                    <w:rPr>
                      <w:color w:val="auto"/>
                    </w:rPr>
                    <w:t>昼间</w:t>
                  </w:r>
                </w:p>
              </w:tc>
              <w:tc>
                <w:tcPr>
                  <w:tcW w:w="1156" w:type="pct"/>
                  <w:shd w:val="clear" w:color="auto" w:fill="FFFFFF"/>
                  <w:vAlign w:val="center"/>
                </w:tcPr>
                <w:p w14:paraId="42466C93">
                  <w:pPr>
                    <w:pStyle w:val="30"/>
                    <w:framePr w:hSpace="0" w:wrap="auto" w:vAnchor="margin" w:hAnchor="text" w:xAlign="left" w:yAlign="inline"/>
                    <w:rPr>
                      <w:rFonts w:hint="default" w:eastAsia="宋体"/>
                      <w:color w:val="auto"/>
                      <w:lang w:val="en-US" w:eastAsia="zh-CN"/>
                    </w:rPr>
                  </w:pPr>
                  <w:r>
                    <w:rPr>
                      <w:rFonts w:hint="eastAsia"/>
                      <w:color w:val="auto"/>
                      <w:lang w:val="en-US" w:eastAsia="zh-CN"/>
                    </w:rPr>
                    <w:t>47.3</w:t>
                  </w:r>
                </w:p>
              </w:tc>
              <w:tc>
                <w:tcPr>
                  <w:tcW w:w="1157" w:type="pct"/>
                  <w:shd w:val="clear" w:color="auto" w:fill="FFFFFF"/>
                  <w:vAlign w:val="center"/>
                </w:tcPr>
                <w:p w14:paraId="5546C50F">
                  <w:pPr>
                    <w:pStyle w:val="30"/>
                    <w:framePr w:hSpace="0" w:wrap="auto" w:vAnchor="margin" w:hAnchor="text" w:xAlign="left" w:yAlign="inline"/>
                    <w:rPr>
                      <w:color w:val="auto"/>
                    </w:rPr>
                  </w:pPr>
                  <w:r>
                    <w:rPr>
                      <w:color w:val="auto"/>
                    </w:rPr>
                    <w:t>65</w:t>
                  </w:r>
                </w:p>
              </w:tc>
              <w:tc>
                <w:tcPr>
                  <w:tcW w:w="970" w:type="pct"/>
                  <w:shd w:val="clear" w:color="auto" w:fill="FFFFFF"/>
                  <w:vAlign w:val="center"/>
                </w:tcPr>
                <w:p w14:paraId="203C3429">
                  <w:pPr>
                    <w:pStyle w:val="30"/>
                    <w:framePr w:hSpace="0" w:wrap="auto" w:vAnchor="margin" w:hAnchor="text" w:xAlign="left" w:yAlign="inline"/>
                    <w:rPr>
                      <w:color w:val="auto"/>
                    </w:rPr>
                  </w:pPr>
                  <w:r>
                    <w:rPr>
                      <w:color w:val="auto"/>
                    </w:rPr>
                    <w:t>达标</w:t>
                  </w:r>
                </w:p>
              </w:tc>
            </w:tr>
            <w:tr w14:paraId="62F0B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340" w:hRule="exact"/>
              </w:trPr>
              <w:tc>
                <w:tcPr>
                  <w:tcW w:w="901" w:type="pct"/>
                  <w:shd w:val="clear" w:color="auto" w:fill="FFFFFF"/>
                  <w:vAlign w:val="center"/>
                </w:tcPr>
                <w:p w14:paraId="1A836ED4">
                  <w:pPr>
                    <w:pStyle w:val="30"/>
                    <w:framePr w:hSpace="0" w:wrap="auto" w:vAnchor="margin" w:hAnchor="text" w:xAlign="left" w:yAlign="inline"/>
                    <w:rPr>
                      <w:color w:val="auto"/>
                    </w:rPr>
                  </w:pPr>
                  <w:r>
                    <w:rPr>
                      <w:color w:val="auto"/>
                    </w:rPr>
                    <w:t>北侧</w:t>
                  </w:r>
                </w:p>
              </w:tc>
              <w:tc>
                <w:tcPr>
                  <w:tcW w:w="813" w:type="pct"/>
                  <w:shd w:val="clear" w:color="auto" w:fill="FFFFFF"/>
                  <w:vAlign w:val="center"/>
                </w:tcPr>
                <w:p w14:paraId="46FE00B9">
                  <w:pPr>
                    <w:pStyle w:val="30"/>
                    <w:framePr w:hSpace="0" w:wrap="auto" w:vAnchor="margin" w:hAnchor="text" w:xAlign="left" w:yAlign="inline"/>
                    <w:rPr>
                      <w:color w:val="auto"/>
                    </w:rPr>
                  </w:pPr>
                  <w:r>
                    <w:rPr>
                      <w:color w:val="auto"/>
                    </w:rPr>
                    <w:t>昼间</w:t>
                  </w:r>
                </w:p>
              </w:tc>
              <w:tc>
                <w:tcPr>
                  <w:tcW w:w="1156" w:type="pct"/>
                  <w:shd w:val="clear" w:color="auto" w:fill="FFFFFF"/>
                  <w:vAlign w:val="center"/>
                </w:tcPr>
                <w:p w14:paraId="0AEF2CEF">
                  <w:pPr>
                    <w:pStyle w:val="30"/>
                    <w:framePr w:hSpace="0" w:wrap="auto" w:vAnchor="margin" w:hAnchor="text" w:xAlign="left" w:yAlign="inline"/>
                    <w:rPr>
                      <w:color w:val="auto"/>
                      <w:lang w:val="en-US"/>
                    </w:rPr>
                  </w:pPr>
                  <w:r>
                    <w:rPr>
                      <w:rFonts w:hint="eastAsia"/>
                      <w:color w:val="auto"/>
                      <w:lang w:val="en-US"/>
                    </w:rPr>
                    <w:t>47.5</w:t>
                  </w:r>
                </w:p>
              </w:tc>
              <w:tc>
                <w:tcPr>
                  <w:tcW w:w="1157" w:type="pct"/>
                  <w:shd w:val="clear" w:color="auto" w:fill="FFFFFF"/>
                  <w:vAlign w:val="center"/>
                </w:tcPr>
                <w:p w14:paraId="0630B66A">
                  <w:pPr>
                    <w:pStyle w:val="30"/>
                    <w:framePr w:hSpace="0" w:wrap="auto" w:vAnchor="margin" w:hAnchor="text" w:xAlign="left" w:yAlign="inline"/>
                    <w:rPr>
                      <w:color w:val="auto"/>
                    </w:rPr>
                  </w:pPr>
                  <w:r>
                    <w:rPr>
                      <w:color w:val="auto"/>
                    </w:rPr>
                    <w:t>65</w:t>
                  </w:r>
                </w:p>
              </w:tc>
              <w:tc>
                <w:tcPr>
                  <w:tcW w:w="970" w:type="pct"/>
                  <w:shd w:val="clear" w:color="auto" w:fill="FFFFFF"/>
                  <w:vAlign w:val="center"/>
                </w:tcPr>
                <w:p w14:paraId="25625844">
                  <w:pPr>
                    <w:pStyle w:val="30"/>
                    <w:framePr w:hSpace="0" w:wrap="auto" w:vAnchor="margin" w:hAnchor="text" w:xAlign="left" w:yAlign="inline"/>
                    <w:rPr>
                      <w:color w:val="auto"/>
                    </w:rPr>
                  </w:pPr>
                  <w:r>
                    <w:rPr>
                      <w:color w:val="auto"/>
                    </w:rPr>
                    <w:t>达标</w:t>
                  </w:r>
                </w:p>
              </w:tc>
            </w:tr>
          </w:tbl>
          <w:p w14:paraId="672E7B33">
            <w:pPr>
              <w:ind w:firstLine="482" w:firstLineChars="200"/>
              <w:rPr>
                <w:b/>
                <w:bCs/>
                <w:color w:val="auto"/>
              </w:rPr>
            </w:pPr>
            <w:r>
              <w:rPr>
                <w:b/>
                <w:bCs/>
                <w:color w:val="auto"/>
              </w:rPr>
              <w:t xml:space="preserve">4.4.3 </w:t>
            </w:r>
            <w:r>
              <w:rPr>
                <w:rFonts w:hint="eastAsia"/>
                <w:b/>
                <w:bCs/>
                <w:color w:val="auto"/>
              </w:rPr>
              <w:t>噪声达标情况</w:t>
            </w:r>
          </w:p>
          <w:p w14:paraId="63DC43B4">
            <w:pPr>
              <w:ind w:firstLine="480" w:firstLineChars="200"/>
              <w:rPr>
                <w:color w:val="auto"/>
              </w:rPr>
            </w:pPr>
            <w:r>
              <w:rPr>
                <w:color w:val="auto"/>
              </w:rPr>
              <w:t>根据</w:t>
            </w:r>
            <w:r>
              <w:rPr>
                <w:rFonts w:hint="eastAsia"/>
                <w:color w:val="auto"/>
              </w:rPr>
              <w:t>《淮南市中心城区声环境功能区划分方案》（2021年），</w:t>
            </w:r>
            <w:r>
              <w:rPr>
                <w:color w:val="auto"/>
              </w:rPr>
              <w:t>本项目</w:t>
            </w:r>
            <w:r>
              <w:rPr>
                <w:rFonts w:hint="eastAsia"/>
                <w:color w:val="auto"/>
              </w:rPr>
              <w:t>位于田家庵安成经济开发区（北区）标准化厂房6号楼西一、二层</w:t>
            </w:r>
            <w:r>
              <w:rPr>
                <w:color w:val="auto"/>
              </w:rPr>
              <w:t>，</w:t>
            </w:r>
            <w:r>
              <w:rPr>
                <w:rFonts w:hint="eastAsia"/>
                <w:color w:val="auto"/>
              </w:rPr>
              <w:t>处于</w:t>
            </w:r>
            <w:r>
              <w:rPr>
                <w:color w:val="auto"/>
              </w:rPr>
              <w:t>声环境功能区3类区，厂界</w:t>
            </w:r>
            <w:r>
              <w:rPr>
                <w:rFonts w:hint="eastAsia"/>
                <w:color w:val="auto"/>
              </w:rPr>
              <w:t>四周噪声</w:t>
            </w:r>
            <w:r>
              <w:rPr>
                <w:color w:val="auto"/>
              </w:rPr>
              <w:t>排放执行《工业企业厂界环境噪声排放标准》（GB12348-2008）3类标准</w:t>
            </w:r>
            <w:r>
              <w:rPr>
                <w:rFonts w:hint="eastAsia"/>
                <w:color w:val="auto"/>
              </w:rPr>
              <w:t>；</w:t>
            </w:r>
            <w:r>
              <w:rPr>
                <w:color w:val="auto"/>
              </w:rPr>
              <w:t>由预测分析结果可知，本项目经减振、建筑隔声以及距离衰减后，建设项目厂界昼间声预测值满足《工业企业厂界环境噪声排放标准》</w:t>
            </w:r>
            <w:r>
              <w:rPr>
                <w:rFonts w:hint="eastAsia"/>
                <w:color w:val="auto"/>
              </w:rPr>
              <w:t>（</w:t>
            </w:r>
            <w:r>
              <w:rPr>
                <w:color w:val="auto"/>
              </w:rPr>
              <w:t>GB12348-2008</w:t>
            </w:r>
            <w:r>
              <w:rPr>
                <w:rFonts w:hint="eastAsia"/>
                <w:color w:val="auto"/>
              </w:rPr>
              <w:t>）</w:t>
            </w:r>
            <w:r>
              <w:rPr>
                <w:color w:val="auto"/>
              </w:rPr>
              <w:t>中3类标准要求，</w:t>
            </w:r>
            <w:r>
              <w:rPr>
                <w:rFonts w:hint="eastAsia"/>
                <w:color w:val="auto"/>
              </w:rPr>
              <w:t>因此，本项目不会对周围声环境产生明显影响。</w:t>
            </w:r>
          </w:p>
          <w:p w14:paraId="76D42BBB">
            <w:pPr>
              <w:ind w:firstLine="482" w:firstLineChars="200"/>
              <w:rPr>
                <w:b/>
                <w:bCs/>
                <w:color w:val="auto"/>
              </w:rPr>
            </w:pPr>
            <w:r>
              <w:rPr>
                <w:b/>
                <w:bCs/>
                <w:color w:val="auto"/>
              </w:rPr>
              <w:t xml:space="preserve">4.4.4 </w:t>
            </w:r>
            <w:r>
              <w:rPr>
                <w:rFonts w:hint="eastAsia"/>
                <w:b/>
                <w:bCs/>
                <w:color w:val="auto"/>
              </w:rPr>
              <w:t>噪声监测计划</w:t>
            </w:r>
          </w:p>
          <w:p w14:paraId="145EC69F">
            <w:pPr>
              <w:ind w:firstLine="480" w:firstLineChars="200"/>
              <w:rPr>
                <w:bCs/>
                <w:color w:val="auto"/>
                <w:shd w:val="clear" w:color="auto" w:fill="FFFFFF"/>
              </w:rPr>
            </w:pPr>
            <w:r>
              <w:rPr>
                <w:color w:val="auto"/>
              </w:rPr>
              <w:t>根据</w:t>
            </w:r>
            <w:r>
              <w:rPr>
                <w:color w:val="auto"/>
                <w:kern w:val="24"/>
                <w:szCs w:val="20"/>
              </w:rPr>
              <w:t>《</w:t>
            </w:r>
            <w:r>
              <w:rPr>
                <w:rFonts w:hint="eastAsia"/>
                <w:color w:val="auto"/>
                <w:kern w:val="24"/>
                <w:szCs w:val="20"/>
              </w:rPr>
              <w:t>排污许可证申请与核发技术规范 工业噪声</w:t>
            </w:r>
            <w:r>
              <w:rPr>
                <w:color w:val="auto"/>
                <w:kern w:val="24"/>
                <w:szCs w:val="20"/>
              </w:rPr>
              <w:t>》（</w:t>
            </w:r>
            <w:r>
              <w:rPr>
                <w:rFonts w:hint="eastAsia"/>
                <w:color w:val="auto"/>
                <w:kern w:val="24"/>
                <w:szCs w:val="20"/>
              </w:rPr>
              <w:t>HJ1301—2023</w:t>
            </w:r>
            <w:r>
              <w:rPr>
                <w:color w:val="auto"/>
                <w:kern w:val="24"/>
                <w:szCs w:val="20"/>
              </w:rPr>
              <w:t>）要求</w:t>
            </w:r>
            <w:r>
              <w:rPr>
                <w:color w:val="auto"/>
              </w:rPr>
              <w:t>中的监测要求，本项目噪声监测计划如下表</w:t>
            </w:r>
            <w:r>
              <w:rPr>
                <w:rFonts w:hint="eastAsia"/>
                <w:color w:val="auto"/>
              </w:rPr>
              <w:t>。</w:t>
            </w:r>
          </w:p>
          <w:p w14:paraId="00F2A38F">
            <w:pPr>
              <w:pStyle w:val="6"/>
              <w:tabs>
                <w:tab w:val="left" w:pos="3120"/>
              </w:tabs>
              <w:adjustRightInd w:val="0"/>
              <w:snapToGrid w:val="0"/>
              <w:rPr>
                <w:color w:val="auto"/>
              </w:rPr>
            </w:pPr>
            <w:r>
              <w:rPr>
                <w:color w:val="auto"/>
              </w:rPr>
              <w:t xml:space="preserve">表 </w:t>
            </w:r>
            <w:r>
              <w:rPr>
                <w:rFonts w:hint="eastAsia"/>
                <w:color w:val="auto"/>
              </w:rPr>
              <w:t>4-8</w:t>
            </w:r>
            <w:r>
              <w:rPr>
                <w:color w:val="auto"/>
              </w:rPr>
              <w:t xml:space="preserve"> 本项目噪声监测计划</w:t>
            </w:r>
          </w:p>
          <w:tbl>
            <w:tblPr>
              <w:tblStyle w:val="23"/>
              <w:tblpPr w:leftFromText="180" w:rightFromText="180" w:vertAnchor="text" w:tblpXSpec="center" w:tblpY="1"/>
              <w:tblOverlap w:val="never"/>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807"/>
              <w:gridCol w:w="1484"/>
              <w:gridCol w:w="1534"/>
              <w:gridCol w:w="1309"/>
              <w:gridCol w:w="2638"/>
            </w:tblGrid>
            <w:tr w14:paraId="29E61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519" w:type="pct"/>
                  <w:vAlign w:val="center"/>
                </w:tcPr>
                <w:p w14:paraId="5B05F87D">
                  <w:pPr>
                    <w:pStyle w:val="30"/>
                    <w:framePr w:hSpace="0" w:wrap="auto" w:vAnchor="margin" w:hAnchor="text" w:xAlign="left" w:yAlign="inline"/>
                    <w:rPr>
                      <w:color w:val="auto"/>
                    </w:rPr>
                  </w:pPr>
                  <w:r>
                    <w:rPr>
                      <w:rFonts w:hint="eastAsia"/>
                      <w:color w:val="auto"/>
                    </w:rPr>
                    <w:t>污染类别</w:t>
                  </w:r>
                </w:p>
              </w:tc>
              <w:tc>
                <w:tcPr>
                  <w:tcW w:w="955" w:type="pct"/>
                  <w:vAlign w:val="center"/>
                </w:tcPr>
                <w:p w14:paraId="18207009">
                  <w:pPr>
                    <w:pStyle w:val="30"/>
                    <w:framePr w:hSpace="0" w:wrap="auto" w:vAnchor="margin" w:hAnchor="text" w:xAlign="left" w:yAlign="inline"/>
                    <w:rPr>
                      <w:color w:val="auto"/>
                    </w:rPr>
                  </w:pPr>
                  <w:r>
                    <w:rPr>
                      <w:color w:val="auto"/>
                    </w:rPr>
                    <w:t>监测</w:t>
                  </w:r>
                  <w:r>
                    <w:rPr>
                      <w:rFonts w:hint="eastAsia"/>
                      <w:color w:val="auto"/>
                    </w:rPr>
                    <w:t>点位</w:t>
                  </w:r>
                </w:p>
              </w:tc>
              <w:tc>
                <w:tcPr>
                  <w:tcW w:w="987" w:type="pct"/>
                  <w:vAlign w:val="center"/>
                </w:tcPr>
                <w:p w14:paraId="2FF8B5A2">
                  <w:pPr>
                    <w:pStyle w:val="30"/>
                    <w:framePr w:hSpace="0" w:wrap="auto" w:vAnchor="margin" w:hAnchor="text" w:xAlign="left" w:yAlign="inline"/>
                    <w:rPr>
                      <w:color w:val="auto"/>
                    </w:rPr>
                  </w:pPr>
                  <w:r>
                    <w:rPr>
                      <w:color w:val="auto"/>
                    </w:rPr>
                    <w:t>监测项目</w:t>
                  </w:r>
                </w:p>
              </w:tc>
              <w:tc>
                <w:tcPr>
                  <w:tcW w:w="842" w:type="pct"/>
                  <w:vAlign w:val="center"/>
                </w:tcPr>
                <w:p w14:paraId="57711C4D">
                  <w:pPr>
                    <w:pStyle w:val="30"/>
                    <w:framePr w:hSpace="0" w:wrap="auto" w:vAnchor="margin" w:hAnchor="text" w:xAlign="left" w:yAlign="inline"/>
                    <w:rPr>
                      <w:color w:val="auto"/>
                    </w:rPr>
                  </w:pPr>
                  <w:r>
                    <w:rPr>
                      <w:color w:val="auto"/>
                    </w:rPr>
                    <w:t>监测频率</w:t>
                  </w:r>
                </w:p>
              </w:tc>
              <w:tc>
                <w:tcPr>
                  <w:tcW w:w="1697" w:type="pct"/>
                  <w:vAlign w:val="center"/>
                </w:tcPr>
                <w:p w14:paraId="24B5D702">
                  <w:pPr>
                    <w:pStyle w:val="30"/>
                    <w:framePr w:hSpace="0" w:wrap="auto" w:vAnchor="margin" w:hAnchor="text" w:xAlign="left" w:yAlign="inline"/>
                    <w:rPr>
                      <w:color w:val="auto"/>
                    </w:rPr>
                  </w:pPr>
                  <w:r>
                    <w:rPr>
                      <w:color w:val="auto"/>
                    </w:rPr>
                    <w:t>执行排放标准</w:t>
                  </w:r>
                </w:p>
              </w:tc>
            </w:tr>
            <w:tr w14:paraId="7304C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519" w:type="pct"/>
                  <w:vAlign w:val="center"/>
                </w:tcPr>
                <w:p w14:paraId="06876CE2">
                  <w:pPr>
                    <w:pStyle w:val="30"/>
                    <w:framePr w:hSpace="0" w:wrap="auto" w:vAnchor="margin" w:hAnchor="text" w:xAlign="left" w:yAlign="inline"/>
                    <w:rPr>
                      <w:color w:val="auto"/>
                    </w:rPr>
                  </w:pPr>
                  <w:r>
                    <w:rPr>
                      <w:color w:val="auto"/>
                    </w:rPr>
                    <w:t>噪声</w:t>
                  </w:r>
                </w:p>
              </w:tc>
              <w:tc>
                <w:tcPr>
                  <w:tcW w:w="955" w:type="pct"/>
                  <w:vAlign w:val="center"/>
                </w:tcPr>
                <w:p w14:paraId="4705890A">
                  <w:pPr>
                    <w:pStyle w:val="30"/>
                    <w:framePr w:hSpace="0" w:wrap="auto" w:vAnchor="margin" w:hAnchor="text" w:xAlign="left" w:yAlign="inline"/>
                    <w:rPr>
                      <w:color w:val="auto"/>
                    </w:rPr>
                  </w:pPr>
                  <w:r>
                    <w:rPr>
                      <w:rFonts w:hint="eastAsia"/>
                      <w:color w:val="auto"/>
                    </w:rPr>
                    <w:t>厂</w:t>
                  </w:r>
                  <w:r>
                    <w:rPr>
                      <w:color w:val="auto"/>
                    </w:rPr>
                    <w:t>界外1</w:t>
                  </w:r>
                  <w:r>
                    <w:rPr>
                      <w:rFonts w:hint="eastAsia"/>
                      <w:color w:val="auto"/>
                    </w:rPr>
                    <w:t>m</w:t>
                  </w:r>
                  <w:r>
                    <w:rPr>
                      <w:color w:val="auto"/>
                    </w:rPr>
                    <w:t>处</w:t>
                  </w:r>
                </w:p>
              </w:tc>
              <w:tc>
                <w:tcPr>
                  <w:tcW w:w="987" w:type="pct"/>
                  <w:vAlign w:val="center"/>
                </w:tcPr>
                <w:p w14:paraId="3B615A37">
                  <w:pPr>
                    <w:pStyle w:val="30"/>
                    <w:framePr w:hSpace="0" w:wrap="auto" w:vAnchor="margin" w:hAnchor="text" w:xAlign="left" w:yAlign="inline"/>
                    <w:rPr>
                      <w:color w:val="auto"/>
                    </w:rPr>
                  </w:pPr>
                  <w:r>
                    <w:rPr>
                      <w:color w:val="auto"/>
                    </w:rPr>
                    <w:t>等效连续A声级（</w:t>
                  </w:r>
                  <w:r>
                    <w:rPr>
                      <w:rFonts w:hint="eastAsia"/>
                      <w:color w:val="auto"/>
                      <w:lang w:val="en-US"/>
                    </w:rPr>
                    <w:t>昼间</w:t>
                  </w:r>
                  <w:r>
                    <w:rPr>
                      <w:color w:val="auto"/>
                    </w:rPr>
                    <w:t>）</w:t>
                  </w:r>
                </w:p>
              </w:tc>
              <w:tc>
                <w:tcPr>
                  <w:tcW w:w="842" w:type="pct"/>
                  <w:vAlign w:val="center"/>
                </w:tcPr>
                <w:p w14:paraId="21DE81DA">
                  <w:pPr>
                    <w:pStyle w:val="30"/>
                    <w:framePr w:hSpace="0" w:wrap="auto" w:vAnchor="margin" w:hAnchor="text" w:xAlign="left" w:yAlign="inline"/>
                    <w:rPr>
                      <w:color w:val="auto"/>
                    </w:rPr>
                  </w:pPr>
                  <w:r>
                    <w:rPr>
                      <w:color w:val="auto"/>
                    </w:rPr>
                    <w:t>1次/</w:t>
                  </w:r>
                  <w:r>
                    <w:rPr>
                      <w:rFonts w:hint="eastAsia"/>
                      <w:color w:val="auto"/>
                    </w:rPr>
                    <w:t>季度</w:t>
                  </w:r>
                </w:p>
              </w:tc>
              <w:tc>
                <w:tcPr>
                  <w:tcW w:w="1697" w:type="pct"/>
                  <w:vAlign w:val="center"/>
                </w:tcPr>
                <w:p w14:paraId="37DF0313">
                  <w:pPr>
                    <w:pStyle w:val="30"/>
                    <w:framePr w:hSpace="0" w:wrap="auto" w:vAnchor="margin" w:hAnchor="text" w:xAlign="left" w:yAlign="inline"/>
                    <w:rPr>
                      <w:color w:val="auto"/>
                    </w:rPr>
                  </w:pPr>
                  <w:r>
                    <w:rPr>
                      <w:color w:val="auto"/>
                    </w:rPr>
                    <w:t>《工业企业厂界环境噪声排放标准》（GB12348-2008）</w:t>
                  </w:r>
                  <w:r>
                    <w:rPr>
                      <w:rFonts w:hint="eastAsia"/>
                      <w:color w:val="auto"/>
                    </w:rPr>
                    <w:t>3</w:t>
                  </w:r>
                  <w:r>
                    <w:rPr>
                      <w:color w:val="auto"/>
                    </w:rPr>
                    <w:t>类</w:t>
                  </w:r>
                </w:p>
              </w:tc>
            </w:tr>
          </w:tbl>
          <w:p w14:paraId="049E0A50">
            <w:pPr>
              <w:pStyle w:val="3"/>
              <w:rPr>
                <w:color w:val="auto"/>
              </w:rPr>
            </w:pPr>
            <w:bookmarkStart w:id="63" w:name="_Hlk174976929"/>
            <w:bookmarkStart w:id="64" w:name="_Hlk174976989"/>
            <w:r>
              <w:rPr>
                <w:color w:val="auto"/>
              </w:rPr>
              <w:t xml:space="preserve">4.5 </w:t>
            </w:r>
            <w:r>
              <w:rPr>
                <w:rFonts w:hint="eastAsia"/>
                <w:color w:val="auto"/>
              </w:rPr>
              <w:t>营运期固废治理措施和环境影响分析</w:t>
            </w:r>
          </w:p>
          <w:p w14:paraId="4C2A305E">
            <w:pPr>
              <w:ind w:firstLine="482" w:firstLineChars="200"/>
              <w:rPr>
                <w:b/>
                <w:bCs/>
                <w:color w:val="auto"/>
              </w:rPr>
            </w:pPr>
            <w:r>
              <w:rPr>
                <w:b/>
                <w:bCs/>
                <w:color w:val="auto"/>
              </w:rPr>
              <w:t>4.5.1 本</w:t>
            </w:r>
            <w:r>
              <w:rPr>
                <w:rFonts w:hint="eastAsia"/>
                <w:b/>
                <w:bCs/>
                <w:color w:val="auto"/>
              </w:rPr>
              <w:t>项目固废污染源强情况</w:t>
            </w:r>
          </w:p>
          <w:p w14:paraId="25457419">
            <w:pPr>
              <w:ind w:firstLine="480" w:firstLineChars="200"/>
              <w:rPr>
                <w:color w:val="auto"/>
              </w:rPr>
            </w:pPr>
            <w:r>
              <w:rPr>
                <w:rFonts w:hint="eastAsia"/>
                <w:color w:val="auto"/>
              </w:rPr>
              <w:t>本项目运营期产生的固体废弃物包括一般工业固废和生活垃圾。本项目固体废物主要为原辅材料拆包产生的废包装材料、生产过程中产生的不合格品、调味料渣、紫外灭菌产生的废荧光灯管和职工办公生活垃圾。</w:t>
            </w:r>
          </w:p>
          <w:p w14:paraId="1B697072">
            <w:pPr>
              <w:ind w:firstLine="480" w:firstLineChars="200"/>
              <w:rPr>
                <w:color w:val="auto"/>
              </w:rPr>
            </w:pPr>
            <w:r>
              <w:rPr>
                <w:rFonts w:hint="eastAsia"/>
                <w:color w:val="auto"/>
              </w:rPr>
              <w:t>1、废包装材料</w:t>
            </w:r>
          </w:p>
          <w:p w14:paraId="22017485">
            <w:pPr>
              <w:ind w:firstLine="480" w:firstLineChars="200"/>
              <w:rPr>
                <w:color w:val="auto"/>
              </w:rPr>
            </w:pPr>
            <w:r>
              <w:rPr>
                <w:rFonts w:hint="eastAsia"/>
                <w:color w:val="auto"/>
              </w:rPr>
              <w:t>项目使用的原料牛骨、米线包、粉丝包、酱包、牛肉包、豆芽包、醋包、辣椒粉、千张、蔬菜包外</w:t>
            </w:r>
            <w:r>
              <w:rPr>
                <w:color w:val="auto"/>
              </w:rPr>
              <w:t>包装规格</w:t>
            </w:r>
            <w:r>
              <w:rPr>
                <w:rFonts w:hint="eastAsia"/>
                <w:color w:val="auto"/>
              </w:rPr>
              <w:t>均为50kg箱装，50kg瓦楞纸箱约重1kg，</w:t>
            </w:r>
            <w:r>
              <w:rPr>
                <w:color w:val="auto"/>
              </w:rPr>
              <w:t>本项目所用</w:t>
            </w:r>
            <w:r>
              <w:rPr>
                <w:rFonts w:hint="eastAsia"/>
                <w:color w:val="auto"/>
              </w:rPr>
              <w:t>箱装原辅材料</w:t>
            </w:r>
            <w:r>
              <w:rPr>
                <w:color w:val="auto"/>
              </w:rPr>
              <w:t>用量为</w:t>
            </w:r>
            <w:r>
              <w:rPr>
                <w:rFonts w:hint="eastAsia"/>
                <w:color w:val="auto"/>
              </w:rPr>
              <w:t>630</w:t>
            </w:r>
            <w:r>
              <w:rPr>
                <w:color w:val="auto"/>
              </w:rPr>
              <w:t>t/a，</w:t>
            </w:r>
            <w:r>
              <w:rPr>
                <w:rFonts w:hint="eastAsia"/>
                <w:color w:val="auto"/>
              </w:rPr>
              <w:t>则废纸箱产生量12.6t；使用面粉</w:t>
            </w:r>
            <w:r>
              <w:rPr>
                <w:color w:val="auto"/>
              </w:rPr>
              <w:t>为50kg/袋，产生的废包装袋数量约为</w:t>
            </w:r>
            <w:r>
              <w:rPr>
                <w:rFonts w:hint="eastAsia"/>
                <w:color w:val="auto"/>
              </w:rPr>
              <w:t>1800</w:t>
            </w:r>
            <w:r>
              <w:rPr>
                <w:color w:val="auto"/>
              </w:rPr>
              <w:t>个，平均单个包装袋重量为0.15kg/个，则</w:t>
            </w:r>
            <w:r>
              <w:rPr>
                <w:rFonts w:hint="eastAsia"/>
                <w:color w:val="auto"/>
              </w:rPr>
              <w:t>面粉</w:t>
            </w:r>
            <w:r>
              <w:rPr>
                <w:color w:val="auto"/>
              </w:rPr>
              <w:t>拆包废包装袋产生量为</w:t>
            </w:r>
            <w:r>
              <w:rPr>
                <w:rFonts w:hint="eastAsia"/>
                <w:color w:val="auto"/>
              </w:rPr>
              <w:t>0.27</w:t>
            </w:r>
            <w:r>
              <w:rPr>
                <w:color w:val="auto"/>
              </w:rPr>
              <w:t>t/a；</w:t>
            </w:r>
            <w:r>
              <w:rPr>
                <w:rFonts w:hint="eastAsia"/>
                <w:color w:val="auto"/>
              </w:rPr>
              <w:t>食用盐、天然香辛料、味精</w:t>
            </w:r>
            <w:r>
              <w:rPr>
                <w:color w:val="auto"/>
              </w:rPr>
              <w:t>包装规格</w:t>
            </w:r>
            <w:r>
              <w:rPr>
                <w:rFonts w:hint="eastAsia"/>
                <w:color w:val="auto"/>
              </w:rPr>
              <w:t>为500g/袋，总</w:t>
            </w:r>
            <w:r>
              <w:rPr>
                <w:color w:val="auto"/>
              </w:rPr>
              <w:t>用量为</w:t>
            </w:r>
            <w:r>
              <w:rPr>
                <w:rFonts w:hint="eastAsia"/>
                <w:color w:val="auto"/>
              </w:rPr>
              <w:t>132.4</w:t>
            </w:r>
            <w:r>
              <w:rPr>
                <w:color w:val="auto"/>
              </w:rPr>
              <w:t>t/a，包装规格为</w:t>
            </w:r>
            <w:r>
              <w:rPr>
                <w:rFonts w:hint="eastAsia"/>
                <w:color w:val="auto"/>
              </w:rPr>
              <w:t>500</w:t>
            </w:r>
            <w:r>
              <w:rPr>
                <w:color w:val="auto"/>
              </w:rPr>
              <w:t>g/ 袋，产生的废包装袋数量约为</w:t>
            </w:r>
            <w:r>
              <w:rPr>
                <w:rFonts w:hint="eastAsia"/>
                <w:color w:val="auto"/>
              </w:rPr>
              <w:t>26800</w:t>
            </w:r>
            <w:r>
              <w:rPr>
                <w:color w:val="auto"/>
              </w:rPr>
              <w:t>个，平均单个包装袋重量为</w:t>
            </w:r>
            <w:r>
              <w:rPr>
                <w:rFonts w:hint="eastAsia"/>
                <w:color w:val="auto"/>
              </w:rPr>
              <w:t>5</w:t>
            </w:r>
            <w:r>
              <w:rPr>
                <w:color w:val="auto"/>
              </w:rPr>
              <w:t>g/个，则</w:t>
            </w:r>
            <w:r>
              <w:rPr>
                <w:rFonts w:hint="eastAsia"/>
                <w:color w:val="auto"/>
              </w:rPr>
              <w:t>食用盐</w:t>
            </w:r>
            <w:r>
              <w:rPr>
                <w:color w:val="auto"/>
              </w:rPr>
              <w:t>等拆包废包装袋产生量为</w:t>
            </w:r>
            <w:r>
              <w:rPr>
                <w:rFonts w:hint="eastAsia"/>
                <w:color w:val="auto"/>
              </w:rPr>
              <w:t>0.134</w:t>
            </w:r>
            <w:r>
              <w:rPr>
                <w:color w:val="auto"/>
              </w:rPr>
              <w:t>t/a。综上，本项目废包装袋总产生量</w:t>
            </w:r>
            <w:r>
              <w:rPr>
                <w:rFonts w:hint="eastAsia"/>
                <w:color w:val="auto"/>
              </w:rPr>
              <w:t>约</w:t>
            </w:r>
            <w:r>
              <w:rPr>
                <w:color w:val="auto"/>
              </w:rPr>
              <w:t>为</w:t>
            </w:r>
            <w:r>
              <w:rPr>
                <w:rFonts w:hint="eastAsia"/>
                <w:color w:val="auto"/>
              </w:rPr>
              <w:t>13</w:t>
            </w:r>
            <w:r>
              <w:rPr>
                <w:color w:val="auto"/>
              </w:rPr>
              <w:t>t/a，</w:t>
            </w:r>
            <w:r>
              <w:rPr>
                <w:rFonts w:hint="eastAsia"/>
                <w:color w:val="auto"/>
              </w:rPr>
              <w:t>属于一般工业固体废物，</w:t>
            </w:r>
            <w:r>
              <w:rPr>
                <w:color w:val="auto"/>
              </w:rPr>
              <w:t>收集后暂存于厂区一般固废暂存间，定期外售</w:t>
            </w:r>
            <w:r>
              <w:rPr>
                <w:rFonts w:hint="eastAsia"/>
                <w:color w:val="auto"/>
              </w:rPr>
              <w:t>给物资回收公司</w:t>
            </w:r>
            <w:r>
              <w:rPr>
                <w:color w:val="auto"/>
              </w:rPr>
              <w:t>综合利用。</w:t>
            </w:r>
          </w:p>
          <w:p w14:paraId="47658A3D">
            <w:pPr>
              <w:ind w:firstLine="480" w:firstLineChars="200"/>
              <w:rPr>
                <w:color w:val="auto"/>
              </w:rPr>
            </w:pPr>
            <w:r>
              <w:rPr>
                <w:rFonts w:hint="eastAsia"/>
                <w:color w:val="auto"/>
              </w:rPr>
              <w:t>2、不合格品</w:t>
            </w:r>
          </w:p>
          <w:p w14:paraId="6A1F673D">
            <w:pPr>
              <w:ind w:firstLine="480" w:firstLineChars="200"/>
              <w:rPr>
                <w:color w:val="auto"/>
              </w:rPr>
            </w:pPr>
            <w:r>
              <w:rPr>
                <w:rFonts w:hint="eastAsia"/>
                <w:color w:val="auto"/>
              </w:rPr>
              <w:t>半干拉面挑拣工序中人工将不符合标准的拉面挑拣出来，根据前文物料平衡分析可知，不合格品产生量约为0.9t/a。</w:t>
            </w:r>
          </w:p>
          <w:p w14:paraId="25DBDB90">
            <w:pPr>
              <w:ind w:firstLine="480" w:firstLineChars="200"/>
              <w:rPr>
                <w:color w:val="auto"/>
              </w:rPr>
            </w:pPr>
            <w:r>
              <w:rPr>
                <w:rFonts w:hint="eastAsia"/>
                <w:color w:val="auto"/>
              </w:rPr>
              <w:t>3、调味料渣</w:t>
            </w:r>
          </w:p>
          <w:p w14:paraId="6A66E9EB">
            <w:pPr>
              <w:ind w:firstLine="480" w:firstLineChars="200"/>
              <w:rPr>
                <w:color w:val="auto"/>
              </w:rPr>
            </w:pPr>
            <w:r>
              <w:rPr>
                <w:rFonts w:hint="eastAsia"/>
                <w:color w:val="auto"/>
              </w:rPr>
              <w:t>项目原辅材料熬煮后会产生牛骨、葱、姜、辛香料等调味料残渣、肉末，根据前文物料平衡分析可知，产生量为209.5t/a。作为厨余垃圾委托淮南国新生物科技有限公司定期处置。</w:t>
            </w:r>
          </w:p>
          <w:p w14:paraId="403E0BAF">
            <w:pPr>
              <w:ind w:firstLine="480" w:firstLineChars="200"/>
              <w:rPr>
                <w:color w:val="auto"/>
              </w:rPr>
            </w:pPr>
            <w:r>
              <w:rPr>
                <w:rFonts w:hint="eastAsia"/>
                <w:color w:val="auto"/>
              </w:rPr>
              <w:t>4、紫外灭菌产生的废荧光灯管</w:t>
            </w:r>
          </w:p>
          <w:p w14:paraId="77316389">
            <w:pPr>
              <w:ind w:firstLine="480" w:firstLineChars="200"/>
              <w:rPr>
                <w:color w:val="auto"/>
              </w:rPr>
            </w:pPr>
            <w:r>
              <w:rPr>
                <w:color w:val="auto"/>
              </w:rPr>
              <w:t>本项目紫外灭菌的紫外光灯管</w:t>
            </w:r>
            <w:r>
              <w:rPr>
                <w:rFonts w:hint="eastAsia"/>
                <w:color w:val="auto"/>
              </w:rPr>
              <w:t>在使用过程中会发生损坏，一般紫外线灯管使用寿命5000h以上，按照年更换1次计算，</w:t>
            </w:r>
            <w:r>
              <w:rPr>
                <w:color w:val="auto"/>
              </w:rPr>
              <w:t>每次更换约30根，每根灯管重量约为1kg，则</w:t>
            </w:r>
            <w:r>
              <w:rPr>
                <w:rFonts w:hint="eastAsia"/>
                <w:color w:val="auto"/>
              </w:rPr>
              <w:t>废灯管产生量约为0.03t/a。根据《国家危险废物名录（2025 版）》属于危险废物，废物类别为HW29含汞废物中的900-023-29，暂存在危废暂存间内，定期交由有资质单位处置。</w:t>
            </w:r>
          </w:p>
          <w:p w14:paraId="6D9810DA">
            <w:pPr>
              <w:ind w:firstLine="480" w:firstLineChars="200"/>
              <w:rPr>
                <w:color w:val="auto"/>
              </w:rPr>
            </w:pPr>
            <w:r>
              <w:rPr>
                <w:rFonts w:hint="eastAsia"/>
                <w:color w:val="auto"/>
              </w:rPr>
              <w:t>5、废过滤器</w:t>
            </w:r>
          </w:p>
          <w:p w14:paraId="399F1827">
            <w:pPr>
              <w:ind w:firstLine="480" w:firstLineChars="200"/>
              <w:rPr>
                <w:bCs/>
                <w:color w:val="auto"/>
              </w:rPr>
            </w:pPr>
            <w:r>
              <w:rPr>
                <w:rFonts w:hint="eastAsia"/>
                <w:bCs/>
                <w:color w:val="auto"/>
              </w:rPr>
              <w:t>项目洁净车间进风采用高效、中效过滤器，使用一段时间后须更换，产生量约0.3t/a。</w:t>
            </w:r>
          </w:p>
          <w:p w14:paraId="694AB501">
            <w:pPr>
              <w:pStyle w:val="9"/>
              <w:ind w:firstLine="480" w:firstLineChars="200"/>
              <w:rPr>
                <w:bCs/>
                <w:color w:val="auto"/>
                <w:sz w:val="24"/>
                <w:lang w:val="en-US"/>
              </w:rPr>
            </w:pPr>
            <w:r>
              <w:rPr>
                <w:rFonts w:hint="eastAsia"/>
                <w:bCs/>
                <w:color w:val="auto"/>
                <w:sz w:val="24"/>
                <w:lang w:val="en-US"/>
              </w:rPr>
              <w:t>6、废动植物油</w:t>
            </w:r>
          </w:p>
          <w:p w14:paraId="0D0A183F">
            <w:pPr>
              <w:ind w:firstLine="480" w:firstLineChars="200"/>
              <w:rPr>
                <w:color w:val="auto"/>
              </w:rPr>
            </w:pPr>
            <w:r>
              <w:rPr>
                <w:rFonts w:hint="eastAsia"/>
                <w:color w:val="auto"/>
              </w:rPr>
              <w:t>项目废水处理过程中会产生一定量的废动植物油，根据企业提供的资料，沉淀池沉渣产生量约为0.1</w:t>
            </w:r>
            <w:r>
              <w:rPr>
                <w:color w:val="auto"/>
              </w:rPr>
              <w:t>t/a</w:t>
            </w:r>
            <w:r>
              <w:rPr>
                <w:rFonts w:hint="eastAsia"/>
                <w:color w:val="auto"/>
              </w:rPr>
              <w:t>，作为厨余垃圾委托淮南国新生物科技有限公司定期处置。</w:t>
            </w:r>
          </w:p>
          <w:p w14:paraId="4FF7FC07">
            <w:pPr>
              <w:ind w:firstLine="480" w:firstLineChars="200"/>
              <w:rPr>
                <w:color w:val="auto"/>
              </w:rPr>
            </w:pPr>
            <w:r>
              <w:rPr>
                <w:rFonts w:hint="eastAsia"/>
                <w:color w:val="auto"/>
              </w:rPr>
              <w:t>7、生活垃圾</w:t>
            </w:r>
          </w:p>
          <w:p w14:paraId="2353077D">
            <w:pPr>
              <w:ind w:firstLine="480" w:firstLineChars="200"/>
              <w:rPr>
                <w:color w:val="auto"/>
              </w:rPr>
            </w:pPr>
            <w:r>
              <w:rPr>
                <w:rFonts w:hint="eastAsia"/>
                <w:color w:val="auto"/>
              </w:rPr>
              <w:t>项目生活垃圾主要为员工日常生活产生，项目设劳动定员6人，年工作300天。生活垃圾产生量按照</w:t>
            </w:r>
            <w:r>
              <w:rPr>
                <w:color w:val="auto"/>
              </w:rPr>
              <w:t>0.5kg</w:t>
            </w:r>
            <w:r>
              <w:rPr>
                <w:rFonts w:hint="eastAsia"/>
                <w:color w:val="auto"/>
              </w:rPr>
              <w:t>/人·天计算，预计生活垃圾产生量为0.9</w:t>
            </w:r>
            <w:r>
              <w:rPr>
                <w:color w:val="auto"/>
              </w:rPr>
              <w:t>t/a</w:t>
            </w:r>
            <w:r>
              <w:rPr>
                <w:rFonts w:hint="eastAsia"/>
                <w:color w:val="auto"/>
              </w:rPr>
              <w:t>，由环卫部门统一清运。</w:t>
            </w:r>
          </w:p>
          <w:p w14:paraId="146D651F">
            <w:pPr>
              <w:ind w:firstLine="480" w:firstLineChars="200"/>
              <w:rPr>
                <w:bCs/>
                <w:color w:val="auto"/>
              </w:rPr>
            </w:pPr>
            <w:r>
              <w:rPr>
                <w:rFonts w:hint="eastAsia"/>
                <w:color w:val="auto"/>
              </w:rPr>
              <w:t>项目固废产生情况汇总见下表。</w:t>
            </w:r>
          </w:p>
          <w:bookmarkEnd w:id="63"/>
          <w:bookmarkEnd w:id="64"/>
          <w:p w14:paraId="685F740F">
            <w:pPr>
              <w:pStyle w:val="6"/>
              <w:adjustRightInd w:val="0"/>
              <w:snapToGrid w:val="0"/>
              <w:rPr>
                <w:color w:val="auto"/>
              </w:rPr>
            </w:pPr>
            <w:bookmarkStart w:id="65" w:name="_Hlk174023139"/>
            <w:r>
              <w:rPr>
                <w:color w:val="auto"/>
              </w:rPr>
              <w:t xml:space="preserve">表 </w:t>
            </w:r>
            <w:r>
              <w:rPr>
                <w:rFonts w:hint="eastAsia"/>
                <w:color w:val="auto"/>
              </w:rPr>
              <w:t>4-9 本项目固废</w:t>
            </w:r>
            <w:r>
              <w:rPr>
                <w:color w:val="auto"/>
              </w:rPr>
              <w:t>产生情况汇总表</w:t>
            </w:r>
          </w:p>
          <w:tbl>
            <w:tblPr>
              <w:tblStyle w:val="23"/>
              <w:tblpPr w:vertAnchor="text" w:tblpXSpec="center" w:tblpY="1"/>
              <w:tblOverlap w:val="never"/>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423"/>
              <w:gridCol w:w="889"/>
              <w:gridCol w:w="1387"/>
              <w:gridCol w:w="1107"/>
              <w:gridCol w:w="802"/>
              <w:gridCol w:w="734"/>
              <w:gridCol w:w="687"/>
              <w:gridCol w:w="1077"/>
              <w:gridCol w:w="663"/>
            </w:tblGrid>
            <w:tr w14:paraId="71D94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trPr>
              <w:tc>
                <w:tcPr>
                  <w:tcW w:w="272" w:type="pct"/>
                  <w:vAlign w:val="center"/>
                </w:tcPr>
                <w:p w14:paraId="7E339F42">
                  <w:pPr>
                    <w:pStyle w:val="30"/>
                    <w:framePr w:hSpace="0" w:wrap="auto" w:vAnchor="margin" w:hAnchor="text" w:xAlign="left" w:yAlign="inline"/>
                    <w:rPr>
                      <w:color w:val="auto"/>
                    </w:rPr>
                  </w:pPr>
                  <w:r>
                    <w:rPr>
                      <w:color w:val="auto"/>
                    </w:rPr>
                    <w:t>序号</w:t>
                  </w:r>
                </w:p>
              </w:tc>
              <w:tc>
                <w:tcPr>
                  <w:tcW w:w="572" w:type="pct"/>
                  <w:vAlign w:val="center"/>
                </w:tcPr>
                <w:p w14:paraId="3AF2533D">
                  <w:pPr>
                    <w:pStyle w:val="30"/>
                    <w:framePr w:hSpace="0" w:wrap="auto" w:vAnchor="margin" w:hAnchor="text" w:xAlign="left" w:yAlign="inline"/>
                    <w:rPr>
                      <w:color w:val="auto"/>
                    </w:rPr>
                  </w:pPr>
                  <w:r>
                    <w:rPr>
                      <w:color w:val="auto"/>
                    </w:rPr>
                    <w:t>固废名称</w:t>
                  </w:r>
                </w:p>
              </w:tc>
              <w:tc>
                <w:tcPr>
                  <w:tcW w:w="892" w:type="pct"/>
                  <w:vAlign w:val="center"/>
                </w:tcPr>
                <w:p w14:paraId="5AE6E25E">
                  <w:pPr>
                    <w:pStyle w:val="30"/>
                    <w:framePr w:hSpace="0" w:wrap="auto" w:vAnchor="margin" w:hAnchor="text" w:xAlign="left" w:yAlign="inline"/>
                    <w:rPr>
                      <w:color w:val="auto"/>
                    </w:rPr>
                  </w:pPr>
                  <w:r>
                    <w:rPr>
                      <w:rFonts w:hint="eastAsia"/>
                      <w:color w:val="auto"/>
                    </w:rPr>
                    <w:t>编码</w:t>
                  </w:r>
                </w:p>
              </w:tc>
              <w:tc>
                <w:tcPr>
                  <w:tcW w:w="712" w:type="pct"/>
                  <w:vAlign w:val="center"/>
                </w:tcPr>
                <w:p w14:paraId="690A3850">
                  <w:pPr>
                    <w:pStyle w:val="30"/>
                    <w:framePr w:hSpace="0" w:wrap="auto" w:vAnchor="margin" w:hAnchor="text" w:xAlign="left" w:yAlign="inline"/>
                    <w:rPr>
                      <w:color w:val="auto"/>
                    </w:rPr>
                  </w:pPr>
                  <w:r>
                    <w:rPr>
                      <w:rFonts w:hint="eastAsia"/>
                      <w:color w:val="auto"/>
                    </w:rPr>
                    <w:t>废物代码</w:t>
                  </w:r>
                </w:p>
              </w:tc>
              <w:tc>
                <w:tcPr>
                  <w:tcW w:w="516" w:type="pct"/>
                  <w:vAlign w:val="center"/>
                </w:tcPr>
                <w:p w14:paraId="057DAA03">
                  <w:pPr>
                    <w:pStyle w:val="30"/>
                    <w:framePr w:hSpace="0" w:wrap="auto" w:vAnchor="margin" w:hAnchor="text" w:xAlign="left" w:yAlign="inline"/>
                    <w:rPr>
                      <w:color w:val="auto"/>
                    </w:rPr>
                  </w:pPr>
                  <w:r>
                    <w:rPr>
                      <w:rFonts w:hint="eastAsia"/>
                      <w:color w:val="auto"/>
                    </w:rPr>
                    <w:t>物理性状</w:t>
                  </w:r>
                </w:p>
              </w:tc>
              <w:tc>
                <w:tcPr>
                  <w:tcW w:w="472" w:type="pct"/>
                  <w:vAlign w:val="center"/>
                </w:tcPr>
                <w:p w14:paraId="4B31052D">
                  <w:pPr>
                    <w:pStyle w:val="30"/>
                    <w:framePr w:hSpace="0" w:wrap="auto" w:vAnchor="margin" w:hAnchor="text" w:xAlign="left" w:yAlign="inline"/>
                    <w:rPr>
                      <w:color w:val="auto"/>
                      <w:lang w:val="en-US"/>
                    </w:rPr>
                  </w:pPr>
                  <w:r>
                    <w:rPr>
                      <w:rFonts w:hint="eastAsia"/>
                      <w:color w:val="auto"/>
                    </w:rPr>
                    <w:t>产生量</w:t>
                  </w:r>
                  <w:r>
                    <w:rPr>
                      <w:rFonts w:hint="eastAsia"/>
                      <w:color w:val="auto"/>
                      <w:lang w:val="en-US"/>
                    </w:rPr>
                    <w:t>t/a</w:t>
                  </w:r>
                </w:p>
              </w:tc>
              <w:tc>
                <w:tcPr>
                  <w:tcW w:w="442" w:type="pct"/>
                  <w:vAlign w:val="center"/>
                </w:tcPr>
                <w:p w14:paraId="5E26F489">
                  <w:pPr>
                    <w:pStyle w:val="30"/>
                    <w:framePr w:hSpace="0" w:wrap="auto" w:vAnchor="margin" w:hAnchor="text" w:xAlign="left" w:yAlign="inline"/>
                    <w:rPr>
                      <w:color w:val="auto"/>
                    </w:rPr>
                  </w:pPr>
                  <w:r>
                    <w:rPr>
                      <w:rFonts w:hint="eastAsia"/>
                      <w:color w:val="auto"/>
                    </w:rPr>
                    <w:t>类型</w:t>
                  </w:r>
                </w:p>
              </w:tc>
              <w:tc>
                <w:tcPr>
                  <w:tcW w:w="693" w:type="pct"/>
                  <w:vAlign w:val="center"/>
                </w:tcPr>
                <w:p w14:paraId="6D65ECAF">
                  <w:pPr>
                    <w:pStyle w:val="30"/>
                    <w:framePr w:hSpace="0" w:wrap="auto" w:vAnchor="margin" w:hAnchor="text" w:xAlign="left" w:yAlign="inline"/>
                    <w:rPr>
                      <w:color w:val="auto"/>
                    </w:rPr>
                  </w:pPr>
                  <w:r>
                    <w:rPr>
                      <w:rFonts w:hint="eastAsia"/>
                      <w:color w:val="auto"/>
                    </w:rPr>
                    <w:t>处置方式</w:t>
                  </w:r>
                </w:p>
              </w:tc>
              <w:tc>
                <w:tcPr>
                  <w:tcW w:w="426" w:type="pct"/>
                  <w:vAlign w:val="center"/>
                </w:tcPr>
                <w:p w14:paraId="57022DA2">
                  <w:pPr>
                    <w:pStyle w:val="30"/>
                    <w:framePr w:hSpace="0" w:wrap="auto" w:vAnchor="margin" w:hAnchor="text" w:xAlign="left" w:yAlign="inline"/>
                    <w:rPr>
                      <w:color w:val="auto"/>
                    </w:rPr>
                  </w:pPr>
                  <w:r>
                    <w:rPr>
                      <w:rFonts w:hint="eastAsia"/>
                      <w:color w:val="auto"/>
                    </w:rPr>
                    <w:t>是否符合环保要求</w:t>
                  </w:r>
                </w:p>
              </w:tc>
            </w:tr>
            <w:tr w14:paraId="6941E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trPr>
              <w:tc>
                <w:tcPr>
                  <w:tcW w:w="272" w:type="pct"/>
                  <w:vAlign w:val="center"/>
                </w:tcPr>
                <w:p w14:paraId="453C3391">
                  <w:pPr>
                    <w:pStyle w:val="30"/>
                    <w:framePr w:hSpace="0" w:wrap="auto" w:vAnchor="margin" w:hAnchor="text" w:xAlign="left" w:yAlign="inline"/>
                    <w:rPr>
                      <w:color w:val="auto"/>
                    </w:rPr>
                  </w:pPr>
                  <w:r>
                    <w:rPr>
                      <w:rFonts w:hint="eastAsia" w:cs="宋体"/>
                      <w:color w:val="auto"/>
                      <w:szCs w:val="22"/>
                    </w:rPr>
                    <w:t>1</w:t>
                  </w:r>
                </w:p>
              </w:tc>
              <w:tc>
                <w:tcPr>
                  <w:tcW w:w="572" w:type="pct"/>
                  <w:vAlign w:val="center"/>
                </w:tcPr>
                <w:p w14:paraId="005096C9">
                  <w:pPr>
                    <w:pStyle w:val="30"/>
                    <w:framePr w:hSpace="0" w:wrap="auto" w:vAnchor="margin" w:hAnchor="text" w:xAlign="left" w:yAlign="inline"/>
                    <w:rPr>
                      <w:color w:val="auto"/>
                    </w:rPr>
                  </w:pPr>
                  <w:r>
                    <w:rPr>
                      <w:rFonts w:hint="eastAsia"/>
                      <w:color w:val="auto"/>
                    </w:rPr>
                    <w:t>废包装材料</w:t>
                  </w:r>
                </w:p>
              </w:tc>
              <w:tc>
                <w:tcPr>
                  <w:tcW w:w="892" w:type="pct"/>
                  <w:vAlign w:val="center"/>
                </w:tcPr>
                <w:p w14:paraId="03F13FF4">
                  <w:pPr>
                    <w:pStyle w:val="30"/>
                    <w:framePr w:hSpace="0" w:wrap="auto" w:vAnchor="margin" w:hAnchor="text" w:xAlign="left" w:yAlign="inline"/>
                    <w:rPr>
                      <w:color w:val="auto"/>
                      <w:lang w:val="en-US"/>
                    </w:rPr>
                  </w:pPr>
                  <w:r>
                    <w:rPr>
                      <w:rFonts w:hint="eastAsia"/>
                      <w:color w:val="auto"/>
                      <w:lang w:val="en-US"/>
                    </w:rPr>
                    <w:t>SW17可再生类废物</w:t>
                  </w:r>
                </w:p>
              </w:tc>
              <w:tc>
                <w:tcPr>
                  <w:tcW w:w="712" w:type="pct"/>
                  <w:vAlign w:val="center"/>
                </w:tcPr>
                <w:p w14:paraId="510A82A2">
                  <w:pPr>
                    <w:pStyle w:val="30"/>
                    <w:framePr w:hSpace="0" w:wrap="auto" w:vAnchor="margin" w:hAnchor="text" w:xAlign="left" w:yAlign="inline"/>
                    <w:rPr>
                      <w:color w:val="auto"/>
                      <w:lang w:val="en-US"/>
                    </w:rPr>
                  </w:pPr>
                  <w:r>
                    <w:rPr>
                      <w:rFonts w:hint="eastAsia"/>
                      <w:color w:val="auto"/>
                      <w:lang w:val="en-US"/>
                    </w:rPr>
                    <w:t>900-003-S17</w:t>
                  </w:r>
                </w:p>
              </w:tc>
              <w:tc>
                <w:tcPr>
                  <w:tcW w:w="516" w:type="pct"/>
                  <w:shd w:val="clear" w:color="auto" w:fill="auto"/>
                  <w:vAlign w:val="center"/>
                </w:tcPr>
                <w:p w14:paraId="6F158430">
                  <w:pPr>
                    <w:pStyle w:val="30"/>
                    <w:framePr w:hSpace="0" w:wrap="auto" w:vAnchor="margin" w:hAnchor="text" w:xAlign="left" w:yAlign="inline"/>
                    <w:rPr>
                      <w:rFonts w:cs="宋体"/>
                      <w:color w:val="auto"/>
                      <w:szCs w:val="22"/>
                    </w:rPr>
                  </w:pPr>
                  <w:r>
                    <w:rPr>
                      <w:rFonts w:hint="eastAsia"/>
                      <w:color w:val="auto"/>
                    </w:rPr>
                    <w:t>固态</w:t>
                  </w:r>
                </w:p>
              </w:tc>
              <w:tc>
                <w:tcPr>
                  <w:tcW w:w="472" w:type="pct"/>
                  <w:vAlign w:val="center"/>
                </w:tcPr>
                <w:p w14:paraId="3B636AE5">
                  <w:pPr>
                    <w:pStyle w:val="30"/>
                    <w:framePr w:hSpace="0" w:wrap="auto" w:vAnchor="margin" w:hAnchor="text" w:xAlign="left" w:yAlign="inline"/>
                    <w:rPr>
                      <w:rFonts w:cs="宋体"/>
                      <w:color w:val="auto"/>
                      <w:szCs w:val="22"/>
                      <w:lang w:val="en-US"/>
                    </w:rPr>
                  </w:pPr>
                  <w:r>
                    <w:rPr>
                      <w:rFonts w:hint="eastAsia" w:cs="宋体"/>
                      <w:color w:val="auto"/>
                      <w:szCs w:val="22"/>
                      <w:lang w:val="en-US"/>
                    </w:rPr>
                    <w:t>13</w:t>
                  </w:r>
                </w:p>
              </w:tc>
              <w:tc>
                <w:tcPr>
                  <w:tcW w:w="442" w:type="pct"/>
                  <w:vAlign w:val="center"/>
                </w:tcPr>
                <w:p w14:paraId="3AF5311C">
                  <w:pPr>
                    <w:pStyle w:val="30"/>
                    <w:framePr w:hSpace="0" w:wrap="auto" w:vAnchor="margin" w:hAnchor="text" w:xAlign="left" w:yAlign="inline"/>
                    <w:rPr>
                      <w:rFonts w:cs="宋体"/>
                      <w:color w:val="auto"/>
                      <w:szCs w:val="22"/>
                    </w:rPr>
                  </w:pPr>
                  <w:r>
                    <w:rPr>
                      <w:rFonts w:hint="eastAsia" w:cs="宋体"/>
                      <w:color w:val="auto"/>
                      <w:szCs w:val="22"/>
                      <w:lang w:val="en-US"/>
                    </w:rPr>
                    <w:t>一般工业固废</w:t>
                  </w:r>
                </w:p>
              </w:tc>
              <w:tc>
                <w:tcPr>
                  <w:tcW w:w="693" w:type="pct"/>
                  <w:vAlign w:val="center"/>
                </w:tcPr>
                <w:p w14:paraId="1B3717DE">
                  <w:pPr>
                    <w:pStyle w:val="30"/>
                    <w:framePr w:hSpace="0" w:wrap="auto" w:vAnchor="margin" w:hAnchor="text" w:xAlign="left" w:yAlign="inline"/>
                    <w:rPr>
                      <w:rFonts w:cs="宋体"/>
                      <w:color w:val="auto"/>
                      <w:szCs w:val="22"/>
                    </w:rPr>
                  </w:pPr>
                  <w:r>
                    <w:rPr>
                      <w:rFonts w:hint="eastAsia" w:cs="宋体"/>
                      <w:color w:val="auto"/>
                      <w:szCs w:val="22"/>
                    </w:rPr>
                    <w:t>外售给物资回收单位</w:t>
                  </w:r>
                </w:p>
              </w:tc>
              <w:tc>
                <w:tcPr>
                  <w:tcW w:w="426" w:type="pct"/>
                  <w:vAlign w:val="center"/>
                </w:tcPr>
                <w:p w14:paraId="5CFA7650">
                  <w:pPr>
                    <w:pStyle w:val="30"/>
                    <w:framePr w:hSpace="0" w:wrap="auto" w:vAnchor="margin" w:hAnchor="text" w:xAlign="left" w:yAlign="inline"/>
                    <w:rPr>
                      <w:color w:val="auto"/>
                    </w:rPr>
                  </w:pPr>
                  <w:r>
                    <w:rPr>
                      <w:rFonts w:hint="eastAsia"/>
                      <w:color w:val="auto"/>
                    </w:rPr>
                    <w:t>是</w:t>
                  </w:r>
                </w:p>
              </w:tc>
            </w:tr>
            <w:tr w14:paraId="5769B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42" w:hRule="atLeast"/>
              </w:trPr>
              <w:tc>
                <w:tcPr>
                  <w:tcW w:w="272" w:type="pct"/>
                  <w:shd w:val="clear" w:color="auto" w:fill="auto"/>
                  <w:vAlign w:val="center"/>
                </w:tcPr>
                <w:p w14:paraId="7534472B">
                  <w:pPr>
                    <w:pStyle w:val="30"/>
                    <w:framePr w:hSpace="0" w:wrap="auto" w:vAnchor="margin" w:hAnchor="text" w:xAlign="left" w:yAlign="inline"/>
                    <w:rPr>
                      <w:color w:val="auto"/>
                    </w:rPr>
                  </w:pPr>
                  <w:r>
                    <w:rPr>
                      <w:rFonts w:hint="eastAsia" w:cs="宋体"/>
                      <w:color w:val="auto"/>
                      <w:szCs w:val="22"/>
                    </w:rPr>
                    <w:t>2</w:t>
                  </w:r>
                </w:p>
              </w:tc>
              <w:tc>
                <w:tcPr>
                  <w:tcW w:w="572" w:type="pct"/>
                  <w:vAlign w:val="center"/>
                </w:tcPr>
                <w:p w14:paraId="5B2EF4FB">
                  <w:pPr>
                    <w:pStyle w:val="30"/>
                    <w:framePr w:hSpace="0" w:wrap="auto" w:vAnchor="margin" w:hAnchor="text" w:xAlign="left" w:yAlign="inline"/>
                    <w:rPr>
                      <w:color w:val="auto"/>
                    </w:rPr>
                  </w:pPr>
                  <w:r>
                    <w:rPr>
                      <w:rFonts w:hint="eastAsia"/>
                      <w:color w:val="auto"/>
                    </w:rPr>
                    <w:t>不合格品</w:t>
                  </w:r>
                </w:p>
              </w:tc>
              <w:tc>
                <w:tcPr>
                  <w:tcW w:w="892" w:type="pct"/>
                  <w:shd w:val="clear" w:color="auto" w:fill="auto"/>
                  <w:vAlign w:val="center"/>
                </w:tcPr>
                <w:p w14:paraId="5CE1C450">
                  <w:pPr>
                    <w:pStyle w:val="30"/>
                    <w:framePr w:hSpace="0" w:wrap="auto" w:vAnchor="margin" w:hAnchor="text" w:xAlign="left" w:yAlign="inline"/>
                    <w:rPr>
                      <w:color w:val="auto"/>
                      <w:lang w:val="en-US"/>
                    </w:rPr>
                  </w:pPr>
                  <w:r>
                    <w:rPr>
                      <w:rFonts w:hint="eastAsia"/>
                      <w:color w:val="auto"/>
                      <w:lang w:val="en-US"/>
                    </w:rPr>
                    <w:t>SW13食品残渣</w:t>
                  </w:r>
                </w:p>
              </w:tc>
              <w:tc>
                <w:tcPr>
                  <w:tcW w:w="712" w:type="pct"/>
                  <w:shd w:val="clear" w:color="auto" w:fill="auto"/>
                  <w:vAlign w:val="center"/>
                </w:tcPr>
                <w:p w14:paraId="6D5707CE">
                  <w:pPr>
                    <w:pStyle w:val="30"/>
                    <w:framePr w:hSpace="0" w:wrap="auto" w:vAnchor="margin" w:hAnchor="text" w:xAlign="left" w:yAlign="inline"/>
                    <w:rPr>
                      <w:color w:val="auto"/>
                      <w:lang w:val="en-US"/>
                    </w:rPr>
                  </w:pPr>
                  <w:r>
                    <w:rPr>
                      <w:rFonts w:hint="eastAsia"/>
                      <w:color w:val="auto"/>
                      <w:lang w:val="en-US"/>
                    </w:rPr>
                    <w:t>900-099-S13</w:t>
                  </w:r>
                </w:p>
              </w:tc>
              <w:tc>
                <w:tcPr>
                  <w:tcW w:w="516" w:type="pct"/>
                  <w:shd w:val="clear" w:color="auto" w:fill="auto"/>
                  <w:vAlign w:val="center"/>
                </w:tcPr>
                <w:p w14:paraId="1FA70050">
                  <w:pPr>
                    <w:pStyle w:val="30"/>
                    <w:framePr w:hSpace="0" w:wrap="auto" w:vAnchor="margin" w:hAnchor="text" w:xAlign="left" w:yAlign="inline"/>
                    <w:rPr>
                      <w:color w:val="auto"/>
                    </w:rPr>
                  </w:pPr>
                  <w:r>
                    <w:rPr>
                      <w:rFonts w:hint="eastAsia"/>
                      <w:color w:val="auto"/>
                    </w:rPr>
                    <w:t>固态</w:t>
                  </w:r>
                </w:p>
              </w:tc>
              <w:tc>
                <w:tcPr>
                  <w:tcW w:w="472" w:type="pct"/>
                  <w:vAlign w:val="center"/>
                </w:tcPr>
                <w:p w14:paraId="437E12D8">
                  <w:pPr>
                    <w:pStyle w:val="30"/>
                    <w:framePr w:hSpace="0" w:wrap="auto" w:vAnchor="margin" w:hAnchor="text" w:xAlign="left" w:yAlign="inline"/>
                    <w:rPr>
                      <w:rFonts w:cs="宋体"/>
                      <w:color w:val="auto"/>
                      <w:szCs w:val="22"/>
                      <w:lang w:val="en-US"/>
                    </w:rPr>
                  </w:pPr>
                  <w:r>
                    <w:rPr>
                      <w:rFonts w:hint="eastAsia" w:cs="宋体"/>
                      <w:color w:val="auto"/>
                      <w:szCs w:val="22"/>
                      <w:lang w:val="en-US"/>
                    </w:rPr>
                    <w:t>0.9</w:t>
                  </w:r>
                </w:p>
              </w:tc>
              <w:tc>
                <w:tcPr>
                  <w:tcW w:w="442" w:type="pct"/>
                  <w:vAlign w:val="center"/>
                </w:tcPr>
                <w:p w14:paraId="26A2B5FF">
                  <w:pPr>
                    <w:pStyle w:val="30"/>
                    <w:framePr w:hSpace="0" w:wrap="auto" w:vAnchor="margin" w:hAnchor="text" w:xAlign="left" w:yAlign="inline"/>
                    <w:rPr>
                      <w:rFonts w:cs="宋体"/>
                      <w:color w:val="auto"/>
                      <w:szCs w:val="22"/>
                      <w:lang w:val="en-US"/>
                    </w:rPr>
                  </w:pPr>
                  <w:r>
                    <w:rPr>
                      <w:rFonts w:hint="eastAsia" w:cs="宋体"/>
                      <w:color w:val="auto"/>
                      <w:szCs w:val="22"/>
                      <w:lang w:val="en-US"/>
                    </w:rPr>
                    <w:t>一般工业固废</w:t>
                  </w:r>
                </w:p>
              </w:tc>
              <w:tc>
                <w:tcPr>
                  <w:tcW w:w="693" w:type="pct"/>
                  <w:vMerge w:val="restart"/>
                  <w:vAlign w:val="center"/>
                </w:tcPr>
                <w:p w14:paraId="0985F8A7">
                  <w:pPr>
                    <w:pStyle w:val="30"/>
                    <w:framePr w:hSpace="0" w:wrap="auto" w:vAnchor="margin" w:hAnchor="text" w:xAlign="left" w:yAlign="inline"/>
                    <w:rPr>
                      <w:rFonts w:cs="宋体"/>
                      <w:color w:val="auto"/>
                      <w:szCs w:val="22"/>
                    </w:rPr>
                  </w:pPr>
                  <w:r>
                    <w:rPr>
                      <w:rFonts w:hint="eastAsia" w:cs="宋体"/>
                      <w:color w:val="auto"/>
                      <w:szCs w:val="22"/>
                    </w:rPr>
                    <w:t>委托处置</w:t>
                  </w:r>
                </w:p>
              </w:tc>
              <w:tc>
                <w:tcPr>
                  <w:tcW w:w="426" w:type="pct"/>
                  <w:vAlign w:val="center"/>
                </w:tcPr>
                <w:p w14:paraId="013F8C76">
                  <w:pPr>
                    <w:pStyle w:val="30"/>
                    <w:framePr w:hSpace="0" w:wrap="auto" w:vAnchor="margin" w:hAnchor="text" w:xAlign="left" w:yAlign="inline"/>
                    <w:rPr>
                      <w:color w:val="auto"/>
                    </w:rPr>
                  </w:pPr>
                  <w:r>
                    <w:rPr>
                      <w:rFonts w:hint="eastAsia"/>
                      <w:color w:val="auto"/>
                    </w:rPr>
                    <w:t>是</w:t>
                  </w:r>
                </w:p>
              </w:tc>
            </w:tr>
            <w:tr w14:paraId="19F37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trPr>
              <w:tc>
                <w:tcPr>
                  <w:tcW w:w="272" w:type="pct"/>
                  <w:shd w:val="clear" w:color="auto" w:fill="auto"/>
                  <w:vAlign w:val="center"/>
                </w:tcPr>
                <w:p w14:paraId="652BF4D5">
                  <w:pPr>
                    <w:pStyle w:val="30"/>
                    <w:framePr w:hSpace="0" w:wrap="auto" w:vAnchor="margin" w:hAnchor="text" w:xAlign="left" w:yAlign="inline"/>
                    <w:rPr>
                      <w:color w:val="auto"/>
                    </w:rPr>
                  </w:pPr>
                  <w:r>
                    <w:rPr>
                      <w:rFonts w:hint="eastAsia" w:cs="宋体"/>
                      <w:color w:val="auto"/>
                      <w:szCs w:val="22"/>
                    </w:rPr>
                    <w:t>3</w:t>
                  </w:r>
                </w:p>
              </w:tc>
              <w:tc>
                <w:tcPr>
                  <w:tcW w:w="572" w:type="pct"/>
                  <w:vAlign w:val="center"/>
                </w:tcPr>
                <w:p w14:paraId="5113DAB9">
                  <w:pPr>
                    <w:pStyle w:val="30"/>
                    <w:framePr w:hSpace="0" w:wrap="auto" w:vAnchor="margin" w:hAnchor="text" w:xAlign="left" w:yAlign="inline"/>
                    <w:rPr>
                      <w:color w:val="auto"/>
                    </w:rPr>
                  </w:pPr>
                  <w:r>
                    <w:rPr>
                      <w:rFonts w:hint="eastAsia"/>
                      <w:color w:val="auto"/>
                      <w:lang w:val="en-US"/>
                    </w:rPr>
                    <w:t>调味料渣</w:t>
                  </w:r>
                </w:p>
              </w:tc>
              <w:tc>
                <w:tcPr>
                  <w:tcW w:w="892" w:type="pct"/>
                  <w:vAlign w:val="center"/>
                </w:tcPr>
                <w:p w14:paraId="71CAA61D">
                  <w:pPr>
                    <w:pStyle w:val="30"/>
                    <w:framePr w:hSpace="0" w:wrap="auto" w:vAnchor="margin" w:hAnchor="text" w:xAlign="left" w:yAlign="inline"/>
                    <w:rPr>
                      <w:color w:val="auto"/>
                      <w:lang w:val="en-US"/>
                    </w:rPr>
                  </w:pPr>
                  <w:r>
                    <w:rPr>
                      <w:rFonts w:hint="eastAsia"/>
                      <w:color w:val="auto"/>
                      <w:lang w:val="en-US"/>
                    </w:rPr>
                    <w:t>SW61厨余垃圾</w:t>
                  </w:r>
                </w:p>
              </w:tc>
              <w:tc>
                <w:tcPr>
                  <w:tcW w:w="712" w:type="pct"/>
                  <w:vAlign w:val="center"/>
                </w:tcPr>
                <w:p w14:paraId="490B1E28">
                  <w:pPr>
                    <w:pStyle w:val="30"/>
                    <w:framePr w:hSpace="0" w:wrap="auto" w:vAnchor="margin" w:hAnchor="text" w:xAlign="left" w:yAlign="inline"/>
                    <w:rPr>
                      <w:color w:val="auto"/>
                      <w:lang w:val="en-US"/>
                    </w:rPr>
                  </w:pPr>
                  <w:r>
                    <w:rPr>
                      <w:rFonts w:hint="eastAsia"/>
                      <w:color w:val="auto"/>
                      <w:lang w:val="en-US"/>
                    </w:rPr>
                    <w:t>900-002-S61</w:t>
                  </w:r>
                </w:p>
              </w:tc>
              <w:tc>
                <w:tcPr>
                  <w:tcW w:w="516" w:type="pct"/>
                  <w:shd w:val="clear" w:color="auto" w:fill="auto"/>
                  <w:vAlign w:val="center"/>
                </w:tcPr>
                <w:p w14:paraId="0337121D">
                  <w:pPr>
                    <w:pStyle w:val="30"/>
                    <w:framePr w:hSpace="0" w:wrap="auto" w:vAnchor="margin" w:hAnchor="text" w:xAlign="left" w:yAlign="inline"/>
                    <w:rPr>
                      <w:rFonts w:cs="宋体"/>
                      <w:color w:val="auto"/>
                      <w:szCs w:val="22"/>
                    </w:rPr>
                  </w:pPr>
                  <w:r>
                    <w:rPr>
                      <w:rFonts w:hint="eastAsia"/>
                      <w:color w:val="auto"/>
                    </w:rPr>
                    <w:t>固态</w:t>
                  </w:r>
                </w:p>
              </w:tc>
              <w:tc>
                <w:tcPr>
                  <w:tcW w:w="472" w:type="pct"/>
                  <w:vAlign w:val="center"/>
                </w:tcPr>
                <w:p w14:paraId="0671D77D">
                  <w:pPr>
                    <w:pStyle w:val="30"/>
                    <w:framePr w:hSpace="0" w:wrap="auto" w:vAnchor="margin" w:hAnchor="text" w:xAlign="left" w:yAlign="inline"/>
                    <w:rPr>
                      <w:color w:val="auto"/>
                      <w:lang w:val="en-US"/>
                    </w:rPr>
                  </w:pPr>
                  <w:r>
                    <w:rPr>
                      <w:rFonts w:hint="eastAsia"/>
                      <w:color w:val="auto"/>
                      <w:lang w:val="en-US"/>
                    </w:rPr>
                    <w:t>209.5</w:t>
                  </w:r>
                </w:p>
              </w:tc>
              <w:tc>
                <w:tcPr>
                  <w:tcW w:w="442" w:type="pct"/>
                  <w:vAlign w:val="center"/>
                </w:tcPr>
                <w:p w14:paraId="773EE728">
                  <w:pPr>
                    <w:pStyle w:val="30"/>
                    <w:framePr w:hSpace="0" w:wrap="auto" w:vAnchor="margin" w:hAnchor="text" w:xAlign="left" w:yAlign="inline"/>
                    <w:rPr>
                      <w:rFonts w:cs="宋体"/>
                      <w:color w:val="auto"/>
                      <w:szCs w:val="22"/>
                    </w:rPr>
                  </w:pPr>
                  <w:r>
                    <w:rPr>
                      <w:rFonts w:hint="eastAsia" w:cs="宋体"/>
                      <w:color w:val="auto"/>
                      <w:szCs w:val="22"/>
                      <w:lang w:val="en-US"/>
                    </w:rPr>
                    <w:t>一般工业固废</w:t>
                  </w:r>
                </w:p>
              </w:tc>
              <w:tc>
                <w:tcPr>
                  <w:tcW w:w="693" w:type="pct"/>
                  <w:vMerge w:val="continue"/>
                  <w:vAlign w:val="center"/>
                </w:tcPr>
                <w:p w14:paraId="7DDD7474">
                  <w:pPr>
                    <w:pStyle w:val="30"/>
                    <w:framePr w:hSpace="0" w:wrap="auto" w:vAnchor="margin" w:hAnchor="text" w:xAlign="left" w:yAlign="inline"/>
                    <w:rPr>
                      <w:rFonts w:cs="宋体"/>
                      <w:color w:val="auto"/>
                      <w:szCs w:val="22"/>
                    </w:rPr>
                  </w:pPr>
                </w:p>
              </w:tc>
              <w:tc>
                <w:tcPr>
                  <w:tcW w:w="426" w:type="pct"/>
                  <w:vAlign w:val="center"/>
                </w:tcPr>
                <w:p w14:paraId="7DA74E6B">
                  <w:pPr>
                    <w:pStyle w:val="30"/>
                    <w:framePr w:hSpace="0" w:wrap="auto" w:vAnchor="margin" w:hAnchor="text" w:xAlign="left" w:yAlign="inline"/>
                    <w:rPr>
                      <w:color w:val="auto"/>
                    </w:rPr>
                  </w:pPr>
                  <w:r>
                    <w:rPr>
                      <w:rFonts w:hint="eastAsia"/>
                      <w:color w:val="auto"/>
                    </w:rPr>
                    <w:t>是</w:t>
                  </w:r>
                </w:p>
              </w:tc>
            </w:tr>
            <w:tr w14:paraId="6567D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trPr>
              <w:tc>
                <w:tcPr>
                  <w:tcW w:w="272" w:type="pct"/>
                  <w:shd w:val="clear" w:color="auto" w:fill="auto"/>
                  <w:vAlign w:val="center"/>
                </w:tcPr>
                <w:p w14:paraId="7D14B357">
                  <w:pPr>
                    <w:pStyle w:val="30"/>
                    <w:framePr w:hSpace="0" w:wrap="auto" w:vAnchor="margin" w:hAnchor="text" w:xAlign="left" w:yAlign="inline"/>
                    <w:rPr>
                      <w:color w:val="auto"/>
                    </w:rPr>
                  </w:pPr>
                  <w:r>
                    <w:rPr>
                      <w:rFonts w:hint="eastAsia"/>
                      <w:color w:val="auto"/>
                      <w:lang w:val="en-US"/>
                    </w:rPr>
                    <w:t>4</w:t>
                  </w:r>
                </w:p>
              </w:tc>
              <w:tc>
                <w:tcPr>
                  <w:tcW w:w="572" w:type="pct"/>
                  <w:shd w:val="clear" w:color="auto" w:fill="auto"/>
                  <w:vAlign w:val="center"/>
                </w:tcPr>
                <w:p w14:paraId="432BBF12">
                  <w:pPr>
                    <w:pStyle w:val="30"/>
                    <w:framePr w:hSpace="0" w:wrap="auto" w:vAnchor="margin" w:hAnchor="text" w:xAlign="left" w:yAlign="inline"/>
                    <w:rPr>
                      <w:color w:val="auto"/>
                      <w:lang w:val="en-US"/>
                    </w:rPr>
                  </w:pPr>
                  <w:r>
                    <w:rPr>
                      <w:rFonts w:hint="eastAsia"/>
                      <w:color w:val="auto"/>
                      <w:lang w:val="en-US"/>
                    </w:rPr>
                    <w:t>废过滤器</w:t>
                  </w:r>
                </w:p>
              </w:tc>
              <w:tc>
                <w:tcPr>
                  <w:tcW w:w="892" w:type="pct"/>
                  <w:shd w:val="clear" w:color="auto" w:fill="auto"/>
                  <w:vAlign w:val="center"/>
                </w:tcPr>
                <w:p w14:paraId="26555BB6">
                  <w:pPr>
                    <w:pStyle w:val="30"/>
                    <w:framePr w:hSpace="0" w:wrap="auto" w:vAnchor="margin" w:hAnchor="text" w:xAlign="left" w:yAlign="inline"/>
                    <w:rPr>
                      <w:color w:val="auto"/>
                      <w:lang w:val="en-US"/>
                    </w:rPr>
                  </w:pPr>
                  <w:r>
                    <w:rPr>
                      <w:rFonts w:hint="eastAsia"/>
                      <w:color w:val="auto"/>
                      <w:lang w:val="en-US"/>
                    </w:rPr>
                    <w:t>SW59其他工业固体废物</w:t>
                  </w:r>
                </w:p>
              </w:tc>
              <w:tc>
                <w:tcPr>
                  <w:tcW w:w="712" w:type="pct"/>
                  <w:shd w:val="clear" w:color="auto" w:fill="auto"/>
                  <w:vAlign w:val="center"/>
                </w:tcPr>
                <w:p w14:paraId="184D5E72">
                  <w:pPr>
                    <w:pStyle w:val="30"/>
                    <w:framePr w:hSpace="0" w:wrap="auto" w:vAnchor="margin" w:hAnchor="text" w:xAlign="left" w:yAlign="inline"/>
                    <w:rPr>
                      <w:color w:val="auto"/>
                      <w:lang w:val="en-US"/>
                    </w:rPr>
                  </w:pPr>
                  <w:r>
                    <w:rPr>
                      <w:rFonts w:hint="eastAsia"/>
                      <w:color w:val="auto"/>
                      <w:lang w:val="en-US"/>
                    </w:rPr>
                    <w:t xml:space="preserve">900-009-S59 </w:t>
                  </w:r>
                </w:p>
              </w:tc>
              <w:tc>
                <w:tcPr>
                  <w:tcW w:w="516" w:type="pct"/>
                  <w:shd w:val="clear" w:color="auto" w:fill="auto"/>
                  <w:vAlign w:val="center"/>
                </w:tcPr>
                <w:p w14:paraId="7C0F0279">
                  <w:pPr>
                    <w:pStyle w:val="30"/>
                    <w:framePr w:hSpace="0" w:wrap="auto" w:vAnchor="margin" w:hAnchor="text" w:xAlign="left" w:yAlign="inline"/>
                    <w:rPr>
                      <w:color w:val="auto"/>
                    </w:rPr>
                  </w:pPr>
                  <w:r>
                    <w:rPr>
                      <w:rFonts w:hint="eastAsia"/>
                      <w:color w:val="auto"/>
                    </w:rPr>
                    <w:t>固态</w:t>
                  </w:r>
                </w:p>
              </w:tc>
              <w:tc>
                <w:tcPr>
                  <w:tcW w:w="472" w:type="pct"/>
                  <w:vAlign w:val="center"/>
                </w:tcPr>
                <w:p w14:paraId="6BFFE701">
                  <w:pPr>
                    <w:pStyle w:val="30"/>
                    <w:framePr w:hSpace="0" w:wrap="auto" w:vAnchor="margin" w:hAnchor="text" w:xAlign="left" w:yAlign="inline"/>
                    <w:rPr>
                      <w:color w:val="auto"/>
                      <w:lang w:val="en-US"/>
                    </w:rPr>
                  </w:pPr>
                  <w:r>
                    <w:rPr>
                      <w:rFonts w:hint="eastAsia"/>
                      <w:color w:val="auto"/>
                      <w:lang w:val="en-US"/>
                    </w:rPr>
                    <w:t>0.3</w:t>
                  </w:r>
                </w:p>
              </w:tc>
              <w:tc>
                <w:tcPr>
                  <w:tcW w:w="442" w:type="pct"/>
                  <w:vAlign w:val="center"/>
                </w:tcPr>
                <w:p w14:paraId="5676BA2C">
                  <w:pPr>
                    <w:pStyle w:val="30"/>
                    <w:framePr w:hSpace="0" w:wrap="auto" w:vAnchor="margin" w:hAnchor="text" w:xAlign="left" w:yAlign="inline"/>
                    <w:rPr>
                      <w:rFonts w:cs="宋体"/>
                      <w:color w:val="auto"/>
                      <w:szCs w:val="22"/>
                      <w:lang w:val="en-US"/>
                    </w:rPr>
                  </w:pPr>
                  <w:r>
                    <w:rPr>
                      <w:rFonts w:hint="eastAsia" w:cs="宋体"/>
                      <w:color w:val="auto"/>
                      <w:szCs w:val="22"/>
                      <w:lang w:val="en-US"/>
                    </w:rPr>
                    <w:t>一般工业固废</w:t>
                  </w:r>
                </w:p>
              </w:tc>
              <w:tc>
                <w:tcPr>
                  <w:tcW w:w="693" w:type="pct"/>
                  <w:vAlign w:val="center"/>
                </w:tcPr>
                <w:p w14:paraId="5F979656">
                  <w:pPr>
                    <w:pStyle w:val="30"/>
                    <w:framePr w:hSpace="0" w:wrap="auto" w:vAnchor="margin" w:hAnchor="text" w:xAlign="left" w:yAlign="inline"/>
                    <w:jc w:val="both"/>
                    <w:rPr>
                      <w:rFonts w:cs="宋体"/>
                      <w:color w:val="auto"/>
                      <w:szCs w:val="22"/>
                    </w:rPr>
                  </w:pPr>
                  <w:r>
                    <w:rPr>
                      <w:rFonts w:hint="eastAsia" w:cs="宋体"/>
                      <w:color w:val="auto"/>
                      <w:szCs w:val="22"/>
                      <w:lang w:val="en-US"/>
                    </w:rPr>
                    <w:t>交由物资回收公司回收处理</w:t>
                  </w:r>
                </w:p>
              </w:tc>
              <w:tc>
                <w:tcPr>
                  <w:tcW w:w="426" w:type="pct"/>
                  <w:vAlign w:val="center"/>
                </w:tcPr>
                <w:p w14:paraId="72626973">
                  <w:pPr>
                    <w:pStyle w:val="30"/>
                    <w:framePr w:hSpace="0" w:wrap="auto" w:vAnchor="margin" w:hAnchor="text" w:xAlign="left" w:yAlign="inline"/>
                    <w:rPr>
                      <w:color w:val="auto"/>
                    </w:rPr>
                  </w:pPr>
                  <w:r>
                    <w:rPr>
                      <w:rFonts w:hint="eastAsia"/>
                      <w:color w:val="auto"/>
                    </w:rPr>
                    <w:t>是</w:t>
                  </w:r>
                </w:p>
              </w:tc>
            </w:tr>
            <w:tr w14:paraId="75665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trPr>
              <w:tc>
                <w:tcPr>
                  <w:tcW w:w="272" w:type="pct"/>
                  <w:shd w:val="clear" w:color="auto" w:fill="auto"/>
                  <w:vAlign w:val="center"/>
                </w:tcPr>
                <w:p w14:paraId="27AB3DBD">
                  <w:pPr>
                    <w:pStyle w:val="30"/>
                    <w:framePr w:hSpace="0" w:wrap="auto" w:vAnchor="margin" w:hAnchor="text" w:xAlign="left" w:yAlign="inline"/>
                    <w:rPr>
                      <w:color w:val="auto"/>
                      <w:lang w:val="en-US"/>
                    </w:rPr>
                  </w:pPr>
                  <w:r>
                    <w:rPr>
                      <w:rFonts w:hint="eastAsia"/>
                      <w:color w:val="auto"/>
                      <w:lang w:val="en-US"/>
                    </w:rPr>
                    <w:t>5</w:t>
                  </w:r>
                </w:p>
              </w:tc>
              <w:tc>
                <w:tcPr>
                  <w:tcW w:w="572" w:type="pct"/>
                  <w:shd w:val="clear" w:color="auto" w:fill="auto"/>
                  <w:vAlign w:val="center"/>
                </w:tcPr>
                <w:p w14:paraId="764ED4A1">
                  <w:pPr>
                    <w:pStyle w:val="30"/>
                    <w:framePr w:hSpace="0" w:wrap="auto" w:vAnchor="margin" w:hAnchor="text" w:xAlign="left" w:yAlign="inline"/>
                    <w:rPr>
                      <w:color w:val="auto"/>
                      <w:lang w:val="en-US"/>
                    </w:rPr>
                  </w:pPr>
                  <w:r>
                    <w:rPr>
                      <w:rFonts w:hint="eastAsia"/>
                      <w:color w:val="auto"/>
                      <w:lang w:val="en-US"/>
                    </w:rPr>
                    <w:t>废动植物油</w:t>
                  </w:r>
                </w:p>
              </w:tc>
              <w:tc>
                <w:tcPr>
                  <w:tcW w:w="892" w:type="pct"/>
                  <w:shd w:val="clear" w:color="auto" w:fill="auto"/>
                  <w:vAlign w:val="center"/>
                </w:tcPr>
                <w:p w14:paraId="0958298D">
                  <w:pPr>
                    <w:pStyle w:val="30"/>
                    <w:framePr w:hSpace="0" w:wrap="auto" w:vAnchor="margin" w:hAnchor="text" w:xAlign="left" w:yAlign="inline"/>
                    <w:rPr>
                      <w:color w:val="auto"/>
                      <w:lang w:val="en-US"/>
                    </w:rPr>
                  </w:pPr>
                  <w:r>
                    <w:rPr>
                      <w:rFonts w:hint="eastAsia"/>
                      <w:color w:val="auto"/>
                      <w:lang w:val="en-US"/>
                    </w:rPr>
                    <w:t>SW13食品残渣</w:t>
                  </w:r>
                </w:p>
              </w:tc>
              <w:tc>
                <w:tcPr>
                  <w:tcW w:w="712" w:type="pct"/>
                  <w:shd w:val="clear" w:color="auto" w:fill="auto"/>
                  <w:vAlign w:val="center"/>
                </w:tcPr>
                <w:p w14:paraId="0DDCC52C">
                  <w:pPr>
                    <w:pStyle w:val="30"/>
                    <w:framePr w:hSpace="0" w:wrap="auto" w:vAnchor="margin" w:hAnchor="text" w:xAlign="left" w:yAlign="inline"/>
                    <w:rPr>
                      <w:color w:val="auto"/>
                      <w:lang w:val="en-US"/>
                    </w:rPr>
                  </w:pPr>
                  <w:r>
                    <w:rPr>
                      <w:rFonts w:hint="eastAsia"/>
                      <w:color w:val="auto"/>
                      <w:lang w:val="en-US"/>
                    </w:rPr>
                    <w:t>900-099-S13</w:t>
                  </w:r>
                </w:p>
              </w:tc>
              <w:tc>
                <w:tcPr>
                  <w:tcW w:w="516" w:type="pct"/>
                  <w:shd w:val="clear" w:color="auto" w:fill="auto"/>
                  <w:vAlign w:val="center"/>
                </w:tcPr>
                <w:p w14:paraId="0F628A39">
                  <w:pPr>
                    <w:pStyle w:val="30"/>
                    <w:framePr w:hSpace="0" w:wrap="auto" w:vAnchor="margin" w:hAnchor="text" w:xAlign="left" w:yAlign="inline"/>
                    <w:rPr>
                      <w:color w:val="auto"/>
                    </w:rPr>
                  </w:pPr>
                  <w:r>
                    <w:rPr>
                      <w:rFonts w:hint="eastAsia"/>
                      <w:color w:val="auto"/>
                    </w:rPr>
                    <w:t>液态</w:t>
                  </w:r>
                </w:p>
              </w:tc>
              <w:tc>
                <w:tcPr>
                  <w:tcW w:w="472" w:type="pct"/>
                  <w:vAlign w:val="center"/>
                </w:tcPr>
                <w:p w14:paraId="02A0103B">
                  <w:pPr>
                    <w:pStyle w:val="30"/>
                    <w:framePr w:hSpace="0" w:wrap="auto" w:vAnchor="margin" w:hAnchor="text" w:xAlign="left" w:yAlign="inline"/>
                    <w:rPr>
                      <w:color w:val="auto"/>
                      <w:lang w:val="en-US"/>
                    </w:rPr>
                  </w:pPr>
                  <w:r>
                    <w:rPr>
                      <w:rFonts w:hint="eastAsia"/>
                      <w:color w:val="auto"/>
                      <w:lang w:val="en-US"/>
                    </w:rPr>
                    <w:t>0.1</w:t>
                  </w:r>
                </w:p>
              </w:tc>
              <w:tc>
                <w:tcPr>
                  <w:tcW w:w="442" w:type="pct"/>
                  <w:shd w:val="clear" w:color="auto" w:fill="auto"/>
                  <w:vAlign w:val="center"/>
                </w:tcPr>
                <w:p w14:paraId="3094857C">
                  <w:pPr>
                    <w:pStyle w:val="30"/>
                    <w:framePr w:hSpace="0" w:wrap="auto" w:vAnchor="margin" w:hAnchor="text" w:xAlign="left" w:yAlign="inline"/>
                    <w:rPr>
                      <w:rFonts w:cs="宋体"/>
                      <w:color w:val="auto"/>
                      <w:szCs w:val="22"/>
                      <w:lang w:val="en-US"/>
                    </w:rPr>
                  </w:pPr>
                  <w:r>
                    <w:rPr>
                      <w:rFonts w:hint="eastAsia" w:cs="宋体"/>
                      <w:color w:val="auto"/>
                      <w:szCs w:val="22"/>
                      <w:lang w:val="en-US"/>
                    </w:rPr>
                    <w:t>一般工业固废</w:t>
                  </w:r>
                </w:p>
              </w:tc>
              <w:tc>
                <w:tcPr>
                  <w:tcW w:w="693" w:type="pct"/>
                  <w:shd w:val="clear" w:color="auto" w:fill="auto"/>
                  <w:vAlign w:val="center"/>
                </w:tcPr>
                <w:p w14:paraId="33440F87">
                  <w:pPr>
                    <w:pStyle w:val="30"/>
                    <w:framePr w:hSpace="0" w:wrap="auto" w:vAnchor="margin" w:hAnchor="text" w:xAlign="left" w:yAlign="inline"/>
                    <w:rPr>
                      <w:rFonts w:cs="宋体"/>
                      <w:color w:val="auto"/>
                      <w:szCs w:val="22"/>
                      <w:lang w:val="en-US"/>
                    </w:rPr>
                  </w:pPr>
                  <w:r>
                    <w:rPr>
                      <w:rFonts w:hint="eastAsia" w:cs="宋体"/>
                      <w:color w:val="auto"/>
                      <w:szCs w:val="22"/>
                    </w:rPr>
                    <w:t>委托处置</w:t>
                  </w:r>
                </w:p>
              </w:tc>
              <w:tc>
                <w:tcPr>
                  <w:tcW w:w="426" w:type="pct"/>
                  <w:vAlign w:val="center"/>
                </w:tcPr>
                <w:p w14:paraId="3E9D92A6">
                  <w:pPr>
                    <w:pStyle w:val="30"/>
                    <w:framePr w:hSpace="0" w:wrap="auto" w:vAnchor="margin" w:hAnchor="text" w:xAlign="left" w:yAlign="inline"/>
                    <w:rPr>
                      <w:color w:val="auto"/>
                    </w:rPr>
                  </w:pPr>
                  <w:r>
                    <w:rPr>
                      <w:rFonts w:hint="eastAsia"/>
                      <w:color w:val="auto"/>
                    </w:rPr>
                    <w:t>是</w:t>
                  </w:r>
                </w:p>
              </w:tc>
            </w:tr>
            <w:tr w14:paraId="61315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trPr>
              <w:tc>
                <w:tcPr>
                  <w:tcW w:w="272" w:type="pct"/>
                  <w:shd w:val="clear" w:color="auto" w:fill="auto"/>
                  <w:vAlign w:val="center"/>
                </w:tcPr>
                <w:p w14:paraId="1FA6EC53">
                  <w:pPr>
                    <w:pStyle w:val="30"/>
                    <w:framePr w:hSpace="0" w:wrap="auto" w:vAnchor="margin" w:hAnchor="text" w:xAlign="left" w:yAlign="inline"/>
                    <w:rPr>
                      <w:color w:val="auto"/>
                      <w:lang w:val="en-US"/>
                    </w:rPr>
                  </w:pPr>
                  <w:r>
                    <w:rPr>
                      <w:rFonts w:hint="eastAsia"/>
                      <w:color w:val="auto"/>
                      <w:lang w:val="en-US"/>
                    </w:rPr>
                    <w:t>6</w:t>
                  </w:r>
                </w:p>
              </w:tc>
              <w:tc>
                <w:tcPr>
                  <w:tcW w:w="572" w:type="pct"/>
                  <w:vAlign w:val="center"/>
                </w:tcPr>
                <w:p w14:paraId="4860108A">
                  <w:pPr>
                    <w:pStyle w:val="30"/>
                    <w:framePr w:hSpace="0" w:wrap="auto" w:vAnchor="margin" w:hAnchor="text" w:xAlign="left" w:yAlign="inline"/>
                    <w:rPr>
                      <w:color w:val="auto"/>
                    </w:rPr>
                  </w:pPr>
                  <w:r>
                    <w:rPr>
                      <w:rFonts w:hint="eastAsia"/>
                      <w:color w:val="auto"/>
                      <w:lang w:val="en-US"/>
                    </w:rPr>
                    <w:t>废荧光灯管</w:t>
                  </w:r>
                </w:p>
              </w:tc>
              <w:tc>
                <w:tcPr>
                  <w:tcW w:w="892" w:type="pct"/>
                  <w:vAlign w:val="center"/>
                </w:tcPr>
                <w:p w14:paraId="54029DF6">
                  <w:pPr>
                    <w:pStyle w:val="30"/>
                    <w:framePr w:hSpace="0" w:wrap="auto" w:vAnchor="margin" w:hAnchor="text" w:xAlign="left" w:yAlign="inline"/>
                    <w:rPr>
                      <w:color w:val="auto"/>
                    </w:rPr>
                  </w:pPr>
                  <w:r>
                    <w:rPr>
                      <w:rFonts w:hint="eastAsia"/>
                      <w:color w:val="auto"/>
                      <w:lang w:val="en-US"/>
                    </w:rPr>
                    <w:t>HW29含汞废物</w:t>
                  </w:r>
                </w:p>
              </w:tc>
              <w:tc>
                <w:tcPr>
                  <w:tcW w:w="712" w:type="pct"/>
                  <w:vAlign w:val="center"/>
                </w:tcPr>
                <w:p w14:paraId="1877C3E5">
                  <w:pPr>
                    <w:pStyle w:val="30"/>
                    <w:framePr w:hSpace="0" w:wrap="auto" w:vAnchor="margin" w:hAnchor="text" w:xAlign="left" w:yAlign="inline"/>
                    <w:rPr>
                      <w:color w:val="auto"/>
                      <w:lang w:val="en-US"/>
                    </w:rPr>
                  </w:pPr>
                  <w:r>
                    <w:rPr>
                      <w:rFonts w:hint="eastAsia"/>
                      <w:color w:val="auto"/>
                      <w:lang w:val="en-US"/>
                    </w:rPr>
                    <w:t>900-023-29</w:t>
                  </w:r>
                </w:p>
              </w:tc>
              <w:tc>
                <w:tcPr>
                  <w:tcW w:w="516" w:type="pct"/>
                  <w:shd w:val="clear" w:color="auto" w:fill="auto"/>
                  <w:vAlign w:val="center"/>
                </w:tcPr>
                <w:p w14:paraId="3EAE87C1">
                  <w:pPr>
                    <w:pStyle w:val="30"/>
                    <w:framePr w:hSpace="0" w:wrap="auto" w:vAnchor="margin" w:hAnchor="text" w:xAlign="left" w:yAlign="inline"/>
                    <w:rPr>
                      <w:rFonts w:cs="宋体"/>
                      <w:color w:val="auto"/>
                      <w:szCs w:val="22"/>
                    </w:rPr>
                  </w:pPr>
                  <w:r>
                    <w:rPr>
                      <w:rFonts w:hint="eastAsia"/>
                      <w:color w:val="auto"/>
                    </w:rPr>
                    <w:t>固态</w:t>
                  </w:r>
                </w:p>
              </w:tc>
              <w:tc>
                <w:tcPr>
                  <w:tcW w:w="472" w:type="pct"/>
                  <w:vAlign w:val="center"/>
                </w:tcPr>
                <w:p w14:paraId="013C205A">
                  <w:pPr>
                    <w:pStyle w:val="30"/>
                    <w:framePr w:hSpace="0" w:wrap="auto" w:vAnchor="margin" w:hAnchor="text" w:xAlign="left" w:yAlign="inline"/>
                    <w:rPr>
                      <w:color w:val="auto"/>
                      <w:lang w:val="en-US"/>
                    </w:rPr>
                  </w:pPr>
                  <w:r>
                    <w:rPr>
                      <w:rFonts w:hint="eastAsia"/>
                      <w:color w:val="auto"/>
                      <w:lang w:val="en-US"/>
                    </w:rPr>
                    <w:t>0.03</w:t>
                  </w:r>
                </w:p>
              </w:tc>
              <w:tc>
                <w:tcPr>
                  <w:tcW w:w="442" w:type="pct"/>
                  <w:vAlign w:val="center"/>
                </w:tcPr>
                <w:p w14:paraId="02CD511F">
                  <w:pPr>
                    <w:pStyle w:val="30"/>
                    <w:framePr w:hSpace="0" w:wrap="auto" w:vAnchor="margin" w:hAnchor="text" w:xAlign="left" w:yAlign="inline"/>
                    <w:rPr>
                      <w:rFonts w:cs="宋体"/>
                      <w:color w:val="auto"/>
                      <w:szCs w:val="22"/>
                    </w:rPr>
                  </w:pPr>
                  <w:r>
                    <w:rPr>
                      <w:rFonts w:hint="eastAsia" w:cs="宋体"/>
                      <w:color w:val="auto"/>
                      <w:szCs w:val="22"/>
                      <w:lang w:val="en-US"/>
                    </w:rPr>
                    <w:t>危险废物</w:t>
                  </w:r>
                </w:p>
              </w:tc>
              <w:tc>
                <w:tcPr>
                  <w:tcW w:w="693" w:type="pct"/>
                  <w:vAlign w:val="center"/>
                </w:tcPr>
                <w:p w14:paraId="2C189022">
                  <w:pPr>
                    <w:pStyle w:val="30"/>
                    <w:framePr w:hSpace="0" w:wrap="auto" w:vAnchor="margin" w:hAnchor="text" w:xAlign="left" w:yAlign="inline"/>
                    <w:rPr>
                      <w:rFonts w:cs="宋体"/>
                      <w:color w:val="auto"/>
                      <w:szCs w:val="22"/>
                    </w:rPr>
                  </w:pPr>
                  <w:r>
                    <w:rPr>
                      <w:rFonts w:hint="eastAsia" w:cs="宋体"/>
                      <w:color w:val="auto"/>
                      <w:szCs w:val="22"/>
                    </w:rPr>
                    <w:t>委托有资质单位处置</w:t>
                  </w:r>
                </w:p>
              </w:tc>
              <w:tc>
                <w:tcPr>
                  <w:tcW w:w="426" w:type="pct"/>
                  <w:vAlign w:val="center"/>
                </w:tcPr>
                <w:p w14:paraId="2588E8B2">
                  <w:pPr>
                    <w:pStyle w:val="30"/>
                    <w:framePr w:hSpace="0" w:wrap="auto" w:vAnchor="margin" w:hAnchor="text" w:xAlign="left" w:yAlign="inline"/>
                    <w:rPr>
                      <w:color w:val="auto"/>
                    </w:rPr>
                  </w:pPr>
                  <w:r>
                    <w:rPr>
                      <w:rFonts w:hint="eastAsia"/>
                      <w:color w:val="auto"/>
                    </w:rPr>
                    <w:t>是</w:t>
                  </w:r>
                </w:p>
              </w:tc>
            </w:tr>
            <w:tr w14:paraId="2A59E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trPr>
              <w:tc>
                <w:tcPr>
                  <w:tcW w:w="272" w:type="pct"/>
                  <w:vAlign w:val="center"/>
                </w:tcPr>
                <w:p w14:paraId="3B1DCF2B">
                  <w:pPr>
                    <w:pStyle w:val="30"/>
                    <w:framePr w:hSpace="0" w:wrap="auto" w:vAnchor="margin" w:hAnchor="text" w:xAlign="left" w:yAlign="inline"/>
                    <w:rPr>
                      <w:color w:val="auto"/>
                      <w:lang w:val="en-US"/>
                    </w:rPr>
                  </w:pPr>
                  <w:r>
                    <w:rPr>
                      <w:rFonts w:hint="eastAsia"/>
                      <w:color w:val="auto"/>
                      <w:lang w:val="en-US"/>
                    </w:rPr>
                    <w:t>7</w:t>
                  </w:r>
                </w:p>
              </w:tc>
              <w:tc>
                <w:tcPr>
                  <w:tcW w:w="572" w:type="pct"/>
                  <w:shd w:val="clear" w:color="auto" w:fill="auto"/>
                  <w:vAlign w:val="center"/>
                </w:tcPr>
                <w:p w14:paraId="399356CA">
                  <w:pPr>
                    <w:pStyle w:val="30"/>
                    <w:framePr w:hSpace="0" w:wrap="auto" w:vAnchor="margin" w:hAnchor="text" w:xAlign="left" w:yAlign="inline"/>
                    <w:rPr>
                      <w:rFonts w:cs="宋体"/>
                      <w:color w:val="auto"/>
                      <w:szCs w:val="22"/>
                    </w:rPr>
                  </w:pPr>
                  <w:r>
                    <w:rPr>
                      <w:rFonts w:hint="eastAsia"/>
                      <w:color w:val="auto"/>
                    </w:rPr>
                    <w:t>生活垃圾</w:t>
                  </w:r>
                </w:p>
              </w:tc>
              <w:tc>
                <w:tcPr>
                  <w:tcW w:w="892" w:type="pct"/>
                  <w:shd w:val="clear" w:color="auto" w:fill="auto"/>
                  <w:vAlign w:val="center"/>
                </w:tcPr>
                <w:p w14:paraId="40F7A126">
                  <w:pPr>
                    <w:pStyle w:val="30"/>
                    <w:framePr w:hSpace="0" w:wrap="auto" w:vAnchor="margin" w:hAnchor="text" w:xAlign="left" w:yAlign="inline"/>
                    <w:rPr>
                      <w:rFonts w:cs="宋体"/>
                      <w:color w:val="auto"/>
                      <w:szCs w:val="22"/>
                      <w:lang w:val="en-US"/>
                    </w:rPr>
                  </w:pPr>
                  <w:r>
                    <w:rPr>
                      <w:rFonts w:hint="eastAsia"/>
                      <w:color w:val="auto"/>
                      <w:lang w:val="en-US"/>
                    </w:rPr>
                    <w:t>/</w:t>
                  </w:r>
                </w:p>
              </w:tc>
              <w:tc>
                <w:tcPr>
                  <w:tcW w:w="712" w:type="pct"/>
                  <w:shd w:val="clear" w:color="auto" w:fill="auto"/>
                  <w:vAlign w:val="center"/>
                </w:tcPr>
                <w:p w14:paraId="5E533537">
                  <w:pPr>
                    <w:pStyle w:val="30"/>
                    <w:framePr w:hSpace="0" w:wrap="auto" w:vAnchor="margin" w:hAnchor="text" w:xAlign="left" w:yAlign="inline"/>
                    <w:rPr>
                      <w:rFonts w:cs="宋体"/>
                      <w:color w:val="auto"/>
                      <w:szCs w:val="22"/>
                      <w:lang w:val="en-US"/>
                    </w:rPr>
                  </w:pPr>
                  <w:r>
                    <w:rPr>
                      <w:rFonts w:hint="eastAsia"/>
                      <w:color w:val="auto"/>
                      <w:lang w:val="en-US"/>
                    </w:rPr>
                    <w:t>/</w:t>
                  </w:r>
                </w:p>
              </w:tc>
              <w:tc>
                <w:tcPr>
                  <w:tcW w:w="516" w:type="pct"/>
                  <w:shd w:val="clear" w:color="auto" w:fill="auto"/>
                  <w:vAlign w:val="center"/>
                </w:tcPr>
                <w:p w14:paraId="37E1A9AE">
                  <w:pPr>
                    <w:pStyle w:val="30"/>
                    <w:framePr w:hSpace="0" w:wrap="auto" w:vAnchor="margin" w:hAnchor="text" w:xAlign="left" w:yAlign="inline"/>
                    <w:rPr>
                      <w:rFonts w:cs="宋体"/>
                      <w:color w:val="auto"/>
                      <w:szCs w:val="22"/>
                    </w:rPr>
                  </w:pPr>
                  <w:r>
                    <w:rPr>
                      <w:rFonts w:hint="eastAsia"/>
                      <w:color w:val="auto"/>
                    </w:rPr>
                    <w:t>固态</w:t>
                  </w:r>
                </w:p>
              </w:tc>
              <w:tc>
                <w:tcPr>
                  <w:tcW w:w="472" w:type="pct"/>
                  <w:shd w:val="clear" w:color="auto" w:fill="auto"/>
                  <w:vAlign w:val="center"/>
                </w:tcPr>
                <w:p w14:paraId="47822E1B">
                  <w:pPr>
                    <w:pStyle w:val="30"/>
                    <w:framePr w:hSpace="0" w:wrap="auto" w:vAnchor="margin" w:hAnchor="text" w:xAlign="left" w:yAlign="inline"/>
                    <w:rPr>
                      <w:rFonts w:cs="宋体"/>
                      <w:color w:val="auto"/>
                      <w:szCs w:val="22"/>
                      <w:lang w:val="en-US"/>
                    </w:rPr>
                  </w:pPr>
                  <w:r>
                    <w:rPr>
                      <w:rFonts w:hint="eastAsia"/>
                      <w:color w:val="auto"/>
                      <w:lang w:val="en-US"/>
                    </w:rPr>
                    <w:t>0.9</w:t>
                  </w:r>
                </w:p>
              </w:tc>
              <w:tc>
                <w:tcPr>
                  <w:tcW w:w="442" w:type="pct"/>
                  <w:shd w:val="clear" w:color="auto" w:fill="auto"/>
                  <w:vAlign w:val="center"/>
                </w:tcPr>
                <w:p w14:paraId="24F17240">
                  <w:pPr>
                    <w:pStyle w:val="30"/>
                    <w:framePr w:hSpace="0" w:wrap="auto" w:vAnchor="margin" w:hAnchor="text" w:xAlign="left" w:yAlign="inline"/>
                    <w:rPr>
                      <w:rFonts w:cs="宋体"/>
                      <w:color w:val="auto"/>
                      <w:szCs w:val="22"/>
                      <w:lang w:val="en-US"/>
                    </w:rPr>
                  </w:pPr>
                  <w:r>
                    <w:rPr>
                      <w:rFonts w:hint="eastAsia" w:cs="宋体"/>
                      <w:color w:val="auto"/>
                      <w:szCs w:val="22"/>
                      <w:lang w:val="en-US"/>
                    </w:rPr>
                    <w:t>一般固废</w:t>
                  </w:r>
                </w:p>
              </w:tc>
              <w:tc>
                <w:tcPr>
                  <w:tcW w:w="693" w:type="pct"/>
                  <w:shd w:val="clear" w:color="auto" w:fill="auto"/>
                  <w:vAlign w:val="center"/>
                </w:tcPr>
                <w:p w14:paraId="65B20C22">
                  <w:pPr>
                    <w:pStyle w:val="30"/>
                    <w:framePr w:hSpace="0" w:wrap="auto" w:vAnchor="margin" w:hAnchor="text" w:xAlign="left" w:yAlign="inline"/>
                    <w:rPr>
                      <w:rFonts w:cs="宋体"/>
                      <w:color w:val="auto"/>
                      <w:szCs w:val="22"/>
                    </w:rPr>
                  </w:pPr>
                  <w:r>
                    <w:rPr>
                      <w:rFonts w:hint="eastAsia" w:cs="宋体"/>
                      <w:color w:val="auto"/>
                      <w:szCs w:val="22"/>
                    </w:rPr>
                    <w:t>环卫部门统一清运</w:t>
                  </w:r>
                </w:p>
              </w:tc>
              <w:tc>
                <w:tcPr>
                  <w:tcW w:w="426" w:type="pct"/>
                  <w:shd w:val="clear" w:color="auto" w:fill="auto"/>
                  <w:vAlign w:val="center"/>
                </w:tcPr>
                <w:p w14:paraId="7017070C">
                  <w:pPr>
                    <w:pStyle w:val="30"/>
                    <w:framePr w:hSpace="0" w:wrap="auto" w:vAnchor="margin" w:hAnchor="text" w:xAlign="left" w:yAlign="inline"/>
                    <w:rPr>
                      <w:rFonts w:cs="宋体"/>
                      <w:color w:val="auto"/>
                      <w:szCs w:val="22"/>
                    </w:rPr>
                  </w:pPr>
                  <w:r>
                    <w:rPr>
                      <w:rFonts w:hint="eastAsia"/>
                      <w:color w:val="auto"/>
                    </w:rPr>
                    <w:t>是</w:t>
                  </w:r>
                </w:p>
              </w:tc>
            </w:tr>
          </w:tbl>
          <w:p w14:paraId="56CCAFD0">
            <w:pPr>
              <w:ind w:firstLine="480" w:firstLineChars="200"/>
              <w:rPr>
                <w:color w:val="auto"/>
              </w:rPr>
            </w:pPr>
            <w:r>
              <w:rPr>
                <w:rFonts w:hint="eastAsia"/>
                <w:color w:val="auto"/>
              </w:rPr>
              <w:t>项目拟在厂区内设置一般固废暂存间</w:t>
            </w:r>
            <w:r>
              <w:rPr>
                <w:color w:val="auto"/>
              </w:rPr>
              <w:t>1</w:t>
            </w:r>
            <w:r>
              <w:rPr>
                <w:rFonts w:hint="eastAsia"/>
                <w:color w:val="auto"/>
              </w:rPr>
              <w:t>间（面积约30</w:t>
            </w:r>
            <w:r>
              <w:rPr>
                <w:color w:val="auto"/>
              </w:rPr>
              <w:t>m</w:t>
            </w:r>
            <w:r>
              <w:rPr>
                <w:rFonts w:hint="eastAsia"/>
                <w:color w:val="auto"/>
                <w:vertAlign w:val="superscript"/>
              </w:rPr>
              <w:t>2</w:t>
            </w:r>
            <w:r>
              <w:rPr>
                <w:rFonts w:hint="eastAsia"/>
                <w:color w:val="auto"/>
              </w:rPr>
              <w:t>）、危废暂存间（面积约10</w:t>
            </w:r>
            <w:r>
              <w:rPr>
                <w:color w:val="auto"/>
              </w:rPr>
              <w:t>m</w:t>
            </w:r>
            <w:r>
              <w:rPr>
                <w:rFonts w:hint="eastAsia"/>
                <w:color w:val="auto"/>
                <w:vertAlign w:val="superscript"/>
              </w:rPr>
              <w:t>2</w:t>
            </w:r>
            <w:r>
              <w:rPr>
                <w:rFonts w:hint="eastAsia"/>
                <w:color w:val="auto"/>
              </w:rPr>
              <w:t>），拟设置于二层生产车间的中部。</w:t>
            </w:r>
          </w:p>
          <w:bookmarkEnd w:id="65"/>
          <w:p w14:paraId="103EB15B">
            <w:pPr>
              <w:ind w:firstLine="482" w:firstLineChars="200"/>
              <w:rPr>
                <w:color w:val="auto"/>
              </w:rPr>
            </w:pPr>
            <w:r>
              <w:rPr>
                <w:rFonts w:hint="eastAsia"/>
                <w:b/>
                <w:bCs/>
                <w:color w:val="auto"/>
              </w:rPr>
              <w:t>4.5.2环境管理要求</w:t>
            </w:r>
          </w:p>
          <w:p w14:paraId="5F51F5D8">
            <w:pPr>
              <w:ind w:firstLine="482" w:firstLineChars="200"/>
              <w:rPr>
                <w:b/>
                <w:bCs/>
                <w:color w:val="auto"/>
              </w:rPr>
            </w:pPr>
            <w:r>
              <w:rPr>
                <w:rFonts w:hint="eastAsia"/>
                <w:b/>
                <w:bCs/>
                <w:color w:val="auto"/>
              </w:rPr>
              <w:t>1、一般固体废物环境管理要求</w:t>
            </w:r>
          </w:p>
          <w:p w14:paraId="151EC79C">
            <w:pPr>
              <w:ind w:firstLine="480" w:firstLineChars="200"/>
              <w:rPr>
                <w:color w:val="auto"/>
              </w:rPr>
            </w:pPr>
            <w:r>
              <w:rPr>
                <w:rFonts w:hint="eastAsia"/>
                <w:color w:val="auto"/>
              </w:rPr>
              <w:t>企业需设置专人对固体废物进行分类收集，不得擅自倾倒、堆放、丢弃、遗撒固体废物。贮存场内堆放的一般工业固体废物的类别应相一致，应防止雨水径流进入贮存场。企业应建立固体废物管理台账，如实记录产生工业固体废物的种类、数量、流向、贮存、利用、处置等信息，实现工业固体废物可追溯、可查询。企业</w:t>
            </w:r>
            <w:r>
              <w:rPr>
                <w:rFonts w:hint="eastAsia"/>
                <w:color w:val="auto"/>
                <w:lang w:eastAsia="zh-CN"/>
              </w:rPr>
              <w:t>应当</w:t>
            </w:r>
            <w:r>
              <w:rPr>
                <w:rFonts w:hint="eastAsia"/>
                <w:color w:val="auto"/>
              </w:rPr>
              <w:t>按照《中华人民共和国固体废物污染环境防治法》（中华人民共和国主席令第四十三号）第三十七条</w:t>
            </w:r>
            <w:r>
              <w:rPr>
                <w:color w:val="auto"/>
              </w:rPr>
              <w:t>“</w:t>
            </w:r>
            <w:r>
              <w:rPr>
                <w:rFonts w:hint="eastAsia"/>
                <w:color w:val="auto"/>
              </w:rPr>
              <w:t>产生工业固体废物的单位委托他人运输、利用、处置工业固体废物的，应当对受托方的主体资格和技术能力进行核实，依法签订书面合同，在合同中约定污染防治要求。</w:t>
            </w:r>
            <w:r>
              <w:rPr>
                <w:color w:val="auto"/>
              </w:rPr>
              <w:t>”</w:t>
            </w:r>
            <w:r>
              <w:rPr>
                <w:rFonts w:hint="eastAsia"/>
                <w:color w:val="auto"/>
              </w:rPr>
              <w:t>规定执行。一般工业固体废物的暂存场所须按《一般工业固体废物贮存和填埋污染控制标准》（</w:t>
            </w:r>
            <w:r>
              <w:rPr>
                <w:color w:val="auto"/>
              </w:rPr>
              <w:t>GB18599-2020</w:t>
            </w:r>
            <w:r>
              <w:rPr>
                <w:rFonts w:hint="eastAsia"/>
                <w:color w:val="auto"/>
              </w:rPr>
              <w:t>）的要求建设，具体要求如下：</w:t>
            </w:r>
          </w:p>
          <w:p w14:paraId="673CDCBC">
            <w:pPr>
              <w:ind w:firstLine="480" w:firstLineChars="200"/>
              <w:rPr>
                <w:color w:val="auto"/>
              </w:rPr>
            </w:pPr>
            <w:r>
              <w:rPr>
                <w:rFonts w:hint="eastAsia"/>
                <w:color w:val="auto"/>
              </w:rPr>
              <w:t>（1）当天然基础层饱和渗透系数不大于</w:t>
            </w:r>
            <w:r>
              <w:rPr>
                <w:color w:val="auto"/>
              </w:rPr>
              <w:t>1.0×10</w:t>
            </w:r>
            <w:r>
              <w:rPr>
                <w:rFonts w:hint="eastAsia"/>
                <w:color w:val="auto"/>
                <w:vertAlign w:val="superscript"/>
              </w:rPr>
              <w:t>-5</w:t>
            </w:r>
            <w:r>
              <w:rPr>
                <w:color w:val="auto"/>
              </w:rPr>
              <w:t>cm/s</w:t>
            </w:r>
            <w:r>
              <w:rPr>
                <w:rFonts w:hint="eastAsia"/>
                <w:color w:val="auto"/>
              </w:rPr>
              <w:t>，且厚度不小于</w:t>
            </w:r>
            <w:r>
              <w:rPr>
                <w:color w:val="auto"/>
              </w:rPr>
              <w:t>0.75m</w:t>
            </w:r>
            <w:r>
              <w:rPr>
                <w:rFonts w:hint="eastAsia"/>
                <w:color w:val="auto"/>
              </w:rPr>
              <w:t>时，可以采用天然基础层作为防渗衬层；</w:t>
            </w:r>
          </w:p>
          <w:p w14:paraId="1F51520F">
            <w:pPr>
              <w:ind w:firstLine="480" w:firstLineChars="200"/>
              <w:rPr>
                <w:color w:val="auto"/>
              </w:rPr>
            </w:pPr>
            <w:r>
              <w:rPr>
                <w:rFonts w:hint="eastAsia"/>
                <w:color w:val="auto"/>
              </w:rPr>
              <w:t>（2）当天然基础层不能满足上述第1条防渗要求时，可采用改性压实粘土类衬层或具有同等以上隔水效力的其他材料防渗衬层，其防渗性能应至少相当于渗透系数为</w:t>
            </w:r>
            <w:r>
              <w:rPr>
                <w:color w:val="auto"/>
              </w:rPr>
              <w:t>1.0×10</w:t>
            </w:r>
            <w:r>
              <w:rPr>
                <w:rFonts w:hint="eastAsia"/>
                <w:color w:val="auto"/>
                <w:vertAlign w:val="superscript"/>
              </w:rPr>
              <w:t>-5</w:t>
            </w:r>
            <w:r>
              <w:rPr>
                <w:color w:val="auto"/>
              </w:rPr>
              <w:t xml:space="preserve">cm/s </w:t>
            </w:r>
            <w:r>
              <w:rPr>
                <w:rFonts w:hint="eastAsia"/>
                <w:color w:val="auto"/>
              </w:rPr>
              <w:t>且厚度为</w:t>
            </w:r>
            <w:r>
              <w:rPr>
                <w:color w:val="auto"/>
              </w:rPr>
              <w:t>0.75m</w:t>
            </w:r>
            <w:r>
              <w:rPr>
                <w:rFonts w:hint="eastAsia"/>
                <w:color w:val="auto"/>
              </w:rPr>
              <w:t>的天然基础层；</w:t>
            </w:r>
          </w:p>
          <w:p w14:paraId="2ECD93A9">
            <w:pPr>
              <w:ind w:firstLine="480" w:firstLineChars="200"/>
              <w:rPr>
                <w:color w:val="auto"/>
              </w:rPr>
            </w:pPr>
            <w:r>
              <w:rPr>
                <w:rFonts w:hint="eastAsia"/>
                <w:color w:val="auto"/>
              </w:rPr>
              <w:t xml:space="preserve">（3）人工合成材料衬层、渗滤液收集和导排系统的施工不应对粘土衬层造成破坏； </w:t>
            </w:r>
          </w:p>
          <w:p w14:paraId="2D0E5CCF">
            <w:pPr>
              <w:ind w:firstLine="480" w:firstLineChars="200"/>
              <w:rPr>
                <w:color w:val="auto"/>
              </w:rPr>
            </w:pPr>
            <w:r>
              <w:rPr>
                <w:rFonts w:hint="eastAsia"/>
                <w:color w:val="auto"/>
              </w:rPr>
              <w:t>（4）不相容的一般工业固体废物应设置不同的分区进行贮存和填埋作业；</w:t>
            </w:r>
          </w:p>
          <w:p w14:paraId="094CA984">
            <w:pPr>
              <w:ind w:firstLine="480" w:firstLineChars="200"/>
              <w:rPr>
                <w:color w:val="auto"/>
              </w:rPr>
            </w:pPr>
            <w:r>
              <w:rPr>
                <w:rFonts w:hint="eastAsia"/>
                <w:color w:val="auto"/>
              </w:rPr>
              <w:t>（5）危险废物和生活垃圾不得进入一般工业固体废物贮存场及填埋场。</w:t>
            </w:r>
          </w:p>
          <w:p w14:paraId="410EA396">
            <w:pPr>
              <w:ind w:firstLine="480" w:firstLineChars="200"/>
              <w:rPr>
                <w:color w:val="auto"/>
              </w:rPr>
            </w:pPr>
            <w:r>
              <w:rPr>
                <w:rFonts w:hint="eastAsia"/>
                <w:color w:val="auto"/>
              </w:rPr>
              <w:t>2、固废堆放处环境保护图形标志牌</w:t>
            </w:r>
          </w:p>
          <w:p w14:paraId="7123463F">
            <w:pPr>
              <w:ind w:firstLine="480" w:firstLineChars="200"/>
              <w:rPr>
                <w:color w:val="auto"/>
              </w:rPr>
            </w:pPr>
            <w:r>
              <w:rPr>
                <w:color w:val="auto"/>
              </w:rPr>
              <w:t>根据《环境保护图形标志</w:t>
            </w:r>
            <w:r>
              <w:rPr>
                <w:rFonts w:hint="eastAsia"/>
                <w:color w:val="auto"/>
              </w:rPr>
              <w:t>-</w:t>
            </w:r>
            <w:r>
              <w:rPr>
                <w:color w:val="auto"/>
              </w:rPr>
              <w:t>固体废物贮存（处置）场》（GB 15562.2-1995，含2023年修改单）要求设置固体废物堆放场、危废仓库的环境保护图形标志。本项目固废堆放场环境保护图形标志的具体要求见下表。</w:t>
            </w:r>
          </w:p>
          <w:p w14:paraId="69FC2406">
            <w:pPr>
              <w:pStyle w:val="6"/>
              <w:adjustRightInd w:val="0"/>
              <w:snapToGrid w:val="0"/>
              <w:rPr>
                <w:color w:val="auto"/>
              </w:rPr>
            </w:pPr>
            <w:r>
              <w:rPr>
                <w:color w:val="auto"/>
              </w:rPr>
              <w:t xml:space="preserve">表 </w:t>
            </w:r>
            <w:r>
              <w:rPr>
                <w:rFonts w:hint="eastAsia"/>
                <w:color w:val="auto"/>
              </w:rPr>
              <w:t>4-</w:t>
            </w:r>
            <w:r>
              <w:rPr>
                <w:color w:val="auto"/>
              </w:rPr>
              <w:fldChar w:fldCharType="begin"/>
            </w:r>
            <w:r>
              <w:rPr>
                <w:color w:val="auto"/>
              </w:rPr>
              <w:instrText xml:space="preserve"> SEQ 表 \* ARABIC \s 1 </w:instrText>
            </w:r>
            <w:r>
              <w:rPr>
                <w:color w:val="auto"/>
              </w:rPr>
              <w:fldChar w:fldCharType="separate"/>
            </w:r>
            <w:r>
              <w:rPr>
                <w:color w:val="auto"/>
              </w:rPr>
              <w:t>10</w:t>
            </w:r>
            <w:r>
              <w:rPr>
                <w:color w:val="auto"/>
              </w:rPr>
              <w:fldChar w:fldCharType="end"/>
            </w:r>
            <w:r>
              <w:rPr>
                <w:rFonts w:hint="eastAsia" w:ascii="宋体" w:hAnsi="宋体" w:cs="宋体"/>
                <w:color w:val="auto"/>
                <w:sz w:val="20"/>
                <w:szCs w:val="20"/>
              </w:rPr>
              <w:t>一般固废堆场、危废仓库的环境保护图形标志</w:t>
            </w:r>
          </w:p>
          <w:tbl>
            <w:tblPr>
              <w:tblStyle w:val="23"/>
              <w:tblW w:w="4998" w:type="pct"/>
              <w:jc w:val="center"/>
              <w:tblLayout w:type="autofit"/>
              <w:tblCellMar>
                <w:top w:w="0" w:type="dxa"/>
                <w:left w:w="108" w:type="dxa"/>
                <w:bottom w:w="0" w:type="dxa"/>
                <w:right w:w="108" w:type="dxa"/>
              </w:tblCellMar>
            </w:tblPr>
            <w:tblGrid>
              <w:gridCol w:w="1271"/>
              <w:gridCol w:w="1270"/>
              <w:gridCol w:w="1277"/>
              <w:gridCol w:w="1284"/>
              <w:gridCol w:w="1277"/>
              <w:gridCol w:w="1400"/>
            </w:tblGrid>
            <w:tr w14:paraId="59822FA4">
              <w:tblPrEx>
                <w:tblCellMar>
                  <w:top w:w="0" w:type="dxa"/>
                  <w:left w:w="108" w:type="dxa"/>
                  <w:bottom w:w="0" w:type="dxa"/>
                  <w:right w:w="108" w:type="dxa"/>
                </w:tblCellMar>
              </w:tblPrEx>
              <w:trPr>
                <w:trHeight w:val="447" w:hRule="atLeast"/>
                <w:jc w:val="center"/>
              </w:trPr>
              <w:tc>
                <w:tcPr>
                  <w:tcW w:w="8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0ECA41">
                  <w:pPr>
                    <w:widowControl/>
                    <w:spacing w:line="240" w:lineRule="auto"/>
                    <w:jc w:val="center"/>
                    <w:textAlignment w:val="center"/>
                    <w:rPr>
                      <w:rFonts w:ascii="宋体" w:hAnsi="宋体" w:cs="宋体"/>
                      <w:color w:val="auto"/>
                      <w:sz w:val="21"/>
                      <w:szCs w:val="21"/>
                    </w:rPr>
                  </w:pPr>
                  <w:r>
                    <w:rPr>
                      <w:rFonts w:ascii="宋体" w:hAnsi="宋体" w:cs="宋体"/>
                      <w:color w:val="auto"/>
                      <w:sz w:val="21"/>
                      <w:szCs w:val="21"/>
                    </w:rPr>
                    <w:t>排放口名称</w:t>
                  </w:r>
                </w:p>
              </w:tc>
              <w:tc>
                <w:tcPr>
                  <w:tcW w:w="8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3771E6">
                  <w:pPr>
                    <w:widowControl/>
                    <w:spacing w:line="240" w:lineRule="auto"/>
                    <w:jc w:val="center"/>
                    <w:textAlignment w:val="center"/>
                    <w:rPr>
                      <w:rFonts w:ascii="宋体" w:hAnsi="宋体" w:cs="宋体"/>
                      <w:color w:val="auto"/>
                      <w:sz w:val="21"/>
                      <w:szCs w:val="21"/>
                    </w:rPr>
                  </w:pPr>
                  <w:r>
                    <w:rPr>
                      <w:rFonts w:ascii="宋体" w:hAnsi="宋体" w:cs="宋体"/>
                      <w:color w:val="auto"/>
                      <w:sz w:val="21"/>
                      <w:szCs w:val="21"/>
                    </w:rPr>
                    <w:t>图形标志</w:t>
                  </w:r>
                </w:p>
              </w:tc>
              <w:tc>
                <w:tcPr>
                  <w:tcW w:w="8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95E55D">
                  <w:pPr>
                    <w:widowControl/>
                    <w:spacing w:line="240" w:lineRule="auto"/>
                    <w:jc w:val="center"/>
                    <w:textAlignment w:val="center"/>
                    <w:rPr>
                      <w:rFonts w:ascii="宋体" w:hAnsi="宋体" w:cs="宋体"/>
                      <w:color w:val="auto"/>
                      <w:sz w:val="21"/>
                      <w:szCs w:val="21"/>
                    </w:rPr>
                  </w:pPr>
                  <w:r>
                    <w:rPr>
                      <w:rFonts w:ascii="宋体" w:hAnsi="宋体" w:cs="宋体"/>
                      <w:color w:val="auto"/>
                      <w:sz w:val="21"/>
                      <w:szCs w:val="21"/>
                    </w:rPr>
                    <w:t>形状</w:t>
                  </w:r>
                </w:p>
              </w:tc>
              <w:tc>
                <w:tcPr>
                  <w:tcW w:w="8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31417F">
                  <w:pPr>
                    <w:widowControl/>
                    <w:spacing w:line="240" w:lineRule="auto"/>
                    <w:jc w:val="center"/>
                    <w:textAlignment w:val="center"/>
                    <w:rPr>
                      <w:rFonts w:ascii="宋体" w:hAnsi="宋体" w:cs="宋体"/>
                      <w:color w:val="auto"/>
                      <w:sz w:val="21"/>
                      <w:szCs w:val="21"/>
                    </w:rPr>
                  </w:pPr>
                  <w:r>
                    <w:rPr>
                      <w:rFonts w:ascii="宋体" w:hAnsi="宋体" w:cs="宋体"/>
                      <w:color w:val="auto"/>
                      <w:sz w:val="21"/>
                      <w:szCs w:val="21"/>
                    </w:rPr>
                    <w:t>背景颜色</w:t>
                  </w:r>
                </w:p>
              </w:tc>
              <w:tc>
                <w:tcPr>
                  <w:tcW w:w="8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78A2BE">
                  <w:pPr>
                    <w:widowControl/>
                    <w:spacing w:line="240" w:lineRule="auto"/>
                    <w:jc w:val="center"/>
                    <w:textAlignment w:val="center"/>
                    <w:rPr>
                      <w:rFonts w:ascii="宋体" w:hAnsi="宋体" w:cs="宋体"/>
                      <w:color w:val="auto"/>
                      <w:sz w:val="21"/>
                      <w:szCs w:val="21"/>
                    </w:rPr>
                  </w:pPr>
                  <w:r>
                    <w:rPr>
                      <w:rFonts w:ascii="宋体" w:hAnsi="宋体" w:cs="宋体"/>
                      <w:color w:val="auto"/>
                      <w:sz w:val="21"/>
                      <w:szCs w:val="21"/>
                    </w:rPr>
                    <w:t>图形颜色</w:t>
                  </w:r>
                </w:p>
              </w:tc>
              <w:tc>
                <w:tcPr>
                  <w:tcW w:w="8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13488B">
                  <w:pPr>
                    <w:widowControl/>
                    <w:spacing w:line="240" w:lineRule="auto"/>
                    <w:jc w:val="center"/>
                    <w:textAlignment w:val="center"/>
                    <w:rPr>
                      <w:rFonts w:ascii="宋体" w:hAnsi="宋体" w:cs="宋体"/>
                      <w:color w:val="auto"/>
                      <w:sz w:val="21"/>
                      <w:szCs w:val="21"/>
                    </w:rPr>
                  </w:pPr>
                  <w:r>
                    <w:rPr>
                      <w:rFonts w:ascii="宋体" w:hAnsi="宋体" w:cs="宋体"/>
                      <w:color w:val="auto"/>
                      <w:sz w:val="21"/>
                      <w:szCs w:val="21"/>
                    </w:rPr>
                    <w:t>提示图形符号</w:t>
                  </w:r>
                </w:p>
              </w:tc>
            </w:tr>
            <w:tr w14:paraId="22F850F9">
              <w:tblPrEx>
                <w:tblCellMar>
                  <w:top w:w="0" w:type="dxa"/>
                  <w:left w:w="108" w:type="dxa"/>
                  <w:bottom w:w="0" w:type="dxa"/>
                  <w:right w:w="108" w:type="dxa"/>
                </w:tblCellMar>
              </w:tblPrEx>
              <w:trPr>
                <w:trHeight w:val="1335" w:hRule="atLeast"/>
                <w:jc w:val="center"/>
              </w:trPr>
              <w:tc>
                <w:tcPr>
                  <w:tcW w:w="8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C21BEC">
                  <w:pPr>
                    <w:widowControl/>
                    <w:spacing w:line="240" w:lineRule="auto"/>
                    <w:jc w:val="center"/>
                    <w:textAlignment w:val="center"/>
                    <w:rPr>
                      <w:rFonts w:ascii="宋体" w:hAnsi="宋体" w:cs="宋体"/>
                      <w:color w:val="auto"/>
                      <w:sz w:val="21"/>
                      <w:szCs w:val="21"/>
                    </w:rPr>
                  </w:pPr>
                  <w:r>
                    <w:rPr>
                      <w:rFonts w:ascii="宋体" w:hAnsi="宋体" w:cs="宋体"/>
                      <w:color w:val="auto"/>
                      <w:sz w:val="21"/>
                      <w:szCs w:val="21"/>
                    </w:rPr>
                    <w:t>一般固废暂</w:t>
                  </w:r>
                  <w:r>
                    <w:rPr>
                      <w:rFonts w:ascii="宋体" w:hAnsi="宋体" w:cs="宋体"/>
                      <w:color w:val="auto"/>
                      <w:sz w:val="21"/>
                      <w:szCs w:val="21"/>
                    </w:rPr>
                    <w:br w:type="textWrapping"/>
                  </w:r>
                  <w:r>
                    <w:rPr>
                      <w:rFonts w:ascii="宋体" w:hAnsi="宋体" w:cs="宋体"/>
                      <w:color w:val="auto"/>
                      <w:sz w:val="21"/>
                      <w:szCs w:val="21"/>
                    </w:rPr>
                    <w:t>存场所</w:t>
                  </w:r>
                </w:p>
              </w:tc>
              <w:tc>
                <w:tcPr>
                  <w:tcW w:w="8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8B4DC4">
                  <w:pPr>
                    <w:widowControl/>
                    <w:spacing w:line="240" w:lineRule="auto"/>
                    <w:jc w:val="center"/>
                    <w:textAlignment w:val="center"/>
                    <w:rPr>
                      <w:rFonts w:ascii="宋体" w:hAnsi="宋体" w:cs="宋体"/>
                      <w:color w:val="auto"/>
                      <w:sz w:val="21"/>
                      <w:szCs w:val="21"/>
                    </w:rPr>
                  </w:pPr>
                  <w:r>
                    <w:rPr>
                      <w:rFonts w:ascii="宋体" w:hAnsi="宋体" w:cs="宋体"/>
                      <w:color w:val="auto"/>
                      <w:sz w:val="21"/>
                      <w:szCs w:val="21"/>
                    </w:rPr>
                    <w:t>提示标志</w:t>
                  </w:r>
                </w:p>
              </w:tc>
              <w:tc>
                <w:tcPr>
                  <w:tcW w:w="8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A3143A">
                  <w:pPr>
                    <w:widowControl/>
                    <w:spacing w:line="240" w:lineRule="auto"/>
                    <w:jc w:val="center"/>
                    <w:textAlignment w:val="center"/>
                    <w:rPr>
                      <w:rFonts w:ascii="宋体" w:hAnsi="宋体" w:cs="宋体"/>
                      <w:color w:val="auto"/>
                      <w:sz w:val="21"/>
                      <w:szCs w:val="21"/>
                    </w:rPr>
                  </w:pPr>
                  <w:r>
                    <w:rPr>
                      <w:rFonts w:ascii="宋体" w:hAnsi="宋体" w:cs="宋体"/>
                      <w:color w:val="auto"/>
                      <w:sz w:val="21"/>
                      <w:szCs w:val="21"/>
                    </w:rPr>
                    <w:t>正方形边框</w:t>
                  </w:r>
                </w:p>
              </w:tc>
              <w:tc>
                <w:tcPr>
                  <w:tcW w:w="8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DF88B9">
                  <w:pPr>
                    <w:widowControl/>
                    <w:spacing w:line="240" w:lineRule="auto"/>
                    <w:jc w:val="center"/>
                    <w:textAlignment w:val="center"/>
                    <w:rPr>
                      <w:rFonts w:ascii="宋体" w:hAnsi="宋体" w:cs="宋体"/>
                      <w:color w:val="auto"/>
                      <w:sz w:val="21"/>
                      <w:szCs w:val="21"/>
                    </w:rPr>
                  </w:pPr>
                  <w:r>
                    <w:rPr>
                      <w:rFonts w:ascii="宋体" w:hAnsi="宋体" w:cs="宋体"/>
                      <w:color w:val="auto"/>
                      <w:sz w:val="21"/>
                      <w:szCs w:val="21"/>
                    </w:rPr>
                    <w:t>绿色</w:t>
                  </w:r>
                </w:p>
              </w:tc>
              <w:tc>
                <w:tcPr>
                  <w:tcW w:w="8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8E9982">
                  <w:pPr>
                    <w:widowControl/>
                    <w:spacing w:line="240" w:lineRule="auto"/>
                    <w:jc w:val="center"/>
                    <w:textAlignment w:val="center"/>
                    <w:rPr>
                      <w:rFonts w:ascii="宋体" w:hAnsi="宋体" w:cs="宋体"/>
                      <w:color w:val="auto"/>
                      <w:sz w:val="21"/>
                      <w:szCs w:val="21"/>
                    </w:rPr>
                  </w:pPr>
                  <w:r>
                    <w:rPr>
                      <w:rFonts w:ascii="宋体" w:hAnsi="宋体" w:cs="宋体"/>
                      <w:color w:val="auto"/>
                      <w:sz w:val="21"/>
                      <w:szCs w:val="21"/>
                    </w:rPr>
                    <w:t>白色</w:t>
                  </w:r>
                </w:p>
              </w:tc>
              <w:tc>
                <w:tcPr>
                  <w:tcW w:w="8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42D0D8">
                  <w:pPr>
                    <w:widowControl/>
                    <w:spacing w:line="240" w:lineRule="auto"/>
                    <w:jc w:val="center"/>
                    <w:textAlignment w:val="top"/>
                    <w:rPr>
                      <w:rFonts w:ascii="Arial" w:hAnsi="Arial" w:cs="Arial"/>
                      <w:color w:val="auto"/>
                      <w:sz w:val="21"/>
                      <w:szCs w:val="21"/>
                    </w:rPr>
                  </w:pPr>
                  <w:r>
                    <w:rPr>
                      <w:rFonts w:ascii="Arial" w:hAnsi="Arial" w:cs="Arial"/>
                      <w:color w:val="auto"/>
                      <w:sz w:val="21"/>
                      <w:szCs w:val="21"/>
                      <w:bdr w:val="single" w:color="000000" w:sz="4" w:space="0"/>
                    </w:rPr>
                    <w:drawing>
                      <wp:inline distT="0" distB="0" distL="114300" distR="114300">
                        <wp:extent cx="713740" cy="732790"/>
                        <wp:effectExtent l="0" t="0" r="10160" b="10160"/>
                        <wp:docPr id="47" name="image1"/>
                        <wp:cNvGraphicFramePr/>
                        <a:graphic xmlns:a="http://schemas.openxmlformats.org/drawingml/2006/main">
                          <a:graphicData uri="http://schemas.openxmlformats.org/drawingml/2006/picture">
                            <pic:pic xmlns:pic="http://schemas.openxmlformats.org/drawingml/2006/picture">
                              <pic:nvPicPr>
                                <pic:cNvPr id="47" name="image1"/>
                                <pic:cNvPicPr/>
                              </pic:nvPicPr>
                              <pic:blipFill>
                                <a:blip r:embed="rId39"/>
                                <a:stretch>
                                  <a:fillRect/>
                                </a:stretch>
                              </pic:blipFill>
                              <pic:spPr>
                                <a:xfrm>
                                  <a:off x="0" y="0"/>
                                  <a:ext cx="713740" cy="732790"/>
                                </a:xfrm>
                                <a:prstGeom prst="rect">
                                  <a:avLst/>
                                </a:prstGeom>
                                <a:noFill/>
                                <a:ln>
                                  <a:noFill/>
                                </a:ln>
                              </pic:spPr>
                            </pic:pic>
                          </a:graphicData>
                        </a:graphic>
                      </wp:inline>
                    </w:drawing>
                  </w:r>
                </w:p>
              </w:tc>
            </w:tr>
          </w:tbl>
          <w:p w14:paraId="6BA28DB1">
            <w:pPr>
              <w:ind w:firstLine="480" w:firstLineChars="200"/>
              <w:rPr>
                <w:color w:val="auto"/>
              </w:rPr>
            </w:pPr>
            <w:r>
              <w:rPr>
                <w:color w:val="auto"/>
              </w:rPr>
              <w:t>建设项目强化废物产生、收集、贮运各环节的管理，杜绝固废在厂区内的散失、渗漏。做好固体废物在厂区内的收集和储存相关防护工作，收集后进行有效处置。建立完善的规章制度，以降低固体废物散落对周围环境的影响。</w:t>
            </w:r>
          </w:p>
          <w:p w14:paraId="57582BE1">
            <w:pPr>
              <w:ind w:firstLine="480" w:firstLineChars="200"/>
              <w:rPr>
                <w:color w:val="auto"/>
                <w:kern w:val="2"/>
              </w:rPr>
            </w:pPr>
            <w:r>
              <w:rPr>
                <w:color w:val="auto"/>
              </w:rPr>
              <w:t>综上所述，经采取上述措施后，本项目固废均可得到有效处置，处置率100%，符合环保要求，不会对周围环境造成不良影响。</w:t>
            </w:r>
          </w:p>
          <w:p w14:paraId="66E3DFBC">
            <w:pPr>
              <w:rPr>
                <w:b/>
                <w:bCs/>
                <w:color w:val="auto"/>
              </w:rPr>
            </w:pPr>
            <w:r>
              <w:rPr>
                <w:rFonts w:hint="eastAsia"/>
                <w:b/>
                <w:bCs/>
                <w:color w:val="auto"/>
              </w:rPr>
              <w:t>4.6生态环境影响</w:t>
            </w:r>
          </w:p>
          <w:p w14:paraId="7C02BCBB">
            <w:pPr>
              <w:ind w:firstLine="480" w:firstLineChars="200"/>
              <w:rPr>
                <w:color w:val="auto"/>
              </w:rPr>
            </w:pPr>
            <w:r>
              <w:rPr>
                <w:rFonts w:hint="eastAsia"/>
                <w:color w:val="auto"/>
              </w:rPr>
              <w:t>根据生态环境部办公厅</w:t>
            </w:r>
            <w:r>
              <w:rPr>
                <w:color w:val="auto"/>
              </w:rPr>
              <w:t>2020</w:t>
            </w:r>
            <w:r>
              <w:rPr>
                <w:rFonts w:hint="eastAsia"/>
                <w:color w:val="auto"/>
              </w:rPr>
              <w:t>年</w:t>
            </w:r>
            <w:r>
              <w:rPr>
                <w:color w:val="auto"/>
              </w:rPr>
              <w:t>12</w:t>
            </w:r>
            <w:r>
              <w:rPr>
                <w:rFonts w:hint="eastAsia"/>
                <w:color w:val="auto"/>
              </w:rPr>
              <w:t>月</w:t>
            </w:r>
            <w:r>
              <w:rPr>
                <w:color w:val="auto"/>
              </w:rPr>
              <w:t>24</w:t>
            </w:r>
            <w:r>
              <w:rPr>
                <w:rFonts w:hint="eastAsia"/>
                <w:color w:val="auto"/>
              </w:rPr>
              <w:t>日印发的《建设项目环境影响报告表编制技术指南（污染影响类）（试行）》中具体编制要求</w:t>
            </w:r>
            <w:r>
              <w:rPr>
                <w:color w:val="auto"/>
              </w:rPr>
              <w:t>“</w:t>
            </w:r>
            <w:r>
              <w:rPr>
                <w:rFonts w:hint="eastAsia"/>
                <w:color w:val="auto"/>
              </w:rPr>
              <w:t>产业园区外建设项目新增用地且用地范围内有生态环境敏感的，应明确环保措施</w:t>
            </w:r>
            <w:r>
              <w:rPr>
                <w:color w:val="auto"/>
              </w:rPr>
              <w:t>”</w:t>
            </w:r>
            <w:r>
              <w:rPr>
                <w:rFonts w:hint="eastAsia"/>
                <w:color w:val="auto"/>
              </w:rPr>
              <w:t>，本项目位于田家庵安成经济开发区（北区）标准化厂房内，不属于新增用地且用地范围内无生态环境敏感保护目标，不做生态环境影响分析。</w:t>
            </w:r>
          </w:p>
          <w:p w14:paraId="17A02EE2">
            <w:pPr>
              <w:rPr>
                <w:b/>
                <w:bCs/>
                <w:color w:val="auto"/>
              </w:rPr>
            </w:pPr>
            <w:r>
              <w:rPr>
                <w:b/>
                <w:bCs/>
                <w:color w:val="auto"/>
              </w:rPr>
              <w:t>4.</w:t>
            </w:r>
            <w:r>
              <w:rPr>
                <w:rFonts w:hint="eastAsia"/>
                <w:b/>
                <w:bCs/>
                <w:color w:val="auto"/>
              </w:rPr>
              <w:t>7</w:t>
            </w:r>
            <w:r>
              <w:rPr>
                <w:b/>
                <w:bCs/>
                <w:color w:val="auto"/>
              </w:rPr>
              <w:t>土壤、地下水</w:t>
            </w:r>
            <w:r>
              <w:rPr>
                <w:rFonts w:hint="eastAsia"/>
                <w:b/>
                <w:bCs/>
                <w:color w:val="auto"/>
              </w:rPr>
              <w:t>环境影响分析</w:t>
            </w:r>
          </w:p>
          <w:p w14:paraId="73681230">
            <w:pPr>
              <w:spacing w:line="360" w:lineRule="auto"/>
              <w:ind w:firstLine="480" w:firstLineChars="200"/>
              <w:rPr>
                <w:snapToGrid w:val="0"/>
                <w:color w:val="auto"/>
              </w:rPr>
            </w:pPr>
            <w:r>
              <w:rPr>
                <w:rFonts w:hint="eastAsia"/>
                <w:color w:val="auto"/>
              </w:rPr>
              <w:t>本项目租赁田家庵安成经济开发区（北区）标准化厂房6号楼西一、二层进行生产建设</w:t>
            </w:r>
            <w:r>
              <w:rPr>
                <w:color w:val="auto"/>
              </w:rPr>
              <w:t>，</w:t>
            </w:r>
            <w:r>
              <w:rPr>
                <w:rFonts w:hint="eastAsia"/>
                <w:color w:val="auto"/>
              </w:rPr>
              <w:t>生产区内地面均已做</w:t>
            </w:r>
            <w:r>
              <w:rPr>
                <w:color w:val="auto"/>
              </w:rPr>
              <w:t>硬化处理，正常工况下，不会污染土壤、地下水。</w:t>
            </w:r>
          </w:p>
          <w:p w14:paraId="3D49FCD6">
            <w:pPr>
              <w:spacing w:line="360" w:lineRule="auto"/>
              <w:ind w:firstLine="480" w:firstLineChars="200"/>
              <w:rPr>
                <w:snapToGrid w:val="0"/>
                <w:color w:val="auto"/>
              </w:rPr>
            </w:pPr>
            <w:r>
              <w:rPr>
                <w:rFonts w:hint="eastAsia"/>
                <w:snapToGrid w:val="0"/>
                <w:color w:val="auto"/>
              </w:rPr>
              <w:t>为防止本项目污染地下水、土壤，在项目设计和施工过程中，应对厂区进行专项防渗设计和分区防渗处理。根据《环境影响评价技术导则 地下水环境》（HJ 610—2016），污染防治区可分为</w:t>
            </w:r>
            <w:r>
              <w:rPr>
                <w:rFonts w:hint="eastAsia"/>
                <w:snapToGrid w:val="0"/>
                <w:color w:val="auto"/>
                <w:lang w:eastAsia="zh-CN"/>
              </w:rPr>
              <w:t>重点防渗区、</w:t>
            </w:r>
            <w:r>
              <w:rPr>
                <w:rFonts w:hint="eastAsia"/>
                <w:snapToGrid w:val="0"/>
                <w:color w:val="auto"/>
              </w:rPr>
              <w:t>一般防渗区和简单防渗区。</w:t>
            </w:r>
          </w:p>
          <w:p w14:paraId="1C71930C">
            <w:pPr>
              <w:ind w:firstLine="480" w:firstLineChars="200"/>
              <w:rPr>
                <w:snapToGrid w:val="0"/>
                <w:color w:val="auto"/>
              </w:rPr>
            </w:pPr>
            <w:r>
              <w:rPr>
                <w:rFonts w:hint="eastAsia"/>
                <w:snapToGrid w:val="0"/>
                <w:color w:val="auto"/>
              </w:rPr>
              <w:t>参照（HJ 610—2016）要求，并根据厂区可能泄漏至地面区域污染物的性质以及各设施及建构筑物污染物难易控制程度进行分级，本项目分区防渗情况如下。</w:t>
            </w:r>
          </w:p>
          <w:p w14:paraId="3841D0C7">
            <w:pPr>
              <w:ind w:firstLine="480" w:firstLineChars="200"/>
              <w:rPr>
                <w:color w:val="auto"/>
              </w:rPr>
            </w:pPr>
            <w:r>
              <w:rPr>
                <w:color w:val="auto"/>
              </w:rPr>
              <w:t>重点防渗区</w:t>
            </w:r>
            <w:r>
              <w:rPr>
                <w:rFonts w:hint="eastAsia"/>
                <w:color w:val="auto"/>
              </w:rPr>
              <w:t>：</w:t>
            </w:r>
            <w:r>
              <w:rPr>
                <w:color w:val="auto"/>
              </w:rPr>
              <w:t>重点污染防治区主要包括</w:t>
            </w:r>
            <w:r>
              <w:rPr>
                <w:rFonts w:hint="eastAsia"/>
                <w:color w:val="auto"/>
              </w:rPr>
              <w:t>危废暂存间</w:t>
            </w:r>
            <w:r>
              <w:rPr>
                <w:color w:val="auto"/>
              </w:rPr>
              <w:t>，防渗措施如下：</w:t>
            </w:r>
            <w:r>
              <w:rPr>
                <w:rFonts w:hint="eastAsia"/>
                <w:color w:val="auto"/>
              </w:rPr>
              <w:t>污水处理设施、实验室：采</w:t>
            </w:r>
            <w:r>
              <w:rPr>
                <w:color w:val="auto"/>
              </w:rPr>
              <w:t>用10</w:t>
            </w:r>
            <w:r>
              <w:rPr>
                <w:rFonts w:hint="eastAsia"/>
                <w:color w:val="auto"/>
                <w:vertAlign w:val="superscript"/>
              </w:rPr>
              <w:t>-</w:t>
            </w:r>
            <w:r>
              <w:rPr>
                <w:color w:val="auto"/>
                <w:vertAlign w:val="superscript"/>
              </w:rPr>
              <w:t>15</w:t>
            </w:r>
            <w:r>
              <w:rPr>
                <w:color w:val="auto"/>
              </w:rPr>
              <w:t>cm水泥硬化，表层涂</w:t>
            </w:r>
            <w:r>
              <w:rPr>
                <w:rFonts w:hint="eastAsia"/>
                <w:color w:val="auto"/>
              </w:rPr>
              <w:t>环氧树脂</w:t>
            </w:r>
            <w:r>
              <w:rPr>
                <w:color w:val="auto"/>
              </w:rPr>
              <w:t>，以达到防腐、防渗漏目的，等效黏土防渗层Mb≥6.0m，渗透系数≤1.0×10</w:t>
            </w:r>
            <w:r>
              <w:rPr>
                <w:rFonts w:hint="eastAsia"/>
                <w:color w:val="auto"/>
                <w:vertAlign w:val="superscript"/>
              </w:rPr>
              <w:t>-7</w:t>
            </w:r>
            <w:r>
              <w:rPr>
                <w:color w:val="auto"/>
              </w:rPr>
              <w:t>cm/s。</w:t>
            </w:r>
          </w:p>
          <w:p w14:paraId="18623B31">
            <w:pPr>
              <w:spacing w:line="360" w:lineRule="auto"/>
              <w:ind w:firstLine="480" w:firstLineChars="200"/>
              <w:rPr>
                <w:color w:val="auto"/>
                <w:szCs w:val="20"/>
              </w:rPr>
            </w:pPr>
            <w:r>
              <w:rPr>
                <w:color w:val="auto"/>
                <w:szCs w:val="20"/>
              </w:rPr>
              <w:t>一般防渗区：一般防渗区是指可能会对地下水和土壤造成污染，但危害性或风险程度相对较低的区域，主要为生产厂房其他区域。一般防渗区的防渗技术要求：等效黏土防渗层Mb≥1.5m，K</w:t>
            </w:r>
            <w:r>
              <w:rPr>
                <w:color w:val="auto"/>
              </w:rPr>
              <w:t>≤</w:t>
            </w:r>
            <w:r>
              <w:rPr>
                <w:rFonts w:eastAsiaTheme="minorEastAsia"/>
                <w:color w:val="auto"/>
                <w:kern w:val="2"/>
              </w:rPr>
              <w:t>10</w:t>
            </w:r>
            <w:r>
              <w:rPr>
                <w:rFonts w:hint="eastAsia" w:eastAsiaTheme="minorEastAsia"/>
                <w:color w:val="auto"/>
                <w:vertAlign w:val="superscript"/>
              </w:rPr>
              <w:t>-</w:t>
            </w:r>
            <w:r>
              <w:rPr>
                <w:rFonts w:eastAsiaTheme="minorEastAsia"/>
                <w:color w:val="auto"/>
                <w:kern w:val="2"/>
                <w:vertAlign w:val="superscript"/>
              </w:rPr>
              <w:t>7</w:t>
            </w:r>
            <w:r>
              <w:rPr>
                <w:color w:val="auto"/>
              </w:rPr>
              <w:t>cm/s。</w:t>
            </w:r>
          </w:p>
          <w:p w14:paraId="6E6EEDA3">
            <w:pPr>
              <w:spacing w:line="360" w:lineRule="auto"/>
              <w:ind w:firstLine="480" w:firstLineChars="200"/>
              <w:rPr>
                <w:color w:val="auto"/>
                <w:szCs w:val="20"/>
              </w:rPr>
            </w:pPr>
            <w:r>
              <w:rPr>
                <w:rFonts w:hint="eastAsia"/>
                <w:color w:val="auto"/>
                <w:szCs w:val="20"/>
              </w:rPr>
              <w:t>简单防渗：主要办公区，</w:t>
            </w:r>
            <w:r>
              <w:rPr>
                <w:color w:val="auto"/>
                <w:szCs w:val="20"/>
              </w:rPr>
              <w:t>一般防渗区的防渗技术要求：一般地面硬化。</w:t>
            </w:r>
          </w:p>
          <w:p w14:paraId="22290BA2">
            <w:pPr>
              <w:ind w:firstLine="480" w:firstLineChars="200"/>
              <w:rPr>
                <w:color w:val="auto"/>
              </w:rPr>
            </w:pPr>
            <w:r>
              <w:rPr>
                <w:color w:val="auto"/>
              </w:rPr>
              <w:t>针对不同区域采取相应的防渗措施，具体见下表。</w:t>
            </w:r>
          </w:p>
          <w:p w14:paraId="4047854B">
            <w:pPr>
              <w:pStyle w:val="6"/>
              <w:rPr>
                <w:color w:val="auto"/>
              </w:rPr>
            </w:pPr>
            <w:r>
              <w:rPr>
                <w:color w:val="auto"/>
              </w:rPr>
              <w:t xml:space="preserve">表 </w:t>
            </w:r>
            <w:r>
              <w:rPr>
                <w:rFonts w:hint="eastAsia"/>
                <w:color w:val="auto"/>
              </w:rPr>
              <w:t>4-</w:t>
            </w:r>
            <w:r>
              <w:rPr>
                <w:color w:val="auto"/>
              </w:rPr>
              <w:fldChar w:fldCharType="begin"/>
            </w:r>
            <w:r>
              <w:rPr>
                <w:color w:val="auto"/>
              </w:rPr>
              <w:instrText xml:space="preserve"> SEQ 表 \* ARABIC \s 1 </w:instrText>
            </w:r>
            <w:r>
              <w:rPr>
                <w:color w:val="auto"/>
              </w:rPr>
              <w:fldChar w:fldCharType="separate"/>
            </w:r>
            <w:r>
              <w:rPr>
                <w:color w:val="auto"/>
              </w:rPr>
              <w:t>11</w:t>
            </w:r>
            <w:r>
              <w:rPr>
                <w:color w:val="auto"/>
              </w:rPr>
              <w:fldChar w:fldCharType="end"/>
            </w:r>
            <w:r>
              <w:rPr>
                <w:color w:val="auto"/>
              </w:rPr>
              <w:t>本项目分区防渗一览表</w:t>
            </w:r>
          </w:p>
          <w:tbl>
            <w:tblPr>
              <w:tblStyle w:val="24"/>
              <w:tblW w:w="4999"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1272"/>
              <w:gridCol w:w="1167"/>
              <w:gridCol w:w="3049"/>
              <w:gridCol w:w="2292"/>
            </w:tblGrid>
            <w:tr w14:paraId="493B446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817" w:type="pct"/>
                  <w:vAlign w:val="center"/>
                </w:tcPr>
                <w:p w14:paraId="14992DFA">
                  <w:pPr>
                    <w:pStyle w:val="30"/>
                    <w:framePr w:hSpace="0" w:wrap="auto" w:vAnchor="margin" w:hAnchor="text" w:xAlign="left" w:yAlign="inline"/>
                    <w:rPr>
                      <w:b/>
                      <w:bCs/>
                      <w:color w:val="auto"/>
                    </w:rPr>
                  </w:pPr>
                  <w:r>
                    <w:rPr>
                      <w:b/>
                      <w:bCs/>
                      <w:color w:val="auto"/>
                    </w:rPr>
                    <w:t>区域</w:t>
                  </w:r>
                </w:p>
              </w:tc>
              <w:tc>
                <w:tcPr>
                  <w:tcW w:w="750" w:type="pct"/>
                  <w:vAlign w:val="center"/>
                </w:tcPr>
                <w:p w14:paraId="1B50ACA4">
                  <w:pPr>
                    <w:pStyle w:val="30"/>
                    <w:framePr w:hSpace="0" w:wrap="auto" w:vAnchor="margin" w:hAnchor="text" w:xAlign="left" w:yAlign="inline"/>
                    <w:rPr>
                      <w:b/>
                      <w:bCs/>
                      <w:color w:val="auto"/>
                    </w:rPr>
                  </w:pPr>
                  <w:r>
                    <w:rPr>
                      <w:b/>
                      <w:bCs/>
                      <w:color w:val="auto"/>
                    </w:rPr>
                    <w:t>防渗等级</w:t>
                  </w:r>
                </w:p>
              </w:tc>
              <w:tc>
                <w:tcPr>
                  <w:tcW w:w="1959" w:type="pct"/>
                  <w:vAlign w:val="center"/>
                </w:tcPr>
                <w:p w14:paraId="7A28E9A3">
                  <w:pPr>
                    <w:pStyle w:val="30"/>
                    <w:framePr w:hSpace="0" w:wrap="auto" w:vAnchor="margin" w:hAnchor="text" w:xAlign="left" w:yAlign="inline"/>
                    <w:rPr>
                      <w:b/>
                      <w:bCs/>
                      <w:color w:val="auto"/>
                    </w:rPr>
                  </w:pPr>
                  <w:r>
                    <w:rPr>
                      <w:b/>
                      <w:bCs/>
                      <w:color w:val="auto"/>
                    </w:rPr>
                    <w:t>防渗技术要求</w:t>
                  </w:r>
                </w:p>
              </w:tc>
              <w:tc>
                <w:tcPr>
                  <w:tcW w:w="1472" w:type="pct"/>
                  <w:vAlign w:val="center"/>
                </w:tcPr>
                <w:p w14:paraId="31A87D67">
                  <w:pPr>
                    <w:pStyle w:val="30"/>
                    <w:framePr w:hSpace="0" w:wrap="auto" w:vAnchor="margin" w:hAnchor="text" w:xAlign="left" w:yAlign="inline"/>
                    <w:rPr>
                      <w:b/>
                      <w:bCs/>
                      <w:color w:val="auto"/>
                    </w:rPr>
                  </w:pPr>
                  <w:r>
                    <w:rPr>
                      <w:rFonts w:hint="eastAsia"/>
                      <w:b/>
                      <w:bCs/>
                      <w:color w:val="auto"/>
                    </w:rPr>
                    <w:t>本项目拟采取的</w:t>
                  </w:r>
                </w:p>
                <w:p w14:paraId="2D4494C0">
                  <w:pPr>
                    <w:pStyle w:val="30"/>
                    <w:framePr w:hSpace="0" w:wrap="auto" w:vAnchor="margin" w:hAnchor="text" w:xAlign="left" w:yAlign="inline"/>
                    <w:rPr>
                      <w:b/>
                      <w:bCs/>
                      <w:color w:val="auto"/>
                    </w:rPr>
                  </w:pPr>
                  <w:r>
                    <w:rPr>
                      <w:rFonts w:hint="eastAsia"/>
                      <w:b/>
                      <w:bCs/>
                      <w:color w:val="auto"/>
                    </w:rPr>
                    <w:t>防渗措施</w:t>
                  </w:r>
                </w:p>
              </w:tc>
            </w:tr>
            <w:tr w14:paraId="6DD9BF3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817" w:type="pct"/>
                  <w:vAlign w:val="center"/>
                </w:tcPr>
                <w:p w14:paraId="65ABD189">
                  <w:pPr>
                    <w:pStyle w:val="30"/>
                    <w:framePr w:hSpace="0" w:wrap="auto" w:vAnchor="margin" w:hAnchor="text" w:xAlign="left" w:yAlign="inline"/>
                    <w:rPr>
                      <w:color w:val="auto"/>
                    </w:rPr>
                  </w:pPr>
                  <w:r>
                    <w:rPr>
                      <w:rFonts w:hint="eastAsia"/>
                      <w:color w:val="auto"/>
                    </w:rPr>
                    <w:t>危废暂存间</w:t>
                  </w:r>
                </w:p>
              </w:tc>
              <w:tc>
                <w:tcPr>
                  <w:tcW w:w="750" w:type="pct"/>
                  <w:vAlign w:val="center"/>
                </w:tcPr>
                <w:p w14:paraId="2B9A442B">
                  <w:pPr>
                    <w:pStyle w:val="30"/>
                    <w:framePr w:hSpace="0" w:wrap="auto" w:vAnchor="margin" w:hAnchor="text" w:xAlign="left" w:yAlign="inline"/>
                    <w:rPr>
                      <w:color w:val="auto"/>
                    </w:rPr>
                  </w:pPr>
                  <w:r>
                    <w:rPr>
                      <w:rFonts w:hint="eastAsia"/>
                      <w:color w:val="auto"/>
                    </w:rPr>
                    <w:t>重点防渗区</w:t>
                  </w:r>
                </w:p>
              </w:tc>
              <w:tc>
                <w:tcPr>
                  <w:tcW w:w="1959" w:type="pct"/>
                  <w:vAlign w:val="center"/>
                </w:tcPr>
                <w:p w14:paraId="6CFA9CEB">
                  <w:pPr>
                    <w:pStyle w:val="30"/>
                    <w:framePr w:hSpace="0" w:wrap="auto" w:vAnchor="margin" w:hAnchor="text" w:xAlign="left" w:yAlign="inline"/>
                    <w:rPr>
                      <w:color w:val="auto"/>
                    </w:rPr>
                  </w:pPr>
                  <w:r>
                    <w:rPr>
                      <w:color w:val="auto"/>
                      <w:lang w:val="en-US"/>
                    </w:rPr>
                    <w:t>采用30cm厚普通粘土垫层，并加铺2</w:t>
                  </w:r>
                  <w:r>
                    <w:rPr>
                      <w:rFonts w:hint="eastAsia"/>
                      <w:color w:val="auto"/>
                      <w:lang w:val="en-US"/>
                    </w:rPr>
                    <w:t>mm</w:t>
                  </w:r>
                  <w:r>
                    <w:rPr>
                      <w:color w:val="auto"/>
                      <w:lang w:val="en-US"/>
                    </w:rPr>
                    <w:t>厚高密度聚乙烯，或至少2</w:t>
                  </w:r>
                  <w:r>
                    <w:rPr>
                      <w:rFonts w:hint="eastAsia"/>
                      <w:color w:val="auto"/>
                      <w:lang w:val="en-US"/>
                    </w:rPr>
                    <w:t>mm</w:t>
                  </w:r>
                  <w:r>
                    <w:rPr>
                      <w:color w:val="auto"/>
                      <w:lang w:val="en-US"/>
                    </w:rPr>
                    <w:t>厚的其它人工防渗材料，渗透系数≤10</w:t>
                  </w:r>
                  <w:r>
                    <w:rPr>
                      <w:color w:val="auto"/>
                      <w:vertAlign w:val="superscript"/>
                      <w:lang w:val="en-US"/>
                    </w:rPr>
                    <w:t>-1</w:t>
                  </w:r>
                  <w:r>
                    <w:rPr>
                      <w:rFonts w:hint="eastAsia"/>
                      <w:color w:val="auto"/>
                      <w:vertAlign w:val="superscript"/>
                      <w:lang w:val="en-US"/>
                    </w:rPr>
                    <w:t>0</w:t>
                  </w:r>
                  <w:r>
                    <w:rPr>
                      <w:rFonts w:hint="eastAsia"/>
                      <w:color w:val="auto"/>
                      <w:lang w:val="en-US"/>
                    </w:rPr>
                    <w:t>cm</w:t>
                  </w:r>
                  <w:r>
                    <w:rPr>
                      <w:color w:val="auto"/>
                      <w:lang w:val="en-US"/>
                    </w:rPr>
                    <w:t>/</w:t>
                  </w:r>
                  <w:r>
                    <w:rPr>
                      <w:rFonts w:hint="eastAsia"/>
                      <w:color w:val="auto"/>
                      <w:lang w:val="en-US"/>
                    </w:rPr>
                    <w:t>s</w:t>
                  </w:r>
                </w:p>
              </w:tc>
              <w:tc>
                <w:tcPr>
                  <w:tcW w:w="1472" w:type="pct"/>
                  <w:vAlign w:val="center"/>
                </w:tcPr>
                <w:p w14:paraId="6D7F88CB">
                  <w:pPr>
                    <w:pStyle w:val="30"/>
                    <w:framePr w:hSpace="0" w:wrap="auto" w:vAnchor="margin" w:hAnchor="text" w:xAlign="left" w:yAlign="inline"/>
                    <w:rPr>
                      <w:color w:val="auto"/>
                    </w:rPr>
                  </w:pPr>
                  <w:r>
                    <w:rPr>
                      <w:rFonts w:hint="eastAsia"/>
                      <w:color w:val="auto"/>
                    </w:rPr>
                    <w:t>满足重点防渗要求</w:t>
                  </w:r>
                </w:p>
              </w:tc>
            </w:tr>
            <w:tr w14:paraId="64824A9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817" w:type="pct"/>
                  <w:vAlign w:val="center"/>
                </w:tcPr>
                <w:p w14:paraId="5186CB81">
                  <w:pPr>
                    <w:pStyle w:val="30"/>
                    <w:framePr w:hSpace="0" w:wrap="auto" w:vAnchor="margin" w:hAnchor="text" w:xAlign="left" w:yAlign="inline"/>
                    <w:rPr>
                      <w:color w:val="auto"/>
                    </w:rPr>
                  </w:pPr>
                  <w:r>
                    <w:rPr>
                      <w:rFonts w:hint="eastAsia"/>
                      <w:color w:val="auto"/>
                    </w:rPr>
                    <w:t>生产厂房其他区域</w:t>
                  </w:r>
                </w:p>
              </w:tc>
              <w:tc>
                <w:tcPr>
                  <w:tcW w:w="750" w:type="pct"/>
                  <w:vAlign w:val="center"/>
                </w:tcPr>
                <w:p w14:paraId="0787FAC7">
                  <w:pPr>
                    <w:pStyle w:val="30"/>
                    <w:framePr w:hSpace="0" w:wrap="auto" w:vAnchor="margin" w:hAnchor="text" w:xAlign="left" w:yAlign="inline"/>
                    <w:rPr>
                      <w:color w:val="auto"/>
                    </w:rPr>
                  </w:pPr>
                  <w:r>
                    <w:rPr>
                      <w:color w:val="auto"/>
                    </w:rPr>
                    <w:t>一般防渗区</w:t>
                  </w:r>
                </w:p>
              </w:tc>
              <w:tc>
                <w:tcPr>
                  <w:tcW w:w="1959" w:type="pct"/>
                  <w:vAlign w:val="center"/>
                </w:tcPr>
                <w:p w14:paraId="69FE46E2">
                  <w:pPr>
                    <w:pStyle w:val="30"/>
                    <w:framePr w:hSpace="0" w:wrap="auto" w:vAnchor="margin" w:hAnchor="text" w:xAlign="left" w:yAlign="inline"/>
                    <w:rPr>
                      <w:color w:val="auto"/>
                    </w:rPr>
                  </w:pPr>
                  <w:r>
                    <w:rPr>
                      <w:color w:val="auto"/>
                    </w:rPr>
                    <w:t>等效黏土防渗层Mb≥1.5m，K≤1×10</w:t>
                  </w:r>
                  <w:r>
                    <w:rPr>
                      <w:rFonts w:hint="eastAsia"/>
                      <w:color w:val="auto"/>
                      <w:vertAlign w:val="superscript"/>
                    </w:rPr>
                    <w:t>-</w:t>
                  </w:r>
                  <w:r>
                    <w:rPr>
                      <w:color w:val="auto"/>
                      <w:vertAlign w:val="superscript"/>
                    </w:rPr>
                    <w:t>7</w:t>
                  </w:r>
                  <w:r>
                    <w:rPr>
                      <w:color w:val="auto"/>
                    </w:rPr>
                    <w:t>cm/s</w:t>
                  </w:r>
                </w:p>
              </w:tc>
              <w:tc>
                <w:tcPr>
                  <w:tcW w:w="1472" w:type="pct"/>
                  <w:vAlign w:val="center"/>
                </w:tcPr>
                <w:p w14:paraId="07F57C85">
                  <w:pPr>
                    <w:pStyle w:val="30"/>
                    <w:framePr w:hSpace="0" w:wrap="auto" w:vAnchor="margin" w:hAnchor="text" w:xAlign="left" w:yAlign="inline"/>
                    <w:rPr>
                      <w:color w:val="auto"/>
                    </w:rPr>
                  </w:pPr>
                  <w:r>
                    <w:rPr>
                      <w:rFonts w:hint="eastAsia"/>
                      <w:color w:val="auto"/>
                    </w:rPr>
                    <w:t>满足一般防渗要求</w:t>
                  </w:r>
                </w:p>
              </w:tc>
            </w:tr>
            <w:tr w14:paraId="28AEA26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817" w:type="pct"/>
                  <w:vAlign w:val="center"/>
                </w:tcPr>
                <w:p w14:paraId="0D53B2AB">
                  <w:pPr>
                    <w:pStyle w:val="30"/>
                    <w:framePr w:hSpace="0" w:wrap="auto" w:vAnchor="margin" w:hAnchor="text" w:xAlign="left" w:yAlign="inline"/>
                    <w:rPr>
                      <w:color w:val="auto"/>
                    </w:rPr>
                  </w:pPr>
                  <w:r>
                    <w:rPr>
                      <w:rFonts w:hint="eastAsia"/>
                      <w:color w:val="auto"/>
                    </w:rPr>
                    <w:t>办公区</w:t>
                  </w:r>
                </w:p>
              </w:tc>
              <w:tc>
                <w:tcPr>
                  <w:tcW w:w="750" w:type="pct"/>
                  <w:vAlign w:val="center"/>
                </w:tcPr>
                <w:p w14:paraId="4418826B">
                  <w:pPr>
                    <w:pStyle w:val="30"/>
                    <w:framePr w:hSpace="0" w:wrap="auto" w:vAnchor="margin" w:hAnchor="text" w:xAlign="left" w:yAlign="inline"/>
                    <w:rPr>
                      <w:color w:val="auto"/>
                    </w:rPr>
                  </w:pPr>
                  <w:r>
                    <w:rPr>
                      <w:color w:val="auto"/>
                    </w:rPr>
                    <w:t>简单防渗区</w:t>
                  </w:r>
                </w:p>
              </w:tc>
              <w:tc>
                <w:tcPr>
                  <w:tcW w:w="1959" w:type="pct"/>
                  <w:vAlign w:val="center"/>
                </w:tcPr>
                <w:p w14:paraId="7B823C89">
                  <w:pPr>
                    <w:pStyle w:val="30"/>
                    <w:framePr w:hSpace="0" w:wrap="auto" w:vAnchor="margin" w:hAnchor="text" w:xAlign="left" w:yAlign="inline"/>
                    <w:rPr>
                      <w:color w:val="auto"/>
                    </w:rPr>
                  </w:pPr>
                  <w:r>
                    <w:rPr>
                      <w:color w:val="auto"/>
                    </w:rPr>
                    <w:t>一般地面硬化</w:t>
                  </w:r>
                </w:p>
              </w:tc>
              <w:tc>
                <w:tcPr>
                  <w:tcW w:w="1472" w:type="pct"/>
                  <w:vAlign w:val="center"/>
                </w:tcPr>
                <w:p w14:paraId="53075FB9">
                  <w:pPr>
                    <w:pStyle w:val="30"/>
                    <w:framePr w:hSpace="0" w:wrap="auto" w:vAnchor="margin" w:hAnchor="text" w:xAlign="left" w:yAlign="inline"/>
                    <w:rPr>
                      <w:color w:val="auto"/>
                    </w:rPr>
                  </w:pPr>
                  <w:r>
                    <w:rPr>
                      <w:rFonts w:hint="eastAsia"/>
                      <w:color w:val="auto"/>
                    </w:rPr>
                    <w:t>满足防渗要求</w:t>
                  </w:r>
                </w:p>
              </w:tc>
            </w:tr>
          </w:tbl>
          <w:p w14:paraId="7B2D3217">
            <w:pPr>
              <w:spacing w:line="440" w:lineRule="exact"/>
              <w:ind w:firstLine="470" w:firstLineChars="196"/>
              <w:rPr>
                <w:b/>
                <w:color w:val="auto"/>
              </w:rPr>
            </w:pPr>
            <w:r>
              <w:rPr>
                <w:color w:val="auto"/>
                <w:szCs w:val="20"/>
              </w:rPr>
              <w:t>因此，在落实各项防渗措施后，项目不会对区域地下水、土壤环境产生明显影响。</w:t>
            </w:r>
          </w:p>
          <w:p w14:paraId="6EE07BC7">
            <w:pPr>
              <w:spacing w:line="360" w:lineRule="auto"/>
              <w:rPr>
                <w:b/>
                <w:bCs/>
                <w:color w:val="auto"/>
                <w:kern w:val="2"/>
              </w:rPr>
            </w:pPr>
            <w:r>
              <w:rPr>
                <w:b/>
                <w:bCs/>
                <w:color w:val="auto"/>
                <w:kern w:val="2"/>
              </w:rPr>
              <w:t>4.</w:t>
            </w:r>
            <w:r>
              <w:rPr>
                <w:rFonts w:hint="eastAsia"/>
                <w:b/>
                <w:bCs/>
                <w:color w:val="auto"/>
                <w:kern w:val="2"/>
              </w:rPr>
              <w:t>8环境风险</w:t>
            </w:r>
          </w:p>
          <w:p w14:paraId="20BA451F">
            <w:pPr>
              <w:ind w:firstLine="480" w:firstLineChars="200"/>
              <w:rPr>
                <w:color w:val="auto"/>
                <w:kern w:val="2"/>
              </w:rPr>
            </w:pPr>
            <w:r>
              <w:rPr>
                <w:rFonts w:hint="eastAsia"/>
                <w:color w:val="auto"/>
              </w:rPr>
              <w:t>环境风险评价应以突发性事故导致的危险物质环境急性损害防控为目标，对建设项目的环境风险进行分析、预测和评估，提出环境风险预防、控制、减缓措施，明确环境风险监控及应急建议要求，为建设项目环境风险防控提出科学依据。本次环境风险评价根据《建设项目环境风险评价技术导则》（</w:t>
            </w:r>
            <w:r>
              <w:rPr>
                <w:color w:val="auto"/>
              </w:rPr>
              <w:t>HJ169-2018</w:t>
            </w:r>
            <w:r>
              <w:rPr>
                <w:rFonts w:hint="eastAsia"/>
                <w:color w:val="auto"/>
              </w:rPr>
              <w:t>）进行，主要内容包括风险源调查、环境敏感目标调查、环境风险潜势初判、风险识别、环境风险分析、环境风险防范措施及应急要求等。</w:t>
            </w:r>
          </w:p>
          <w:p w14:paraId="016217E7">
            <w:pPr>
              <w:ind w:firstLine="482" w:firstLineChars="200"/>
              <w:rPr>
                <w:b/>
                <w:bCs/>
                <w:color w:val="auto"/>
              </w:rPr>
            </w:pPr>
            <w:r>
              <w:rPr>
                <w:rFonts w:hint="eastAsia"/>
                <w:b/>
                <w:bCs/>
                <w:color w:val="auto"/>
              </w:rPr>
              <w:t>4.8.1环境风险调查</w:t>
            </w:r>
          </w:p>
          <w:p w14:paraId="747A079F">
            <w:pPr>
              <w:ind w:firstLine="480" w:firstLineChars="200"/>
              <w:rPr>
                <w:color w:val="auto"/>
              </w:rPr>
            </w:pPr>
            <w:r>
              <w:rPr>
                <w:rFonts w:hint="eastAsia"/>
                <w:color w:val="auto"/>
              </w:rPr>
              <w:t>环境风险评价的目的是通过分析建设项目运营期内可能发生的事故类型和对环境的影响程度和范围，以确定项目风险可承受程度，从而为工程设计提供参考依据。根据工程分析和原料特性知，项目具有一定的事故风险性，需要进行必要的环境事故风险分析，并在此基础上提出降低事故风险的措施，以确保事故时生产加油站内外的环境质量仍符合功能类别要求、职工及周边影响区内人群及生物的健康和生命安全有所保障。项目环境风险评价主要依据《建设项目环境风险评价技术导则》（HJ169-2018）的要求进行评价。</w:t>
            </w:r>
          </w:p>
          <w:p w14:paraId="0B63C771">
            <w:pPr>
              <w:snapToGrid w:val="0"/>
              <w:ind w:firstLine="480" w:firstLineChars="200"/>
              <w:rPr>
                <w:bCs/>
                <w:color w:val="auto"/>
              </w:rPr>
            </w:pPr>
            <w:r>
              <w:rPr>
                <w:rFonts w:hint="eastAsia"/>
                <w:bCs/>
                <w:color w:val="auto"/>
              </w:rPr>
              <w:t>1、环境风险评价</w:t>
            </w:r>
          </w:p>
          <w:p w14:paraId="5DA1C306">
            <w:pPr>
              <w:snapToGrid w:val="0"/>
              <w:ind w:firstLine="480" w:firstLineChars="200"/>
              <w:rPr>
                <w:bCs/>
                <w:color w:val="auto"/>
              </w:rPr>
            </w:pPr>
            <w:r>
              <w:rPr>
                <w:rFonts w:hint="eastAsia"/>
                <w:bCs/>
                <w:color w:val="auto"/>
              </w:rPr>
              <w:t>（1）环境风险潜势初判</w:t>
            </w:r>
          </w:p>
          <w:p w14:paraId="5191AF21">
            <w:pPr>
              <w:ind w:firstLine="480" w:firstLineChars="200"/>
              <w:rPr>
                <w:bCs/>
                <w:snapToGrid w:val="0"/>
                <w:color w:val="auto"/>
              </w:rPr>
            </w:pPr>
            <w:r>
              <w:rPr>
                <w:rFonts w:hint="eastAsia"/>
                <w:bCs/>
                <w:snapToGrid w:val="0"/>
                <w:color w:val="auto"/>
              </w:rPr>
              <w:t>计算所涉及的每种危险物质在厂界内的最大存在总量与其临界值的比值</w:t>
            </w:r>
            <w:r>
              <w:rPr>
                <w:bCs/>
                <w:snapToGrid w:val="0"/>
                <w:color w:val="auto"/>
              </w:rPr>
              <w:t>Q</w:t>
            </w:r>
            <w:r>
              <w:rPr>
                <w:rFonts w:hint="eastAsia"/>
                <w:bCs/>
                <w:snapToGrid w:val="0"/>
                <w:color w:val="auto"/>
              </w:rPr>
              <w:t>。在不同厂区的同一种物质，按其在厂界内的最大存在总量计算。对于长输管线项目，按照两个截断阀室之间管段危险物质最大存在总量计算。</w:t>
            </w:r>
          </w:p>
          <w:p w14:paraId="06D5F971">
            <w:pPr>
              <w:ind w:firstLine="480" w:firstLineChars="200"/>
              <w:rPr>
                <w:bCs/>
                <w:snapToGrid w:val="0"/>
                <w:color w:val="auto"/>
              </w:rPr>
            </w:pPr>
            <w:r>
              <w:rPr>
                <w:rFonts w:hint="eastAsia"/>
                <w:bCs/>
                <w:snapToGrid w:val="0"/>
                <w:color w:val="auto"/>
              </w:rPr>
              <w:t>当只涉及一种危险物质时，计算该物质的总量与其临界量比值，即为</w:t>
            </w:r>
            <w:r>
              <w:rPr>
                <w:bCs/>
                <w:snapToGrid w:val="0"/>
                <w:color w:val="auto"/>
              </w:rPr>
              <w:t>Q</w:t>
            </w:r>
            <w:r>
              <w:rPr>
                <w:rFonts w:hint="eastAsia"/>
                <w:bCs/>
                <w:snapToGrid w:val="0"/>
                <w:color w:val="auto"/>
              </w:rPr>
              <w:t>；</w:t>
            </w:r>
          </w:p>
          <w:p w14:paraId="14D47E3A">
            <w:pPr>
              <w:widowControl/>
              <w:ind w:firstLine="480" w:firstLineChars="200"/>
              <w:rPr>
                <w:bCs/>
                <w:snapToGrid w:val="0"/>
                <w:color w:val="auto"/>
              </w:rPr>
            </w:pPr>
            <w:r>
              <w:rPr>
                <w:rFonts w:hint="eastAsia"/>
                <w:bCs/>
                <w:snapToGrid w:val="0"/>
                <w:color w:val="auto"/>
              </w:rPr>
              <w:t>当存在多种危险物质时，则按下式计算物质总量与其临界量比值（</w:t>
            </w:r>
            <w:r>
              <w:rPr>
                <w:bCs/>
                <w:snapToGrid w:val="0"/>
                <w:color w:val="auto"/>
              </w:rPr>
              <w:t>Q</w:t>
            </w:r>
            <w:r>
              <w:rPr>
                <w:rFonts w:hint="eastAsia"/>
                <w:bCs/>
                <w:snapToGrid w:val="0"/>
                <w:color w:val="auto"/>
              </w:rPr>
              <w:t>）：</w:t>
            </w:r>
          </w:p>
          <w:p w14:paraId="20B02F3C">
            <w:pPr>
              <w:ind w:firstLine="480"/>
              <w:jc w:val="center"/>
              <w:rPr>
                <w:color w:val="auto"/>
              </w:rPr>
            </w:pPr>
            <w:r>
              <w:rPr>
                <w:color w:val="auto"/>
              </w:rPr>
              <w:t>Q=q</w:t>
            </w:r>
            <w:r>
              <w:rPr>
                <w:color w:val="auto"/>
                <w:vertAlign w:val="subscript"/>
              </w:rPr>
              <w:t>1</w:t>
            </w:r>
            <w:r>
              <w:rPr>
                <w:color w:val="auto"/>
              </w:rPr>
              <w:t>/Q</w:t>
            </w:r>
            <w:r>
              <w:rPr>
                <w:color w:val="auto"/>
                <w:vertAlign w:val="subscript"/>
              </w:rPr>
              <w:t>1</w:t>
            </w:r>
            <w:r>
              <w:rPr>
                <w:color w:val="auto"/>
              </w:rPr>
              <w:t>+q</w:t>
            </w:r>
            <w:r>
              <w:rPr>
                <w:color w:val="auto"/>
                <w:vertAlign w:val="subscript"/>
              </w:rPr>
              <w:t>2</w:t>
            </w:r>
            <w:r>
              <w:rPr>
                <w:color w:val="auto"/>
              </w:rPr>
              <w:t>/Q</w:t>
            </w:r>
            <w:r>
              <w:rPr>
                <w:color w:val="auto"/>
                <w:vertAlign w:val="subscript"/>
              </w:rPr>
              <w:t>2</w:t>
            </w:r>
            <w:r>
              <w:rPr>
                <w:color w:val="auto"/>
              </w:rPr>
              <w:t>+q</w:t>
            </w:r>
            <w:r>
              <w:rPr>
                <w:color w:val="auto"/>
                <w:vertAlign w:val="subscript"/>
              </w:rPr>
              <w:t>3</w:t>
            </w:r>
            <w:r>
              <w:rPr>
                <w:color w:val="auto"/>
              </w:rPr>
              <w:t>/Q</w:t>
            </w:r>
            <w:r>
              <w:rPr>
                <w:color w:val="auto"/>
                <w:vertAlign w:val="subscript"/>
              </w:rPr>
              <w:t>3</w:t>
            </w:r>
            <w:r>
              <w:rPr>
                <w:color w:val="auto"/>
              </w:rPr>
              <w:t>+…+q</w:t>
            </w:r>
            <w:r>
              <w:rPr>
                <w:color w:val="auto"/>
                <w:vertAlign w:val="subscript"/>
              </w:rPr>
              <w:t>n</w:t>
            </w:r>
            <w:r>
              <w:rPr>
                <w:color w:val="auto"/>
              </w:rPr>
              <w:t>/Q</w:t>
            </w:r>
            <w:r>
              <w:rPr>
                <w:color w:val="auto"/>
                <w:vertAlign w:val="subscript"/>
              </w:rPr>
              <w:t>n</w:t>
            </w:r>
          </w:p>
          <w:p w14:paraId="0B8A0D1D">
            <w:pPr>
              <w:ind w:firstLine="480"/>
              <w:rPr>
                <w:color w:val="auto"/>
              </w:rPr>
            </w:pPr>
            <w:r>
              <w:rPr>
                <w:rFonts w:hint="eastAsia"/>
                <w:color w:val="auto"/>
              </w:rPr>
              <w:t>式中：</w:t>
            </w:r>
          </w:p>
          <w:p w14:paraId="3724B167">
            <w:pPr>
              <w:ind w:firstLine="960" w:firstLineChars="400"/>
              <w:rPr>
                <w:color w:val="auto"/>
              </w:rPr>
            </w:pPr>
            <w:r>
              <w:rPr>
                <w:color w:val="auto"/>
              </w:rPr>
              <w:t>q</w:t>
            </w:r>
            <w:r>
              <w:rPr>
                <w:color w:val="auto"/>
                <w:vertAlign w:val="subscript"/>
              </w:rPr>
              <w:t>1</w:t>
            </w:r>
            <w:r>
              <w:rPr>
                <w:color w:val="auto"/>
              </w:rPr>
              <w:t>，q</w:t>
            </w:r>
            <w:r>
              <w:rPr>
                <w:color w:val="auto"/>
                <w:vertAlign w:val="subscript"/>
              </w:rPr>
              <w:t>2</w:t>
            </w:r>
            <w:r>
              <w:rPr>
                <w:color w:val="auto"/>
              </w:rPr>
              <w:t>，q</w:t>
            </w:r>
            <w:r>
              <w:rPr>
                <w:color w:val="auto"/>
                <w:vertAlign w:val="subscript"/>
              </w:rPr>
              <w:t>3</w:t>
            </w:r>
            <w:r>
              <w:rPr>
                <w:color w:val="auto"/>
              </w:rPr>
              <w:t>，…，q</w:t>
            </w:r>
            <w:r>
              <w:rPr>
                <w:color w:val="auto"/>
                <w:vertAlign w:val="subscript"/>
              </w:rPr>
              <w:t>n</w:t>
            </w:r>
            <w:r>
              <w:rPr>
                <w:color w:val="auto"/>
              </w:rPr>
              <w:t>——每种危险物质</w:t>
            </w:r>
            <w:r>
              <w:rPr>
                <w:rFonts w:hint="eastAsia"/>
                <w:color w:val="auto"/>
              </w:rPr>
              <w:t>的最大存在总量</w:t>
            </w:r>
            <w:r>
              <w:rPr>
                <w:color w:val="auto"/>
              </w:rPr>
              <w:t>，t；</w:t>
            </w:r>
          </w:p>
          <w:p w14:paraId="6001D70E">
            <w:pPr>
              <w:ind w:firstLine="960" w:firstLineChars="400"/>
              <w:rPr>
                <w:color w:val="auto"/>
              </w:rPr>
            </w:pPr>
            <w:r>
              <w:rPr>
                <w:color w:val="auto"/>
              </w:rPr>
              <w:t>Q</w:t>
            </w:r>
            <w:r>
              <w:rPr>
                <w:color w:val="auto"/>
                <w:vertAlign w:val="subscript"/>
              </w:rPr>
              <w:t>1</w:t>
            </w:r>
            <w:r>
              <w:rPr>
                <w:color w:val="auto"/>
              </w:rPr>
              <w:t>，Q</w:t>
            </w:r>
            <w:r>
              <w:rPr>
                <w:color w:val="auto"/>
                <w:vertAlign w:val="subscript"/>
              </w:rPr>
              <w:t>2</w:t>
            </w:r>
            <w:r>
              <w:rPr>
                <w:color w:val="auto"/>
              </w:rPr>
              <w:t>，Q</w:t>
            </w:r>
            <w:r>
              <w:rPr>
                <w:color w:val="auto"/>
                <w:vertAlign w:val="subscript"/>
              </w:rPr>
              <w:t>3</w:t>
            </w:r>
            <w:r>
              <w:rPr>
                <w:color w:val="auto"/>
              </w:rPr>
              <w:t>，…，Q</w:t>
            </w:r>
            <w:r>
              <w:rPr>
                <w:color w:val="auto"/>
                <w:vertAlign w:val="subscript"/>
              </w:rPr>
              <w:t>n</w:t>
            </w:r>
            <w:r>
              <w:rPr>
                <w:color w:val="auto"/>
              </w:rPr>
              <w:t>——</w:t>
            </w:r>
            <w:r>
              <w:rPr>
                <w:rFonts w:hint="eastAsia"/>
                <w:color w:val="auto"/>
              </w:rPr>
              <w:t>每种危险物质的</w:t>
            </w:r>
            <w:r>
              <w:rPr>
                <w:color w:val="auto"/>
              </w:rPr>
              <w:t>临界量，t。</w:t>
            </w:r>
          </w:p>
          <w:p w14:paraId="281CD897">
            <w:pPr>
              <w:ind w:firstLine="960" w:firstLineChars="400"/>
              <w:rPr>
                <w:color w:val="auto"/>
              </w:rPr>
            </w:pPr>
            <w:r>
              <w:rPr>
                <w:rFonts w:hint="eastAsia"/>
                <w:color w:val="auto"/>
              </w:rPr>
              <w:t>当Q＜1时，该项目环境风险潜势为</w:t>
            </w:r>
            <w:r>
              <w:rPr>
                <w:color w:val="auto"/>
              </w:rPr>
              <w:t>Ⅰ</w:t>
            </w:r>
            <w:r>
              <w:rPr>
                <w:rFonts w:hint="eastAsia"/>
                <w:color w:val="auto"/>
              </w:rPr>
              <w:t>。</w:t>
            </w:r>
          </w:p>
          <w:p w14:paraId="27E0F7E7">
            <w:pPr>
              <w:ind w:firstLine="960" w:firstLineChars="400"/>
              <w:rPr>
                <w:color w:val="auto"/>
              </w:rPr>
            </w:pPr>
            <w:r>
              <w:rPr>
                <w:rFonts w:hint="eastAsia"/>
                <w:color w:val="auto"/>
              </w:rPr>
              <w:t>当Q≥1时，将Q值划分为：（1）1≤Q＜10；（2）10≤Q＜100；（3）Q≥100。</w:t>
            </w:r>
          </w:p>
          <w:p w14:paraId="3F5B0E38">
            <w:pPr>
              <w:ind w:firstLine="960" w:firstLineChars="400"/>
              <w:rPr>
                <w:color w:val="auto"/>
              </w:rPr>
            </w:pPr>
            <w:r>
              <w:rPr>
                <w:rFonts w:hint="eastAsia"/>
                <w:color w:val="auto"/>
              </w:rPr>
              <w:t>本项目危险物质主要为危险废物，最大暂存量为0.03t。</w:t>
            </w:r>
            <w:r>
              <w:rPr>
                <w:rFonts w:ascii="宋体" w:hAnsi="宋体" w:cs="宋体"/>
                <w:color w:val="auto"/>
              </w:rPr>
              <w:t>根据《建设项目环境风险评价技术导则》（HJ169-2018）中规定的重大危险源辨识原则，</w:t>
            </w:r>
            <w:r>
              <w:rPr>
                <w:rFonts w:hint="eastAsia"/>
                <w:color w:val="auto"/>
              </w:rPr>
              <w:t>其</w:t>
            </w:r>
            <w:r>
              <w:rPr>
                <w:color w:val="auto"/>
              </w:rPr>
              <w:t>Q</w:t>
            </w:r>
            <w:r>
              <w:rPr>
                <w:rFonts w:hint="eastAsia"/>
                <w:color w:val="auto"/>
              </w:rPr>
              <w:t>值确定见下表。</w:t>
            </w:r>
          </w:p>
          <w:p w14:paraId="0CB7C06D">
            <w:pPr>
              <w:pStyle w:val="6"/>
              <w:rPr>
                <w:color w:val="auto"/>
              </w:rPr>
            </w:pPr>
            <w:r>
              <w:rPr>
                <w:color w:val="auto"/>
              </w:rPr>
              <w:t xml:space="preserve">表 </w:t>
            </w:r>
            <w:r>
              <w:rPr>
                <w:rFonts w:hint="eastAsia"/>
                <w:color w:val="auto"/>
              </w:rPr>
              <w:t>4-</w:t>
            </w:r>
            <w:r>
              <w:rPr>
                <w:color w:val="auto"/>
              </w:rPr>
              <w:fldChar w:fldCharType="begin"/>
            </w:r>
            <w:r>
              <w:rPr>
                <w:color w:val="auto"/>
              </w:rPr>
              <w:instrText xml:space="preserve"> SEQ 表 \* ARABIC \s 1 </w:instrText>
            </w:r>
            <w:r>
              <w:rPr>
                <w:color w:val="auto"/>
              </w:rPr>
              <w:fldChar w:fldCharType="separate"/>
            </w:r>
            <w:r>
              <w:rPr>
                <w:color w:val="auto"/>
              </w:rPr>
              <w:t>12</w:t>
            </w:r>
            <w:r>
              <w:rPr>
                <w:color w:val="auto"/>
              </w:rPr>
              <w:fldChar w:fldCharType="end"/>
            </w:r>
            <w:r>
              <w:rPr>
                <w:color w:val="auto"/>
              </w:rPr>
              <w:t>物质的种类、特性及最大贮存量</w:t>
            </w:r>
          </w:p>
          <w:tbl>
            <w:tblPr>
              <w:tblStyle w:val="23"/>
              <w:tblW w:w="4998" w:type="pct"/>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autofit"/>
              <w:tblCellMar>
                <w:top w:w="0" w:type="dxa"/>
                <w:left w:w="0" w:type="dxa"/>
                <w:bottom w:w="0" w:type="dxa"/>
                <w:right w:w="0" w:type="dxa"/>
              </w:tblCellMar>
            </w:tblPr>
            <w:tblGrid>
              <w:gridCol w:w="854"/>
              <w:gridCol w:w="2147"/>
              <w:gridCol w:w="1868"/>
              <w:gridCol w:w="1189"/>
              <w:gridCol w:w="1701"/>
            </w:tblGrid>
            <w:tr w14:paraId="1566B62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0" w:type="dxa"/>
                  <w:bottom w:w="0" w:type="dxa"/>
                  <w:right w:w="0" w:type="dxa"/>
                </w:tblCellMar>
              </w:tblPrEx>
              <w:trPr>
                <w:cantSplit/>
                <w:trHeight w:val="603" w:hRule="exact"/>
                <w:jc w:val="center"/>
              </w:trPr>
              <w:tc>
                <w:tcPr>
                  <w:tcW w:w="550" w:type="pct"/>
                  <w:tcBorders>
                    <w:top w:val="single" w:color="auto" w:sz="4" w:space="0"/>
                    <w:left w:val="single" w:color="auto" w:sz="4" w:space="0"/>
                  </w:tcBorders>
                  <w:vAlign w:val="center"/>
                </w:tcPr>
                <w:p w14:paraId="25F4E6EA">
                  <w:pPr>
                    <w:pStyle w:val="35"/>
                    <w:rPr>
                      <w:b/>
                      <w:bCs/>
                      <w:color w:val="auto"/>
                    </w:rPr>
                  </w:pPr>
                  <w:r>
                    <w:rPr>
                      <w:b/>
                      <w:bCs/>
                      <w:color w:val="auto"/>
                    </w:rPr>
                    <w:t>序号</w:t>
                  </w:r>
                </w:p>
              </w:tc>
              <w:tc>
                <w:tcPr>
                  <w:tcW w:w="1383" w:type="pct"/>
                  <w:tcBorders>
                    <w:top w:val="single" w:color="auto" w:sz="4" w:space="0"/>
                  </w:tcBorders>
                  <w:vAlign w:val="center"/>
                </w:tcPr>
                <w:p w14:paraId="7C636D45">
                  <w:pPr>
                    <w:pStyle w:val="35"/>
                    <w:rPr>
                      <w:b/>
                      <w:bCs/>
                      <w:color w:val="auto"/>
                    </w:rPr>
                  </w:pPr>
                  <w:r>
                    <w:rPr>
                      <w:b/>
                      <w:bCs/>
                      <w:color w:val="auto"/>
                    </w:rPr>
                    <w:t>危险物质名称</w:t>
                  </w:r>
                </w:p>
              </w:tc>
              <w:tc>
                <w:tcPr>
                  <w:tcW w:w="1203" w:type="pct"/>
                  <w:tcBorders>
                    <w:top w:val="single" w:color="auto" w:sz="4" w:space="0"/>
                  </w:tcBorders>
                  <w:vAlign w:val="center"/>
                </w:tcPr>
                <w:p w14:paraId="5876AAD3">
                  <w:pPr>
                    <w:pStyle w:val="35"/>
                    <w:rPr>
                      <w:b/>
                      <w:bCs/>
                      <w:color w:val="auto"/>
                    </w:rPr>
                  </w:pPr>
                  <w:r>
                    <w:rPr>
                      <w:b/>
                      <w:bCs/>
                      <w:color w:val="auto"/>
                    </w:rPr>
                    <w:t>最大存在总量</w:t>
                  </w:r>
                  <w:r>
                    <w:rPr>
                      <w:rFonts w:hint="eastAsia"/>
                      <w:b/>
                      <w:bCs/>
                      <w:color w:val="auto"/>
                    </w:rPr>
                    <w:t>（</w:t>
                  </w:r>
                  <w:r>
                    <w:rPr>
                      <w:b/>
                      <w:bCs/>
                      <w:color w:val="auto"/>
                    </w:rPr>
                    <w:t>t</w:t>
                  </w:r>
                  <w:r>
                    <w:rPr>
                      <w:rFonts w:hint="eastAsia"/>
                      <w:b/>
                      <w:bCs/>
                      <w:color w:val="auto"/>
                    </w:rPr>
                    <w:t>）</w:t>
                  </w:r>
                </w:p>
              </w:tc>
              <w:tc>
                <w:tcPr>
                  <w:tcW w:w="766" w:type="pct"/>
                  <w:tcBorders>
                    <w:top w:val="single" w:color="auto" w:sz="4" w:space="0"/>
                  </w:tcBorders>
                  <w:vAlign w:val="center"/>
                </w:tcPr>
                <w:p w14:paraId="47DF402F">
                  <w:pPr>
                    <w:pStyle w:val="35"/>
                    <w:rPr>
                      <w:b/>
                      <w:bCs/>
                      <w:color w:val="auto"/>
                    </w:rPr>
                  </w:pPr>
                  <w:r>
                    <w:rPr>
                      <w:b/>
                      <w:bCs/>
                      <w:color w:val="auto"/>
                    </w:rPr>
                    <w:t>临界量</w:t>
                  </w:r>
                  <w:r>
                    <w:rPr>
                      <w:rFonts w:hint="eastAsia"/>
                      <w:b/>
                      <w:bCs/>
                      <w:color w:val="auto"/>
                    </w:rPr>
                    <w:t>（</w:t>
                  </w:r>
                  <w:r>
                    <w:rPr>
                      <w:b/>
                      <w:bCs/>
                      <w:color w:val="auto"/>
                    </w:rPr>
                    <w:t>t</w:t>
                  </w:r>
                  <w:r>
                    <w:rPr>
                      <w:rFonts w:hint="eastAsia"/>
                      <w:b/>
                      <w:bCs/>
                      <w:color w:val="auto"/>
                    </w:rPr>
                    <w:t>）</w:t>
                  </w:r>
                </w:p>
              </w:tc>
              <w:tc>
                <w:tcPr>
                  <w:tcW w:w="1096" w:type="pct"/>
                  <w:tcBorders>
                    <w:top w:val="single" w:color="auto" w:sz="4" w:space="0"/>
                    <w:right w:val="single" w:color="auto" w:sz="4" w:space="0"/>
                  </w:tcBorders>
                  <w:vAlign w:val="center"/>
                </w:tcPr>
                <w:p w14:paraId="662A7689">
                  <w:pPr>
                    <w:pStyle w:val="35"/>
                    <w:rPr>
                      <w:b/>
                      <w:bCs/>
                      <w:color w:val="auto"/>
                    </w:rPr>
                  </w:pPr>
                  <w:r>
                    <w:rPr>
                      <w:b/>
                      <w:bCs/>
                      <w:color w:val="auto"/>
                    </w:rPr>
                    <w:t>该种危险物质Q值</w:t>
                  </w:r>
                </w:p>
              </w:tc>
            </w:tr>
            <w:tr w14:paraId="21B90B5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0" w:type="dxa"/>
                  <w:bottom w:w="0" w:type="dxa"/>
                  <w:right w:w="0" w:type="dxa"/>
                </w:tblCellMar>
              </w:tblPrEx>
              <w:trPr>
                <w:cantSplit/>
                <w:trHeight w:val="415" w:hRule="exact"/>
                <w:jc w:val="center"/>
              </w:trPr>
              <w:tc>
                <w:tcPr>
                  <w:tcW w:w="550" w:type="pct"/>
                  <w:tcBorders>
                    <w:left w:val="single" w:color="auto" w:sz="4" w:space="0"/>
                  </w:tcBorders>
                  <w:vAlign w:val="center"/>
                </w:tcPr>
                <w:p w14:paraId="31F36EC0">
                  <w:pPr>
                    <w:pStyle w:val="35"/>
                    <w:rPr>
                      <w:color w:val="auto"/>
                    </w:rPr>
                  </w:pPr>
                  <w:r>
                    <w:rPr>
                      <w:color w:val="auto"/>
                    </w:rPr>
                    <w:t>1</w:t>
                  </w:r>
                </w:p>
              </w:tc>
              <w:tc>
                <w:tcPr>
                  <w:tcW w:w="1383" w:type="pct"/>
                  <w:vAlign w:val="center"/>
                </w:tcPr>
                <w:p w14:paraId="0338C847">
                  <w:pPr>
                    <w:pStyle w:val="35"/>
                    <w:rPr>
                      <w:color w:val="auto"/>
                    </w:rPr>
                  </w:pPr>
                  <w:r>
                    <w:rPr>
                      <w:rFonts w:hint="eastAsia"/>
                      <w:color w:val="auto"/>
                    </w:rPr>
                    <w:t>危险废物</w:t>
                  </w:r>
                </w:p>
              </w:tc>
              <w:tc>
                <w:tcPr>
                  <w:tcW w:w="1203" w:type="pct"/>
                  <w:vAlign w:val="center"/>
                </w:tcPr>
                <w:p w14:paraId="1B6AFD9F">
                  <w:pPr>
                    <w:pStyle w:val="35"/>
                    <w:rPr>
                      <w:color w:val="auto"/>
                    </w:rPr>
                  </w:pPr>
                  <w:r>
                    <w:rPr>
                      <w:rFonts w:hint="eastAsia"/>
                      <w:color w:val="auto"/>
                    </w:rPr>
                    <w:t>0.03</w:t>
                  </w:r>
                </w:p>
              </w:tc>
              <w:tc>
                <w:tcPr>
                  <w:tcW w:w="766" w:type="pct"/>
                  <w:vAlign w:val="center"/>
                </w:tcPr>
                <w:p w14:paraId="718FDA46">
                  <w:pPr>
                    <w:pStyle w:val="35"/>
                    <w:rPr>
                      <w:color w:val="auto"/>
                    </w:rPr>
                  </w:pPr>
                  <w:r>
                    <w:rPr>
                      <w:rFonts w:hint="eastAsia"/>
                      <w:color w:val="auto"/>
                    </w:rPr>
                    <w:t>50</w:t>
                  </w:r>
                </w:p>
              </w:tc>
              <w:tc>
                <w:tcPr>
                  <w:tcW w:w="1096" w:type="pct"/>
                  <w:tcBorders>
                    <w:right w:val="single" w:color="auto" w:sz="4" w:space="0"/>
                  </w:tcBorders>
                  <w:vAlign w:val="center"/>
                </w:tcPr>
                <w:p w14:paraId="569CDC1D">
                  <w:pPr>
                    <w:pStyle w:val="35"/>
                    <w:rPr>
                      <w:color w:val="auto"/>
                    </w:rPr>
                  </w:pPr>
                  <w:r>
                    <w:rPr>
                      <w:rFonts w:hint="eastAsia"/>
                      <w:color w:val="auto"/>
                    </w:rPr>
                    <w:t>0.0006</w:t>
                  </w:r>
                </w:p>
              </w:tc>
            </w:tr>
          </w:tbl>
          <w:p w14:paraId="1DF5297F">
            <w:pPr>
              <w:ind w:firstLine="480" w:firstLineChars="200"/>
              <w:rPr>
                <w:color w:val="auto"/>
              </w:rPr>
            </w:pPr>
            <w:r>
              <w:rPr>
                <w:rFonts w:hint="eastAsia"/>
                <w:color w:val="auto"/>
              </w:rPr>
              <w:t>由于</w:t>
            </w:r>
            <w:r>
              <w:rPr>
                <w:color w:val="auto"/>
              </w:rPr>
              <w:t>Q=0.</w:t>
            </w:r>
            <w:r>
              <w:rPr>
                <w:rFonts w:hint="eastAsia"/>
                <w:color w:val="auto"/>
              </w:rPr>
              <w:t>504</w:t>
            </w:r>
            <w:r>
              <w:rPr>
                <w:color w:val="auto"/>
              </w:rPr>
              <w:t>＜1</w:t>
            </w:r>
            <w:r>
              <w:rPr>
                <w:rFonts w:hint="eastAsia"/>
                <w:color w:val="auto"/>
              </w:rPr>
              <w:t>，因此本项目的环境风险潜势等级为Ⅰ</w:t>
            </w:r>
            <w:r>
              <w:rPr>
                <w:color w:val="auto"/>
              </w:rPr>
              <w:t>，对比评价等级判定表可知，本项目环境风险评价工作等级为简单分析</w:t>
            </w:r>
            <w:r>
              <w:rPr>
                <w:rFonts w:hint="eastAsia"/>
                <w:color w:val="auto"/>
              </w:rPr>
              <w:t>。</w:t>
            </w:r>
          </w:p>
          <w:p w14:paraId="0F694A16">
            <w:pPr>
              <w:ind w:firstLine="480" w:firstLineChars="200"/>
              <w:rPr>
                <w:color w:val="auto"/>
              </w:rPr>
            </w:pPr>
            <w:r>
              <w:rPr>
                <w:rFonts w:hint="eastAsia"/>
                <w:color w:val="auto"/>
              </w:rPr>
              <w:t>2、环境风险识别</w:t>
            </w:r>
          </w:p>
          <w:p w14:paraId="7630277F">
            <w:pPr>
              <w:ind w:firstLine="480" w:firstLineChars="200"/>
              <w:rPr>
                <w:color w:val="auto"/>
              </w:rPr>
            </w:pPr>
            <w:r>
              <w:rPr>
                <w:rFonts w:hint="eastAsia"/>
                <w:color w:val="auto"/>
              </w:rPr>
              <w:t>风险识别范围包括生产过程中所涉及的物质风险识别和生产设施风险识别。物质风险识别范围：主要原材料及辅助材料、燃料、中间产品、最终产品以及生产过程排放的</w:t>
            </w:r>
            <w:r>
              <w:rPr>
                <w:color w:val="auto"/>
              </w:rPr>
              <w:t>“</w:t>
            </w:r>
            <w:r>
              <w:rPr>
                <w:rFonts w:hint="eastAsia"/>
                <w:color w:val="auto"/>
              </w:rPr>
              <w:t>三废</w:t>
            </w:r>
            <w:r>
              <w:rPr>
                <w:color w:val="auto"/>
              </w:rPr>
              <w:t>”</w:t>
            </w:r>
            <w:r>
              <w:rPr>
                <w:rFonts w:hint="eastAsia"/>
                <w:color w:val="auto"/>
              </w:rPr>
              <w:t>污染物等。生产设施风险识别范围：主要生产装置、贮运系统、公用工程系统、工程环保设施及辅助生产设施等。受影响的环境要素识别：应当根据有毒有害物质排放途径确定，如大气环境、水环境、土壤、生态环境等，明确受影响的环境保护目标。</w:t>
            </w:r>
          </w:p>
          <w:p w14:paraId="1CDC8D3E">
            <w:pPr>
              <w:ind w:firstLine="480" w:firstLineChars="200"/>
              <w:rPr>
                <w:color w:val="auto"/>
              </w:rPr>
            </w:pPr>
            <w:r>
              <w:rPr>
                <w:rFonts w:hint="eastAsia"/>
                <w:color w:val="auto"/>
              </w:rPr>
              <w:t>①物质危险性识别：危废暂存间物料意外流失泄漏，若未及时收集处理，可能造成土壤、地下水等环境污染。</w:t>
            </w:r>
          </w:p>
          <w:p w14:paraId="52DAD1CF">
            <w:pPr>
              <w:ind w:firstLine="480" w:firstLineChars="200"/>
              <w:rPr>
                <w:color w:val="auto"/>
              </w:rPr>
            </w:pPr>
            <w:r>
              <w:rPr>
                <w:rFonts w:hint="eastAsia"/>
                <w:color w:val="auto"/>
              </w:rPr>
              <w:t>②生产设施风险识别：生产设施风险识别是通过对生产装置、贮运系统、公用工程系统、工程环保设施及辅助生产设施等运行过程中存在的危险因素和可能发生的风险类型进行识别。</w:t>
            </w:r>
          </w:p>
          <w:p w14:paraId="730C2E1B">
            <w:pPr>
              <w:ind w:firstLine="480" w:firstLineChars="200"/>
              <w:rPr>
                <w:color w:val="auto"/>
              </w:rPr>
            </w:pPr>
            <w:r>
              <w:rPr>
                <w:rFonts w:hint="eastAsia"/>
                <w:color w:val="auto"/>
              </w:rPr>
              <w:t>本项目涉及面粉等粉状原辅料的使用，一般情况下，盛放在袋子里不会燃烧爆炸。但是生产车间在进行拆包投料过程中，可能会造成所在室内粉尘浓度增大，如遇明火可能发生粉尘爆炸。面粉本身是具有可燃性的，含有碳氢氧元素。由于面粉是小颗粒状的，干燥状态下，一旦遇到明火，很容易与氧气充分接触，这个时候，它的可燃性就将发挥到极致。每个面粉小颗粒周围都有大量的氧气助燃，一瞬间，热量不能迅速释放，就会产生爆炸。火灾、爆炸后带来一定的次生环境风险，如消防废水、浓烟等。</w:t>
            </w:r>
          </w:p>
          <w:p w14:paraId="128CA6A6">
            <w:pPr>
              <w:ind w:firstLine="482" w:firstLineChars="200"/>
              <w:rPr>
                <w:b/>
                <w:bCs/>
                <w:color w:val="auto"/>
              </w:rPr>
            </w:pPr>
            <w:r>
              <w:rPr>
                <w:rFonts w:hint="eastAsia"/>
                <w:b/>
                <w:bCs/>
                <w:color w:val="auto"/>
              </w:rPr>
              <w:t>4.8.2事故风险防范措施</w:t>
            </w:r>
          </w:p>
          <w:p w14:paraId="6266352E">
            <w:pPr>
              <w:ind w:firstLine="480" w:firstLineChars="200"/>
              <w:rPr>
                <w:color w:val="auto"/>
              </w:rPr>
            </w:pPr>
            <w:r>
              <w:rPr>
                <w:color w:val="auto"/>
              </w:rPr>
              <w:t>在对同类项目调查的基础上，采用类比法对本项目营运过程中可能出现的事故原因进行分析，本项目主要环境风险为人员操作不当引发的火灾导致的次生环境风险。为了防范人员操作不当引发的火灾导致的次生环境风险和废水处理设施运行故障导致的废水废气事故排放，本次环评提出以下要求：</w:t>
            </w:r>
          </w:p>
          <w:p w14:paraId="65447E17">
            <w:pPr>
              <w:ind w:firstLine="480" w:firstLineChars="200"/>
              <w:rPr>
                <w:color w:val="auto"/>
              </w:rPr>
            </w:pPr>
            <w:r>
              <w:rPr>
                <w:color w:val="auto"/>
              </w:rPr>
              <w:t xml:space="preserve">1）火灾事故风险防范措施 </w:t>
            </w:r>
          </w:p>
          <w:p w14:paraId="397FBAC4">
            <w:pPr>
              <w:ind w:firstLine="480" w:firstLineChars="200"/>
              <w:rPr>
                <w:color w:val="auto"/>
              </w:rPr>
            </w:pPr>
            <w:r>
              <w:rPr>
                <w:color w:val="auto"/>
              </w:rPr>
              <w:t>①生产车间、贮存区地面采用防腐、防渗地面；原料泄漏时及时收集全部泄漏物，并转移到空置的容器内，不随意冲洗地面，泄漏物质不会对周边水体造成影响。</w:t>
            </w:r>
          </w:p>
          <w:p w14:paraId="2F5F1C9A">
            <w:pPr>
              <w:ind w:firstLine="480" w:firstLineChars="200"/>
              <w:rPr>
                <w:color w:val="auto"/>
              </w:rPr>
            </w:pPr>
            <w:r>
              <w:rPr>
                <w:color w:val="auto"/>
              </w:rPr>
              <w:t xml:space="preserve">②生产车间须确保全面通风、配备相应品种和数量的消防器材，预留必要的安全间距，远离火种和热源，防止阳光直射。 </w:t>
            </w:r>
          </w:p>
          <w:p w14:paraId="03C41265">
            <w:pPr>
              <w:ind w:firstLine="480" w:firstLineChars="200"/>
              <w:rPr>
                <w:color w:val="auto"/>
              </w:rPr>
            </w:pPr>
            <w:r>
              <w:rPr>
                <w:color w:val="auto"/>
              </w:rPr>
              <w:t>③易燃物品贮存区禁止明火进入，禁止使用易产生火花的设备与工具。</w:t>
            </w:r>
          </w:p>
          <w:p w14:paraId="007F5DED">
            <w:pPr>
              <w:ind w:firstLine="480" w:firstLineChars="200"/>
              <w:rPr>
                <w:color w:val="auto"/>
              </w:rPr>
            </w:pPr>
            <w:r>
              <w:rPr>
                <w:color w:val="auto"/>
              </w:rPr>
              <w:t>④定期对操作人员进行安全生产与安全知识培训，并制定严格的安全操作规程，切实加强生产过程中的温度控制，保证劳动安全，防止意外事故的发生。</w:t>
            </w:r>
          </w:p>
          <w:p w14:paraId="53587DBF">
            <w:pPr>
              <w:ind w:firstLine="480" w:firstLineChars="200"/>
              <w:rPr>
                <w:color w:val="auto"/>
              </w:rPr>
            </w:pPr>
            <w:r>
              <w:rPr>
                <w:color w:val="auto"/>
              </w:rPr>
              <w:t xml:space="preserve">2）废水事故排放风险防范措施 </w:t>
            </w:r>
          </w:p>
          <w:p w14:paraId="3336F91D">
            <w:pPr>
              <w:ind w:firstLine="480" w:firstLineChars="200"/>
              <w:rPr>
                <w:color w:val="auto"/>
              </w:rPr>
            </w:pPr>
            <w:r>
              <w:rPr>
                <w:color w:val="auto"/>
              </w:rPr>
              <w:t>①必须建立定期对设备进行安全检查的制度，明确设备安全防护重点部位和危险岗位，有完善的设备安全防护措施。</w:t>
            </w:r>
          </w:p>
          <w:p w14:paraId="464014FB">
            <w:pPr>
              <w:ind w:firstLine="480" w:firstLineChars="200"/>
              <w:rPr>
                <w:color w:val="auto"/>
              </w:rPr>
            </w:pPr>
            <w:r>
              <w:rPr>
                <w:color w:val="auto"/>
              </w:rPr>
              <w:t>②定期对设备进行日查、月度检查、季度检查。对查出的事故隐患，及时进行整改，并认真做好安全检查记录和事故隐患整改记录。</w:t>
            </w:r>
          </w:p>
          <w:p w14:paraId="73404801">
            <w:pPr>
              <w:ind w:firstLine="480" w:firstLineChars="200"/>
              <w:rPr>
                <w:color w:val="auto"/>
              </w:rPr>
            </w:pPr>
            <w:r>
              <w:rPr>
                <w:color w:val="auto"/>
              </w:rPr>
              <w:t>③值班人员在值班过程中，要尽职尽责，认真检查各类管道和各类阀门有无堵塞、破裂情况，如有需立刻报告上级，并积极采取安全防范控制措施。</w:t>
            </w:r>
          </w:p>
          <w:p w14:paraId="48B03F20">
            <w:pPr>
              <w:ind w:firstLine="480" w:firstLineChars="200"/>
              <w:rPr>
                <w:color w:val="auto"/>
              </w:rPr>
            </w:pPr>
            <w:r>
              <w:rPr>
                <w:color w:val="auto"/>
              </w:rPr>
              <w:t>④对于废水</w:t>
            </w:r>
            <w:r>
              <w:rPr>
                <w:rFonts w:hint="eastAsia"/>
                <w:color w:val="auto"/>
                <w:lang w:eastAsia="zh-CN"/>
              </w:rPr>
              <w:t>泄漏</w:t>
            </w:r>
            <w:r>
              <w:rPr>
                <w:color w:val="auto"/>
              </w:rPr>
              <w:t>，抢险人员立即切断泄漏源，采用收容的方法收集</w:t>
            </w:r>
            <w:r>
              <w:rPr>
                <w:rFonts w:hint="eastAsia"/>
                <w:color w:val="auto"/>
                <w:lang w:eastAsia="zh-CN"/>
              </w:rPr>
              <w:t>泄漏</w:t>
            </w:r>
            <w:r>
              <w:rPr>
                <w:color w:val="auto"/>
              </w:rPr>
              <w:t xml:space="preserve">废水，并进行委堤堵漏。 </w:t>
            </w:r>
          </w:p>
          <w:p w14:paraId="5335AC16">
            <w:pPr>
              <w:ind w:firstLine="480" w:firstLineChars="200"/>
              <w:rPr>
                <w:color w:val="auto"/>
              </w:rPr>
            </w:pPr>
            <w:r>
              <w:rPr>
                <w:color w:val="auto"/>
              </w:rPr>
              <w:t>⑤对于废水超标，抢险人员立即关闭出水口阀门，停止废水处理，并减少生产车间送水量。</w:t>
            </w:r>
          </w:p>
          <w:p w14:paraId="6066C9A6">
            <w:pPr>
              <w:ind w:firstLine="480" w:firstLineChars="200"/>
              <w:rPr>
                <w:rFonts w:ascii="宋体" w:hAnsi="宋体" w:cs="宋体"/>
                <w:color w:val="auto"/>
              </w:rPr>
            </w:pPr>
            <w:r>
              <w:rPr>
                <w:rFonts w:hint="eastAsia"/>
                <w:color w:val="auto"/>
              </w:rPr>
              <w:t>3）</w:t>
            </w:r>
            <w:r>
              <w:rPr>
                <w:rFonts w:ascii="宋体" w:hAnsi="宋体" w:cs="宋体"/>
                <w:color w:val="auto"/>
              </w:rPr>
              <w:t>危废暂存间流失风险防范措施</w:t>
            </w:r>
          </w:p>
          <w:p w14:paraId="35894CAE">
            <w:pPr>
              <w:ind w:firstLine="480" w:firstLineChars="200"/>
              <w:rPr>
                <w:rFonts w:ascii="宋体" w:hAnsi="宋体" w:cs="宋体"/>
                <w:color w:val="auto"/>
              </w:rPr>
            </w:pPr>
            <w:r>
              <w:rPr>
                <w:rFonts w:hint="eastAsia" w:ascii="宋体" w:hAnsi="宋体" w:cs="宋体"/>
                <w:color w:val="auto"/>
              </w:rPr>
              <w:t>①</w:t>
            </w:r>
            <w:r>
              <w:rPr>
                <w:rFonts w:ascii="宋体" w:hAnsi="宋体" w:cs="宋体"/>
                <w:color w:val="auto"/>
              </w:rPr>
              <w:t>危险废物暂存场所必须严格按照国家标准和规范进行设置，必须设置防渗、防漏、防腐、防雨等防范措施。</w:t>
            </w:r>
          </w:p>
          <w:p w14:paraId="6C7A7786">
            <w:pPr>
              <w:ind w:firstLine="480" w:firstLineChars="200"/>
              <w:rPr>
                <w:rFonts w:ascii="宋体" w:hAnsi="宋体" w:cs="宋体"/>
                <w:color w:val="auto"/>
              </w:rPr>
            </w:pPr>
            <w:r>
              <w:rPr>
                <w:rFonts w:hint="eastAsia" w:ascii="宋体" w:hAnsi="宋体" w:cs="宋体"/>
                <w:color w:val="auto"/>
              </w:rPr>
              <w:t>②</w:t>
            </w:r>
            <w:r>
              <w:rPr>
                <w:rFonts w:ascii="宋体" w:hAnsi="宋体" w:cs="宋体"/>
                <w:color w:val="auto"/>
              </w:rPr>
              <w:t>液态危险废物用密闭包装容器储存，贮存液态危险废物的分区，应具有液体漏堵截设施(如托盘、围堰等)，堵截设施最小容积不应低于对应贮存区域最大液态废物容器容积或液态废物总储量1/10(二者取较大者)。</w:t>
            </w:r>
          </w:p>
          <w:p w14:paraId="0E8924D5">
            <w:pPr>
              <w:ind w:firstLine="480" w:firstLineChars="200"/>
              <w:rPr>
                <w:rFonts w:ascii="宋体" w:hAnsi="宋体" w:cs="宋体"/>
                <w:color w:val="auto"/>
              </w:rPr>
            </w:pPr>
            <w:r>
              <w:rPr>
                <w:rFonts w:hint="eastAsia" w:ascii="宋体" w:hAnsi="宋体" w:cs="宋体"/>
                <w:color w:val="auto"/>
              </w:rPr>
              <w:t>③</w:t>
            </w:r>
            <w:r>
              <w:rPr>
                <w:rFonts w:ascii="宋体" w:hAnsi="宋体" w:cs="宋体"/>
                <w:color w:val="auto"/>
              </w:rPr>
              <w:t>危险废物暂存场所设置便于危险废物泄漏收集处理的设施。</w:t>
            </w:r>
          </w:p>
          <w:p w14:paraId="15217D45">
            <w:pPr>
              <w:ind w:firstLine="480" w:firstLineChars="200"/>
              <w:rPr>
                <w:rFonts w:ascii="宋体" w:hAnsi="宋体" w:cs="宋体"/>
                <w:color w:val="auto"/>
              </w:rPr>
            </w:pPr>
            <w:r>
              <w:rPr>
                <w:rFonts w:hint="eastAsia" w:ascii="宋体" w:hAnsi="宋体" w:cs="宋体"/>
                <w:color w:val="auto"/>
              </w:rPr>
              <w:t>④</w:t>
            </w:r>
            <w:r>
              <w:rPr>
                <w:rFonts w:ascii="宋体" w:hAnsi="宋体" w:cs="宋体"/>
                <w:color w:val="auto"/>
              </w:rPr>
              <w:t>在暂存场所内，各危险废物种类必须分类储存，并设置相应的标签，标明危废的来源，具体的成分，主要成分的性质和泄漏、火灾等处置方式，不得混合储存，各储存分区之间必须设置相应的防护距离，防止发生连锁反</w:t>
            </w:r>
            <w:r>
              <w:rPr>
                <w:rFonts w:hint="eastAsia" w:ascii="宋体" w:hAnsi="宋体" w:cs="宋体"/>
                <w:color w:val="auto"/>
              </w:rPr>
              <w:t>应。</w:t>
            </w:r>
          </w:p>
          <w:p w14:paraId="2E7342A7">
            <w:pPr>
              <w:ind w:firstLine="480" w:firstLineChars="200"/>
              <w:rPr>
                <w:rFonts w:ascii="宋体" w:hAnsi="宋体" w:cs="宋体"/>
                <w:color w:val="auto"/>
              </w:rPr>
            </w:pPr>
            <w:r>
              <w:rPr>
                <w:rFonts w:ascii="宋体" w:hAnsi="宋体" w:cs="宋体"/>
                <w:color w:val="auto"/>
              </w:rPr>
              <w:t>通过以上风险防范及减缓措施，做到防患于未然，加强安全生产管理，明确岗位责任制度，增强风险意识，降低项目营运期的环境风险。</w:t>
            </w:r>
          </w:p>
          <w:p w14:paraId="42A8C44B">
            <w:pPr>
              <w:ind w:firstLine="482" w:firstLineChars="200"/>
              <w:rPr>
                <w:b/>
                <w:bCs/>
                <w:color w:val="auto"/>
              </w:rPr>
            </w:pPr>
            <w:r>
              <w:rPr>
                <w:b/>
                <w:bCs/>
                <w:color w:val="auto"/>
              </w:rPr>
              <w:t>4.</w:t>
            </w:r>
            <w:r>
              <w:rPr>
                <w:rFonts w:hint="eastAsia"/>
                <w:b/>
                <w:bCs/>
                <w:color w:val="auto"/>
              </w:rPr>
              <w:t>8</w:t>
            </w:r>
            <w:r>
              <w:rPr>
                <w:b/>
                <w:bCs/>
                <w:color w:val="auto"/>
              </w:rPr>
              <w:t>.</w:t>
            </w:r>
            <w:r>
              <w:rPr>
                <w:rFonts w:hint="eastAsia"/>
                <w:b/>
                <w:bCs/>
                <w:color w:val="auto"/>
              </w:rPr>
              <w:t>3</w:t>
            </w:r>
            <w:r>
              <w:rPr>
                <w:b/>
                <w:bCs/>
                <w:color w:val="auto"/>
              </w:rPr>
              <w:t>环境风险评价结论</w:t>
            </w:r>
          </w:p>
          <w:p w14:paraId="165C8181">
            <w:pPr>
              <w:ind w:firstLine="480" w:firstLineChars="200"/>
              <w:rPr>
                <w:color w:val="auto"/>
              </w:rPr>
            </w:pPr>
            <w:r>
              <w:rPr>
                <w:rFonts w:hint="eastAsia"/>
                <w:color w:val="auto"/>
              </w:rPr>
              <w:t>本项目环境风险潜势为</w:t>
            </w:r>
            <w:r>
              <w:rPr>
                <w:color w:val="auto"/>
              </w:rPr>
              <w:t>I</w:t>
            </w:r>
            <w:r>
              <w:rPr>
                <w:rFonts w:hint="eastAsia"/>
                <w:color w:val="auto"/>
              </w:rPr>
              <w:t>，潜在危险性较小。建设单位应按照相关要求，做好风险防范和减缓措施，杜绝环境风险事故的发生。只要企业严格按照有关规范标准、规范及条例的要求，认真落实环境风险防范措施，则环境风险对周围环境的影响是可以接受的。</w:t>
            </w:r>
          </w:p>
          <w:p w14:paraId="33DFF4EC">
            <w:pPr>
              <w:rPr>
                <w:b/>
                <w:bCs/>
                <w:color w:val="auto"/>
              </w:rPr>
            </w:pPr>
            <w:r>
              <w:rPr>
                <w:b/>
                <w:bCs/>
                <w:color w:val="auto"/>
              </w:rPr>
              <w:t>4.</w:t>
            </w:r>
            <w:r>
              <w:rPr>
                <w:rFonts w:hint="eastAsia"/>
                <w:b/>
                <w:bCs/>
                <w:color w:val="auto"/>
              </w:rPr>
              <w:t>9电磁辐射环境影响分析</w:t>
            </w:r>
          </w:p>
          <w:p w14:paraId="483ED1FB">
            <w:pPr>
              <w:ind w:firstLine="480" w:firstLineChars="200"/>
              <w:rPr>
                <w:color w:val="auto"/>
              </w:rPr>
            </w:pPr>
            <w:r>
              <w:rPr>
                <w:rFonts w:hint="eastAsia"/>
                <w:color w:val="auto"/>
              </w:rPr>
              <w:t>本项目不属于电磁辐射类项目，无电磁辐射污染，因此无需进行电磁辐射环境影响分析。</w:t>
            </w:r>
          </w:p>
          <w:p w14:paraId="2ACA95D6">
            <w:pPr>
              <w:rPr>
                <w:b/>
                <w:bCs/>
                <w:color w:val="auto"/>
              </w:rPr>
            </w:pPr>
            <w:r>
              <w:rPr>
                <w:rFonts w:hint="eastAsia"/>
                <w:b/>
                <w:bCs/>
                <w:color w:val="auto"/>
              </w:rPr>
              <w:t>4.10项目环保措施汇总及投资</w:t>
            </w:r>
          </w:p>
          <w:p w14:paraId="4DB7EC1C">
            <w:pPr>
              <w:adjustRightInd w:val="0"/>
              <w:snapToGrid w:val="0"/>
              <w:ind w:firstLine="480" w:firstLineChars="200"/>
              <w:rPr>
                <w:bCs/>
                <w:color w:val="auto"/>
              </w:rPr>
            </w:pPr>
            <w:r>
              <w:rPr>
                <w:rFonts w:hint="eastAsia"/>
                <w:color w:val="auto"/>
              </w:rPr>
              <w:t>本</w:t>
            </w:r>
            <w:r>
              <w:rPr>
                <w:color w:val="auto"/>
              </w:rPr>
              <w:t>项目</w:t>
            </w:r>
            <w:r>
              <w:rPr>
                <w:rFonts w:hint="eastAsia"/>
                <w:color w:val="auto"/>
              </w:rPr>
              <w:t>总投资11000万元，</w:t>
            </w:r>
            <w:r>
              <w:rPr>
                <w:color w:val="auto"/>
              </w:rPr>
              <w:t>环保投资为</w:t>
            </w:r>
            <w:r>
              <w:rPr>
                <w:rFonts w:hint="eastAsia"/>
                <w:color w:val="auto"/>
              </w:rPr>
              <w:t>48</w:t>
            </w:r>
            <w:r>
              <w:rPr>
                <w:color w:val="auto"/>
              </w:rPr>
              <w:t>万元，占总投资的</w:t>
            </w:r>
            <w:r>
              <w:rPr>
                <w:rFonts w:hint="eastAsia"/>
                <w:color w:val="auto"/>
              </w:rPr>
              <w:t>0.44</w:t>
            </w:r>
            <w:r>
              <w:rPr>
                <w:color w:val="auto"/>
              </w:rPr>
              <w:t>%，环保投资估算详见下表：</w:t>
            </w:r>
          </w:p>
          <w:p w14:paraId="0F3CCFAE">
            <w:pPr>
              <w:pStyle w:val="6"/>
              <w:adjustRightInd w:val="0"/>
              <w:snapToGrid w:val="0"/>
              <w:rPr>
                <w:color w:val="auto"/>
              </w:rPr>
            </w:pPr>
            <w:r>
              <w:rPr>
                <w:color w:val="auto"/>
              </w:rPr>
              <w:t xml:space="preserve">表 </w:t>
            </w:r>
            <w:r>
              <w:rPr>
                <w:rFonts w:hint="eastAsia"/>
                <w:color w:val="auto"/>
              </w:rPr>
              <w:t xml:space="preserve">4-11 </w:t>
            </w:r>
            <w:r>
              <w:rPr>
                <w:color w:val="auto"/>
              </w:rPr>
              <w:t>环保投资一览表</w:t>
            </w:r>
          </w:p>
          <w:tbl>
            <w:tblPr>
              <w:tblStyle w:val="3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171"/>
              <w:gridCol w:w="2046"/>
              <w:gridCol w:w="3095"/>
              <w:gridCol w:w="1460"/>
            </w:tblGrid>
            <w:tr w14:paraId="5A711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1171" w:type="dxa"/>
                  <w:vAlign w:val="center"/>
                </w:tcPr>
                <w:p w14:paraId="70D5E2CE">
                  <w:pPr>
                    <w:pStyle w:val="30"/>
                    <w:framePr w:hSpace="0" w:wrap="auto" w:vAnchor="margin" w:hAnchor="text" w:xAlign="left" w:yAlign="inline"/>
                    <w:rPr>
                      <w:color w:val="auto"/>
                    </w:rPr>
                  </w:pPr>
                  <w:r>
                    <w:rPr>
                      <w:color w:val="auto"/>
                    </w:rPr>
                    <w:t>类别</w:t>
                  </w:r>
                </w:p>
              </w:tc>
              <w:tc>
                <w:tcPr>
                  <w:tcW w:w="2046" w:type="dxa"/>
                  <w:vAlign w:val="center"/>
                </w:tcPr>
                <w:p w14:paraId="1F68E445">
                  <w:pPr>
                    <w:pStyle w:val="30"/>
                    <w:framePr w:hSpace="0" w:wrap="auto" w:vAnchor="margin" w:hAnchor="text" w:xAlign="left" w:yAlign="inline"/>
                    <w:rPr>
                      <w:color w:val="auto"/>
                    </w:rPr>
                  </w:pPr>
                  <w:r>
                    <w:rPr>
                      <w:rFonts w:hint="eastAsia"/>
                      <w:color w:val="auto"/>
                    </w:rPr>
                    <w:t>污染物</w:t>
                  </w:r>
                </w:p>
              </w:tc>
              <w:tc>
                <w:tcPr>
                  <w:tcW w:w="3095" w:type="dxa"/>
                  <w:vAlign w:val="center"/>
                </w:tcPr>
                <w:p w14:paraId="6C8780CF">
                  <w:pPr>
                    <w:pStyle w:val="30"/>
                    <w:framePr w:hSpace="0" w:wrap="auto" w:vAnchor="margin" w:hAnchor="text" w:xAlign="left" w:yAlign="inline"/>
                    <w:rPr>
                      <w:color w:val="auto"/>
                    </w:rPr>
                  </w:pPr>
                  <w:r>
                    <w:rPr>
                      <w:color w:val="auto"/>
                    </w:rPr>
                    <w:t>环保投资内容</w:t>
                  </w:r>
                </w:p>
              </w:tc>
              <w:tc>
                <w:tcPr>
                  <w:tcW w:w="1460" w:type="dxa"/>
                  <w:vAlign w:val="center"/>
                </w:tcPr>
                <w:p w14:paraId="20ABAC1F">
                  <w:pPr>
                    <w:pStyle w:val="30"/>
                    <w:framePr w:hSpace="0" w:wrap="auto" w:vAnchor="margin" w:hAnchor="text" w:xAlign="left" w:yAlign="inline"/>
                    <w:rPr>
                      <w:color w:val="auto"/>
                    </w:rPr>
                  </w:pPr>
                  <w:r>
                    <w:rPr>
                      <w:color w:val="auto"/>
                    </w:rPr>
                    <w:t>投资额（万元）</w:t>
                  </w:r>
                </w:p>
              </w:tc>
            </w:tr>
            <w:tr w14:paraId="08143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1171" w:type="dxa"/>
                  <w:vAlign w:val="center"/>
                </w:tcPr>
                <w:p w14:paraId="555627EC">
                  <w:pPr>
                    <w:pStyle w:val="30"/>
                    <w:framePr w:hSpace="0" w:wrap="auto" w:vAnchor="margin" w:hAnchor="text" w:xAlign="left" w:yAlign="inline"/>
                    <w:rPr>
                      <w:color w:val="auto"/>
                    </w:rPr>
                  </w:pPr>
                  <w:r>
                    <w:rPr>
                      <w:color w:val="auto"/>
                    </w:rPr>
                    <w:t>废气治理</w:t>
                  </w:r>
                </w:p>
              </w:tc>
              <w:tc>
                <w:tcPr>
                  <w:tcW w:w="2046" w:type="dxa"/>
                  <w:vAlign w:val="center"/>
                </w:tcPr>
                <w:p w14:paraId="0C0E4030">
                  <w:pPr>
                    <w:pStyle w:val="30"/>
                    <w:framePr w:hSpace="0" w:wrap="auto" w:vAnchor="margin" w:hAnchor="text" w:xAlign="left" w:yAlign="inline"/>
                    <w:rPr>
                      <w:color w:val="auto"/>
                    </w:rPr>
                  </w:pPr>
                  <w:r>
                    <w:rPr>
                      <w:rFonts w:hint="eastAsia"/>
                      <w:color w:val="auto"/>
                    </w:rPr>
                    <w:t>投料粉尘</w:t>
                  </w:r>
                </w:p>
              </w:tc>
              <w:tc>
                <w:tcPr>
                  <w:tcW w:w="3095" w:type="dxa"/>
                  <w:vAlign w:val="center"/>
                </w:tcPr>
                <w:p w14:paraId="2E3447D0">
                  <w:pPr>
                    <w:pStyle w:val="30"/>
                    <w:framePr w:hSpace="0" w:wrap="auto" w:vAnchor="margin" w:hAnchor="text" w:xAlign="left" w:yAlign="inline"/>
                    <w:rPr>
                      <w:color w:val="auto"/>
                    </w:rPr>
                  </w:pPr>
                  <w:r>
                    <w:rPr>
                      <w:rFonts w:hint="eastAsia"/>
                      <w:color w:val="auto"/>
                      <w:lang w:val="en-US" w:eastAsia="zh-CN"/>
                    </w:rPr>
                    <w:t>布袋除尘器处理后</w:t>
                  </w:r>
                  <w:r>
                    <w:rPr>
                      <w:rFonts w:hint="eastAsia"/>
                      <w:color w:val="auto"/>
                      <w:lang w:val="en-US"/>
                    </w:rPr>
                    <w:t>无组织排放</w:t>
                  </w:r>
                </w:p>
              </w:tc>
              <w:tc>
                <w:tcPr>
                  <w:tcW w:w="1460" w:type="dxa"/>
                  <w:vAlign w:val="center"/>
                </w:tcPr>
                <w:p w14:paraId="1675947B">
                  <w:pPr>
                    <w:pStyle w:val="30"/>
                    <w:framePr w:hSpace="0" w:wrap="auto" w:vAnchor="margin" w:hAnchor="text" w:xAlign="left" w:yAlign="inline"/>
                    <w:rPr>
                      <w:color w:val="auto"/>
                      <w:lang w:val="en-US"/>
                    </w:rPr>
                  </w:pPr>
                  <w:r>
                    <w:rPr>
                      <w:rFonts w:hint="eastAsia"/>
                      <w:color w:val="auto"/>
                      <w:lang w:val="en-US"/>
                    </w:rPr>
                    <w:t>3</w:t>
                  </w:r>
                </w:p>
              </w:tc>
            </w:tr>
            <w:tr w14:paraId="06C21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1171" w:type="dxa"/>
                  <w:vMerge w:val="restart"/>
                  <w:vAlign w:val="center"/>
                </w:tcPr>
                <w:p w14:paraId="5C065C8C">
                  <w:pPr>
                    <w:pStyle w:val="30"/>
                    <w:framePr w:hSpace="0" w:wrap="auto" w:vAnchor="margin" w:hAnchor="text" w:xAlign="left" w:yAlign="inline"/>
                    <w:rPr>
                      <w:color w:val="auto"/>
                    </w:rPr>
                  </w:pPr>
                  <w:r>
                    <w:rPr>
                      <w:color w:val="auto"/>
                    </w:rPr>
                    <w:t>废水治理</w:t>
                  </w:r>
                </w:p>
              </w:tc>
              <w:tc>
                <w:tcPr>
                  <w:tcW w:w="2046" w:type="dxa"/>
                  <w:vAlign w:val="center"/>
                </w:tcPr>
                <w:p w14:paraId="3401369E">
                  <w:pPr>
                    <w:pStyle w:val="30"/>
                    <w:framePr w:hSpace="0" w:wrap="auto" w:vAnchor="margin" w:hAnchor="text" w:xAlign="left" w:yAlign="inline"/>
                    <w:rPr>
                      <w:color w:val="auto"/>
                    </w:rPr>
                  </w:pPr>
                  <w:r>
                    <w:rPr>
                      <w:color w:val="auto"/>
                    </w:rPr>
                    <w:t>生活污水</w:t>
                  </w:r>
                </w:p>
              </w:tc>
              <w:tc>
                <w:tcPr>
                  <w:tcW w:w="3095" w:type="dxa"/>
                  <w:vAlign w:val="center"/>
                </w:tcPr>
                <w:p w14:paraId="5DD41B98">
                  <w:pPr>
                    <w:pStyle w:val="30"/>
                    <w:framePr w:hSpace="0" w:wrap="auto" w:vAnchor="margin" w:hAnchor="text" w:xAlign="left" w:yAlign="inline"/>
                    <w:rPr>
                      <w:color w:val="auto"/>
                    </w:rPr>
                  </w:pPr>
                  <w:r>
                    <w:rPr>
                      <w:rFonts w:hint="eastAsia"/>
                      <w:color w:val="auto"/>
                    </w:rPr>
                    <w:t>依托园区化粪池处理</w:t>
                  </w:r>
                </w:p>
              </w:tc>
              <w:tc>
                <w:tcPr>
                  <w:tcW w:w="1460" w:type="dxa"/>
                  <w:vAlign w:val="center"/>
                </w:tcPr>
                <w:p w14:paraId="3724F0C9">
                  <w:pPr>
                    <w:pStyle w:val="30"/>
                    <w:framePr w:hSpace="0" w:wrap="auto" w:vAnchor="margin" w:hAnchor="text" w:xAlign="left" w:yAlign="inline"/>
                    <w:rPr>
                      <w:color w:val="auto"/>
                    </w:rPr>
                  </w:pPr>
                  <w:r>
                    <w:rPr>
                      <w:color w:val="auto"/>
                    </w:rPr>
                    <w:t>0</w:t>
                  </w:r>
                </w:p>
              </w:tc>
            </w:tr>
            <w:tr w14:paraId="6F083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1171" w:type="dxa"/>
                  <w:vMerge w:val="continue"/>
                  <w:vAlign w:val="center"/>
                </w:tcPr>
                <w:p w14:paraId="6E3DCF2C">
                  <w:pPr>
                    <w:pStyle w:val="30"/>
                    <w:framePr w:hSpace="0" w:wrap="auto" w:vAnchor="margin" w:hAnchor="text" w:xAlign="left" w:yAlign="inline"/>
                    <w:rPr>
                      <w:color w:val="auto"/>
                    </w:rPr>
                  </w:pPr>
                </w:p>
              </w:tc>
              <w:tc>
                <w:tcPr>
                  <w:tcW w:w="2046" w:type="dxa"/>
                  <w:vAlign w:val="center"/>
                </w:tcPr>
                <w:p w14:paraId="2C1CB46F">
                  <w:pPr>
                    <w:pStyle w:val="30"/>
                    <w:framePr w:hSpace="0" w:wrap="auto" w:vAnchor="margin" w:hAnchor="text" w:xAlign="left" w:yAlign="inline"/>
                    <w:rPr>
                      <w:color w:val="auto"/>
                    </w:rPr>
                  </w:pPr>
                  <w:r>
                    <w:rPr>
                      <w:color w:val="auto"/>
                    </w:rPr>
                    <w:t>生产废水</w:t>
                  </w:r>
                </w:p>
              </w:tc>
              <w:tc>
                <w:tcPr>
                  <w:tcW w:w="3095" w:type="dxa"/>
                  <w:vAlign w:val="center"/>
                </w:tcPr>
                <w:p w14:paraId="063952D4">
                  <w:pPr>
                    <w:pStyle w:val="30"/>
                    <w:framePr w:hSpace="0" w:wrap="auto" w:vAnchor="margin" w:hAnchor="text" w:xAlign="left" w:yAlign="inline"/>
                    <w:rPr>
                      <w:color w:val="auto"/>
                      <w:lang w:val="en-US"/>
                    </w:rPr>
                  </w:pPr>
                  <w:r>
                    <w:rPr>
                      <w:rFonts w:hint="eastAsia"/>
                      <w:color w:val="auto"/>
                    </w:rPr>
                    <w:t>隔油池</w:t>
                  </w:r>
                  <w:r>
                    <w:rPr>
                      <w:rFonts w:hint="eastAsia"/>
                      <w:color w:val="auto"/>
                      <w:lang w:val="en-US"/>
                    </w:rPr>
                    <w:t>+</w:t>
                  </w:r>
                  <w:r>
                    <w:rPr>
                      <w:rFonts w:hint="eastAsia"/>
                      <w:color w:val="auto"/>
                      <w:spacing w:val="-3"/>
                    </w:rPr>
                    <w:t>沉淀池</w:t>
                  </w:r>
                  <w:r>
                    <w:rPr>
                      <w:rFonts w:hint="eastAsia"/>
                      <w:color w:val="auto"/>
                      <w:spacing w:val="-3"/>
                      <w:lang w:val="en-US"/>
                    </w:rPr>
                    <w:t>+水解酸化+SBR</w:t>
                  </w:r>
                </w:p>
              </w:tc>
              <w:tc>
                <w:tcPr>
                  <w:tcW w:w="1460" w:type="dxa"/>
                  <w:vAlign w:val="center"/>
                </w:tcPr>
                <w:p w14:paraId="7BD51C7F">
                  <w:pPr>
                    <w:pStyle w:val="30"/>
                    <w:framePr w:hSpace="0" w:wrap="auto" w:vAnchor="margin" w:hAnchor="text" w:xAlign="left" w:yAlign="inline"/>
                    <w:rPr>
                      <w:color w:val="auto"/>
                      <w:lang w:val="en-US"/>
                    </w:rPr>
                  </w:pPr>
                  <w:r>
                    <w:rPr>
                      <w:rFonts w:hint="eastAsia"/>
                      <w:color w:val="auto"/>
                      <w:lang w:val="en-US"/>
                    </w:rPr>
                    <w:t>30</w:t>
                  </w:r>
                </w:p>
              </w:tc>
            </w:tr>
            <w:tr w14:paraId="23016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1171" w:type="dxa"/>
                  <w:vAlign w:val="center"/>
                </w:tcPr>
                <w:p w14:paraId="213C8619">
                  <w:pPr>
                    <w:pStyle w:val="30"/>
                    <w:framePr w:hSpace="0" w:wrap="auto" w:vAnchor="margin" w:hAnchor="text" w:xAlign="left" w:yAlign="inline"/>
                    <w:rPr>
                      <w:color w:val="auto"/>
                    </w:rPr>
                  </w:pPr>
                  <w:r>
                    <w:rPr>
                      <w:color w:val="auto"/>
                    </w:rPr>
                    <w:t>噪声治理</w:t>
                  </w:r>
                </w:p>
              </w:tc>
              <w:tc>
                <w:tcPr>
                  <w:tcW w:w="2046" w:type="dxa"/>
                  <w:vAlign w:val="center"/>
                </w:tcPr>
                <w:p w14:paraId="651BC5C5">
                  <w:pPr>
                    <w:pStyle w:val="30"/>
                    <w:framePr w:hSpace="0" w:wrap="auto" w:vAnchor="margin" w:hAnchor="text" w:xAlign="left" w:yAlign="inline"/>
                    <w:rPr>
                      <w:color w:val="auto"/>
                    </w:rPr>
                  </w:pPr>
                  <w:r>
                    <w:rPr>
                      <w:color w:val="auto"/>
                    </w:rPr>
                    <w:t>噪声</w:t>
                  </w:r>
                </w:p>
              </w:tc>
              <w:tc>
                <w:tcPr>
                  <w:tcW w:w="3095" w:type="dxa"/>
                  <w:vAlign w:val="center"/>
                </w:tcPr>
                <w:p w14:paraId="4EFA696B">
                  <w:pPr>
                    <w:pStyle w:val="30"/>
                    <w:framePr w:hSpace="0" w:wrap="auto" w:vAnchor="margin" w:hAnchor="text" w:xAlign="left" w:yAlign="inline"/>
                    <w:rPr>
                      <w:color w:val="auto"/>
                    </w:rPr>
                  </w:pPr>
                  <w:r>
                    <w:rPr>
                      <w:color w:val="auto"/>
                    </w:rPr>
                    <w:t>降噪设施、隔振措施</w:t>
                  </w:r>
                </w:p>
              </w:tc>
              <w:tc>
                <w:tcPr>
                  <w:tcW w:w="1460" w:type="dxa"/>
                  <w:vAlign w:val="center"/>
                </w:tcPr>
                <w:p w14:paraId="4424A86E">
                  <w:pPr>
                    <w:pStyle w:val="30"/>
                    <w:framePr w:hSpace="0" w:wrap="auto" w:vAnchor="margin" w:hAnchor="text" w:xAlign="left" w:yAlign="inline"/>
                    <w:rPr>
                      <w:color w:val="auto"/>
                      <w:lang w:val="en-US"/>
                    </w:rPr>
                  </w:pPr>
                  <w:r>
                    <w:rPr>
                      <w:rFonts w:hint="eastAsia"/>
                      <w:color w:val="auto"/>
                      <w:lang w:val="en-US"/>
                    </w:rPr>
                    <w:t>10</w:t>
                  </w:r>
                </w:p>
              </w:tc>
            </w:tr>
            <w:tr w14:paraId="53A4A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1171" w:type="dxa"/>
                  <w:vMerge w:val="restart"/>
                  <w:vAlign w:val="center"/>
                </w:tcPr>
                <w:p w14:paraId="403F4504">
                  <w:pPr>
                    <w:pStyle w:val="30"/>
                    <w:framePr w:hSpace="0" w:wrap="auto" w:vAnchor="margin" w:hAnchor="text" w:xAlign="left" w:yAlign="inline"/>
                    <w:rPr>
                      <w:color w:val="auto"/>
                    </w:rPr>
                  </w:pPr>
                  <w:r>
                    <w:rPr>
                      <w:color w:val="auto"/>
                    </w:rPr>
                    <w:t>固废</w:t>
                  </w:r>
                </w:p>
              </w:tc>
              <w:tc>
                <w:tcPr>
                  <w:tcW w:w="2046" w:type="dxa"/>
                  <w:vAlign w:val="center"/>
                </w:tcPr>
                <w:p w14:paraId="2F3D16C2">
                  <w:pPr>
                    <w:pStyle w:val="30"/>
                    <w:framePr w:hSpace="0" w:wrap="auto" w:vAnchor="margin" w:hAnchor="text" w:xAlign="left" w:yAlign="inline"/>
                    <w:rPr>
                      <w:color w:val="auto"/>
                    </w:rPr>
                  </w:pPr>
                  <w:r>
                    <w:rPr>
                      <w:rFonts w:hint="eastAsia"/>
                      <w:color w:val="auto"/>
                    </w:rPr>
                    <w:t>生活垃圾</w:t>
                  </w:r>
                </w:p>
              </w:tc>
              <w:tc>
                <w:tcPr>
                  <w:tcW w:w="3095" w:type="dxa"/>
                  <w:vAlign w:val="center"/>
                </w:tcPr>
                <w:p w14:paraId="4C464DF5">
                  <w:pPr>
                    <w:pStyle w:val="30"/>
                    <w:framePr w:hSpace="0" w:wrap="auto" w:vAnchor="margin" w:hAnchor="text" w:xAlign="left" w:yAlign="inline"/>
                    <w:rPr>
                      <w:color w:val="auto"/>
                    </w:rPr>
                  </w:pPr>
                  <w:r>
                    <w:rPr>
                      <w:rFonts w:hint="eastAsia"/>
                      <w:color w:val="auto"/>
                    </w:rPr>
                    <w:t>由环卫部门统一清运</w:t>
                  </w:r>
                </w:p>
              </w:tc>
              <w:tc>
                <w:tcPr>
                  <w:tcW w:w="1460" w:type="dxa"/>
                  <w:vMerge w:val="restart"/>
                  <w:vAlign w:val="center"/>
                </w:tcPr>
                <w:p w14:paraId="2CD95F43">
                  <w:pPr>
                    <w:pStyle w:val="30"/>
                    <w:framePr w:hSpace="0" w:wrap="auto" w:vAnchor="margin" w:hAnchor="text" w:xAlign="left" w:yAlign="inline"/>
                    <w:rPr>
                      <w:color w:val="auto"/>
                    </w:rPr>
                  </w:pPr>
                  <w:r>
                    <w:rPr>
                      <w:rFonts w:hint="eastAsia"/>
                      <w:color w:val="auto"/>
                      <w:lang w:val="en-US"/>
                    </w:rPr>
                    <w:t>5</w:t>
                  </w:r>
                </w:p>
              </w:tc>
            </w:tr>
            <w:tr w14:paraId="461AB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1171" w:type="dxa"/>
                  <w:vMerge w:val="continue"/>
                  <w:vAlign w:val="center"/>
                </w:tcPr>
                <w:p w14:paraId="7FE18B47">
                  <w:pPr>
                    <w:pStyle w:val="30"/>
                    <w:framePr w:hSpace="0" w:wrap="auto" w:vAnchor="margin" w:hAnchor="text" w:xAlign="left" w:yAlign="inline"/>
                    <w:rPr>
                      <w:color w:val="auto"/>
                    </w:rPr>
                  </w:pPr>
                </w:p>
              </w:tc>
              <w:tc>
                <w:tcPr>
                  <w:tcW w:w="2046" w:type="dxa"/>
                  <w:vAlign w:val="center"/>
                </w:tcPr>
                <w:p w14:paraId="7D3FD4B3">
                  <w:pPr>
                    <w:pStyle w:val="30"/>
                    <w:framePr w:hSpace="0" w:wrap="auto" w:vAnchor="margin" w:hAnchor="text" w:xAlign="left" w:yAlign="inline"/>
                    <w:rPr>
                      <w:color w:val="auto"/>
                    </w:rPr>
                  </w:pPr>
                  <w:r>
                    <w:rPr>
                      <w:rFonts w:hint="eastAsia"/>
                      <w:color w:val="auto"/>
                    </w:rPr>
                    <w:t>废包装材料</w:t>
                  </w:r>
                </w:p>
              </w:tc>
              <w:tc>
                <w:tcPr>
                  <w:tcW w:w="3095" w:type="dxa"/>
                  <w:vAlign w:val="center"/>
                </w:tcPr>
                <w:p w14:paraId="43A70D48">
                  <w:pPr>
                    <w:pStyle w:val="30"/>
                    <w:framePr w:hSpace="0" w:wrap="auto" w:vAnchor="margin" w:hAnchor="text" w:xAlign="left" w:yAlign="inline"/>
                    <w:rPr>
                      <w:color w:val="auto"/>
                    </w:rPr>
                  </w:pPr>
                  <w:r>
                    <w:rPr>
                      <w:rFonts w:hint="eastAsia"/>
                      <w:color w:val="auto"/>
                    </w:rPr>
                    <w:t>外售给物资回收公司</w:t>
                  </w:r>
                </w:p>
              </w:tc>
              <w:tc>
                <w:tcPr>
                  <w:tcW w:w="1460" w:type="dxa"/>
                  <w:vMerge w:val="continue"/>
                  <w:vAlign w:val="center"/>
                </w:tcPr>
                <w:p w14:paraId="5203353C">
                  <w:pPr>
                    <w:pStyle w:val="30"/>
                    <w:framePr w:hSpace="0" w:wrap="auto" w:vAnchor="margin" w:hAnchor="text" w:xAlign="left" w:yAlign="inline"/>
                    <w:rPr>
                      <w:color w:val="auto"/>
                      <w:lang w:val="en-US"/>
                    </w:rPr>
                  </w:pPr>
                </w:p>
              </w:tc>
            </w:tr>
            <w:tr w14:paraId="7ACFA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1171" w:type="dxa"/>
                  <w:vMerge w:val="continue"/>
                  <w:vAlign w:val="center"/>
                </w:tcPr>
                <w:p w14:paraId="7E20844A">
                  <w:pPr>
                    <w:pStyle w:val="30"/>
                    <w:framePr w:hSpace="0" w:wrap="auto" w:vAnchor="margin" w:hAnchor="text" w:xAlign="left" w:yAlign="inline"/>
                    <w:rPr>
                      <w:color w:val="auto"/>
                    </w:rPr>
                  </w:pPr>
                </w:p>
              </w:tc>
              <w:tc>
                <w:tcPr>
                  <w:tcW w:w="2046" w:type="dxa"/>
                  <w:vAlign w:val="center"/>
                </w:tcPr>
                <w:p w14:paraId="56350B91">
                  <w:pPr>
                    <w:pStyle w:val="30"/>
                    <w:framePr w:hSpace="0" w:wrap="auto" w:vAnchor="margin" w:hAnchor="text" w:xAlign="left" w:yAlign="inline"/>
                    <w:rPr>
                      <w:color w:val="auto"/>
                    </w:rPr>
                  </w:pPr>
                  <w:r>
                    <w:rPr>
                      <w:rFonts w:hint="eastAsia"/>
                      <w:color w:val="auto"/>
                    </w:rPr>
                    <w:t>不合格品、调味料渣、废动植物油</w:t>
                  </w:r>
                </w:p>
              </w:tc>
              <w:tc>
                <w:tcPr>
                  <w:tcW w:w="3095" w:type="dxa"/>
                  <w:vAlign w:val="center"/>
                </w:tcPr>
                <w:p w14:paraId="4417F9F8">
                  <w:pPr>
                    <w:pStyle w:val="30"/>
                    <w:framePr w:hSpace="0" w:wrap="auto" w:vAnchor="margin" w:hAnchor="text" w:xAlign="left" w:yAlign="inline"/>
                    <w:rPr>
                      <w:color w:val="auto"/>
                    </w:rPr>
                  </w:pPr>
                  <w:r>
                    <w:rPr>
                      <w:rFonts w:hint="eastAsia"/>
                      <w:color w:val="auto"/>
                    </w:rPr>
                    <w:t>委托处理</w:t>
                  </w:r>
                </w:p>
              </w:tc>
              <w:tc>
                <w:tcPr>
                  <w:tcW w:w="1460" w:type="dxa"/>
                  <w:vMerge w:val="continue"/>
                  <w:vAlign w:val="center"/>
                </w:tcPr>
                <w:p w14:paraId="5AAE4FD3">
                  <w:pPr>
                    <w:pStyle w:val="30"/>
                    <w:framePr w:hSpace="0" w:wrap="auto" w:vAnchor="margin" w:hAnchor="text" w:xAlign="left" w:yAlign="inline"/>
                    <w:rPr>
                      <w:color w:val="auto"/>
                      <w:lang w:val="en-US"/>
                    </w:rPr>
                  </w:pPr>
                </w:p>
              </w:tc>
            </w:tr>
            <w:tr w14:paraId="421E8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1171" w:type="dxa"/>
                  <w:vMerge w:val="continue"/>
                  <w:vAlign w:val="center"/>
                </w:tcPr>
                <w:p w14:paraId="3F39C38E">
                  <w:pPr>
                    <w:pStyle w:val="30"/>
                    <w:framePr w:hSpace="0" w:wrap="auto" w:vAnchor="margin" w:hAnchor="text" w:xAlign="left" w:yAlign="inline"/>
                    <w:rPr>
                      <w:color w:val="auto"/>
                    </w:rPr>
                  </w:pPr>
                </w:p>
              </w:tc>
              <w:tc>
                <w:tcPr>
                  <w:tcW w:w="2046" w:type="dxa"/>
                  <w:vAlign w:val="center"/>
                </w:tcPr>
                <w:p w14:paraId="50422E3C">
                  <w:pPr>
                    <w:pStyle w:val="30"/>
                    <w:framePr w:hSpace="0" w:wrap="auto" w:vAnchor="margin" w:hAnchor="text" w:xAlign="left" w:yAlign="inline"/>
                    <w:rPr>
                      <w:color w:val="auto"/>
                    </w:rPr>
                  </w:pPr>
                  <w:r>
                    <w:rPr>
                      <w:rFonts w:hint="eastAsia"/>
                      <w:color w:val="auto"/>
                      <w:lang w:val="en-US"/>
                    </w:rPr>
                    <w:t>废过滤器</w:t>
                  </w:r>
                </w:p>
              </w:tc>
              <w:tc>
                <w:tcPr>
                  <w:tcW w:w="3095" w:type="dxa"/>
                  <w:vAlign w:val="center"/>
                </w:tcPr>
                <w:p w14:paraId="13A1141E">
                  <w:pPr>
                    <w:pStyle w:val="30"/>
                    <w:framePr w:hSpace="0" w:wrap="auto" w:vAnchor="margin" w:hAnchor="text" w:xAlign="left" w:yAlign="inline"/>
                    <w:rPr>
                      <w:color w:val="auto"/>
                    </w:rPr>
                  </w:pPr>
                  <w:r>
                    <w:rPr>
                      <w:rFonts w:hint="eastAsia"/>
                      <w:color w:val="auto"/>
                      <w:lang w:val="en-US"/>
                    </w:rPr>
                    <w:t>交由物资回收公司回收处理</w:t>
                  </w:r>
                </w:p>
              </w:tc>
              <w:tc>
                <w:tcPr>
                  <w:tcW w:w="1460" w:type="dxa"/>
                  <w:vMerge w:val="continue"/>
                  <w:vAlign w:val="center"/>
                </w:tcPr>
                <w:p w14:paraId="48323A70">
                  <w:pPr>
                    <w:pStyle w:val="30"/>
                    <w:framePr w:hSpace="0" w:wrap="auto" w:vAnchor="margin" w:hAnchor="text" w:xAlign="left" w:yAlign="inline"/>
                    <w:rPr>
                      <w:color w:val="auto"/>
                      <w:lang w:val="en-US"/>
                    </w:rPr>
                  </w:pPr>
                </w:p>
              </w:tc>
            </w:tr>
            <w:tr w14:paraId="51FE6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1171" w:type="dxa"/>
                  <w:vMerge w:val="continue"/>
                  <w:vAlign w:val="center"/>
                </w:tcPr>
                <w:p w14:paraId="570ACA3B">
                  <w:pPr>
                    <w:pStyle w:val="30"/>
                    <w:framePr w:hSpace="0" w:wrap="auto" w:vAnchor="margin" w:hAnchor="text" w:xAlign="left" w:yAlign="inline"/>
                    <w:rPr>
                      <w:color w:val="auto"/>
                    </w:rPr>
                  </w:pPr>
                </w:p>
              </w:tc>
              <w:tc>
                <w:tcPr>
                  <w:tcW w:w="2046" w:type="dxa"/>
                  <w:vAlign w:val="center"/>
                </w:tcPr>
                <w:p w14:paraId="665736C8">
                  <w:pPr>
                    <w:pStyle w:val="30"/>
                    <w:framePr w:hSpace="0" w:wrap="auto" w:vAnchor="margin" w:hAnchor="text" w:xAlign="left" w:yAlign="inline"/>
                    <w:rPr>
                      <w:color w:val="auto"/>
                    </w:rPr>
                  </w:pPr>
                  <w:r>
                    <w:rPr>
                      <w:rFonts w:hint="eastAsia"/>
                      <w:color w:val="auto"/>
                    </w:rPr>
                    <w:t>废荧光灯管</w:t>
                  </w:r>
                </w:p>
              </w:tc>
              <w:tc>
                <w:tcPr>
                  <w:tcW w:w="3095" w:type="dxa"/>
                  <w:vAlign w:val="center"/>
                </w:tcPr>
                <w:p w14:paraId="4021CC71">
                  <w:pPr>
                    <w:pStyle w:val="30"/>
                    <w:framePr w:hSpace="0" w:wrap="auto" w:vAnchor="margin" w:hAnchor="text" w:xAlign="left" w:yAlign="inline"/>
                    <w:rPr>
                      <w:color w:val="auto"/>
                    </w:rPr>
                  </w:pPr>
                  <w:r>
                    <w:rPr>
                      <w:rFonts w:hint="eastAsia"/>
                      <w:color w:val="auto"/>
                    </w:rPr>
                    <w:t>交由有资质单位处置</w:t>
                  </w:r>
                </w:p>
              </w:tc>
              <w:tc>
                <w:tcPr>
                  <w:tcW w:w="1460" w:type="dxa"/>
                  <w:vMerge w:val="continue"/>
                  <w:vAlign w:val="center"/>
                </w:tcPr>
                <w:p w14:paraId="32D5CC97">
                  <w:pPr>
                    <w:pStyle w:val="30"/>
                    <w:framePr w:hSpace="0" w:wrap="auto" w:vAnchor="margin" w:hAnchor="text" w:xAlign="left" w:yAlign="inline"/>
                    <w:rPr>
                      <w:color w:val="auto"/>
                      <w:lang w:val="en-US"/>
                    </w:rPr>
                  </w:pPr>
                </w:p>
              </w:tc>
            </w:tr>
            <w:tr w14:paraId="735F8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6312" w:type="dxa"/>
                  <w:gridSpan w:val="3"/>
                  <w:vAlign w:val="center"/>
                </w:tcPr>
                <w:p w14:paraId="75BE2E11">
                  <w:pPr>
                    <w:pStyle w:val="30"/>
                    <w:framePr w:hSpace="0" w:wrap="auto" w:vAnchor="margin" w:hAnchor="text" w:xAlign="left" w:yAlign="inline"/>
                    <w:rPr>
                      <w:color w:val="auto"/>
                    </w:rPr>
                  </w:pPr>
                  <w:r>
                    <w:rPr>
                      <w:color w:val="auto"/>
                    </w:rPr>
                    <w:t>合计</w:t>
                  </w:r>
                </w:p>
              </w:tc>
              <w:tc>
                <w:tcPr>
                  <w:tcW w:w="1460" w:type="dxa"/>
                  <w:vAlign w:val="center"/>
                </w:tcPr>
                <w:p w14:paraId="3D10DABB">
                  <w:pPr>
                    <w:pStyle w:val="30"/>
                    <w:framePr w:hSpace="0" w:wrap="auto" w:vAnchor="margin" w:hAnchor="text" w:xAlign="left" w:yAlign="inline"/>
                    <w:rPr>
                      <w:color w:val="auto"/>
                      <w:lang w:val="en-US"/>
                    </w:rPr>
                  </w:pPr>
                  <w:r>
                    <w:rPr>
                      <w:rFonts w:hint="eastAsia"/>
                      <w:color w:val="auto"/>
                      <w:lang w:val="en-US"/>
                    </w:rPr>
                    <w:t>48</w:t>
                  </w:r>
                </w:p>
              </w:tc>
            </w:tr>
          </w:tbl>
          <w:p w14:paraId="1C8903BA">
            <w:pPr>
              <w:rPr>
                <w:b/>
                <w:bCs/>
                <w:color w:val="auto"/>
              </w:rPr>
            </w:pPr>
            <w:r>
              <w:rPr>
                <w:rFonts w:hint="eastAsia"/>
                <w:b/>
                <w:bCs/>
                <w:color w:val="auto"/>
              </w:rPr>
              <w:t>4.11三同时验收</w:t>
            </w:r>
          </w:p>
          <w:p w14:paraId="1842AB0C">
            <w:pPr>
              <w:ind w:firstLine="480" w:firstLineChars="200"/>
              <w:rPr>
                <w:color w:val="auto"/>
              </w:rPr>
            </w:pPr>
            <w:r>
              <w:rPr>
                <w:rFonts w:hint="eastAsia"/>
                <w:color w:val="auto"/>
              </w:rPr>
              <w:t>根据《建设项目环境保护管理条例》（2017年7月16日修订），建设项目设计和施工中应严格落实“三同时”制度，建设单位应按照国家及本市有关法律法规、建设项目竣工环境保护验收技术规范、建设项目环境影响报告书（表）和审批决定等要求，自主开展相关验收工作。建设项目配套建设的环境保护设施经验收合格，方可投入生产或者使用；未经验收或者验收不合格的，不得投入生产或者使用。</w:t>
            </w:r>
          </w:p>
          <w:p w14:paraId="3FCDD14F">
            <w:pPr>
              <w:ind w:firstLine="480" w:firstLineChars="200"/>
              <w:rPr>
                <w:color w:val="auto"/>
              </w:rPr>
            </w:pPr>
            <w:r>
              <w:rPr>
                <w:rFonts w:hint="eastAsia"/>
                <w:color w:val="auto"/>
              </w:rPr>
              <w:t>建设单位是建设项目竣工环境保护验收的责任主体，应当按照《建设项目竣工环境保护验收暂行办法》（国环规环评〔2017〕4号）、《建设项目竣工环境保护验收技术指南污染影响类》（生态环境部办公厅2018年5月16日印发）规定的程序和标准，组织对配套建设的环境保护设施进行验收，编制验收报告，公开相关信息，接受社会监督，确保建设项目需要配套建设的环境保护设施与主体工程同时投产或者使用，并对验收内容、结论和所公开信息的真实性、准确性和完整性负责，不得在验收中弄虚作假。</w:t>
            </w:r>
          </w:p>
          <w:p w14:paraId="358BD38D">
            <w:pPr>
              <w:rPr>
                <w:color w:val="auto"/>
              </w:rPr>
            </w:pPr>
            <w:r>
              <w:rPr>
                <w:rFonts w:hint="eastAsia"/>
                <w:color w:val="auto"/>
              </w:rPr>
              <w:t>建设项目竣工后，除需要取得排污许可证的水和大气污染防治设施外，其他环境保护设施的验收期限一般不超过3个月，需要对该类环境保护设施进行调试或者调整的，验收期限可以适当延期，但最长不超过12个月。根据《排污许可证管理暂行规定》，建设单位属于排污许可管理范围内，应持证排污，禁止无证排污或不按证排污。</w:t>
            </w:r>
          </w:p>
        </w:tc>
      </w:tr>
    </w:tbl>
    <w:p w14:paraId="40A16907">
      <w:pPr>
        <w:rPr>
          <w:color w:val="0000FF"/>
        </w:rPr>
        <w:sectPr>
          <w:pgSz w:w="11906" w:h="16838"/>
          <w:pgMar w:top="1440" w:right="1800" w:bottom="1440" w:left="1800" w:header="851" w:footer="992" w:gutter="0"/>
          <w:cols w:space="425" w:num="1"/>
          <w:docGrid w:type="lines" w:linePitch="312" w:charSpace="0"/>
        </w:sectPr>
      </w:pPr>
    </w:p>
    <w:p w14:paraId="222EDF20">
      <w:pPr>
        <w:pStyle w:val="2"/>
        <w:bidi w:val="0"/>
      </w:pPr>
      <w:bookmarkStart w:id="66" w:name="_Toc28110"/>
      <w:r>
        <w:t>五、</w:t>
      </w:r>
      <w:bookmarkStart w:id="67" w:name="_Hlk54167917"/>
      <w:r>
        <w:t>环境保护措施监督检查清单</w:t>
      </w:r>
      <w:bookmarkEnd w:id="66"/>
      <w:bookmarkEnd w:id="67"/>
    </w:p>
    <w:tbl>
      <w:tblPr>
        <w:tblStyle w:val="23"/>
        <w:tblpPr w:vertAnchor="text" w:tblpXSpec="center" w:tblpY="1"/>
        <w:tblOverlap w:val="never"/>
        <w:tblW w:w="5000" w:type="pct"/>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57" w:type="dxa"/>
          <w:bottom w:w="0" w:type="dxa"/>
          <w:right w:w="57" w:type="dxa"/>
        </w:tblCellMar>
      </w:tblPr>
      <w:tblGrid>
        <w:gridCol w:w="1532"/>
        <w:gridCol w:w="1334"/>
        <w:gridCol w:w="1295"/>
        <w:gridCol w:w="2567"/>
        <w:gridCol w:w="2456"/>
      </w:tblGrid>
      <w:tr w14:paraId="22ABA48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1532" w:type="dxa"/>
            <w:tcBorders>
              <w:tl2br w:val="single" w:color="auto" w:sz="4" w:space="0"/>
            </w:tcBorders>
            <w:vAlign w:val="center"/>
          </w:tcPr>
          <w:p w14:paraId="33E029EA">
            <w:pPr>
              <w:adjustRightInd w:val="0"/>
              <w:snapToGrid w:val="0"/>
              <w:spacing w:line="240" w:lineRule="auto"/>
              <w:jc w:val="right"/>
              <w:rPr>
                <w:color w:val="auto"/>
                <w:sz w:val="21"/>
                <w:szCs w:val="21"/>
              </w:rPr>
            </w:pPr>
            <w:r>
              <w:rPr>
                <w:color w:val="auto"/>
                <w:sz w:val="21"/>
                <w:szCs w:val="21"/>
              </w:rPr>
              <w:t>内容</w:t>
            </w:r>
          </w:p>
          <w:p w14:paraId="1D2AC180">
            <w:pPr>
              <w:adjustRightInd w:val="0"/>
              <w:snapToGrid w:val="0"/>
              <w:spacing w:line="240" w:lineRule="auto"/>
              <w:rPr>
                <w:color w:val="auto"/>
                <w:sz w:val="21"/>
                <w:szCs w:val="21"/>
              </w:rPr>
            </w:pPr>
            <w:r>
              <w:rPr>
                <w:color w:val="auto"/>
                <w:sz w:val="21"/>
                <w:szCs w:val="21"/>
              </w:rPr>
              <w:t>要素</w:t>
            </w:r>
          </w:p>
        </w:tc>
        <w:tc>
          <w:tcPr>
            <w:tcW w:w="1334" w:type="dxa"/>
            <w:vAlign w:val="center"/>
          </w:tcPr>
          <w:p w14:paraId="546FA6AA">
            <w:pPr>
              <w:adjustRightInd w:val="0"/>
              <w:snapToGrid w:val="0"/>
              <w:spacing w:line="240" w:lineRule="auto"/>
              <w:jc w:val="center"/>
              <w:rPr>
                <w:color w:val="auto"/>
                <w:sz w:val="21"/>
                <w:szCs w:val="21"/>
              </w:rPr>
            </w:pPr>
            <w:r>
              <w:rPr>
                <w:color w:val="auto"/>
                <w:sz w:val="21"/>
                <w:szCs w:val="21"/>
              </w:rPr>
              <w:t>排放口（编号、名称）/污染源</w:t>
            </w:r>
          </w:p>
        </w:tc>
        <w:tc>
          <w:tcPr>
            <w:tcW w:w="1295" w:type="dxa"/>
            <w:vAlign w:val="center"/>
          </w:tcPr>
          <w:p w14:paraId="600A89A8">
            <w:pPr>
              <w:adjustRightInd w:val="0"/>
              <w:snapToGrid w:val="0"/>
              <w:spacing w:line="240" w:lineRule="auto"/>
              <w:jc w:val="center"/>
              <w:rPr>
                <w:color w:val="auto"/>
                <w:sz w:val="21"/>
                <w:szCs w:val="21"/>
              </w:rPr>
            </w:pPr>
            <w:r>
              <w:rPr>
                <w:color w:val="auto"/>
                <w:sz w:val="21"/>
                <w:szCs w:val="21"/>
              </w:rPr>
              <w:t>污染物项目</w:t>
            </w:r>
          </w:p>
        </w:tc>
        <w:tc>
          <w:tcPr>
            <w:tcW w:w="2567" w:type="dxa"/>
            <w:vAlign w:val="center"/>
          </w:tcPr>
          <w:p w14:paraId="56590671">
            <w:pPr>
              <w:adjustRightInd w:val="0"/>
              <w:snapToGrid w:val="0"/>
              <w:spacing w:line="240" w:lineRule="auto"/>
              <w:jc w:val="center"/>
              <w:rPr>
                <w:color w:val="auto"/>
                <w:sz w:val="21"/>
                <w:szCs w:val="21"/>
              </w:rPr>
            </w:pPr>
            <w:r>
              <w:rPr>
                <w:color w:val="auto"/>
                <w:sz w:val="21"/>
                <w:szCs w:val="21"/>
              </w:rPr>
              <w:t>环境保护措施</w:t>
            </w:r>
          </w:p>
        </w:tc>
        <w:tc>
          <w:tcPr>
            <w:tcW w:w="2456" w:type="dxa"/>
            <w:vAlign w:val="center"/>
          </w:tcPr>
          <w:p w14:paraId="2A322C8B">
            <w:pPr>
              <w:adjustRightInd w:val="0"/>
              <w:snapToGrid w:val="0"/>
              <w:spacing w:line="240" w:lineRule="auto"/>
              <w:jc w:val="center"/>
              <w:rPr>
                <w:color w:val="auto"/>
                <w:sz w:val="21"/>
                <w:szCs w:val="21"/>
              </w:rPr>
            </w:pPr>
            <w:r>
              <w:rPr>
                <w:color w:val="auto"/>
                <w:sz w:val="21"/>
                <w:szCs w:val="21"/>
              </w:rPr>
              <w:t>执行标准</w:t>
            </w:r>
          </w:p>
        </w:tc>
      </w:tr>
      <w:tr w14:paraId="51C0F82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1532" w:type="dxa"/>
            <w:vAlign w:val="center"/>
          </w:tcPr>
          <w:p w14:paraId="129618E0">
            <w:pPr>
              <w:adjustRightInd w:val="0"/>
              <w:snapToGrid w:val="0"/>
              <w:spacing w:line="240" w:lineRule="auto"/>
              <w:jc w:val="center"/>
              <w:rPr>
                <w:color w:val="auto"/>
                <w:sz w:val="21"/>
                <w:szCs w:val="21"/>
              </w:rPr>
            </w:pPr>
            <w:r>
              <w:rPr>
                <w:color w:val="auto"/>
                <w:sz w:val="21"/>
                <w:szCs w:val="21"/>
              </w:rPr>
              <w:t>大气环境</w:t>
            </w:r>
          </w:p>
        </w:tc>
        <w:tc>
          <w:tcPr>
            <w:tcW w:w="1334" w:type="dxa"/>
            <w:vAlign w:val="center"/>
          </w:tcPr>
          <w:p w14:paraId="0B9B1365">
            <w:pPr>
              <w:adjustRightInd w:val="0"/>
              <w:snapToGrid w:val="0"/>
              <w:spacing w:line="240" w:lineRule="auto"/>
              <w:jc w:val="center"/>
              <w:rPr>
                <w:color w:val="auto"/>
                <w:sz w:val="21"/>
                <w:szCs w:val="21"/>
              </w:rPr>
            </w:pPr>
            <w:r>
              <w:rPr>
                <w:color w:val="auto"/>
                <w:sz w:val="21"/>
                <w:szCs w:val="21"/>
              </w:rPr>
              <w:t>投料粉尘</w:t>
            </w:r>
          </w:p>
        </w:tc>
        <w:tc>
          <w:tcPr>
            <w:tcW w:w="1295" w:type="dxa"/>
            <w:vAlign w:val="center"/>
          </w:tcPr>
          <w:p w14:paraId="3D748D33">
            <w:pPr>
              <w:adjustRightInd w:val="0"/>
              <w:snapToGrid w:val="0"/>
              <w:spacing w:line="240" w:lineRule="auto"/>
              <w:jc w:val="center"/>
              <w:rPr>
                <w:color w:val="auto"/>
                <w:sz w:val="21"/>
                <w:szCs w:val="21"/>
              </w:rPr>
            </w:pPr>
            <w:r>
              <w:rPr>
                <w:color w:val="auto"/>
                <w:sz w:val="21"/>
                <w:szCs w:val="21"/>
              </w:rPr>
              <w:t>颗粒物</w:t>
            </w:r>
          </w:p>
        </w:tc>
        <w:tc>
          <w:tcPr>
            <w:tcW w:w="2567" w:type="dxa"/>
            <w:vAlign w:val="center"/>
          </w:tcPr>
          <w:p w14:paraId="41D0E30D">
            <w:pPr>
              <w:adjustRightInd w:val="0"/>
              <w:snapToGrid w:val="0"/>
              <w:spacing w:line="240" w:lineRule="auto"/>
              <w:jc w:val="center"/>
              <w:rPr>
                <w:color w:val="auto"/>
                <w:sz w:val="21"/>
                <w:szCs w:val="21"/>
              </w:rPr>
            </w:pPr>
            <w:r>
              <w:rPr>
                <w:rFonts w:hint="eastAsia" w:ascii="Times New Roman" w:hAnsi="Times New Roman" w:eastAsia="宋体" w:cs="Times New Roman"/>
                <w:color w:val="auto"/>
                <w:sz w:val="21"/>
                <w:szCs w:val="21"/>
                <w:lang w:val="en-US" w:eastAsia="zh-CN"/>
              </w:rPr>
              <w:t>经布袋除尘器处理后</w:t>
            </w:r>
            <w:r>
              <w:rPr>
                <w:rFonts w:hint="eastAsia" w:ascii="Times New Roman" w:hAnsi="Times New Roman" w:eastAsia="宋体" w:cs="Times New Roman"/>
                <w:color w:val="auto"/>
                <w:sz w:val="21"/>
                <w:szCs w:val="21"/>
              </w:rPr>
              <w:t>通过洁净车间换气</w:t>
            </w:r>
            <w:r>
              <w:rPr>
                <w:rFonts w:hint="eastAsia"/>
                <w:color w:val="auto"/>
                <w:sz w:val="21"/>
                <w:szCs w:val="21"/>
              </w:rPr>
              <w:t>系统排放</w:t>
            </w:r>
          </w:p>
        </w:tc>
        <w:tc>
          <w:tcPr>
            <w:tcW w:w="2456" w:type="dxa"/>
            <w:vAlign w:val="center"/>
          </w:tcPr>
          <w:p w14:paraId="0D7F3692">
            <w:pPr>
              <w:adjustRightInd w:val="0"/>
              <w:snapToGrid w:val="0"/>
              <w:spacing w:line="240" w:lineRule="auto"/>
              <w:rPr>
                <w:color w:val="auto"/>
                <w:sz w:val="21"/>
                <w:szCs w:val="21"/>
              </w:rPr>
            </w:pPr>
            <w:r>
              <w:rPr>
                <w:color w:val="auto"/>
                <w:sz w:val="21"/>
                <w:szCs w:val="21"/>
              </w:rPr>
              <w:t>《大气污染物综合排放标准》（GB16297-1996）中无组织排放监控浓度限值</w:t>
            </w:r>
          </w:p>
        </w:tc>
      </w:tr>
      <w:tr w14:paraId="43333A1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1532" w:type="dxa"/>
            <w:vAlign w:val="center"/>
          </w:tcPr>
          <w:p w14:paraId="04A3DC36">
            <w:pPr>
              <w:adjustRightInd w:val="0"/>
              <w:snapToGrid w:val="0"/>
              <w:spacing w:line="240" w:lineRule="auto"/>
              <w:jc w:val="center"/>
              <w:rPr>
                <w:color w:val="auto"/>
                <w:sz w:val="21"/>
                <w:szCs w:val="21"/>
              </w:rPr>
            </w:pPr>
            <w:r>
              <w:rPr>
                <w:color w:val="auto"/>
                <w:sz w:val="21"/>
                <w:szCs w:val="21"/>
              </w:rPr>
              <w:t>地表水环境</w:t>
            </w:r>
          </w:p>
        </w:tc>
        <w:tc>
          <w:tcPr>
            <w:tcW w:w="1334" w:type="dxa"/>
            <w:vAlign w:val="center"/>
          </w:tcPr>
          <w:p w14:paraId="1818F606">
            <w:pPr>
              <w:adjustRightInd w:val="0"/>
              <w:snapToGrid w:val="0"/>
              <w:spacing w:line="240" w:lineRule="auto"/>
              <w:jc w:val="center"/>
              <w:rPr>
                <w:color w:val="auto"/>
                <w:sz w:val="21"/>
                <w:szCs w:val="21"/>
              </w:rPr>
            </w:pPr>
            <w:r>
              <w:rPr>
                <w:color w:val="auto"/>
                <w:sz w:val="21"/>
                <w:szCs w:val="21"/>
              </w:rPr>
              <w:t>厂区总排口（DW001）</w:t>
            </w:r>
          </w:p>
        </w:tc>
        <w:tc>
          <w:tcPr>
            <w:tcW w:w="1295" w:type="dxa"/>
            <w:vAlign w:val="center"/>
          </w:tcPr>
          <w:p w14:paraId="768B118B">
            <w:pPr>
              <w:adjustRightInd w:val="0"/>
              <w:snapToGrid w:val="0"/>
              <w:spacing w:line="240" w:lineRule="auto"/>
              <w:jc w:val="center"/>
              <w:rPr>
                <w:color w:val="auto"/>
                <w:sz w:val="21"/>
                <w:szCs w:val="21"/>
              </w:rPr>
            </w:pPr>
            <w:r>
              <w:rPr>
                <w:color w:val="auto"/>
                <w:sz w:val="21"/>
                <w:szCs w:val="21"/>
              </w:rPr>
              <w:t>pH、COD</w:t>
            </w:r>
            <w:r>
              <w:rPr>
                <w:rFonts w:hint="eastAsia"/>
                <w:color w:val="auto"/>
                <w:sz w:val="21"/>
                <w:szCs w:val="21"/>
              </w:rPr>
              <w:t>cr</w:t>
            </w:r>
            <w:r>
              <w:rPr>
                <w:color w:val="auto"/>
                <w:sz w:val="21"/>
                <w:szCs w:val="21"/>
              </w:rPr>
              <w:t>、</w:t>
            </w:r>
            <w:r>
              <w:rPr>
                <w:rFonts w:hint="eastAsia"/>
                <w:color w:val="auto"/>
                <w:sz w:val="21"/>
                <w:szCs w:val="21"/>
              </w:rPr>
              <w:t>BOD</w:t>
            </w:r>
            <w:r>
              <w:rPr>
                <w:rFonts w:hint="eastAsia"/>
                <w:color w:val="auto"/>
                <w:sz w:val="21"/>
                <w:szCs w:val="21"/>
                <w:vertAlign w:val="subscript"/>
              </w:rPr>
              <w:t>5</w:t>
            </w:r>
            <w:r>
              <w:rPr>
                <w:rFonts w:hint="eastAsia"/>
                <w:color w:val="auto"/>
                <w:sz w:val="21"/>
                <w:szCs w:val="21"/>
              </w:rPr>
              <w:t>、</w:t>
            </w:r>
            <w:r>
              <w:rPr>
                <w:color w:val="auto"/>
                <w:sz w:val="21"/>
                <w:szCs w:val="21"/>
              </w:rPr>
              <w:t>氨氮、SS、</w:t>
            </w:r>
            <w:r>
              <w:rPr>
                <w:rFonts w:hint="eastAsia"/>
                <w:color w:val="auto"/>
                <w:sz w:val="21"/>
                <w:szCs w:val="21"/>
              </w:rPr>
              <w:t>总氮、</w:t>
            </w:r>
            <w:r>
              <w:rPr>
                <w:color w:val="auto"/>
                <w:sz w:val="21"/>
                <w:szCs w:val="21"/>
              </w:rPr>
              <w:t>总磷、动植物油</w:t>
            </w:r>
          </w:p>
        </w:tc>
        <w:tc>
          <w:tcPr>
            <w:tcW w:w="2567" w:type="dxa"/>
            <w:vAlign w:val="center"/>
          </w:tcPr>
          <w:p w14:paraId="791C9961">
            <w:pPr>
              <w:adjustRightInd w:val="0"/>
              <w:snapToGrid w:val="0"/>
              <w:spacing w:line="240" w:lineRule="auto"/>
              <w:jc w:val="center"/>
              <w:rPr>
                <w:color w:val="auto"/>
                <w:sz w:val="21"/>
                <w:szCs w:val="21"/>
              </w:rPr>
            </w:pPr>
            <w:r>
              <w:rPr>
                <w:color w:val="auto"/>
                <w:sz w:val="21"/>
                <w:szCs w:val="21"/>
              </w:rPr>
              <w:t>生活污水依托产业园内化粪池预处理，生产废水经</w:t>
            </w:r>
            <w:r>
              <w:rPr>
                <w:rFonts w:hint="eastAsia"/>
                <w:color w:val="auto"/>
                <w:sz w:val="21"/>
                <w:szCs w:val="21"/>
              </w:rPr>
              <w:t>废水处理设施</w:t>
            </w:r>
            <w:r>
              <w:rPr>
                <w:color w:val="auto"/>
                <w:sz w:val="21"/>
                <w:szCs w:val="21"/>
              </w:rPr>
              <w:t>处理</w:t>
            </w:r>
            <w:r>
              <w:rPr>
                <w:rFonts w:hint="eastAsia"/>
                <w:color w:val="auto"/>
                <w:sz w:val="21"/>
                <w:szCs w:val="21"/>
              </w:rPr>
              <w:t>达标</w:t>
            </w:r>
            <w:r>
              <w:rPr>
                <w:color w:val="auto"/>
                <w:sz w:val="21"/>
                <w:szCs w:val="21"/>
              </w:rPr>
              <w:t>后汇同生活污水纳管排入产业园内污水管网，然后由市政污水管网排入淮南经开区工业污水处理厂处理。</w:t>
            </w:r>
          </w:p>
        </w:tc>
        <w:tc>
          <w:tcPr>
            <w:tcW w:w="2456" w:type="dxa"/>
            <w:vAlign w:val="center"/>
          </w:tcPr>
          <w:p w14:paraId="3A486F95">
            <w:pPr>
              <w:adjustRightInd w:val="0"/>
              <w:snapToGrid w:val="0"/>
              <w:spacing w:line="240" w:lineRule="auto"/>
              <w:rPr>
                <w:color w:val="auto"/>
                <w:sz w:val="21"/>
                <w:szCs w:val="21"/>
              </w:rPr>
            </w:pPr>
            <w:r>
              <w:rPr>
                <w:rFonts w:hint="eastAsia"/>
                <w:color w:val="auto"/>
                <w:sz w:val="21"/>
                <w:szCs w:val="21"/>
              </w:rPr>
              <w:t>淮南安成经济开发区污水处理厂</w:t>
            </w:r>
            <w:r>
              <w:rPr>
                <w:color w:val="auto"/>
                <w:sz w:val="21"/>
                <w:szCs w:val="21"/>
              </w:rPr>
              <w:t>接管标准</w:t>
            </w:r>
            <w:r>
              <w:rPr>
                <w:rFonts w:hint="eastAsia"/>
                <w:color w:val="auto"/>
                <w:sz w:val="21"/>
                <w:szCs w:val="21"/>
              </w:rPr>
              <w:t>和</w:t>
            </w:r>
            <w:r>
              <w:rPr>
                <w:color w:val="auto"/>
                <w:sz w:val="21"/>
                <w:szCs w:val="21"/>
              </w:rPr>
              <w:t>《污水综合排放标准》（GB8978-1996）中三级标准</w:t>
            </w:r>
          </w:p>
        </w:tc>
      </w:tr>
      <w:tr w14:paraId="317C1D7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1532" w:type="dxa"/>
            <w:vAlign w:val="center"/>
          </w:tcPr>
          <w:p w14:paraId="61959B2D">
            <w:pPr>
              <w:adjustRightInd w:val="0"/>
              <w:snapToGrid w:val="0"/>
              <w:spacing w:line="240" w:lineRule="auto"/>
              <w:jc w:val="center"/>
              <w:rPr>
                <w:color w:val="auto"/>
                <w:sz w:val="21"/>
                <w:szCs w:val="21"/>
              </w:rPr>
            </w:pPr>
            <w:r>
              <w:rPr>
                <w:color w:val="auto"/>
                <w:sz w:val="21"/>
                <w:szCs w:val="21"/>
              </w:rPr>
              <w:t>声环境</w:t>
            </w:r>
          </w:p>
        </w:tc>
        <w:tc>
          <w:tcPr>
            <w:tcW w:w="1334" w:type="dxa"/>
            <w:vAlign w:val="center"/>
          </w:tcPr>
          <w:p w14:paraId="110343C5">
            <w:pPr>
              <w:adjustRightInd w:val="0"/>
              <w:snapToGrid w:val="0"/>
              <w:spacing w:line="240" w:lineRule="auto"/>
              <w:jc w:val="center"/>
              <w:rPr>
                <w:color w:val="auto"/>
                <w:sz w:val="21"/>
                <w:szCs w:val="21"/>
              </w:rPr>
            </w:pPr>
            <w:r>
              <w:rPr>
                <w:color w:val="auto"/>
                <w:sz w:val="21"/>
                <w:szCs w:val="21"/>
              </w:rPr>
              <w:t>生产设备</w:t>
            </w:r>
          </w:p>
        </w:tc>
        <w:tc>
          <w:tcPr>
            <w:tcW w:w="1295" w:type="dxa"/>
            <w:vAlign w:val="center"/>
          </w:tcPr>
          <w:p w14:paraId="5066EF1F">
            <w:pPr>
              <w:adjustRightInd w:val="0"/>
              <w:snapToGrid w:val="0"/>
              <w:spacing w:line="240" w:lineRule="auto"/>
              <w:jc w:val="center"/>
              <w:rPr>
                <w:color w:val="auto"/>
                <w:sz w:val="21"/>
                <w:szCs w:val="21"/>
              </w:rPr>
            </w:pPr>
            <w:r>
              <w:rPr>
                <w:color w:val="auto"/>
                <w:sz w:val="21"/>
                <w:szCs w:val="21"/>
              </w:rPr>
              <w:t>等效A声级</w:t>
            </w:r>
          </w:p>
        </w:tc>
        <w:tc>
          <w:tcPr>
            <w:tcW w:w="2567" w:type="dxa"/>
            <w:vAlign w:val="center"/>
          </w:tcPr>
          <w:p w14:paraId="5617F832">
            <w:pPr>
              <w:adjustRightInd w:val="0"/>
              <w:snapToGrid w:val="0"/>
              <w:spacing w:line="240" w:lineRule="auto"/>
              <w:jc w:val="center"/>
              <w:rPr>
                <w:color w:val="auto"/>
                <w:sz w:val="21"/>
                <w:szCs w:val="21"/>
              </w:rPr>
            </w:pPr>
            <w:r>
              <w:rPr>
                <w:color w:val="auto"/>
                <w:sz w:val="21"/>
                <w:szCs w:val="21"/>
              </w:rPr>
              <w:t>优先选用高效低噪声设备，部分设备安装减振垫，加强设备养护，墙体隔声等。</w:t>
            </w:r>
          </w:p>
        </w:tc>
        <w:tc>
          <w:tcPr>
            <w:tcW w:w="2456" w:type="dxa"/>
            <w:vAlign w:val="center"/>
          </w:tcPr>
          <w:p w14:paraId="251DD16C">
            <w:pPr>
              <w:adjustRightInd w:val="0"/>
              <w:snapToGrid w:val="0"/>
              <w:spacing w:line="240" w:lineRule="auto"/>
              <w:rPr>
                <w:color w:val="auto"/>
                <w:sz w:val="21"/>
                <w:szCs w:val="21"/>
              </w:rPr>
            </w:pPr>
            <w:r>
              <w:rPr>
                <w:color w:val="auto"/>
                <w:sz w:val="21"/>
                <w:szCs w:val="21"/>
              </w:rPr>
              <w:t>《工业企业厂界环境噪声排放标准》（GB12348-2008）中3类标准。</w:t>
            </w:r>
          </w:p>
        </w:tc>
      </w:tr>
      <w:tr w14:paraId="6078B77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384" w:hRule="atLeast"/>
        </w:trPr>
        <w:tc>
          <w:tcPr>
            <w:tcW w:w="1532" w:type="dxa"/>
            <w:vAlign w:val="center"/>
          </w:tcPr>
          <w:p w14:paraId="7A2BFB9F">
            <w:pPr>
              <w:adjustRightInd w:val="0"/>
              <w:snapToGrid w:val="0"/>
              <w:spacing w:line="240" w:lineRule="auto"/>
              <w:jc w:val="center"/>
              <w:rPr>
                <w:color w:val="auto"/>
                <w:sz w:val="21"/>
                <w:szCs w:val="21"/>
              </w:rPr>
            </w:pPr>
            <w:r>
              <w:rPr>
                <w:color w:val="auto"/>
                <w:sz w:val="21"/>
                <w:szCs w:val="21"/>
              </w:rPr>
              <w:t>电磁辐射</w:t>
            </w:r>
          </w:p>
        </w:tc>
        <w:tc>
          <w:tcPr>
            <w:tcW w:w="7652" w:type="dxa"/>
            <w:gridSpan w:val="4"/>
            <w:vAlign w:val="center"/>
          </w:tcPr>
          <w:p w14:paraId="171C6BDA">
            <w:pPr>
              <w:adjustRightInd w:val="0"/>
              <w:snapToGrid w:val="0"/>
              <w:spacing w:line="240" w:lineRule="auto"/>
              <w:jc w:val="center"/>
              <w:rPr>
                <w:color w:val="auto"/>
                <w:sz w:val="21"/>
                <w:szCs w:val="21"/>
              </w:rPr>
            </w:pPr>
            <w:r>
              <w:rPr>
                <w:color w:val="auto"/>
                <w:sz w:val="21"/>
                <w:szCs w:val="21"/>
              </w:rPr>
              <w:t>/</w:t>
            </w:r>
          </w:p>
        </w:tc>
      </w:tr>
      <w:tr w14:paraId="690AE7E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1266" w:hRule="atLeast"/>
        </w:trPr>
        <w:tc>
          <w:tcPr>
            <w:tcW w:w="1532" w:type="dxa"/>
            <w:vAlign w:val="center"/>
          </w:tcPr>
          <w:p w14:paraId="102348C1">
            <w:pPr>
              <w:adjustRightInd w:val="0"/>
              <w:snapToGrid w:val="0"/>
              <w:spacing w:line="240" w:lineRule="auto"/>
              <w:jc w:val="center"/>
              <w:rPr>
                <w:color w:val="auto"/>
                <w:sz w:val="21"/>
                <w:szCs w:val="21"/>
              </w:rPr>
            </w:pPr>
            <w:r>
              <w:rPr>
                <w:color w:val="auto"/>
                <w:sz w:val="21"/>
                <w:szCs w:val="21"/>
              </w:rPr>
              <w:t>固体废物</w:t>
            </w:r>
          </w:p>
        </w:tc>
        <w:tc>
          <w:tcPr>
            <w:tcW w:w="7652" w:type="dxa"/>
            <w:gridSpan w:val="4"/>
            <w:vAlign w:val="center"/>
          </w:tcPr>
          <w:p w14:paraId="17431CF3">
            <w:pPr>
              <w:adjustRightInd w:val="0"/>
              <w:snapToGrid w:val="0"/>
              <w:spacing w:line="240" w:lineRule="auto"/>
              <w:rPr>
                <w:color w:val="auto"/>
                <w:sz w:val="21"/>
                <w:szCs w:val="21"/>
              </w:rPr>
            </w:pPr>
            <w:r>
              <w:rPr>
                <w:color w:val="auto"/>
                <w:sz w:val="21"/>
                <w:szCs w:val="21"/>
              </w:rPr>
              <w:t>一般工业固体废物收集暂存于一般固废间，</w:t>
            </w:r>
            <w:r>
              <w:rPr>
                <w:rFonts w:hint="eastAsia"/>
                <w:color w:val="auto"/>
                <w:sz w:val="21"/>
                <w:szCs w:val="21"/>
              </w:rPr>
              <w:t>危险废物暂存于危废暂存间。</w:t>
            </w:r>
            <w:r>
              <w:rPr>
                <w:color w:val="auto"/>
                <w:sz w:val="21"/>
                <w:szCs w:val="21"/>
              </w:rPr>
              <w:t>废包装</w:t>
            </w:r>
            <w:r>
              <w:rPr>
                <w:rFonts w:hint="eastAsia"/>
                <w:color w:val="auto"/>
                <w:sz w:val="21"/>
                <w:szCs w:val="21"/>
              </w:rPr>
              <w:t>材料</w:t>
            </w:r>
            <w:r>
              <w:rPr>
                <w:color w:val="auto"/>
                <w:sz w:val="21"/>
                <w:szCs w:val="21"/>
              </w:rPr>
              <w:t>收集后外售物资回收单位；</w:t>
            </w:r>
            <w:r>
              <w:rPr>
                <w:rFonts w:hint="eastAsia"/>
                <w:color w:val="auto"/>
                <w:sz w:val="21"/>
                <w:szCs w:val="21"/>
              </w:rPr>
              <w:t>不合格品、调味料渣、废动植物油委托淮南国新生物科技有限公司定期处理</w:t>
            </w:r>
            <w:r>
              <w:rPr>
                <w:color w:val="auto"/>
                <w:sz w:val="21"/>
                <w:szCs w:val="21"/>
              </w:rPr>
              <w:t>；</w:t>
            </w:r>
            <w:r>
              <w:rPr>
                <w:rFonts w:hint="eastAsia"/>
                <w:color w:val="auto"/>
                <w:sz w:val="21"/>
                <w:szCs w:val="21"/>
              </w:rPr>
              <w:t>废过滤器交由物资回收公司回收处理；废荧光灯管定期交由有资质单位处置；</w:t>
            </w:r>
            <w:r>
              <w:rPr>
                <w:color w:val="auto"/>
                <w:sz w:val="21"/>
                <w:szCs w:val="21"/>
              </w:rPr>
              <w:t>生活垃圾由环卫部门统一清运。在厂房</w:t>
            </w:r>
            <w:r>
              <w:rPr>
                <w:rFonts w:hint="eastAsia"/>
                <w:color w:val="auto"/>
                <w:sz w:val="21"/>
                <w:szCs w:val="21"/>
              </w:rPr>
              <w:t>二层中部</w:t>
            </w:r>
            <w:r>
              <w:rPr>
                <w:color w:val="auto"/>
                <w:sz w:val="21"/>
                <w:szCs w:val="21"/>
              </w:rPr>
              <w:t>建设一间</w:t>
            </w:r>
            <w:r>
              <w:rPr>
                <w:rFonts w:hint="eastAsia"/>
                <w:color w:val="auto"/>
                <w:sz w:val="21"/>
                <w:szCs w:val="21"/>
              </w:rPr>
              <w:t>30</w:t>
            </w:r>
            <w:r>
              <w:rPr>
                <w:color w:val="auto"/>
                <w:sz w:val="21"/>
                <w:szCs w:val="21"/>
              </w:rPr>
              <w:t>m</w:t>
            </w:r>
            <w:r>
              <w:rPr>
                <w:color w:val="auto"/>
                <w:sz w:val="21"/>
                <w:szCs w:val="21"/>
                <w:vertAlign w:val="superscript"/>
              </w:rPr>
              <w:t>2</w:t>
            </w:r>
            <w:r>
              <w:rPr>
                <w:color w:val="auto"/>
                <w:sz w:val="21"/>
                <w:szCs w:val="21"/>
              </w:rPr>
              <w:t>一般固废间</w:t>
            </w:r>
            <w:r>
              <w:rPr>
                <w:rFonts w:hint="eastAsia"/>
                <w:color w:val="auto"/>
                <w:sz w:val="21"/>
                <w:szCs w:val="21"/>
              </w:rPr>
              <w:t>、10</w:t>
            </w:r>
            <w:r>
              <w:rPr>
                <w:color w:val="auto"/>
                <w:sz w:val="21"/>
                <w:szCs w:val="21"/>
              </w:rPr>
              <w:t>m</w:t>
            </w:r>
            <w:r>
              <w:rPr>
                <w:color w:val="auto"/>
                <w:sz w:val="21"/>
                <w:szCs w:val="21"/>
                <w:vertAlign w:val="superscript"/>
              </w:rPr>
              <w:t>2</w:t>
            </w:r>
            <w:r>
              <w:rPr>
                <w:rFonts w:hint="eastAsia"/>
                <w:color w:val="auto"/>
                <w:sz w:val="21"/>
                <w:szCs w:val="21"/>
              </w:rPr>
              <w:t>危废暂存间</w:t>
            </w:r>
            <w:r>
              <w:rPr>
                <w:color w:val="auto"/>
                <w:sz w:val="21"/>
                <w:szCs w:val="21"/>
              </w:rPr>
              <w:t>，用于存储生产过程中产生的一般工业固体废物</w:t>
            </w:r>
            <w:r>
              <w:rPr>
                <w:rFonts w:hint="eastAsia"/>
                <w:color w:val="auto"/>
                <w:sz w:val="21"/>
                <w:szCs w:val="21"/>
              </w:rPr>
              <w:t>和危险废物</w:t>
            </w:r>
            <w:r>
              <w:rPr>
                <w:color w:val="auto"/>
                <w:sz w:val="21"/>
                <w:szCs w:val="21"/>
              </w:rPr>
              <w:t>。</w:t>
            </w:r>
          </w:p>
        </w:tc>
      </w:tr>
      <w:tr w14:paraId="02842E3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580" w:hRule="atLeast"/>
        </w:trPr>
        <w:tc>
          <w:tcPr>
            <w:tcW w:w="1532" w:type="dxa"/>
            <w:vAlign w:val="center"/>
          </w:tcPr>
          <w:p w14:paraId="356568C3">
            <w:pPr>
              <w:pStyle w:val="30"/>
              <w:framePr w:hSpace="0" w:wrap="auto" w:vAnchor="margin" w:hAnchor="text" w:xAlign="left" w:yAlign="inline"/>
              <w:rPr>
                <w:color w:val="auto"/>
                <w:sz w:val="21"/>
                <w:szCs w:val="21"/>
                <w:lang w:val="en-US"/>
              </w:rPr>
            </w:pPr>
            <w:r>
              <w:rPr>
                <w:color w:val="auto"/>
                <w:sz w:val="21"/>
                <w:szCs w:val="21"/>
              </w:rPr>
              <w:t>土壤及地下水污染防治措施</w:t>
            </w:r>
          </w:p>
        </w:tc>
        <w:tc>
          <w:tcPr>
            <w:tcW w:w="7652" w:type="dxa"/>
            <w:gridSpan w:val="4"/>
            <w:vAlign w:val="center"/>
          </w:tcPr>
          <w:p w14:paraId="720683B2">
            <w:pPr>
              <w:pStyle w:val="30"/>
              <w:framePr w:hSpace="0" w:wrap="auto" w:vAnchor="margin" w:hAnchor="text" w:xAlign="left" w:yAlign="inline"/>
              <w:rPr>
                <w:color w:val="auto"/>
                <w:kern w:val="0"/>
                <w:sz w:val="21"/>
                <w:szCs w:val="21"/>
                <w:lang w:val="en-US"/>
              </w:rPr>
            </w:pPr>
            <w:r>
              <w:rPr>
                <w:rFonts w:hint="eastAsia"/>
                <w:color w:val="auto"/>
                <w:kern w:val="0"/>
                <w:sz w:val="21"/>
                <w:szCs w:val="21"/>
                <w:lang w:val="en-US"/>
              </w:rPr>
              <w:t>重点防渗区：危废间。重点</w:t>
            </w:r>
            <w:r>
              <w:rPr>
                <w:color w:val="auto"/>
                <w:kern w:val="0"/>
                <w:sz w:val="21"/>
                <w:szCs w:val="21"/>
                <w:lang w:val="en-US"/>
              </w:rPr>
              <w:t>防渗区的防渗技术要求：等效黏土防渗层Mb≥</w:t>
            </w:r>
            <w:r>
              <w:rPr>
                <w:rFonts w:hint="eastAsia"/>
                <w:color w:val="auto"/>
                <w:kern w:val="0"/>
                <w:sz w:val="21"/>
                <w:szCs w:val="21"/>
                <w:lang w:val="en-US"/>
              </w:rPr>
              <w:t>6.0</w:t>
            </w:r>
            <w:r>
              <w:rPr>
                <w:color w:val="auto"/>
                <w:kern w:val="0"/>
                <w:sz w:val="21"/>
                <w:szCs w:val="21"/>
                <w:lang w:val="en-US"/>
              </w:rPr>
              <w:t>m，K≤10</w:t>
            </w:r>
            <w:r>
              <w:rPr>
                <w:color w:val="auto"/>
                <w:kern w:val="0"/>
                <w:sz w:val="21"/>
                <w:szCs w:val="21"/>
                <w:vertAlign w:val="superscript"/>
                <w:lang w:val="en-US"/>
              </w:rPr>
              <w:t>-7</w:t>
            </w:r>
            <w:r>
              <w:rPr>
                <w:color w:val="auto"/>
                <w:kern w:val="0"/>
                <w:sz w:val="21"/>
                <w:szCs w:val="21"/>
                <w:lang w:val="en-US"/>
              </w:rPr>
              <w:t>cm/s</w:t>
            </w:r>
            <w:r>
              <w:rPr>
                <w:rFonts w:hint="eastAsia"/>
                <w:color w:val="auto"/>
                <w:kern w:val="0"/>
                <w:sz w:val="21"/>
                <w:szCs w:val="21"/>
                <w:lang w:val="en-US" w:eastAsia="zh-CN"/>
              </w:rPr>
              <w:t>，</w:t>
            </w:r>
            <w:r>
              <w:rPr>
                <w:rFonts w:hint="eastAsia"/>
                <w:color w:val="auto"/>
                <w:kern w:val="0"/>
                <w:sz w:val="21"/>
                <w:szCs w:val="21"/>
                <w:lang w:val="en-US"/>
              </w:rPr>
              <w:t xml:space="preserve">等效黏土防渗层 Mb≥6.0m，K≤1×10 </w:t>
            </w:r>
            <w:r>
              <w:rPr>
                <w:rFonts w:hint="eastAsia"/>
                <w:color w:val="auto"/>
                <w:kern w:val="0"/>
                <w:sz w:val="21"/>
                <w:szCs w:val="21"/>
                <w:vertAlign w:val="superscript"/>
                <w:lang w:val="en-US"/>
              </w:rPr>
              <w:t>-7</w:t>
            </w:r>
            <w:r>
              <w:rPr>
                <w:rFonts w:hint="eastAsia"/>
                <w:color w:val="auto"/>
                <w:kern w:val="0"/>
                <w:sz w:val="21"/>
                <w:szCs w:val="21"/>
                <w:lang w:val="en-US"/>
              </w:rPr>
              <w:t xml:space="preserve">cm/s，或2mm 厚高密度聚乙烯膜等人工防渗材料，K≤1×10 </w:t>
            </w:r>
            <w:r>
              <w:rPr>
                <w:rFonts w:hint="eastAsia"/>
                <w:color w:val="auto"/>
                <w:kern w:val="0"/>
                <w:sz w:val="21"/>
                <w:szCs w:val="21"/>
                <w:vertAlign w:val="superscript"/>
                <w:lang w:val="en-US"/>
              </w:rPr>
              <w:t>-10</w:t>
            </w:r>
            <w:r>
              <w:rPr>
                <w:rFonts w:hint="eastAsia"/>
                <w:color w:val="auto"/>
                <w:kern w:val="0"/>
                <w:sz w:val="21"/>
                <w:szCs w:val="21"/>
                <w:lang w:val="en-US"/>
              </w:rPr>
              <w:t>cm/s，或其他防渗性能等效的材料；</w:t>
            </w:r>
          </w:p>
          <w:p w14:paraId="5F43D22E">
            <w:pPr>
              <w:pStyle w:val="30"/>
              <w:framePr w:hSpace="0" w:wrap="auto" w:vAnchor="margin" w:hAnchor="text" w:xAlign="left" w:yAlign="inline"/>
              <w:rPr>
                <w:color w:val="auto"/>
                <w:kern w:val="0"/>
                <w:sz w:val="21"/>
                <w:szCs w:val="21"/>
                <w:lang w:val="en-US"/>
              </w:rPr>
            </w:pPr>
            <w:r>
              <w:rPr>
                <w:color w:val="auto"/>
                <w:kern w:val="0"/>
                <w:sz w:val="21"/>
                <w:szCs w:val="21"/>
                <w:lang w:val="en-US"/>
              </w:rPr>
              <w:t>一般防渗区：主要为生产厂房其他区域。一般防渗区的防渗技术要求：等效黏土防渗层Mb≥1.5m，K≤10-7cm/s</w:t>
            </w:r>
            <w:r>
              <w:rPr>
                <w:rFonts w:hint="eastAsia"/>
                <w:color w:val="auto"/>
                <w:kern w:val="0"/>
                <w:sz w:val="21"/>
                <w:szCs w:val="21"/>
                <w:lang w:val="en-US"/>
              </w:rPr>
              <w:t>，</w:t>
            </w:r>
            <w:r>
              <w:rPr>
                <w:color w:val="auto"/>
                <w:kern w:val="0"/>
                <w:sz w:val="21"/>
                <w:szCs w:val="21"/>
                <w:lang w:val="en-US"/>
              </w:rPr>
              <w:t>企业现状生产</w:t>
            </w:r>
            <w:r>
              <w:rPr>
                <w:rFonts w:hint="eastAsia"/>
                <w:color w:val="auto"/>
                <w:kern w:val="0"/>
                <w:sz w:val="21"/>
                <w:szCs w:val="21"/>
                <w:lang w:val="en-US"/>
              </w:rPr>
              <w:t>厂房</w:t>
            </w:r>
            <w:r>
              <w:rPr>
                <w:color w:val="auto"/>
                <w:kern w:val="0"/>
                <w:sz w:val="21"/>
                <w:szCs w:val="21"/>
                <w:lang w:val="en-US"/>
              </w:rPr>
              <w:t>为</w:t>
            </w:r>
            <w:r>
              <w:rPr>
                <w:rFonts w:hint="eastAsia"/>
                <w:color w:val="auto"/>
                <w:kern w:val="0"/>
                <w:sz w:val="21"/>
                <w:szCs w:val="21"/>
                <w:lang w:val="en-US"/>
              </w:rPr>
              <w:t>抗渗混凝土，满足一般防渗要求</w:t>
            </w:r>
            <w:r>
              <w:rPr>
                <w:color w:val="auto"/>
                <w:kern w:val="0"/>
                <w:sz w:val="21"/>
                <w:szCs w:val="21"/>
                <w:lang w:val="en-US"/>
              </w:rPr>
              <w:t>。</w:t>
            </w:r>
          </w:p>
          <w:p w14:paraId="2F79D71C">
            <w:pPr>
              <w:pStyle w:val="30"/>
              <w:framePr w:hSpace="0" w:wrap="auto" w:vAnchor="margin" w:hAnchor="text" w:xAlign="left" w:yAlign="inline"/>
              <w:rPr>
                <w:color w:val="auto"/>
                <w:sz w:val="21"/>
                <w:szCs w:val="21"/>
              </w:rPr>
            </w:pPr>
            <w:r>
              <w:rPr>
                <w:rFonts w:hint="eastAsia"/>
                <w:color w:val="auto"/>
                <w:kern w:val="0"/>
                <w:sz w:val="21"/>
                <w:szCs w:val="21"/>
                <w:lang w:val="en-US"/>
              </w:rPr>
              <w:t>简单防渗：办公区，</w:t>
            </w:r>
            <w:r>
              <w:rPr>
                <w:color w:val="auto"/>
                <w:kern w:val="0"/>
                <w:sz w:val="21"/>
                <w:szCs w:val="21"/>
                <w:lang w:val="en-US"/>
              </w:rPr>
              <w:t>简单防渗区的防渗技术要求：地面简单硬化</w:t>
            </w:r>
            <w:r>
              <w:rPr>
                <w:rFonts w:hint="eastAsia"/>
                <w:color w:val="auto"/>
                <w:kern w:val="0"/>
                <w:sz w:val="21"/>
                <w:szCs w:val="21"/>
                <w:lang w:val="en-US"/>
              </w:rPr>
              <w:t>，办公室</w:t>
            </w:r>
            <w:r>
              <w:rPr>
                <w:color w:val="auto"/>
                <w:kern w:val="0"/>
                <w:sz w:val="21"/>
                <w:szCs w:val="21"/>
                <w:lang w:val="en-US"/>
              </w:rPr>
              <w:t>现状已做地面硬化</w:t>
            </w:r>
          </w:p>
        </w:tc>
      </w:tr>
      <w:tr w14:paraId="524AE60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407" w:hRule="atLeast"/>
        </w:trPr>
        <w:tc>
          <w:tcPr>
            <w:tcW w:w="1532" w:type="dxa"/>
            <w:vAlign w:val="center"/>
          </w:tcPr>
          <w:p w14:paraId="239E8790">
            <w:pPr>
              <w:adjustRightInd w:val="0"/>
              <w:snapToGrid w:val="0"/>
              <w:spacing w:line="240" w:lineRule="auto"/>
              <w:rPr>
                <w:color w:val="auto"/>
                <w:sz w:val="21"/>
                <w:szCs w:val="21"/>
              </w:rPr>
            </w:pPr>
            <w:r>
              <w:rPr>
                <w:color w:val="auto"/>
                <w:sz w:val="21"/>
                <w:szCs w:val="21"/>
              </w:rPr>
              <w:t>生态保护措施</w:t>
            </w:r>
          </w:p>
        </w:tc>
        <w:tc>
          <w:tcPr>
            <w:tcW w:w="7652" w:type="dxa"/>
            <w:gridSpan w:val="4"/>
            <w:vAlign w:val="center"/>
          </w:tcPr>
          <w:p w14:paraId="31DB73BA">
            <w:pPr>
              <w:adjustRightInd w:val="0"/>
              <w:snapToGrid w:val="0"/>
              <w:spacing w:line="240" w:lineRule="auto"/>
              <w:jc w:val="center"/>
              <w:rPr>
                <w:color w:val="auto"/>
                <w:sz w:val="21"/>
                <w:szCs w:val="21"/>
              </w:rPr>
            </w:pPr>
            <w:r>
              <w:rPr>
                <w:color w:val="auto"/>
                <w:sz w:val="21"/>
                <w:szCs w:val="21"/>
              </w:rPr>
              <w:t>/</w:t>
            </w:r>
          </w:p>
        </w:tc>
      </w:tr>
      <w:tr w14:paraId="698ECDD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850" w:hRule="atLeast"/>
        </w:trPr>
        <w:tc>
          <w:tcPr>
            <w:tcW w:w="1532" w:type="dxa"/>
            <w:vAlign w:val="center"/>
          </w:tcPr>
          <w:p w14:paraId="1D1EE073">
            <w:pPr>
              <w:adjustRightInd w:val="0"/>
              <w:snapToGrid w:val="0"/>
              <w:spacing w:line="240" w:lineRule="auto"/>
              <w:rPr>
                <w:color w:val="auto"/>
                <w:sz w:val="21"/>
                <w:szCs w:val="21"/>
              </w:rPr>
            </w:pPr>
            <w:r>
              <w:rPr>
                <w:color w:val="auto"/>
                <w:sz w:val="21"/>
                <w:szCs w:val="21"/>
              </w:rPr>
              <w:t>环境风险防范措施</w:t>
            </w:r>
          </w:p>
        </w:tc>
        <w:tc>
          <w:tcPr>
            <w:tcW w:w="7652" w:type="dxa"/>
            <w:gridSpan w:val="4"/>
            <w:vAlign w:val="center"/>
          </w:tcPr>
          <w:p w14:paraId="7138C23C">
            <w:pPr>
              <w:adjustRightInd w:val="0"/>
              <w:snapToGrid w:val="0"/>
              <w:spacing w:line="240" w:lineRule="auto"/>
              <w:ind w:firstLine="420" w:firstLineChars="200"/>
              <w:rPr>
                <w:color w:val="auto"/>
                <w:sz w:val="21"/>
                <w:szCs w:val="21"/>
              </w:rPr>
            </w:pPr>
            <w:r>
              <w:rPr>
                <w:color w:val="auto"/>
                <w:sz w:val="21"/>
                <w:szCs w:val="21"/>
              </w:rPr>
              <w:t>厂区设置明显禁火标志牌，厂内严禁烟火，严格执行《建筑设计防火规范》（GB50016-2014）、《仓库防火安全管理规则</w:t>
            </w:r>
            <w:r>
              <w:rPr>
                <w:rFonts w:hint="eastAsia"/>
                <w:color w:val="auto"/>
                <w:sz w:val="21"/>
                <w:szCs w:val="21"/>
                <w:lang w:eastAsia="zh-CN"/>
              </w:rPr>
              <w:t>》等</w:t>
            </w:r>
            <w:r>
              <w:rPr>
                <w:color w:val="auto"/>
                <w:sz w:val="21"/>
                <w:szCs w:val="21"/>
              </w:rPr>
              <w:t>相关要求；生产所用的电气设备、开关须采用安全防爆型，定期检查电气设备，防止短路、漏电等情况产生；同时，应在项目区内配备消防栓、消防器材等；加强厂房清洁及厂房内空气净化，减少积尘及降低空气中粉尘浓度；加强管理，防止发生火灾。</w:t>
            </w:r>
          </w:p>
        </w:tc>
      </w:tr>
      <w:tr w14:paraId="0E373E5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1532" w:type="dxa"/>
            <w:vAlign w:val="center"/>
          </w:tcPr>
          <w:p w14:paraId="2A1B24E6">
            <w:pPr>
              <w:adjustRightInd w:val="0"/>
              <w:snapToGrid w:val="0"/>
              <w:spacing w:line="240" w:lineRule="auto"/>
              <w:rPr>
                <w:color w:val="auto"/>
                <w:sz w:val="21"/>
                <w:szCs w:val="21"/>
              </w:rPr>
            </w:pPr>
            <w:r>
              <w:rPr>
                <w:color w:val="auto"/>
                <w:sz w:val="21"/>
                <w:szCs w:val="21"/>
              </w:rPr>
              <w:t>其他环境管理要求</w:t>
            </w:r>
          </w:p>
        </w:tc>
        <w:tc>
          <w:tcPr>
            <w:tcW w:w="7652" w:type="dxa"/>
            <w:gridSpan w:val="4"/>
            <w:vAlign w:val="center"/>
          </w:tcPr>
          <w:p w14:paraId="34E8CD67">
            <w:pPr>
              <w:pStyle w:val="30"/>
              <w:framePr w:hSpace="0" w:wrap="auto" w:vAnchor="margin" w:hAnchor="text" w:xAlign="left" w:yAlign="inline"/>
              <w:ind w:firstLine="420" w:firstLineChars="200"/>
              <w:jc w:val="both"/>
              <w:rPr>
                <w:color w:val="auto"/>
                <w:sz w:val="21"/>
                <w:szCs w:val="21"/>
              </w:rPr>
            </w:pPr>
            <w:r>
              <w:rPr>
                <w:color w:val="auto"/>
                <w:sz w:val="21"/>
                <w:szCs w:val="21"/>
              </w:rPr>
              <w:t>《中华人民共和国环境保护法》明确指出，我国环境保护的任务是保证在社会主义现代化建设中，合理利用自然资源，防止环境污染和生态破坏，为人民创造清洁适宜的生活和劳动环境，保护人民健康，促进经济发展。</w:t>
            </w:r>
          </w:p>
          <w:p w14:paraId="0393FA5F">
            <w:pPr>
              <w:pStyle w:val="30"/>
              <w:framePr w:hSpace="0" w:wrap="auto" w:vAnchor="margin" w:hAnchor="text" w:xAlign="left" w:yAlign="inline"/>
              <w:ind w:firstLine="420" w:firstLineChars="200"/>
              <w:jc w:val="both"/>
              <w:rPr>
                <w:color w:val="auto"/>
                <w:sz w:val="21"/>
                <w:szCs w:val="21"/>
              </w:rPr>
            </w:pPr>
            <w:r>
              <w:rPr>
                <w:color w:val="auto"/>
                <w:sz w:val="21"/>
                <w:szCs w:val="21"/>
              </w:rPr>
              <w:t>因此，本建设单位设立环境管理机构，负责项目运营期的环境管理工作，其主要的职责与功能如下：</w:t>
            </w:r>
          </w:p>
          <w:p w14:paraId="0914BBD1">
            <w:pPr>
              <w:pStyle w:val="30"/>
              <w:framePr w:hSpace="0" w:wrap="auto" w:vAnchor="margin" w:hAnchor="text" w:xAlign="left" w:yAlign="inline"/>
              <w:ind w:firstLine="420" w:firstLineChars="200"/>
              <w:jc w:val="both"/>
              <w:rPr>
                <w:color w:val="auto"/>
                <w:sz w:val="21"/>
                <w:szCs w:val="21"/>
              </w:rPr>
            </w:pPr>
            <w:r>
              <w:rPr>
                <w:color w:val="auto"/>
                <w:sz w:val="21"/>
                <w:szCs w:val="21"/>
              </w:rPr>
              <w:t>本项目属于</w:t>
            </w:r>
            <w:r>
              <w:rPr>
                <w:rFonts w:hint="eastAsia"/>
                <w:color w:val="auto"/>
                <w:sz w:val="21"/>
                <w:szCs w:val="21"/>
                <w:lang w:val="en-US"/>
              </w:rPr>
              <w:t>C1439其他方便食品制造</w:t>
            </w:r>
            <w:r>
              <w:rPr>
                <w:color w:val="auto"/>
                <w:sz w:val="21"/>
                <w:szCs w:val="21"/>
              </w:rPr>
              <w:t>；对照《固定污染源排污许可分类管理名录》（2019年版），本项目属于《名录》中：</w:t>
            </w:r>
            <w:r>
              <w:rPr>
                <w:rFonts w:hint="eastAsia"/>
                <w:color w:val="auto"/>
                <w:sz w:val="21"/>
                <w:szCs w:val="21"/>
              </w:rPr>
              <w:t>九、食品制造业</w:t>
            </w:r>
            <w:r>
              <w:rPr>
                <w:rFonts w:hint="eastAsia"/>
                <w:color w:val="auto"/>
                <w:sz w:val="21"/>
                <w:szCs w:val="21"/>
                <w:lang w:val="en-US"/>
              </w:rPr>
              <w:t>14</w:t>
            </w:r>
            <w:r>
              <w:rPr>
                <w:rFonts w:hint="eastAsia"/>
                <w:color w:val="auto"/>
                <w:sz w:val="21"/>
                <w:szCs w:val="21"/>
              </w:rPr>
              <w:t>-</w:t>
            </w:r>
            <w:r>
              <w:rPr>
                <w:rFonts w:hint="eastAsia"/>
                <w:color w:val="auto"/>
                <w:sz w:val="21"/>
                <w:szCs w:val="21"/>
                <w:lang w:val="en-US"/>
              </w:rPr>
              <w:t>17、方便食品制造143</w:t>
            </w:r>
            <w:r>
              <w:rPr>
                <w:rFonts w:hint="eastAsia"/>
                <w:color w:val="auto"/>
                <w:sz w:val="21"/>
                <w:szCs w:val="21"/>
              </w:rPr>
              <w:t>中“其他方便食品制造1439”</w:t>
            </w:r>
            <w:r>
              <w:rPr>
                <w:color w:val="auto"/>
                <w:sz w:val="21"/>
                <w:szCs w:val="21"/>
              </w:rPr>
              <w:t>，实行简化管理。</w:t>
            </w:r>
          </w:p>
          <w:p w14:paraId="55D86A04">
            <w:pPr>
              <w:pStyle w:val="30"/>
              <w:framePr w:hSpace="0" w:wrap="auto" w:vAnchor="margin" w:hAnchor="text" w:xAlign="left" w:yAlign="inline"/>
              <w:ind w:firstLine="420" w:firstLineChars="200"/>
              <w:jc w:val="both"/>
              <w:rPr>
                <w:color w:val="auto"/>
                <w:sz w:val="21"/>
                <w:szCs w:val="21"/>
              </w:rPr>
            </w:pPr>
            <w:r>
              <w:rPr>
                <w:color w:val="auto"/>
                <w:sz w:val="21"/>
                <w:szCs w:val="21"/>
              </w:rPr>
              <w:t>规范化设置排污口；按照《安徽省生态环境厅关于统筹做好固定污染源排污许可日常监管工作的通知》（皖环发〔2021〕7号）等要求，企业应在实际排污前申领排污许可证。</w:t>
            </w:r>
          </w:p>
          <w:p w14:paraId="5242EA5D">
            <w:pPr>
              <w:pStyle w:val="30"/>
              <w:framePr w:hSpace="0" w:wrap="auto" w:vAnchor="margin" w:hAnchor="text" w:xAlign="left" w:yAlign="inline"/>
              <w:ind w:firstLine="420" w:firstLineChars="200"/>
              <w:jc w:val="both"/>
              <w:rPr>
                <w:color w:val="auto"/>
                <w:sz w:val="21"/>
                <w:szCs w:val="21"/>
              </w:rPr>
            </w:pPr>
            <w:r>
              <w:rPr>
                <w:color w:val="auto"/>
                <w:sz w:val="21"/>
                <w:szCs w:val="21"/>
              </w:rPr>
              <w:t>（1）排污口管理：</w:t>
            </w:r>
          </w:p>
          <w:p w14:paraId="1BAE576A">
            <w:pPr>
              <w:pStyle w:val="30"/>
              <w:framePr w:hSpace="0" w:wrap="auto" w:vAnchor="margin" w:hAnchor="text" w:xAlign="left" w:yAlign="inline"/>
              <w:ind w:firstLine="420" w:firstLineChars="200"/>
              <w:jc w:val="both"/>
              <w:rPr>
                <w:color w:val="auto"/>
                <w:sz w:val="21"/>
                <w:szCs w:val="21"/>
              </w:rPr>
            </w:pPr>
            <w:r>
              <w:rPr>
                <w:color w:val="auto"/>
                <w:sz w:val="21"/>
                <w:szCs w:val="21"/>
              </w:rPr>
              <w:t>建设单位应在各排污口处设立较明显的排污口标志牌，其上应注明主要排放污染物的名称以警示周围群众；</w:t>
            </w:r>
          </w:p>
          <w:p w14:paraId="49011946">
            <w:pPr>
              <w:pStyle w:val="30"/>
              <w:framePr w:hSpace="0" w:wrap="auto" w:vAnchor="margin" w:hAnchor="text" w:xAlign="left" w:yAlign="inline"/>
              <w:ind w:firstLine="420" w:firstLineChars="200"/>
              <w:jc w:val="both"/>
              <w:rPr>
                <w:color w:val="auto"/>
                <w:sz w:val="21"/>
                <w:szCs w:val="21"/>
              </w:rPr>
            </w:pPr>
            <w:r>
              <w:rPr>
                <w:color w:val="auto"/>
                <w:sz w:val="21"/>
                <w:szCs w:val="21"/>
              </w:rPr>
              <w:t>建设单位应如实填写《中华人民共和国规范化排污口标志登记证》的有关内容，由环保主管部门签发登记证；</w:t>
            </w:r>
          </w:p>
          <w:p w14:paraId="64D8CDDF">
            <w:pPr>
              <w:pStyle w:val="30"/>
              <w:framePr w:hSpace="0" w:wrap="auto" w:vAnchor="margin" w:hAnchor="text" w:xAlign="left" w:yAlign="inline"/>
              <w:ind w:firstLine="420" w:firstLineChars="200"/>
              <w:jc w:val="both"/>
              <w:rPr>
                <w:color w:val="auto"/>
                <w:sz w:val="21"/>
                <w:szCs w:val="21"/>
              </w:rPr>
            </w:pPr>
            <w:r>
              <w:rPr>
                <w:color w:val="auto"/>
                <w:sz w:val="21"/>
                <w:szCs w:val="21"/>
              </w:rPr>
              <w:t>规范化排污口的有关设置属环保设施，建设单位必须负责日常的维护保养，任何单位和个人不得擅自拆除，如果需要变更的必须报环境监察部门同意并办理变更手续；</w:t>
            </w:r>
          </w:p>
          <w:p w14:paraId="4DFCD415">
            <w:pPr>
              <w:pStyle w:val="30"/>
              <w:framePr w:hSpace="0" w:wrap="auto" w:vAnchor="margin" w:hAnchor="text" w:xAlign="left" w:yAlign="inline"/>
              <w:ind w:firstLine="420" w:firstLineChars="200"/>
              <w:jc w:val="both"/>
              <w:rPr>
                <w:color w:val="auto"/>
                <w:sz w:val="21"/>
                <w:szCs w:val="21"/>
              </w:rPr>
            </w:pPr>
            <w:r>
              <w:rPr>
                <w:color w:val="auto"/>
                <w:sz w:val="21"/>
                <w:szCs w:val="21"/>
              </w:rPr>
              <w:t>建设单位应将有关排污口的情况，如：排污口的性质、编号，排污口的位置；主要排放的污染物种类、数量、浓度、排放规律、排放去向；污染治理设施的运行情况等进行建档管理，并报送环保主管部门备案。</w:t>
            </w:r>
          </w:p>
          <w:p w14:paraId="152B4C66">
            <w:pPr>
              <w:pStyle w:val="30"/>
              <w:framePr w:hSpace="0" w:wrap="auto" w:vAnchor="margin" w:hAnchor="text" w:xAlign="left" w:yAlign="inline"/>
              <w:ind w:firstLine="420" w:firstLineChars="200"/>
              <w:jc w:val="both"/>
              <w:rPr>
                <w:color w:val="auto"/>
                <w:sz w:val="21"/>
                <w:szCs w:val="21"/>
              </w:rPr>
            </w:pPr>
            <w:r>
              <w:rPr>
                <w:color w:val="auto"/>
                <w:sz w:val="21"/>
                <w:szCs w:val="21"/>
              </w:rPr>
              <w:t>（2）台账的管理：</w:t>
            </w:r>
          </w:p>
          <w:p w14:paraId="2C6D5CB9">
            <w:pPr>
              <w:pStyle w:val="30"/>
              <w:framePr w:hSpace="0" w:wrap="auto" w:vAnchor="margin" w:hAnchor="text" w:xAlign="left" w:yAlign="inline"/>
              <w:ind w:firstLine="420" w:firstLineChars="200"/>
              <w:jc w:val="both"/>
              <w:rPr>
                <w:color w:val="auto"/>
                <w:sz w:val="21"/>
                <w:szCs w:val="21"/>
              </w:rPr>
            </w:pPr>
            <w:r>
              <w:rPr>
                <w:color w:val="auto"/>
                <w:sz w:val="21"/>
                <w:szCs w:val="21"/>
              </w:rPr>
              <w:t>根据生产特点和污染物排放特点，按照排污口和有组织排放源进行记录。台账记录保存期限不少于五年。</w:t>
            </w:r>
          </w:p>
          <w:p w14:paraId="60A17AB7">
            <w:pPr>
              <w:pStyle w:val="30"/>
              <w:framePr w:hSpace="0" w:wrap="auto" w:vAnchor="margin" w:hAnchor="text" w:xAlign="left" w:yAlign="inline"/>
              <w:ind w:firstLine="420" w:firstLineChars="200"/>
              <w:jc w:val="both"/>
              <w:rPr>
                <w:color w:val="auto"/>
                <w:sz w:val="21"/>
                <w:szCs w:val="21"/>
              </w:rPr>
            </w:pPr>
            <w:r>
              <w:rPr>
                <w:color w:val="auto"/>
                <w:sz w:val="21"/>
                <w:szCs w:val="21"/>
              </w:rPr>
              <w:t>（3）严格执行各项环境管理制度，保证各排污口的正常运行；</w:t>
            </w:r>
          </w:p>
          <w:p w14:paraId="2AEB9142">
            <w:pPr>
              <w:pStyle w:val="30"/>
              <w:framePr w:hSpace="0" w:wrap="auto" w:vAnchor="margin" w:hAnchor="text" w:xAlign="left" w:yAlign="inline"/>
              <w:ind w:firstLine="420" w:firstLineChars="200"/>
              <w:jc w:val="both"/>
              <w:rPr>
                <w:color w:val="auto"/>
                <w:sz w:val="21"/>
                <w:szCs w:val="21"/>
              </w:rPr>
            </w:pPr>
            <w:r>
              <w:rPr>
                <w:color w:val="auto"/>
                <w:sz w:val="21"/>
                <w:szCs w:val="21"/>
              </w:rPr>
              <w:t>（4）对各项环保设施操作、维护定量考核，建立环保设施运行档案；</w:t>
            </w:r>
          </w:p>
          <w:p w14:paraId="1168C414">
            <w:pPr>
              <w:pStyle w:val="30"/>
              <w:framePr w:hSpace="0" w:wrap="auto" w:vAnchor="margin" w:hAnchor="text" w:xAlign="left" w:yAlign="inline"/>
              <w:ind w:firstLine="420" w:firstLineChars="200"/>
              <w:jc w:val="both"/>
              <w:rPr>
                <w:color w:val="auto"/>
                <w:sz w:val="21"/>
                <w:szCs w:val="21"/>
              </w:rPr>
            </w:pPr>
            <w:r>
              <w:rPr>
                <w:color w:val="auto"/>
                <w:sz w:val="21"/>
                <w:szCs w:val="21"/>
              </w:rPr>
              <w:t>（5）按规定程序实施竣工环境保护验收，验收合格方可投入生产。</w:t>
            </w:r>
          </w:p>
          <w:p w14:paraId="61FF49E2">
            <w:pPr>
              <w:pStyle w:val="30"/>
              <w:framePr w:hSpace="0" w:wrap="auto" w:vAnchor="margin" w:hAnchor="text" w:xAlign="left" w:yAlign="inline"/>
              <w:ind w:firstLine="420" w:firstLineChars="200"/>
              <w:jc w:val="both"/>
              <w:rPr>
                <w:color w:val="auto"/>
                <w:sz w:val="21"/>
                <w:szCs w:val="21"/>
              </w:rPr>
            </w:pPr>
          </w:p>
          <w:p w14:paraId="723F5456">
            <w:pPr>
              <w:pStyle w:val="30"/>
              <w:framePr w:hSpace="0" w:wrap="auto" w:vAnchor="margin" w:hAnchor="text" w:xAlign="left" w:yAlign="inline"/>
              <w:ind w:firstLine="420" w:firstLineChars="200"/>
              <w:jc w:val="both"/>
              <w:rPr>
                <w:color w:val="auto"/>
                <w:sz w:val="21"/>
                <w:szCs w:val="21"/>
              </w:rPr>
            </w:pPr>
          </w:p>
          <w:p w14:paraId="1EFCDE16">
            <w:pPr>
              <w:adjustRightInd w:val="0"/>
              <w:snapToGrid w:val="0"/>
              <w:spacing w:line="240" w:lineRule="auto"/>
              <w:ind w:firstLine="420" w:firstLineChars="200"/>
              <w:rPr>
                <w:color w:val="auto"/>
                <w:sz w:val="21"/>
                <w:szCs w:val="21"/>
              </w:rPr>
            </w:pPr>
          </w:p>
        </w:tc>
      </w:tr>
    </w:tbl>
    <w:p w14:paraId="7966C5D0">
      <w:pPr>
        <w:pStyle w:val="21"/>
        <w:spacing w:beforeLines="50" w:beforeAutospacing="0" w:after="0" w:afterAutospacing="0" w:line="360" w:lineRule="auto"/>
        <w:jc w:val="center"/>
        <w:rPr>
          <w:rFonts w:ascii="Times New Roman" w:hAnsi="Times New Roman"/>
          <w:snapToGrid w:val="0"/>
          <w:color w:val="0000FF"/>
        </w:rPr>
        <w:sectPr>
          <w:headerReference r:id="rId15" w:type="default"/>
          <w:pgSz w:w="11906" w:h="16838"/>
          <w:pgMar w:top="1440" w:right="1418" w:bottom="1440" w:left="1418" w:header="851" w:footer="851" w:gutter="0"/>
          <w:cols w:space="720" w:num="1"/>
          <w:docGrid w:linePitch="312" w:charSpace="0"/>
        </w:sectPr>
      </w:pPr>
    </w:p>
    <w:p w14:paraId="3BC24E26">
      <w:pPr>
        <w:pStyle w:val="2"/>
        <w:framePr w:wrap="around"/>
        <w:spacing w:line="240" w:lineRule="auto"/>
        <w:rPr>
          <w:snapToGrid w:val="0"/>
          <w:szCs w:val="30"/>
        </w:rPr>
      </w:pPr>
      <w:bookmarkStart w:id="68" w:name="_Toc17473"/>
      <w:bookmarkStart w:id="69" w:name="_Toc69030998"/>
      <w:r>
        <w:t>六、结论</w:t>
      </w:r>
      <w:bookmarkEnd w:id="68"/>
      <w:bookmarkEnd w:id="69"/>
    </w:p>
    <w:tbl>
      <w:tblPr>
        <w:tblStyle w:val="2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86"/>
      </w:tblGrid>
      <w:tr w14:paraId="2959A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91" w:hRule="atLeast"/>
          <w:jc w:val="center"/>
        </w:trPr>
        <w:tc>
          <w:tcPr>
            <w:tcW w:w="8336" w:type="dxa"/>
          </w:tcPr>
          <w:p w14:paraId="5C820149">
            <w:pPr>
              <w:ind w:firstLine="480" w:firstLineChars="200"/>
            </w:pPr>
            <w:r>
              <w:t>本项目为</w:t>
            </w:r>
            <w:r>
              <w:rPr>
                <w:rFonts w:hint="eastAsia"/>
              </w:rPr>
              <w:t>安徽淮记本食生物科技有限公司现代智能化食品工厂及电商运营中心项目</w:t>
            </w:r>
            <w:r>
              <w:t>，选址于</w:t>
            </w:r>
            <w:r>
              <w:rPr>
                <w:rFonts w:hint="eastAsia"/>
              </w:rPr>
              <w:t>淮南市田家庵安成经济开发区（北区）标准化厂房6号楼一、二层</w:t>
            </w:r>
            <w:r>
              <w:t>，符合国家及地方产业政策，选址符合用地规划要求；项目生产过程中产生的污染在采取有效的治理措施之后，对周围环境影响较小，不会改变当地环境质量现状；同时本项目对周边环境产生的影响较小，事故风险水平可被接受。</w:t>
            </w:r>
          </w:p>
          <w:p w14:paraId="3E79BDE9">
            <w:pPr>
              <w:ind w:firstLine="480" w:firstLineChars="200"/>
              <w:rPr>
                <w:color w:val="0000FF"/>
              </w:rPr>
            </w:pPr>
            <w:r>
              <w:t>因此，</w:t>
            </w:r>
            <w:r>
              <w:rPr>
                <w:rFonts w:hint="eastAsia"/>
              </w:rPr>
              <w:t>在认真执行三同时、设计方案及环评中提出的污染防治措施后，在方案不变的情况下，产生的污染物对环境的影响可接受，不会降低项目区域环境功能，从环境保护的角度分析，该项目的建设是可行的。</w:t>
            </w:r>
          </w:p>
        </w:tc>
      </w:tr>
    </w:tbl>
    <w:p w14:paraId="328A2DF2">
      <w:pPr>
        <w:rPr>
          <w:color w:val="0000FF"/>
        </w:rPr>
        <w:sectPr>
          <w:headerReference r:id="rId16" w:type="default"/>
          <w:pgSz w:w="11906" w:h="16838"/>
          <w:pgMar w:top="1440" w:right="1418" w:bottom="1440" w:left="1418" w:header="851" w:footer="851" w:gutter="0"/>
          <w:cols w:space="720" w:num="1"/>
          <w:docGrid w:linePitch="312" w:charSpace="0"/>
        </w:sectPr>
      </w:pPr>
    </w:p>
    <w:p w14:paraId="5551D4CE">
      <w:pPr>
        <w:pStyle w:val="21"/>
        <w:adjustRightInd w:val="0"/>
        <w:snapToGrid w:val="0"/>
        <w:spacing w:before="0" w:beforeAutospacing="0" w:after="0" w:afterAutospacing="0"/>
        <w:jc w:val="both"/>
        <w:outlineLvl w:val="0"/>
        <w:rPr>
          <w:rFonts w:ascii="Times New Roman" w:hAnsi="Times New Roman"/>
          <w:b/>
          <w:snapToGrid w:val="0"/>
          <w:sz w:val="28"/>
          <w:szCs w:val="28"/>
        </w:rPr>
      </w:pPr>
      <w:bookmarkStart w:id="70" w:name="_Toc5522"/>
      <w:bookmarkStart w:id="71" w:name="_Toc69030999"/>
      <w:bookmarkStart w:id="72" w:name="_Hlk174093839"/>
      <w:r>
        <w:rPr>
          <w:rFonts w:ascii="Times New Roman" w:hAnsi="Times New Roman"/>
          <w:b/>
          <w:snapToGrid w:val="0"/>
          <w:sz w:val="28"/>
          <w:szCs w:val="28"/>
        </w:rPr>
        <w:t>附表</w:t>
      </w:r>
      <w:bookmarkEnd w:id="70"/>
      <w:bookmarkEnd w:id="71"/>
      <w:bookmarkStart w:id="73" w:name="_Toc67775558"/>
      <w:bookmarkStart w:id="74" w:name="_Toc69031000"/>
    </w:p>
    <w:p w14:paraId="10C8A7E0">
      <w:pPr>
        <w:pStyle w:val="21"/>
        <w:adjustRightInd w:val="0"/>
        <w:snapToGrid w:val="0"/>
        <w:spacing w:before="0" w:beforeAutospacing="0" w:after="0" w:afterAutospacing="0" w:line="360" w:lineRule="auto"/>
        <w:ind w:left="5280" w:leftChars="2200"/>
        <w:jc w:val="both"/>
        <w:outlineLvl w:val="0"/>
        <w:rPr>
          <w:rFonts w:ascii="Times New Roman" w:hAnsi="Times New Roman"/>
          <w:b/>
          <w:snapToGrid w:val="0"/>
          <w:sz w:val="28"/>
          <w:szCs w:val="28"/>
        </w:rPr>
      </w:pPr>
      <w:bookmarkStart w:id="75" w:name="OLE_LINK2"/>
      <w:bookmarkStart w:id="76" w:name="_Toc5613"/>
      <w:r>
        <w:rPr>
          <w:rFonts w:ascii="Times New Roman" w:hAnsi="Times New Roman"/>
          <w:b/>
          <w:snapToGrid w:val="0"/>
          <w:sz w:val="32"/>
          <w:szCs w:val="32"/>
        </w:rPr>
        <w:t>建设项目污染物排放量汇总表</w:t>
      </w:r>
      <w:bookmarkEnd w:id="73"/>
      <w:bookmarkEnd w:id="74"/>
      <w:bookmarkEnd w:id="75"/>
      <w:bookmarkEnd w:id="76"/>
    </w:p>
    <w:tbl>
      <w:tblPr>
        <w:tblStyle w:val="23"/>
        <w:tblW w:w="4998"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395"/>
        <w:gridCol w:w="1596"/>
        <w:gridCol w:w="1442"/>
        <w:gridCol w:w="1202"/>
        <w:gridCol w:w="1601"/>
        <w:gridCol w:w="1469"/>
        <w:gridCol w:w="1539"/>
        <w:gridCol w:w="1817"/>
        <w:gridCol w:w="1426"/>
      </w:tblGrid>
      <w:tr w14:paraId="4CB4B47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17" w:type="pct"/>
            <w:tcBorders>
              <w:tl2br w:val="single" w:color="auto" w:sz="4" w:space="0"/>
            </w:tcBorders>
            <w:tcMar>
              <w:left w:w="28" w:type="dxa"/>
              <w:right w:w="28" w:type="dxa"/>
            </w:tcMar>
            <w:vAlign w:val="center"/>
          </w:tcPr>
          <w:p w14:paraId="644DDBBA">
            <w:pPr>
              <w:adjustRightInd w:val="0"/>
              <w:snapToGrid w:val="0"/>
              <w:spacing w:line="240" w:lineRule="auto"/>
              <w:jc w:val="right"/>
              <w:rPr>
                <w:bCs/>
                <w:color w:val="auto"/>
                <w:kern w:val="2"/>
                <w:sz w:val="21"/>
                <w:szCs w:val="21"/>
              </w:rPr>
            </w:pPr>
            <w:r>
              <w:rPr>
                <w:bCs/>
                <w:color w:val="auto"/>
                <w:kern w:val="2"/>
                <w:sz w:val="21"/>
                <w:szCs w:val="21"/>
              </w:rPr>
              <w:t>项目</w:t>
            </w:r>
          </w:p>
          <w:p w14:paraId="74965852">
            <w:pPr>
              <w:adjustRightInd w:val="0"/>
              <w:snapToGrid w:val="0"/>
              <w:spacing w:line="240" w:lineRule="auto"/>
              <w:jc w:val="left"/>
              <w:rPr>
                <w:bCs/>
                <w:color w:val="auto"/>
                <w:kern w:val="2"/>
                <w:sz w:val="21"/>
                <w:szCs w:val="21"/>
              </w:rPr>
            </w:pPr>
            <w:r>
              <w:rPr>
                <w:bCs/>
                <w:color w:val="auto"/>
                <w:kern w:val="2"/>
                <w:sz w:val="21"/>
                <w:szCs w:val="21"/>
              </w:rPr>
              <w:t>分类</w:t>
            </w:r>
          </w:p>
        </w:tc>
        <w:tc>
          <w:tcPr>
            <w:tcW w:w="591" w:type="pct"/>
            <w:tcMar>
              <w:left w:w="28" w:type="dxa"/>
              <w:right w:w="28" w:type="dxa"/>
            </w:tcMar>
            <w:vAlign w:val="center"/>
          </w:tcPr>
          <w:p w14:paraId="6993CF60">
            <w:pPr>
              <w:adjustRightInd w:val="0"/>
              <w:snapToGrid w:val="0"/>
              <w:spacing w:line="240" w:lineRule="auto"/>
              <w:jc w:val="center"/>
              <w:rPr>
                <w:bCs/>
                <w:color w:val="auto"/>
                <w:kern w:val="2"/>
                <w:sz w:val="21"/>
                <w:szCs w:val="21"/>
              </w:rPr>
            </w:pPr>
            <w:r>
              <w:rPr>
                <w:bCs/>
                <w:color w:val="auto"/>
                <w:kern w:val="2"/>
                <w:sz w:val="21"/>
                <w:szCs w:val="21"/>
              </w:rPr>
              <w:t>污染物名称</w:t>
            </w:r>
          </w:p>
        </w:tc>
        <w:tc>
          <w:tcPr>
            <w:tcW w:w="534" w:type="pct"/>
            <w:tcMar>
              <w:left w:w="28" w:type="dxa"/>
              <w:right w:w="28" w:type="dxa"/>
            </w:tcMar>
            <w:vAlign w:val="center"/>
          </w:tcPr>
          <w:p w14:paraId="0F99AB6C">
            <w:pPr>
              <w:adjustRightInd w:val="0"/>
              <w:snapToGrid w:val="0"/>
              <w:spacing w:line="240" w:lineRule="auto"/>
              <w:jc w:val="center"/>
              <w:rPr>
                <w:bCs/>
                <w:color w:val="auto"/>
                <w:kern w:val="2"/>
                <w:sz w:val="21"/>
                <w:szCs w:val="21"/>
              </w:rPr>
            </w:pPr>
            <w:r>
              <w:rPr>
                <w:bCs/>
                <w:color w:val="auto"/>
                <w:kern w:val="2"/>
                <w:sz w:val="21"/>
                <w:szCs w:val="21"/>
              </w:rPr>
              <w:t>现有工程排放量（固体废物产生量）</w:t>
            </w:r>
            <w:r>
              <w:rPr>
                <w:bCs/>
                <w:color w:val="auto"/>
                <w:kern w:val="2"/>
                <w:sz w:val="21"/>
                <w:szCs w:val="21"/>
              </w:rPr>
              <w:fldChar w:fldCharType="begin"/>
            </w:r>
            <w:r>
              <w:rPr>
                <w:bCs/>
                <w:color w:val="auto"/>
                <w:kern w:val="2"/>
                <w:sz w:val="21"/>
                <w:szCs w:val="21"/>
              </w:rPr>
              <w:instrText xml:space="preserve"> = 1 \* GB3 \* MERGEFORMAT </w:instrText>
            </w:r>
            <w:r>
              <w:rPr>
                <w:bCs/>
                <w:color w:val="auto"/>
                <w:kern w:val="2"/>
                <w:sz w:val="21"/>
                <w:szCs w:val="21"/>
              </w:rPr>
              <w:fldChar w:fldCharType="separate"/>
            </w:r>
            <w:r>
              <w:rPr>
                <w:rFonts w:hint="eastAsia" w:ascii="宋体" w:hAnsi="宋体" w:cs="宋体"/>
                <w:bCs/>
                <w:color w:val="auto"/>
                <w:kern w:val="2"/>
                <w:sz w:val="21"/>
                <w:szCs w:val="21"/>
              </w:rPr>
              <w:t>①</w:t>
            </w:r>
            <w:r>
              <w:rPr>
                <w:bCs/>
                <w:color w:val="auto"/>
                <w:kern w:val="2"/>
                <w:sz w:val="21"/>
                <w:szCs w:val="21"/>
              </w:rPr>
              <w:fldChar w:fldCharType="end"/>
            </w:r>
          </w:p>
        </w:tc>
        <w:tc>
          <w:tcPr>
            <w:tcW w:w="445" w:type="pct"/>
            <w:tcMar>
              <w:left w:w="28" w:type="dxa"/>
              <w:right w:w="28" w:type="dxa"/>
            </w:tcMar>
            <w:vAlign w:val="center"/>
          </w:tcPr>
          <w:p w14:paraId="5BE2805C">
            <w:pPr>
              <w:adjustRightInd w:val="0"/>
              <w:snapToGrid w:val="0"/>
              <w:spacing w:line="240" w:lineRule="auto"/>
              <w:jc w:val="center"/>
              <w:rPr>
                <w:bCs/>
                <w:color w:val="auto"/>
                <w:kern w:val="2"/>
                <w:sz w:val="21"/>
                <w:szCs w:val="21"/>
              </w:rPr>
            </w:pPr>
            <w:r>
              <w:rPr>
                <w:bCs/>
                <w:color w:val="auto"/>
                <w:kern w:val="2"/>
                <w:sz w:val="21"/>
                <w:szCs w:val="21"/>
              </w:rPr>
              <w:t>现有工程许可排放量</w:t>
            </w:r>
          </w:p>
          <w:p w14:paraId="06042816">
            <w:pPr>
              <w:adjustRightInd w:val="0"/>
              <w:snapToGrid w:val="0"/>
              <w:spacing w:line="240" w:lineRule="auto"/>
              <w:jc w:val="center"/>
              <w:rPr>
                <w:bCs/>
                <w:color w:val="auto"/>
                <w:kern w:val="2"/>
                <w:sz w:val="21"/>
                <w:szCs w:val="21"/>
              </w:rPr>
            </w:pPr>
            <w:r>
              <w:rPr>
                <w:bCs/>
                <w:color w:val="auto"/>
                <w:kern w:val="2"/>
                <w:sz w:val="21"/>
                <w:szCs w:val="21"/>
              </w:rPr>
              <w:fldChar w:fldCharType="begin"/>
            </w:r>
            <w:r>
              <w:rPr>
                <w:bCs/>
                <w:color w:val="auto"/>
                <w:kern w:val="2"/>
                <w:sz w:val="21"/>
                <w:szCs w:val="21"/>
              </w:rPr>
              <w:instrText xml:space="preserve"> = 2 \* GB3 \* MERGEFORMAT </w:instrText>
            </w:r>
            <w:r>
              <w:rPr>
                <w:bCs/>
                <w:color w:val="auto"/>
                <w:kern w:val="2"/>
                <w:sz w:val="21"/>
                <w:szCs w:val="21"/>
              </w:rPr>
              <w:fldChar w:fldCharType="separate"/>
            </w:r>
            <w:r>
              <w:rPr>
                <w:rFonts w:hint="eastAsia" w:ascii="宋体" w:hAnsi="宋体" w:cs="宋体"/>
                <w:bCs/>
                <w:color w:val="auto"/>
                <w:kern w:val="2"/>
                <w:sz w:val="21"/>
                <w:szCs w:val="21"/>
              </w:rPr>
              <w:t>②</w:t>
            </w:r>
            <w:r>
              <w:rPr>
                <w:bCs/>
                <w:color w:val="auto"/>
                <w:kern w:val="2"/>
                <w:sz w:val="21"/>
                <w:szCs w:val="21"/>
              </w:rPr>
              <w:fldChar w:fldCharType="end"/>
            </w:r>
          </w:p>
        </w:tc>
        <w:tc>
          <w:tcPr>
            <w:tcW w:w="593" w:type="pct"/>
            <w:tcMar>
              <w:left w:w="28" w:type="dxa"/>
              <w:right w:w="28" w:type="dxa"/>
            </w:tcMar>
            <w:vAlign w:val="center"/>
          </w:tcPr>
          <w:p w14:paraId="0DB07AA9">
            <w:pPr>
              <w:adjustRightInd w:val="0"/>
              <w:snapToGrid w:val="0"/>
              <w:spacing w:line="240" w:lineRule="auto"/>
              <w:jc w:val="center"/>
              <w:rPr>
                <w:bCs/>
                <w:color w:val="auto"/>
                <w:kern w:val="2"/>
                <w:sz w:val="21"/>
                <w:szCs w:val="21"/>
              </w:rPr>
            </w:pPr>
            <w:r>
              <w:rPr>
                <w:bCs/>
                <w:color w:val="auto"/>
                <w:kern w:val="2"/>
                <w:sz w:val="21"/>
                <w:szCs w:val="21"/>
              </w:rPr>
              <w:t>在建工程排放量（固体废物产生量）</w:t>
            </w:r>
            <w:r>
              <w:rPr>
                <w:bCs/>
                <w:color w:val="auto"/>
                <w:kern w:val="2"/>
                <w:sz w:val="21"/>
                <w:szCs w:val="21"/>
              </w:rPr>
              <w:fldChar w:fldCharType="begin"/>
            </w:r>
            <w:r>
              <w:rPr>
                <w:bCs/>
                <w:color w:val="auto"/>
                <w:kern w:val="2"/>
                <w:sz w:val="21"/>
                <w:szCs w:val="21"/>
              </w:rPr>
              <w:instrText xml:space="preserve"> = 3 \* GB3 \* MERGEFORMAT </w:instrText>
            </w:r>
            <w:r>
              <w:rPr>
                <w:bCs/>
                <w:color w:val="auto"/>
                <w:kern w:val="2"/>
                <w:sz w:val="21"/>
                <w:szCs w:val="21"/>
              </w:rPr>
              <w:fldChar w:fldCharType="separate"/>
            </w:r>
            <w:r>
              <w:rPr>
                <w:rFonts w:hint="eastAsia" w:ascii="宋体" w:hAnsi="宋体" w:cs="宋体"/>
                <w:bCs/>
                <w:color w:val="auto"/>
                <w:kern w:val="2"/>
                <w:sz w:val="21"/>
                <w:szCs w:val="21"/>
              </w:rPr>
              <w:t>③</w:t>
            </w:r>
            <w:r>
              <w:rPr>
                <w:bCs/>
                <w:color w:val="auto"/>
                <w:kern w:val="2"/>
                <w:sz w:val="21"/>
                <w:szCs w:val="21"/>
              </w:rPr>
              <w:fldChar w:fldCharType="end"/>
            </w:r>
          </w:p>
        </w:tc>
        <w:tc>
          <w:tcPr>
            <w:tcW w:w="544" w:type="pct"/>
            <w:tcMar>
              <w:left w:w="28" w:type="dxa"/>
              <w:right w:w="28" w:type="dxa"/>
            </w:tcMar>
            <w:vAlign w:val="center"/>
          </w:tcPr>
          <w:p w14:paraId="1C7C5250">
            <w:pPr>
              <w:adjustRightInd w:val="0"/>
              <w:snapToGrid w:val="0"/>
              <w:spacing w:line="240" w:lineRule="auto"/>
              <w:jc w:val="center"/>
              <w:rPr>
                <w:bCs/>
                <w:color w:val="auto"/>
                <w:kern w:val="2"/>
                <w:sz w:val="21"/>
                <w:szCs w:val="21"/>
              </w:rPr>
            </w:pPr>
            <w:r>
              <w:rPr>
                <w:bCs/>
                <w:color w:val="auto"/>
                <w:kern w:val="2"/>
                <w:sz w:val="21"/>
                <w:szCs w:val="21"/>
              </w:rPr>
              <w:t>本项目排放量（固体废物产生量）</w:t>
            </w:r>
            <w:r>
              <w:rPr>
                <w:bCs/>
                <w:color w:val="auto"/>
                <w:kern w:val="2"/>
                <w:sz w:val="21"/>
                <w:szCs w:val="21"/>
              </w:rPr>
              <w:fldChar w:fldCharType="begin"/>
            </w:r>
            <w:r>
              <w:rPr>
                <w:bCs/>
                <w:color w:val="auto"/>
                <w:kern w:val="2"/>
                <w:sz w:val="21"/>
                <w:szCs w:val="21"/>
              </w:rPr>
              <w:instrText xml:space="preserve"> = 4 \* GB3 \* MERGEFORMAT </w:instrText>
            </w:r>
            <w:r>
              <w:rPr>
                <w:bCs/>
                <w:color w:val="auto"/>
                <w:kern w:val="2"/>
                <w:sz w:val="21"/>
                <w:szCs w:val="21"/>
              </w:rPr>
              <w:fldChar w:fldCharType="separate"/>
            </w:r>
            <w:r>
              <w:rPr>
                <w:rFonts w:hint="eastAsia" w:ascii="宋体" w:hAnsi="宋体" w:cs="宋体"/>
                <w:bCs/>
                <w:color w:val="auto"/>
                <w:kern w:val="2"/>
                <w:sz w:val="21"/>
                <w:szCs w:val="21"/>
              </w:rPr>
              <w:t>④</w:t>
            </w:r>
            <w:r>
              <w:rPr>
                <w:bCs/>
                <w:color w:val="auto"/>
                <w:kern w:val="2"/>
                <w:sz w:val="21"/>
                <w:szCs w:val="21"/>
              </w:rPr>
              <w:fldChar w:fldCharType="end"/>
            </w:r>
          </w:p>
        </w:tc>
        <w:tc>
          <w:tcPr>
            <w:tcW w:w="570" w:type="pct"/>
            <w:tcMar>
              <w:left w:w="28" w:type="dxa"/>
              <w:right w:w="28" w:type="dxa"/>
            </w:tcMar>
            <w:vAlign w:val="center"/>
          </w:tcPr>
          <w:p w14:paraId="1D0A0587">
            <w:pPr>
              <w:adjustRightInd w:val="0"/>
              <w:snapToGrid w:val="0"/>
              <w:spacing w:line="240" w:lineRule="auto"/>
              <w:jc w:val="center"/>
              <w:rPr>
                <w:bCs/>
                <w:color w:val="auto"/>
                <w:kern w:val="2"/>
                <w:sz w:val="21"/>
                <w:szCs w:val="21"/>
              </w:rPr>
            </w:pPr>
            <w:r>
              <w:rPr>
                <w:bCs/>
                <w:color w:val="auto"/>
                <w:kern w:val="2"/>
                <w:sz w:val="21"/>
                <w:szCs w:val="21"/>
              </w:rPr>
              <w:t>以新带老削减量（新建项目不填）</w:t>
            </w:r>
            <w:r>
              <w:rPr>
                <w:bCs/>
                <w:color w:val="auto"/>
                <w:kern w:val="2"/>
                <w:sz w:val="21"/>
                <w:szCs w:val="21"/>
              </w:rPr>
              <w:fldChar w:fldCharType="begin"/>
            </w:r>
            <w:r>
              <w:rPr>
                <w:bCs/>
                <w:color w:val="auto"/>
                <w:kern w:val="2"/>
                <w:sz w:val="21"/>
                <w:szCs w:val="21"/>
              </w:rPr>
              <w:instrText xml:space="preserve"> = 5 \* GB3 \* MERGEFORMAT </w:instrText>
            </w:r>
            <w:r>
              <w:rPr>
                <w:bCs/>
                <w:color w:val="auto"/>
                <w:kern w:val="2"/>
                <w:sz w:val="21"/>
                <w:szCs w:val="21"/>
              </w:rPr>
              <w:fldChar w:fldCharType="separate"/>
            </w:r>
            <w:r>
              <w:rPr>
                <w:rFonts w:hint="eastAsia" w:ascii="宋体" w:hAnsi="宋体" w:cs="宋体"/>
                <w:bCs/>
                <w:color w:val="auto"/>
                <w:kern w:val="2"/>
                <w:sz w:val="21"/>
                <w:szCs w:val="21"/>
              </w:rPr>
              <w:t>⑤</w:t>
            </w:r>
            <w:r>
              <w:rPr>
                <w:bCs/>
                <w:color w:val="auto"/>
                <w:kern w:val="2"/>
                <w:sz w:val="21"/>
                <w:szCs w:val="21"/>
              </w:rPr>
              <w:fldChar w:fldCharType="end"/>
            </w:r>
          </w:p>
        </w:tc>
        <w:tc>
          <w:tcPr>
            <w:tcW w:w="673" w:type="pct"/>
            <w:tcMar>
              <w:left w:w="28" w:type="dxa"/>
              <w:right w:w="28" w:type="dxa"/>
            </w:tcMar>
            <w:vAlign w:val="center"/>
          </w:tcPr>
          <w:p w14:paraId="3C7CB0DE">
            <w:pPr>
              <w:adjustRightInd w:val="0"/>
              <w:snapToGrid w:val="0"/>
              <w:spacing w:line="240" w:lineRule="auto"/>
              <w:jc w:val="center"/>
              <w:rPr>
                <w:bCs/>
                <w:color w:val="auto"/>
                <w:kern w:val="2"/>
                <w:sz w:val="21"/>
                <w:szCs w:val="21"/>
              </w:rPr>
            </w:pPr>
            <w:r>
              <w:rPr>
                <w:bCs/>
                <w:color w:val="auto"/>
                <w:kern w:val="2"/>
                <w:sz w:val="21"/>
                <w:szCs w:val="21"/>
              </w:rPr>
              <w:t>本项目建成后全厂排放量（固体废物产生量）</w:t>
            </w:r>
            <w:r>
              <w:rPr>
                <w:bCs/>
                <w:color w:val="auto"/>
                <w:kern w:val="2"/>
                <w:sz w:val="21"/>
                <w:szCs w:val="21"/>
              </w:rPr>
              <w:fldChar w:fldCharType="begin"/>
            </w:r>
            <w:r>
              <w:rPr>
                <w:bCs/>
                <w:color w:val="auto"/>
                <w:kern w:val="2"/>
                <w:sz w:val="21"/>
                <w:szCs w:val="21"/>
              </w:rPr>
              <w:instrText xml:space="preserve"> = 6 \* GB3 \* MERGEFORMAT </w:instrText>
            </w:r>
            <w:r>
              <w:rPr>
                <w:bCs/>
                <w:color w:val="auto"/>
                <w:kern w:val="2"/>
                <w:sz w:val="21"/>
                <w:szCs w:val="21"/>
              </w:rPr>
              <w:fldChar w:fldCharType="separate"/>
            </w:r>
            <w:r>
              <w:rPr>
                <w:rFonts w:hint="eastAsia" w:ascii="宋体" w:hAnsi="宋体" w:cs="宋体"/>
                <w:bCs/>
                <w:color w:val="auto"/>
                <w:kern w:val="2"/>
                <w:sz w:val="21"/>
                <w:szCs w:val="21"/>
              </w:rPr>
              <w:t>⑥</w:t>
            </w:r>
            <w:r>
              <w:rPr>
                <w:bCs/>
                <w:color w:val="auto"/>
                <w:kern w:val="2"/>
                <w:sz w:val="21"/>
                <w:szCs w:val="21"/>
              </w:rPr>
              <w:fldChar w:fldCharType="end"/>
            </w:r>
          </w:p>
        </w:tc>
        <w:tc>
          <w:tcPr>
            <w:tcW w:w="528" w:type="pct"/>
            <w:tcMar>
              <w:left w:w="28" w:type="dxa"/>
              <w:right w:w="28" w:type="dxa"/>
            </w:tcMar>
            <w:vAlign w:val="center"/>
          </w:tcPr>
          <w:p w14:paraId="6F6ED5F2">
            <w:pPr>
              <w:adjustRightInd w:val="0"/>
              <w:snapToGrid w:val="0"/>
              <w:spacing w:line="240" w:lineRule="auto"/>
              <w:jc w:val="center"/>
              <w:rPr>
                <w:bCs/>
                <w:color w:val="auto"/>
                <w:kern w:val="2"/>
                <w:sz w:val="21"/>
                <w:szCs w:val="21"/>
              </w:rPr>
            </w:pPr>
            <w:r>
              <w:rPr>
                <w:bCs/>
                <w:color w:val="auto"/>
                <w:kern w:val="2"/>
                <w:sz w:val="21"/>
                <w:szCs w:val="21"/>
              </w:rPr>
              <w:t>变化量</w:t>
            </w:r>
            <w:r>
              <w:rPr>
                <w:bCs/>
                <w:color w:val="auto"/>
                <w:kern w:val="2"/>
                <w:sz w:val="21"/>
                <w:szCs w:val="21"/>
              </w:rPr>
              <w:fldChar w:fldCharType="begin"/>
            </w:r>
            <w:r>
              <w:rPr>
                <w:bCs/>
                <w:color w:val="auto"/>
                <w:kern w:val="2"/>
                <w:sz w:val="21"/>
                <w:szCs w:val="21"/>
              </w:rPr>
              <w:instrText xml:space="preserve"> = 7 \* GB3 \* MERGEFORMAT </w:instrText>
            </w:r>
            <w:r>
              <w:rPr>
                <w:bCs/>
                <w:color w:val="auto"/>
                <w:kern w:val="2"/>
                <w:sz w:val="21"/>
                <w:szCs w:val="21"/>
              </w:rPr>
              <w:fldChar w:fldCharType="separate"/>
            </w:r>
            <w:r>
              <w:rPr>
                <w:rFonts w:hint="eastAsia" w:ascii="宋体" w:hAnsi="宋体" w:cs="宋体"/>
                <w:bCs/>
                <w:color w:val="auto"/>
                <w:kern w:val="2"/>
                <w:sz w:val="21"/>
                <w:szCs w:val="21"/>
              </w:rPr>
              <w:t>⑦</w:t>
            </w:r>
            <w:r>
              <w:rPr>
                <w:bCs/>
                <w:color w:val="auto"/>
                <w:kern w:val="2"/>
                <w:sz w:val="21"/>
                <w:szCs w:val="21"/>
              </w:rPr>
              <w:fldChar w:fldCharType="end"/>
            </w:r>
          </w:p>
        </w:tc>
      </w:tr>
      <w:tr w14:paraId="3755482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17" w:type="pct"/>
            <w:vMerge w:val="restart"/>
            <w:vAlign w:val="center"/>
          </w:tcPr>
          <w:p w14:paraId="4E1CFE0D">
            <w:pPr>
              <w:adjustRightInd w:val="0"/>
              <w:snapToGrid w:val="0"/>
              <w:spacing w:line="240" w:lineRule="auto"/>
              <w:jc w:val="center"/>
              <w:rPr>
                <w:color w:val="auto"/>
                <w:kern w:val="2"/>
                <w:sz w:val="21"/>
                <w:szCs w:val="21"/>
              </w:rPr>
            </w:pPr>
            <w:r>
              <w:rPr>
                <w:color w:val="auto"/>
                <w:kern w:val="2"/>
                <w:sz w:val="21"/>
                <w:szCs w:val="21"/>
              </w:rPr>
              <w:t>废气</w:t>
            </w:r>
          </w:p>
        </w:tc>
        <w:tc>
          <w:tcPr>
            <w:tcW w:w="591" w:type="pct"/>
            <w:vAlign w:val="center"/>
          </w:tcPr>
          <w:p w14:paraId="53E86EAC">
            <w:pPr>
              <w:adjustRightInd w:val="0"/>
              <w:snapToGrid w:val="0"/>
              <w:spacing w:line="240" w:lineRule="auto"/>
              <w:jc w:val="center"/>
              <w:rPr>
                <w:color w:val="auto"/>
                <w:kern w:val="2"/>
                <w:sz w:val="21"/>
                <w:szCs w:val="21"/>
              </w:rPr>
            </w:pPr>
            <w:r>
              <w:rPr>
                <w:color w:val="auto"/>
                <w:kern w:val="2"/>
                <w:sz w:val="21"/>
                <w:szCs w:val="21"/>
              </w:rPr>
              <w:t>颗粒物</w:t>
            </w:r>
          </w:p>
        </w:tc>
        <w:tc>
          <w:tcPr>
            <w:tcW w:w="534" w:type="pct"/>
            <w:vAlign w:val="center"/>
          </w:tcPr>
          <w:p w14:paraId="6175266D">
            <w:pPr>
              <w:adjustRightInd w:val="0"/>
              <w:snapToGrid w:val="0"/>
              <w:spacing w:line="240" w:lineRule="auto"/>
              <w:jc w:val="center"/>
              <w:rPr>
                <w:color w:val="auto"/>
                <w:kern w:val="2"/>
                <w:sz w:val="21"/>
                <w:szCs w:val="21"/>
              </w:rPr>
            </w:pPr>
            <w:r>
              <w:rPr>
                <w:rFonts w:hint="eastAsia"/>
                <w:color w:val="auto"/>
                <w:kern w:val="2"/>
                <w:sz w:val="21"/>
                <w:szCs w:val="21"/>
              </w:rPr>
              <w:t>/</w:t>
            </w:r>
          </w:p>
        </w:tc>
        <w:tc>
          <w:tcPr>
            <w:tcW w:w="445" w:type="pct"/>
            <w:shd w:val="clear" w:color="auto" w:fill="auto"/>
            <w:vAlign w:val="center"/>
          </w:tcPr>
          <w:p w14:paraId="3C0B1349">
            <w:pPr>
              <w:adjustRightInd w:val="0"/>
              <w:snapToGrid w:val="0"/>
              <w:spacing w:line="240" w:lineRule="auto"/>
              <w:jc w:val="center"/>
              <w:rPr>
                <w:color w:val="auto"/>
                <w:kern w:val="2"/>
                <w:sz w:val="21"/>
                <w:szCs w:val="21"/>
              </w:rPr>
            </w:pPr>
            <w:r>
              <w:rPr>
                <w:rFonts w:hint="eastAsia"/>
                <w:color w:val="auto"/>
                <w:kern w:val="2"/>
                <w:sz w:val="21"/>
                <w:szCs w:val="21"/>
              </w:rPr>
              <w:t>/</w:t>
            </w:r>
          </w:p>
        </w:tc>
        <w:tc>
          <w:tcPr>
            <w:tcW w:w="593" w:type="pct"/>
            <w:shd w:val="clear" w:color="auto" w:fill="auto"/>
            <w:vAlign w:val="center"/>
          </w:tcPr>
          <w:p w14:paraId="78EB3EF7">
            <w:pPr>
              <w:adjustRightInd w:val="0"/>
              <w:snapToGrid w:val="0"/>
              <w:spacing w:line="240" w:lineRule="auto"/>
              <w:jc w:val="center"/>
              <w:rPr>
                <w:color w:val="auto"/>
                <w:kern w:val="2"/>
                <w:sz w:val="21"/>
                <w:szCs w:val="21"/>
              </w:rPr>
            </w:pPr>
            <w:r>
              <w:rPr>
                <w:rFonts w:hint="eastAsia"/>
                <w:color w:val="auto"/>
                <w:kern w:val="2"/>
                <w:sz w:val="21"/>
                <w:szCs w:val="21"/>
              </w:rPr>
              <w:t>/</w:t>
            </w:r>
          </w:p>
        </w:tc>
        <w:tc>
          <w:tcPr>
            <w:tcW w:w="544" w:type="pct"/>
            <w:vAlign w:val="center"/>
          </w:tcPr>
          <w:p w14:paraId="0E597EB9">
            <w:pPr>
              <w:pStyle w:val="30"/>
              <w:framePr w:hSpace="0" w:wrap="auto" w:vAnchor="margin" w:hAnchor="text" w:xAlign="left" w:yAlign="inline"/>
              <w:rPr>
                <w:rFonts w:hint="default" w:eastAsia="宋体"/>
                <w:color w:val="auto"/>
                <w:sz w:val="21"/>
                <w:szCs w:val="21"/>
                <w:lang w:val="en-US" w:eastAsia="zh-CN"/>
              </w:rPr>
            </w:pPr>
            <w:r>
              <w:rPr>
                <w:color w:val="auto"/>
                <w:sz w:val="21"/>
                <w:szCs w:val="21"/>
                <w:lang w:val="en-US"/>
              </w:rPr>
              <w:t>0.0</w:t>
            </w:r>
            <w:r>
              <w:rPr>
                <w:rFonts w:hint="eastAsia"/>
                <w:color w:val="auto"/>
                <w:sz w:val="21"/>
                <w:szCs w:val="21"/>
                <w:lang w:val="en-US" w:eastAsia="zh-CN"/>
              </w:rPr>
              <w:t>016</w:t>
            </w:r>
          </w:p>
        </w:tc>
        <w:tc>
          <w:tcPr>
            <w:tcW w:w="570" w:type="pct"/>
            <w:shd w:val="clear" w:color="auto" w:fill="auto"/>
            <w:vAlign w:val="center"/>
          </w:tcPr>
          <w:p w14:paraId="26966C37">
            <w:pPr>
              <w:adjustRightInd w:val="0"/>
              <w:snapToGrid w:val="0"/>
              <w:spacing w:line="240" w:lineRule="auto"/>
              <w:jc w:val="center"/>
              <w:rPr>
                <w:color w:val="auto"/>
                <w:kern w:val="2"/>
                <w:sz w:val="21"/>
                <w:szCs w:val="21"/>
              </w:rPr>
            </w:pPr>
            <w:r>
              <w:rPr>
                <w:rFonts w:hint="eastAsia"/>
                <w:color w:val="auto"/>
                <w:kern w:val="2"/>
                <w:sz w:val="21"/>
                <w:szCs w:val="21"/>
              </w:rPr>
              <w:t>/</w:t>
            </w:r>
          </w:p>
        </w:tc>
        <w:tc>
          <w:tcPr>
            <w:tcW w:w="673" w:type="pct"/>
            <w:vAlign w:val="center"/>
          </w:tcPr>
          <w:p w14:paraId="73729F32">
            <w:pPr>
              <w:pStyle w:val="30"/>
              <w:framePr w:hSpace="0" w:wrap="auto" w:vAnchor="margin" w:hAnchor="text" w:xAlign="left" w:yAlign="inline"/>
              <w:rPr>
                <w:rFonts w:hint="default" w:eastAsia="宋体"/>
                <w:color w:val="auto"/>
                <w:sz w:val="21"/>
                <w:szCs w:val="21"/>
                <w:lang w:val="en-US" w:eastAsia="zh-CN"/>
              </w:rPr>
            </w:pPr>
            <w:r>
              <w:rPr>
                <w:color w:val="auto"/>
                <w:sz w:val="21"/>
                <w:szCs w:val="21"/>
                <w:lang w:val="en-US"/>
              </w:rPr>
              <w:t>0.0</w:t>
            </w:r>
            <w:r>
              <w:rPr>
                <w:rFonts w:hint="eastAsia"/>
                <w:color w:val="auto"/>
                <w:sz w:val="21"/>
                <w:szCs w:val="21"/>
                <w:lang w:val="en-US" w:eastAsia="zh-CN"/>
              </w:rPr>
              <w:t>016</w:t>
            </w:r>
          </w:p>
        </w:tc>
        <w:tc>
          <w:tcPr>
            <w:tcW w:w="528" w:type="pct"/>
            <w:vAlign w:val="center"/>
          </w:tcPr>
          <w:p w14:paraId="4E353431">
            <w:pPr>
              <w:pStyle w:val="30"/>
              <w:framePr w:hSpace="0" w:wrap="auto" w:vAnchor="margin" w:hAnchor="text" w:xAlign="left" w:yAlign="inline"/>
              <w:rPr>
                <w:rFonts w:hint="default" w:eastAsia="宋体"/>
                <w:color w:val="auto"/>
                <w:sz w:val="21"/>
                <w:szCs w:val="21"/>
                <w:lang w:val="en-US" w:eastAsia="zh-CN"/>
              </w:rPr>
            </w:pPr>
            <w:r>
              <w:rPr>
                <w:rFonts w:hint="eastAsia"/>
                <w:color w:val="auto"/>
                <w:sz w:val="21"/>
                <w:szCs w:val="21"/>
                <w:lang w:val="en-US"/>
              </w:rPr>
              <w:t>+</w:t>
            </w:r>
            <w:r>
              <w:rPr>
                <w:color w:val="auto"/>
                <w:sz w:val="21"/>
                <w:szCs w:val="21"/>
                <w:lang w:val="en-US"/>
              </w:rPr>
              <w:t>0.0</w:t>
            </w:r>
            <w:r>
              <w:rPr>
                <w:rFonts w:hint="eastAsia"/>
                <w:color w:val="auto"/>
                <w:sz w:val="21"/>
                <w:szCs w:val="21"/>
                <w:lang w:val="en-US" w:eastAsia="zh-CN"/>
              </w:rPr>
              <w:t>016</w:t>
            </w:r>
          </w:p>
        </w:tc>
      </w:tr>
      <w:tr w14:paraId="47BEA1B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17" w:type="pct"/>
            <w:vMerge w:val="continue"/>
            <w:vAlign w:val="center"/>
          </w:tcPr>
          <w:p w14:paraId="7796BBED">
            <w:pPr>
              <w:adjustRightInd w:val="0"/>
              <w:snapToGrid w:val="0"/>
              <w:spacing w:line="240" w:lineRule="auto"/>
              <w:jc w:val="center"/>
              <w:rPr>
                <w:color w:val="auto"/>
                <w:kern w:val="2"/>
                <w:sz w:val="21"/>
                <w:szCs w:val="21"/>
              </w:rPr>
            </w:pPr>
          </w:p>
        </w:tc>
        <w:tc>
          <w:tcPr>
            <w:tcW w:w="591" w:type="pct"/>
            <w:shd w:val="clear" w:color="auto" w:fill="auto"/>
            <w:vAlign w:val="center"/>
          </w:tcPr>
          <w:p w14:paraId="7AEBC631">
            <w:pPr>
              <w:pStyle w:val="40"/>
              <w:bidi w:val="0"/>
              <w:ind w:firstLine="0" w:firstLineChars="0"/>
              <w:rPr>
                <w:rFonts w:hint="eastAsia" w:ascii="Times New Roman" w:hAnsi="Times New Roman" w:eastAsia="宋体" w:cs="Times New Roman"/>
                <w:color w:val="auto"/>
                <w:sz w:val="21"/>
                <w:szCs w:val="24"/>
                <w:lang w:val="en-US" w:eastAsia="zh-CN" w:bidi="ar-SA"/>
              </w:rPr>
            </w:pPr>
            <w:r>
              <w:rPr>
                <w:rFonts w:hint="eastAsia"/>
                <w:color w:val="auto"/>
                <w:lang w:val="en-US" w:eastAsia="zh-CN"/>
              </w:rPr>
              <w:t>氨</w:t>
            </w:r>
          </w:p>
        </w:tc>
        <w:tc>
          <w:tcPr>
            <w:tcW w:w="534" w:type="pct"/>
            <w:vAlign w:val="center"/>
          </w:tcPr>
          <w:p w14:paraId="0AC43A7D">
            <w:pPr>
              <w:adjustRightInd w:val="0"/>
              <w:snapToGrid w:val="0"/>
              <w:spacing w:line="240" w:lineRule="auto"/>
              <w:jc w:val="center"/>
              <w:rPr>
                <w:rFonts w:hint="eastAsia"/>
                <w:color w:val="auto"/>
                <w:kern w:val="2"/>
                <w:sz w:val="21"/>
                <w:szCs w:val="21"/>
              </w:rPr>
            </w:pPr>
          </w:p>
        </w:tc>
        <w:tc>
          <w:tcPr>
            <w:tcW w:w="445" w:type="pct"/>
            <w:shd w:val="clear" w:color="auto" w:fill="auto"/>
            <w:vAlign w:val="center"/>
          </w:tcPr>
          <w:p w14:paraId="6B7E23E6">
            <w:pPr>
              <w:adjustRightInd w:val="0"/>
              <w:snapToGrid w:val="0"/>
              <w:spacing w:line="240" w:lineRule="auto"/>
              <w:jc w:val="center"/>
              <w:rPr>
                <w:rFonts w:hint="eastAsia"/>
                <w:color w:val="auto"/>
                <w:kern w:val="2"/>
                <w:sz w:val="21"/>
                <w:szCs w:val="21"/>
              </w:rPr>
            </w:pPr>
          </w:p>
        </w:tc>
        <w:tc>
          <w:tcPr>
            <w:tcW w:w="593" w:type="pct"/>
            <w:shd w:val="clear" w:color="auto" w:fill="auto"/>
            <w:vAlign w:val="center"/>
          </w:tcPr>
          <w:p w14:paraId="401195A3">
            <w:pPr>
              <w:adjustRightInd w:val="0"/>
              <w:snapToGrid w:val="0"/>
              <w:spacing w:line="240" w:lineRule="auto"/>
              <w:jc w:val="center"/>
              <w:rPr>
                <w:rFonts w:hint="eastAsia"/>
                <w:color w:val="auto"/>
                <w:kern w:val="2"/>
                <w:sz w:val="21"/>
                <w:szCs w:val="21"/>
              </w:rPr>
            </w:pPr>
          </w:p>
        </w:tc>
        <w:tc>
          <w:tcPr>
            <w:tcW w:w="544" w:type="pct"/>
            <w:shd w:val="clear" w:color="auto" w:fill="auto"/>
            <w:vAlign w:val="center"/>
          </w:tcPr>
          <w:p w14:paraId="03EDE502">
            <w:pPr>
              <w:pStyle w:val="30"/>
              <w:framePr w:hSpace="0" w:wrap="auto" w:vAnchor="margin" w:hAnchor="text" w:xAlign="left" w:yAlign="inline"/>
              <w:rPr>
                <w:rFonts w:hint="eastAsia"/>
                <w:color w:val="auto"/>
                <w:sz w:val="21"/>
                <w:szCs w:val="21"/>
                <w:lang w:val="en-US" w:eastAsia="zh-CN"/>
              </w:rPr>
            </w:pPr>
            <w:r>
              <w:rPr>
                <w:rFonts w:hint="eastAsia"/>
                <w:color w:val="auto"/>
                <w:sz w:val="21"/>
                <w:szCs w:val="21"/>
                <w:lang w:val="en-US" w:eastAsia="zh-CN"/>
              </w:rPr>
              <w:t>0.00171</w:t>
            </w:r>
          </w:p>
        </w:tc>
        <w:tc>
          <w:tcPr>
            <w:tcW w:w="570" w:type="pct"/>
            <w:shd w:val="clear" w:color="auto" w:fill="auto"/>
            <w:vAlign w:val="center"/>
          </w:tcPr>
          <w:p w14:paraId="3B16C243">
            <w:pPr>
              <w:pStyle w:val="30"/>
              <w:framePr w:hSpace="0" w:wrap="auto" w:vAnchor="margin" w:hAnchor="text" w:xAlign="left" w:yAlign="inline"/>
              <w:rPr>
                <w:rFonts w:hint="eastAsia"/>
                <w:color w:val="auto"/>
                <w:sz w:val="21"/>
                <w:szCs w:val="21"/>
                <w:lang w:val="en-US"/>
              </w:rPr>
            </w:pPr>
          </w:p>
        </w:tc>
        <w:tc>
          <w:tcPr>
            <w:tcW w:w="673" w:type="pct"/>
            <w:shd w:val="clear" w:color="auto" w:fill="auto"/>
            <w:vAlign w:val="center"/>
          </w:tcPr>
          <w:p w14:paraId="1779A019">
            <w:pPr>
              <w:pStyle w:val="30"/>
              <w:framePr w:hSpace="0" w:wrap="auto" w:vAnchor="margin" w:hAnchor="text" w:xAlign="left" w:yAlign="inline"/>
              <w:rPr>
                <w:rFonts w:hint="eastAsia"/>
                <w:color w:val="auto"/>
                <w:sz w:val="21"/>
                <w:szCs w:val="21"/>
                <w:lang w:val="en-US" w:eastAsia="zh-CN"/>
              </w:rPr>
            </w:pPr>
            <w:r>
              <w:rPr>
                <w:rFonts w:hint="eastAsia"/>
                <w:color w:val="auto"/>
                <w:sz w:val="21"/>
                <w:szCs w:val="21"/>
                <w:lang w:val="en-US" w:eastAsia="zh-CN"/>
              </w:rPr>
              <w:t>0.00171</w:t>
            </w:r>
          </w:p>
        </w:tc>
        <w:tc>
          <w:tcPr>
            <w:tcW w:w="528" w:type="pct"/>
            <w:shd w:val="clear" w:color="auto" w:fill="auto"/>
            <w:vAlign w:val="center"/>
          </w:tcPr>
          <w:p w14:paraId="3CADFCA1">
            <w:pPr>
              <w:pStyle w:val="30"/>
              <w:framePr w:hSpace="0" w:wrap="auto" w:vAnchor="margin" w:hAnchor="text" w:xAlign="left" w:yAlign="inline"/>
              <w:rPr>
                <w:rFonts w:hint="eastAsia"/>
                <w:color w:val="auto"/>
                <w:sz w:val="21"/>
                <w:szCs w:val="21"/>
                <w:lang w:val="en-US" w:eastAsia="zh-CN"/>
              </w:rPr>
            </w:pPr>
            <w:r>
              <w:rPr>
                <w:rFonts w:hint="eastAsia"/>
                <w:color w:val="auto"/>
                <w:sz w:val="21"/>
                <w:szCs w:val="21"/>
                <w:lang w:val="en-US" w:eastAsia="zh-CN"/>
              </w:rPr>
              <w:t>0.00171</w:t>
            </w:r>
          </w:p>
        </w:tc>
      </w:tr>
      <w:tr w14:paraId="3CCDE13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17" w:type="pct"/>
            <w:vMerge w:val="continue"/>
            <w:vAlign w:val="center"/>
          </w:tcPr>
          <w:p w14:paraId="3E48019D">
            <w:pPr>
              <w:adjustRightInd w:val="0"/>
              <w:snapToGrid w:val="0"/>
              <w:spacing w:line="240" w:lineRule="auto"/>
              <w:jc w:val="center"/>
              <w:rPr>
                <w:color w:val="auto"/>
                <w:kern w:val="2"/>
                <w:sz w:val="21"/>
                <w:szCs w:val="21"/>
              </w:rPr>
            </w:pPr>
          </w:p>
        </w:tc>
        <w:tc>
          <w:tcPr>
            <w:tcW w:w="591" w:type="pct"/>
            <w:shd w:val="clear" w:color="auto" w:fill="auto"/>
            <w:vAlign w:val="center"/>
          </w:tcPr>
          <w:p w14:paraId="480389A0">
            <w:pPr>
              <w:pStyle w:val="40"/>
              <w:bidi w:val="0"/>
              <w:ind w:firstLine="0" w:firstLineChars="0"/>
              <w:rPr>
                <w:rFonts w:hint="eastAsia" w:ascii="Times New Roman" w:hAnsi="Times New Roman" w:eastAsia="宋体" w:cs="Times New Roman"/>
                <w:color w:val="auto"/>
                <w:sz w:val="21"/>
                <w:szCs w:val="24"/>
                <w:lang w:val="en-US" w:eastAsia="zh-CN" w:bidi="ar-SA"/>
              </w:rPr>
            </w:pPr>
            <w:r>
              <w:rPr>
                <w:rFonts w:hint="eastAsia"/>
                <w:color w:val="auto"/>
                <w:lang w:val="en-US" w:eastAsia="zh-CN"/>
              </w:rPr>
              <w:t>硫化氢</w:t>
            </w:r>
          </w:p>
        </w:tc>
        <w:tc>
          <w:tcPr>
            <w:tcW w:w="534" w:type="pct"/>
            <w:vAlign w:val="center"/>
          </w:tcPr>
          <w:p w14:paraId="46D351C0">
            <w:pPr>
              <w:adjustRightInd w:val="0"/>
              <w:snapToGrid w:val="0"/>
              <w:spacing w:line="240" w:lineRule="auto"/>
              <w:jc w:val="center"/>
              <w:rPr>
                <w:rFonts w:hint="eastAsia"/>
                <w:color w:val="auto"/>
                <w:kern w:val="2"/>
                <w:sz w:val="21"/>
                <w:szCs w:val="21"/>
              </w:rPr>
            </w:pPr>
          </w:p>
        </w:tc>
        <w:tc>
          <w:tcPr>
            <w:tcW w:w="445" w:type="pct"/>
            <w:shd w:val="clear" w:color="auto" w:fill="auto"/>
            <w:vAlign w:val="center"/>
          </w:tcPr>
          <w:p w14:paraId="436AFFAF">
            <w:pPr>
              <w:adjustRightInd w:val="0"/>
              <w:snapToGrid w:val="0"/>
              <w:spacing w:line="240" w:lineRule="auto"/>
              <w:jc w:val="center"/>
              <w:rPr>
                <w:rFonts w:hint="eastAsia"/>
                <w:color w:val="auto"/>
                <w:kern w:val="2"/>
                <w:sz w:val="21"/>
                <w:szCs w:val="21"/>
              </w:rPr>
            </w:pPr>
          </w:p>
        </w:tc>
        <w:tc>
          <w:tcPr>
            <w:tcW w:w="593" w:type="pct"/>
            <w:shd w:val="clear" w:color="auto" w:fill="auto"/>
            <w:vAlign w:val="center"/>
          </w:tcPr>
          <w:p w14:paraId="2F463184">
            <w:pPr>
              <w:adjustRightInd w:val="0"/>
              <w:snapToGrid w:val="0"/>
              <w:spacing w:line="240" w:lineRule="auto"/>
              <w:jc w:val="center"/>
              <w:rPr>
                <w:rFonts w:hint="eastAsia"/>
                <w:color w:val="auto"/>
                <w:kern w:val="2"/>
                <w:sz w:val="21"/>
                <w:szCs w:val="21"/>
              </w:rPr>
            </w:pPr>
          </w:p>
        </w:tc>
        <w:tc>
          <w:tcPr>
            <w:tcW w:w="544" w:type="pct"/>
            <w:shd w:val="clear" w:color="auto" w:fill="auto"/>
            <w:vAlign w:val="center"/>
          </w:tcPr>
          <w:p w14:paraId="35E7BD29">
            <w:pPr>
              <w:pStyle w:val="30"/>
              <w:framePr w:hSpace="0" w:wrap="auto" w:vAnchor="margin" w:hAnchor="text" w:xAlign="left" w:yAlign="inline"/>
              <w:rPr>
                <w:rFonts w:hint="eastAsia"/>
                <w:color w:val="auto"/>
                <w:sz w:val="21"/>
                <w:szCs w:val="21"/>
                <w:lang w:val="en-US" w:eastAsia="zh-CN"/>
              </w:rPr>
            </w:pPr>
            <w:r>
              <w:rPr>
                <w:rFonts w:hint="eastAsia"/>
                <w:color w:val="auto"/>
                <w:sz w:val="21"/>
                <w:szCs w:val="21"/>
                <w:lang w:val="en-US" w:eastAsia="zh-CN"/>
              </w:rPr>
              <w:t>0.000066</w:t>
            </w:r>
          </w:p>
        </w:tc>
        <w:tc>
          <w:tcPr>
            <w:tcW w:w="570" w:type="pct"/>
            <w:shd w:val="clear" w:color="auto" w:fill="auto"/>
            <w:vAlign w:val="center"/>
          </w:tcPr>
          <w:p w14:paraId="7C3156BF">
            <w:pPr>
              <w:pStyle w:val="30"/>
              <w:framePr w:hSpace="0" w:wrap="auto" w:vAnchor="margin" w:hAnchor="text" w:xAlign="left" w:yAlign="inline"/>
              <w:rPr>
                <w:rFonts w:hint="eastAsia"/>
                <w:color w:val="auto"/>
                <w:sz w:val="21"/>
                <w:szCs w:val="21"/>
                <w:lang w:val="en-US"/>
              </w:rPr>
            </w:pPr>
          </w:p>
        </w:tc>
        <w:tc>
          <w:tcPr>
            <w:tcW w:w="673" w:type="pct"/>
            <w:shd w:val="clear" w:color="auto" w:fill="auto"/>
            <w:vAlign w:val="center"/>
          </w:tcPr>
          <w:p w14:paraId="12B44790">
            <w:pPr>
              <w:pStyle w:val="30"/>
              <w:framePr w:hSpace="0" w:wrap="auto" w:vAnchor="margin" w:hAnchor="text" w:xAlign="left" w:yAlign="inline"/>
              <w:rPr>
                <w:rFonts w:hint="eastAsia"/>
                <w:color w:val="auto"/>
                <w:sz w:val="21"/>
                <w:szCs w:val="21"/>
                <w:lang w:val="en-US" w:eastAsia="zh-CN"/>
              </w:rPr>
            </w:pPr>
            <w:r>
              <w:rPr>
                <w:rFonts w:hint="eastAsia"/>
                <w:color w:val="auto"/>
                <w:sz w:val="21"/>
                <w:szCs w:val="21"/>
                <w:lang w:val="en-US" w:eastAsia="zh-CN"/>
              </w:rPr>
              <w:t>0.000066</w:t>
            </w:r>
          </w:p>
        </w:tc>
        <w:tc>
          <w:tcPr>
            <w:tcW w:w="528" w:type="pct"/>
            <w:shd w:val="clear" w:color="auto" w:fill="auto"/>
            <w:vAlign w:val="center"/>
          </w:tcPr>
          <w:p w14:paraId="0B4C53DD">
            <w:pPr>
              <w:pStyle w:val="30"/>
              <w:framePr w:hSpace="0" w:wrap="auto" w:vAnchor="margin" w:hAnchor="text" w:xAlign="left" w:yAlign="inline"/>
              <w:rPr>
                <w:rFonts w:hint="eastAsia"/>
                <w:color w:val="auto"/>
                <w:sz w:val="21"/>
                <w:szCs w:val="21"/>
                <w:lang w:val="en-US" w:eastAsia="zh-CN"/>
              </w:rPr>
            </w:pPr>
            <w:r>
              <w:rPr>
                <w:rFonts w:hint="eastAsia"/>
                <w:color w:val="auto"/>
                <w:sz w:val="21"/>
                <w:szCs w:val="21"/>
                <w:lang w:val="en-US" w:eastAsia="zh-CN"/>
              </w:rPr>
              <w:t>0.000066</w:t>
            </w:r>
          </w:p>
        </w:tc>
      </w:tr>
      <w:tr w14:paraId="141A2A8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17" w:type="pct"/>
            <w:vMerge w:val="continue"/>
            <w:vAlign w:val="center"/>
          </w:tcPr>
          <w:p w14:paraId="50FDDB2D">
            <w:pPr>
              <w:adjustRightInd w:val="0"/>
              <w:snapToGrid w:val="0"/>
              <w:spacing w:line="240" w:lineRule="auto"/>
              <w:jc w:val="center"/>
              <w:rPr>
                <w:color w:val="auto"/>
                <w:kern w:val="2"/>
                <w:sz w:val="21"/>
                <w:szCs w:val="21"/>
              </w:rPr>
            </w:pPr>
          </w:p>
        </w:tc>
        <w:tc>
          <w:tcPr>
            <w:tcW w:w="591" w:type="pct"/>
            <w:shd w:val="clear" w:color="auto" w:fill="auto"/>
            <w:vAlign w:val="center"/>
          </w:tcPr>
          <w:p w14:paraId="1D13A376">
            <w:pPr>
              <w:pStyle w:val="40"/>
              <w:bidi w:val="0"/>
              <w:ind w:firstLine="0" w:firstLineChars="0"/>
              <w:rPr>
                <w:rFonts w:hint="eastAsia" w:ascii="Times New Roman" w:hAnsi="Times New Roman" w:eastAsia="宋体" w:cs="Times New Roman"/>
                <w:color w:val="auto"/>
                <w:sz w:val="21"/>
                <w:szCs w:val="24"/>
                <w:lang w:val="en-US" w:eastAsia="zh-CN" w:bidi="ar-SA"/>
              </w:rPr>
            </w:pPr>
            <w:r>
              <w:rPr>
                <w:rFonts w:hint="eastAsia"/>
                <w:color w:val="auto"/>
                <w:lang w:val="en-US" w:eastAsia="zh-CN"/>
              </w:rPr>
              <w:t>臭气浓度</w:t>
            </w:r>
          </w:p>
        </w:tc>
        <w:tc>
          <w:tcPr>
            <w:tcW w:w="534" w:type="pct"/>
            <w:vAlign w:val="center"/>
          </w:tcPr>
          <w:p w14:paraId="79A603B3">
            <w:pPr>
              <w:adjustRightInd w:val="0"/>
              <w:snapToGrid w:val="0"/>
              <w:spacing w:line="240" w:lineRule="auto"/>
              <w:jc w:val="center"/>
              <w:rPr>
                <w:rFonts w:hint="eastAsia"/>
                <w:color w:val="auto"/>
                <w:kern w:val="2"/>
                <w:sz w:val="21"/>
                <w:szCs w:val="21"/>
              </w:rPr>
            </w:pPr>
          </w:p>
        </w:tc>
        <w:tc>
          <w:tcPr>
            <w:tcW w:w="445" w:type="pct"/>
            <w:shd w:val="clear" w:color="auto" w:fill="auto"/>
            <w:vAlign w:val="center"/>
          </w:tcPr>
          <w:p w14:paraId="4BDBAA21">
            <w:pPr>
              <w:adjustRightInd w:val="0"/>
              <w:snapToGrid w:val="0"/>
              <w:spacing w:line="240" w:lineRule="auto"/>
              <w:jc w:val="center"/>
              <w:rPr>
                <w:rFonts w:hint="eastAsia"/>
                <w:color w:val="auto"/>
                <w:kern w:val="2"/>
                <w:sz w:val="21"/>
                <w:szCs w:val="21"/>
              </w:rPr>
            </w:pPr>
          </w:p>
        </w:tc>
        <w:tc>
          <w:tcPr>
            <w:tcW w:w="593" w:type="pct"/>
            <w:shd w:val="clear" w:color="auto" w:fill="auto"/>
            <w:vAlign w:val="center"/>
          </w:tcPr>
          <w:p w14:paraId="24E50540">
            <w:pPr>
              <w:adjustRightInd w:val="0"/>
              <w:snapToGrid w:val="0"/>
              <w:spacing w:line="240" w:lineRule="auto"/>
              <w:jc w:val="center"/>
              <w:rPr>
                <w:rFonts w:hint="eastAsia"/>
                <w:color w:val="auto"/>
                <w:kern w:val="2"/>
                <w:sz w:val="21"/>
                <w:szCs w:val="21"/>
              </w:rPr>
            </w:pPr>
          </w:p>
        </w:tc>
        <w:tc>
          <w:tcPr>
            <w:tcW w:w="544" w:type="pct"/>
            <w:vAlign w:val="center"/>
          </w:tcPr>
          <w:p w14:paraId="03B1F927">
            <w:pPr>
              <w:pStyle w:val="30"/>
              <w:framePr w:hSpace="0" w:wrap="auto" w:vAnchor="margin" w:hAnchor="text" w:xAlign="left" w:yAlign="inline"/>
              <w:rPr>
                <w:rFonts w:hint="eastAsia" w:eastAsia="宋体"/>
                <w:color w:val="auto"/>
                <w:sz w:val="21"/>
                <w:szCs w:val="21"/>
                <w:lang w:val="en-US" w:eastAsia="zh-CN"/>
              </w:rPr>
            </w:pPr>
            <w:r>
              <w:rPr>
                <w:rFonts w:hint="eastAsia"/>
                <w:color w:val="auto"/>
                <w:sz w:val="21"/>
                <w:szCs w:val="21"/>
                <w:lang w:val="en-US" w:eastAsia="zh-CN"/>
              </w:rPr>
              <w:t>/（无量纲）</w:t>
            </w:r>
          </w:p>
        </w:tc>
        <w:tc>
          <w:tcPr>
            <w:tcW w:w="570" w:type="pct"/>
            <w:shd w:val="clear" w:color="auto" w:fill="auto"/>
            <w:vAlign w:val="center"/>
          </w:tcPr>
          <w:p w14:paraId="70049771">
            <w:pPr>
              <w:adjustRightInd w:val="0"/>
              <w:snapToGrid w:val="0"/>
              <w:spacing w:line="240" w:lineRule="auto"/>
              <w:jc w:val="center"/>
              <w:rPr>
                <w:rFonts w:hint="eastAsia"/>
                <w:color w:val="auto"/>
                <w:kern w:val="2"/>
                <w:sz w:val="21"/>
                <w:szCs w:val="21"/>
              </w:rPr>
            </w:pPr>
          </w:p>
        </w:tc>
        <w:tc>
          <w:tcPr>
            <w:tcW w:w="673" w:type="pct"/>
            <w:vAlign w:val="center"/>
          </w:tcPr>
          <w:p w14:paraId="487A05C9">
            <w:pPr>
              <w:pStyle w:val="30"/>
              <w:framePr w:hSpace="0" w:wrap="auto" w:vAnchor="margin" w:hAnchor="text" w:xAlign="left" w:yAlign="inline"/>
              <w:rPr>
                <w:rFonts w:hint="eastAsia" w:eastAsia="宋体"/>
                <w:color w:val="auto"/>
                <w:sz w:val="21"/>
                <w:szCs w:val="21"/>
                <w:lang w:val="en-US" w:eastAsia="zh-CN"/>
              </w:rPr>
            </w:pPr>
            <w:r>
              <w:rPr>
                <w:rFonts w:hint="eastAsia"/>
                <w:color w:val="auto"/>
                <w:sz w:val="21"/>
                <w:szCs w:val="21"/>
                <w:lang w:val="en-US" w:eastAsia="zh-CN"/>
              </w:rPr>
              <w:t>/</w:t>
            </w:r>
          </w:p>
        </w:tc>
        <w:tc>
          <w:tcPr>
            <w:tcW w:w="528" w:type="pct"/>
            <w:vAlign w:val="center"/>
          </w:tcPr>
          <w:p w14:paraId="4FF7EBB6">
            <w:pPr>
              <w:pStyle w:val="30"/>
              <w:framePr w:hSpace="0" w:wrap="auto" w:vAnchor="margin" w:hAnchor="text" w:xAlign="left" w:yAlign="inline"/>
              <w:rPr>
                <w:rFonts w:hint="eastAsia" w:eastAsia="宋体"/>
                <w:color w:val="auto"/>
                <w:sz w:val="21"/>
                <w:szCs w:val="21"/>
                <w:lang w:val="en-US" w:eastAsia="zh-CN"/>
              </w:rPr>
            </w:pPr>
            <w:r>
              <w:rPr>
                <w:rFonts w:hint="eastAsia"/>
                <w:color w:val="auto"/>
                <w:sz w:val="21"/>
                <w:szCs w:val="21"/>
                <w:lang w:val="en-US" w:eastAsia="zh-CN"/>
              </w:rPr>
              <w:t>/</w:t>
            </w:r>
          </w:p>
        </w:tc>
      </w:tr>
      <w:tr w14:paraId="36CFDE4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17" w:type="pct"/>
            <w:vMerge w:val="restart"/>
            <w:vAlign w:val="center"/>
          </w:tcPr>
          <w:p w14:paraId="72A1123D">
            <w:pPr>
              <w:adjustRightInd w:val="0"/>
              <w:snapToGrid w:val="0"/>
              <w:spacing w:line="240" w:lineRule="auto"/>
              <w:jc w:val="center"/>
              <w:rPr>
                <w:color w:val="auto"/>
                <w:kern w:val="2"/>
                <w:sz w:val="21"/>
                <w:szCs w:val="21"/>
              </w:rPr>
            </w:pPr>
            <w:r>
              <w:rPr>
                <w:color w:val="auto"/>
                <w:kern w:val="2"/>
                <w:sz w:val="21"/>
                <w:szCs w:val="21"/>
              </w:rPr>
              <w:t>废水</w:t>
            </w:r>
          </w:p>
        </w:tc>
        <w:tc>
          <w:tcPr>
            <w:tcW w:w="591" w:type="pct"/>
            <w:tcBorders>
              <w:top w:val="single" w:color="auto" w:sz="4" w:space="0"/>
            </w:tcBorders>
            <w:vAlign w:val="center"/>
          </w:tcPr>
          <w:p w14:paraId="28590609">
            <w:pPr>
              <w:adjustRightInd w:val="0"/>
              <w:snapToGrid w:val="0"/>
              <w:spacing w:line="240" w:lineRule="auto"/>
              <w:jc w:val="center"/>
              <w:rPr>
                <w:color w:val="auto"/>
                <w:kern w:val="2"/>
                <w:sz w:val="21"/>
                <w:szCs w:val="21"/>
              </w:rPr>
            </w:pPr>
            <w:r>
              <w:rPr>
                <w:color w:val="auto"/>
                <w:kern w:val="2"/>
                <w:sz w:val="21"/>
                <w:szCs w:val="21"/>
              </w:rPr>
              <w:t>COD</w:t>
            </w:r>
            <w:r>
              <w:rPr>
                <w:rFonts w:hint="eastAsia"/>
                <w:color w:val="auto"/>
                <w:kern w:val="2"/>
                <w:sz w:val="21"/>
                <w:szCs w:val="21"/>
              </w:rPr>
              <w:t>cr</w:t>
            </w:r>
          </w:p>
        </w:tc>
        <w:tc>
          <w:tcPr>
            <w:tcW w:w="534" w:type="pct"/>
            <w:vAlign w:val="center"/>
          </w:tcPr>
          <w:p w14:paraId="15972A7C">
            <w:pPr>
              <w:adjustRightInd w:val="0"/>
              <w:snapToGrid w:val="0"/>
              <w:spacing w:line="240" w:lineRule="auto"/>
              <w:jc w:val="center"/>
              <w:rPr>
                <w:color w:val="auto"/>
                <w:kern w:val="2"/>
                <w:sz w:val="21"/>
                <w:szCs w:val="21"/>
              </w:rPr>
            </w:pPr>
            <w:r>
              <w:rPr>
                <w:rFonts w:hint="eastAsia"/>
                <w:color w:val="auto"/>
                <w:kern w:val="2"/>
                <w:sz w:val="21"/>
                <w:szCs w:val="21"/>
              </w:rPr>
              <w:t>/</w:t>
            </w:r>
          </w:p>
        </w:tc>
        <w:tc>
          <w:tcPr>
            <w:tcW w:w="445" w:type="pct"/>
            <w:shd w:val="clear" w:color="auto" w:fill="auto"/>
            <w:vAlign w:val="center"/>
          </w:tcPr>
          <w:p w14:paraId="22B17559">
            <w:pPr>
              <w:adjustRightInd w:val="0"/>
              <w:snapToGrid w:val="0"/>
              <w:spacing w:line="240" w:lineRule="auto"/>
              <w:jc w:val="center"/>
              <w:rPr>
                <w:color w:val="auto"/>
                <w:kern w:val="2"/>
                <w:sz w:val="21"/>
                <w:szCs w:val="21"/>
              </w:rPr>
            </w:pPr>
            <w:r>
              <w:rPr>
                <w:rFonts w:hint="eastAsia"/>
                <w:color w:val="auto"/>
                <w:kern w:val="2"/>
                <w:sz w:val="21"/>
                <w:szCs w:val="21"/>
              </w:rPr>
              <w:t>/</w:t>
            </w:r>
          </w:p>
        </w:tc>
        <w:tc>
          <w:tcPr>
            <w:tcW w:w="593" w:type="pct"/>
            <w:shd w:val="clear" w:color="auto" w:fill="auto"/>
            <w:vAlign w:val="center"/>
          </w:tcPr>
          <w:p w14:paraId="235B30B2">
            <w:pPr>
              <w:adjustRightInd w:val="0"/>
              <w:snapToGrid w:val="0"/>
              <w:spacing w:line="240" w:lineRule="auto"/>
              <w:jc w:val="center"/>
              <w:rPr>
                <w:color w:val="auto"/>
                <w:kern w:val="2"/>
                <w:sz w:val="21"/>
                <w:szCs w:val="21"/>
              </w:rPr>
            </w:pPr>
            <w:r>
              <w:rPr>
                <w:rFonts w:hint="eastAsia"/>
                <w:color w:val="auto"/>
                <w:kern w:val="2"/>
                <w:sz w:val="21"/>
                <w:szCs w:val="21"/>
              </w:rPr>
              <w:t>/</w:t>
            </w:r>
          </w:p>
        </w:tc>
        <w:tc>
          <w:tcPr>
            <w:tcW w:w="544" w:type="pct"/>
            <w:vAlign w:val="center"/>
          </w:tcPr>
          <w:p w14:paraId="57B53D97">
            <w:pPr>
              <w:pStyle w:val="30"/>
              <w:framePr w:hSpace="0" w:wrap="auto" w:vAnchor="margin" w:hAnchor="text" w:xAlign="left" w:yAlign="inline"/>
              <w:rPr>
                <w:color w:val="auto"/>
                <w:sz w:val="21"/>
                <w:szCs w:val="21"/>
                <w:lang w:val="en-US"/>
              </w:rPr>
            </w:pPr>
            <w:r>
              <w:rPr>
                <w:rFonts w:hint="eastAsia"/>
                <w:color w:val="auto"/>
                <w:sz w:val="21"/>
                <w:szCs w:val="21"/>
                <w:lang w:val="en-US"/>
              </w:rPr>
              <w:t>0.468</w:t>
            </w:r>
          </w:p>
        </w:tc>
        <w:tc>
          <w:tcPr>
            <w:tcW w:w="570" w:type="pct"/>
            <w:shd w:val="clear" w:color="auto" w:fill="auto"/>
            <w:vAlign w:val="center"/>
          </w:tcPr>
          <w:p w14:paraId="2A569551">
            <w:pPr>
              <w:adjustRightInd w:val="0"/>
              <w:snapToGrid w:val="0"/>
              <w:spacing w:line="240" w:lineRule="auto"/>
              <w:jc w:val="center"/>
              <w:rPr>
                <w:color w:val="auto"/>
                <w:kern w:val="2"/>
                <w:sz w:val="21"/>
                <w:szCs w:val="21"/>
              </w:rPr>
            </w:pPr>
            <w:r>
              <w:rPr>
                <w:rFonts w:hint="eastAsia"/>
                <w:color w:val="auto"/>
                <w:kern w:val="2"/>
                <w:sz w:val="21"/>
                <w:szCs w:val="21"/>
              </w:rPr>
              <w:t>/</w:t>
            </w:r>
          </w:p>
        </w:tc>
        <w:tc>
          <w:tcPr>
            <w:tcW w:w="673" w:type="pct"/>
            <w:vAlign w:val="center"/>
          </w:tcPr>
          <w:p w14:paraId="019FB1D8">
            <w:pPr>
              <w:pStyle w:val="30"/>
              <w:framePr w:hSpace="0" w:wrap="auto" w:vAnchor="margin" w:hAnchor="text" w:xAlign="left" w:yAlign="inline"/>
              <w:rPr>
                <w:color w:val="auto"/>
                <w:sz w:val="21"/>
                <w:szCs w:val="21"/>
                <w:lang w:val="en-US"/>
              </w:rPr>
            </w:pPr>
            <w:r>
              <w:rPr>
                <w:rFonts w:hint="eastAsia"/>
                <w:color w:val="auto"/>
                <w:sz w:val="21"/>
                <w:szCs w:val="21"/>
                <w:lang w:val="en-US"/>
              </w:rPr>
              <w:t>0.468</w:t>
            </w:r>
          </w:p>
        </w:tc>
        <w:tc>
          <w:tcPr>
            <w:tcW w:w="528" w:type="pct"/>
            <w:vAlign w:val="center"/>
          </w:tcPr>
          <w:p w14:paraId="1B6A0C1A">
            <w:pPr>
              <w:pStyle w:val="30"/>
              <w:framePr w:hSpace="0" w:wrap="auto" w:vAnchor="margin" w:hAnchor="text" w:xAlign="left" w:yAlign="inline"/>
              <w:rPr>
                <w:color w:val="auto"/>
                <w:sz w:val="21"/>
                <w:szCs w:val="21"/>
                <w:lang w:val="en-US"/>
              </w:rPr>
            </w:pPr>
            <w:r>
              <w:rPr>
                <w:rFonts w:hint="eastAsia"/>
                <w:color w:val="auto"/>
                <w:sz w:val="21"/>
                <w:szCs w:val="21"/>
                <w:lang w:val="en-US"/>
              </w:rPr>
              <w:t>+0.468</w:t>
            </w:r>
          </w:p>
        </w:tc>
      </w:tr>
      <w:tr w14:paraId="7DBA34C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17" w:type="pct"/>
            <w:vMerge w:val="continue"/>
            <w:vAlign w:val="center"/>
          </w:tcPr>
          <w:p w14:paraId="370BE65B">
            <w:pPr>
              <w:adjustRightInd w:val="0"/>
              <w:snapToGrid w:val="0"/>
              <w:spacing w:line="240" w:lineRule="auto"/>
              <w:jc w:val="center"/>
              <w:rPr>
                <w:color w:val="auto"/>
                <w:kern w:val="2"/>
                <w:sz w:val="21"/>
                <w:szCs w:val="21"/>
              </w:rPr>
            </w:pPr>
          </w:p>
        </w:tc>
        <w:tc>
          <w:tcPr>
            <w:tcW w:w="591" w:type="pct"/>
            <w:tcBorders>
              <w:top w:val="single" w:color="auto" w:sz="4" w:space="0"/>
            </w:tcBorders>
            <w:vAlign w:val="center"/>
          </w:tcPr>
          <w:p w14:paraId="3DA6DF79">
            <w:pPr>
              <w:adjustRightInd w:val="0"/>
              <w:snapToGrid w:val="0"/>
              <w:spacing w:line="240" w:lineRule="auto"/>
              <w:jc w:val="center"/>
              <w:rPr>
                <w:color w:val="auto"/>
                <w:kern w:val="2"/>
                <w:sz w:val="21"/>
                <w:szCs w:val="21"/>
              </w:rPr>
            </w:pPr>
            <w:r>
              <w:rPr>
                <w:rFonts w:hint="eastAsia"/>
                <w:color w:val="auto"/>
                <w:kern w:val="2"/>
                <w:sz w:val="21"/>
                <w:szCs w:val="21"/>
              </w:rPr>
              <w:t>BOD</w:t>
            </w:r>
            <w:r>
              <w:rPr>
                <w:rFonts w:hint="eastAsia"/>
                <w:color w:val="auto"/>
                <w:kern w:val="2"/>
                <w:sz w:val="21"/>
                <w:szCs w:val="21"/>
                <w:vertAlign w:val="subscript"/>
              </w:rPr>
              <w:t>5</w:t>
            </w:r>
          </w:p>
        </w:tc>
        <w:tc>
          <w:tcPr>
            <w:tcW w:w="534" w:type="pct"/>
            <w:vAlign w:val="center"/>
          </w:tcPr>
          <w:p w14:paraId="756F07B0">
            <w:pPr>
              <w:adjustRightInd w:val="0"/>
              <w:snapToGrid w:val="0"/>
              <w:spacing w:line="240" w:lineRule="auto"/>
              <w:jc w:val="center"/>
              <w:rPr>
                <w:color w:val="auto"/>
                <w:kern w:val="2"/>
                <w:sz w:val="21"/>
                <w:szCs w:val="21"/>
              </w:rPr>
            </w:pPr>
            <w:r>
              <w:rPr>
                <w:rFonts w:hint="eastAsia"/>
                <w:color w:val="auto"/>
                <w:kern w:val="2"/>
                <w:sz w:val="21"/>
                <w:szCs w:val="21"/>
              </w:rPr>
              <w:t>/</w:t>
            </w:r>
          </w:p>
        </w:tc>
        <w:tc>
          <w:tcPr>
            <w:tcW w:w="445" w:type="pct"/>
            <w:shd w:val="clear" w:color="auto" w:fill="auto"/>
            <w:vAlign w:val="center"/>
          </w:tcPr>
          <w:p w14:paraId="2EEC82B8">
            <w:pPr>
              <w:adjustRightInd w:val="0"/>
              <w:snapToGrid w:val="0"/>
              <w:spacing w:line="240" w:lineRule="auto"/>
              <w:jc w:val="center"/>
              <w:rPr>
                <w:color w:val="auto"/>
                <w:kern w:val="2"/>
                <w:sz w:val="21"/>
                <w:szCs w:val="21"/>
              </w:rPr>
            </w:pPr>
            <w:r>
              <w:rPr>
                <w:rFonts w:hint="eastAsia"/>
                <w:color w:val="auto"/>
                <w:kern w:val="2"/>
                <w:sz w:val="21"/>
                <w:szCs w:val="21"/>
              </w:rPr>
              <w:t>/</w:t>
            </w:r>
          </w:p>
        </w:tc>
        <w:tc>
          <w:tcPr>
            <w:tcW w:w="593" w:type="pct"/>
            <w:shd w:val="clear" w:color="auto" w:fill="auto"/>
            <w:vAlign w:val="center"/>
          </w:tcPr>
          <w:p w14:paraId="3A3E78F4">
            <w:pPr>
              <w:adjustRightInd w:val="0"/>
              <w:snapToGrid w:val="0"/>
              <w:spacing w:line="240" w:lineRule="auto"/>
              <w:jc w:val="center"/>
              <w:rPr>
                <w:color w:val="auto"/>
                <w:kern w:val="2"/>
                <w:sz w:val="21"/>
                <w:szCs w:val="21"/>
              </w:rPr>
            </w:pPr>
            <w:r>
              <w:rPr>
                <w:rFonts w:hint="eastAsia"/>
                <w:color w:val="auto"/>
                <w:kern w:val="2"/>
                <w:sz w:val="21"/>
                <w:szCs w:val="21"/>
              </w:rPr>
              <w:t>/</w:t>
            </w:r>
          </w:p>
        </w:tc>
        <w:tc>
          <w:tcPr>
            <w:tcW w:w="544" w:type="pct"/>
            <w:vAlign w:val="center"/>
          </w:tcPr>
          <w:p w14:paraId="4672DA93">
            <w:pPr>
              <w:pStyle w:val="30"/>
              <w:framePr w:hSpace="0" w:wrap="auto" w:vAnchor="margin" w:hAnchor="text" w:xAlign="left" w:yAlign="inline"/>
              <w:rPr>
                <w:color w:val="auto"/>
                <w:sz w:val="21"/>
                <w:szCs w:val="21"/>
                <w:lang w:val="en-US"/>
              </w:rPr>
            </w:pPr>
            <w:r>
              <w:rPr>
                <w:rFonts w:hint="eastAsia"/>
                <w:color w:val="auto"/>
                <w:sz w:val="21"/>
                <w:szCs w:val="21"/>
                <w:lang w:val="en-US"/>
              </w:rPr>
              <w:t>0.097</w:t>
            </w:r>
          </w:p>
        </w:tc>
        <w:tc>
          <w:tcPr>
            <w:tcW w:w="570" w:type="pct"/>
            <w:shd w:val="clear" w:color="auto" w:fill="auto"/>
            <w:vAlign w:val="center"/>
          </w:tcPr>
          <w:p w14:paraId="49F7BB1A">
            <w:pPr>
              <w:adjustRightInd w:val="0"/>
              <w:snapToGrid w:val="0"/>
              <w:spacing w:line="240" w:lineRule="auto"/>
              <w:jc w:val="center"/>
              <w:rPr>
                <w:color w:val="auto"/>
                <w:kern w:val="2"/>
                <w:sz w:val="21"/>
                <w:szCs w:val="21"/>
              </w:rPr>
            </w:pPr>
            <w:r>
              <w:rPr>
                <w:rFonts w:hint="eastAsia"/>
                <w:color w:val="auto"/>
                <w:kern w:val="2"/>
                <w:sz w:val="21"/>
                <w:szCs w:val="21"/>
              </w:rPr>
              <w:t>/</w:t>
            </w:r>
          </w:p>
        </w:tc>
        <w:tc>
          <w:tcPr>
            <w:tcW w:w="673" w:type="pct"/>
            <w:vAlign w:val="center"/>
          </w:tcPr>
          <w:p w14:paraId="7F0817ED">
            <w:pPr>
              <w:pStyle w:val="30"/>
              <w:framePr w:hSpace="0" w:wrap="auto" w:vAnchor="margin" w:hAnchor="text" w:xAlign="left" w:yAlign="inline"/>
              <w:rPr>
                <w:color w:val="auto"/>
                <w:sz w:val="21"/>
                <w:szCs w:val="21"/>
                <w:lang w:val="en-US"/>
              </w:rPr>
            </w:pPr>
            <w:r>
              <w:rPr>
                <w:rFonts w:hint="eastAsia"/>
                <w:color w:val="auto"/>
                <w:sz w:val="21"/>
                <w:szCs w:val="21"/>
                <w:lang w:val="en-US"/>
              </w:rPr>
              <w:t>0.097</w:t>
            </w:r>
          </w:p>
        </w:tc>
        <w:tc>
          <w:tcPr>
            <w:tcW w:w="528" w:type="pct"/>
            <w:vAlign w:val="center"/>
          </w:tcPr>
          <w:p w14:paraId="34EA2B3A">
            <w:pPr>
              <w:pStyle w:val="30"/>
              <w:framePr w:hSpace="0" w:wrap="auto" w:vAnchor="margin" w:hAnchor="text" w:xAlign="left" w:yAlign="inline"/>
              <w:rPr>
                <w:color w:val="auto"/>
                <w:sz w:val="21"/>
                <w:szCs w:val="21"/>
                <w:lang w:val="en-US"/>
              </w:rPr>
            </w:pPr>
            <w:r>
              <w:rPr>
                <w:rFonts w:hint="eastAsia"/>
                <w:color w:val="auto"/>
                <w:sz w:val="21"/>
                <w:szCs w:val="21"/>
                <w:lang w:val="en-US"/>
              </w:rPr>
              <w:t>+0.097</w:t>
            </w:r>
          </w:p>
        </w:tc>
      </w:tr>
      <w:tr w14:paraId="4A851B3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17" w:type="pct"/>
            <w:vMerge w:val="continue"/>
            <w:vAlign w:val="center"/>
          </w:tcPr>
          <w:p w14:paraId="6627348D">
            <w:pPr>
              <w:adjustRightInd w:val="0"/>
              <w:snapToGrid w:val="0"/>
              <w:spacing w:line="240" w:lineRule="auto"/>
              <w:jc w:val="center"/>
              <w:rPr>
                <w:color w:val="auto"/>
                <w:kern w:val="2"/>
                <w:sz w:val="21"/>
                <w:szCs w:val="21"/>
              </w:rPr>
            </w:pPr>
          </w:p>
        </w:tc>
        <w:tc>
          <w:tcPr>
            <w:tcW w:w="591" w:type="pct"/>
            <w:tcBorders>
              <w:top w:val="single" w:color="auto" w:sz="4" w:space="0"/>
            </w:tcBorders>
            <w:vAlign w:val="center"/>
          </w:tcPr>
          <w:p w14:paraId="36333831">
            <w:pPr>
              <w:adjustRightInd w:val="0"/>
              <w:snapToGrid w:val="0"/>
              <w:spacing w:line="240" w:lineRule="auto"/>
              <w:jc w:val="center"/>
              <w:rPr>
                <w:color w:val="auto"/>
                <w:kern w:val="2"/>
                <w:sz w:val="21"/>
                <w:szCs w:val="21"/>
              </w:rPr>
            </w:pPr>
            <w:r>
              <w:rPr>
                <w:color w:val="auto"/>
                <w:kern w:val="2"/>
                <w:sz w:val="21"/>
                <w:szCs w:val="21"/>
              </w:rPr>
              <w:t>SS</w:t>
            </w:r>
          </w:p>
        </w:tc>
        <w:tc>
          <w:tcPr>
            <w:tcW w:w="534" w:type="pct"/>
            <w:vAlign w:val="center"/>
          </w:tcPr>
          <w:p w14:paraId="44D10E40">
            <w:pPr>
              <w:adjustRightInd w:val="0"/>
              <w:snapToGrid w:val="0"/>
              <w:spacing w:line="240" w:lineRule="auto"/>
              <w:jc w:val="center"/>
              <w:rPr>
                <w:color w:val="auto"/>
                <w:kern w:val="2"/>
                <w:sz w:val="21"/>
                <w:szCs w:val="21"/>
              </w:rPr>
            </w:pPr>
            <w:r>
              <w:rPr>
                <w:rFonts w:hint="eastAsia"/>
                <w:color w:val="auto"/>
                <w:kern w:val="2"/>
                <w:sz w:val="21"/>
                <w:szCs w:val="21"/>
              </w:rPr>
              <w:t>/</w:t>
            </w:r>
          </w:p>
        </w:tc>
        <w:tc>
          <w:tcPr>
            <w:tcW w:w="445" w:type="pct"/>
            <w:shd w:val="clear" w:color="auto" w:fill="auto"/>
            <w:vAlign w:val="center"/>
          </w:tcPr>
          <w:p w14:paraId="38FD18A7">
            <w:pPr>
              <w:adjustRightInd w:val="0"/>
              <w:snapToGrid w:val="0"/>
              <w:spacing w:line="240" w:lineRule="auto"/>
              <w:jc w:val="center"/>
              <w:rPr>
                <w:color w:val="auto"/>
                <w:kern w:val="2"/>
                <w:sz w:val="21"/>
                <w:szCs w:val="21"/>
              </w:rPr>
            </w:pPr>
            <w:r>
              <w:rPr>
                <w:rFonts w:hint="eastAsia"/>
                <w:color w:val="auto"/>
                <w:kern w:val="2"/>
                <w:sz w:val="21"/>
                <w:szCs w:val="21"/>
              </w:rPr>
              <w:t>/</w:t>
            </w:r>
          </w:p>
        </w:tc>
        <w:tc>
          <w:tcPr>
            <w:tcW w:w="593" w:type="pct"/>
            <w:shd w:val="clear" w:color="auto" w:fill="auto"/>
            <w:vAlign w:val="center"/>
          </w:tcPr>
          <w:p w14:paraId="1BF15C90">
            <w:pPr>
              <w:adjustRightInd w:val="0"/>
              <w:snapToGrid w:val="0"/>
              <w:spacing w:line="240" w:lineRule="auto"/>
              <w:jc w:val="center"/>
              <w:rPr>
                <w:color w:val="auto"/>
                <w:kern w:val="2"/>
                <w:sz w:val="21"/>
                <w:szCs w:val="21"/>
              </w:rPr>
            </w:pPr>
            <w:r>
              <w:rPr>
                <w:rFonts w:hint="eastAsia"/>
                <w:color w:val="auto"/>
                <w:kern w:val="2"/>
                <w:sz w:val="21"/>
                <w:szCs w:val="21"/>
              </w:rPr>
              <w:t>/</w:t>
            </w:r>
          </w:p>
        </w:tc>
        <w:tc>
          <w:tcPr>
            <w:tcW w:w="544" w:type="pct"/>
            <w:vAlign w:val="center"/>
          </w:tcPr>
          <w:p w14:paraId="6174AB61">
            <w:pPr>
              <w:pStyle w:val="30"/>
              <w:framePr w:hSpace="0" w:wrap="auto" w:vAnchor="margin" w:hAnchor="text" w:xAlign="left" w:yAlign="inline"/>
              <w:rPr>
                <w:color w:val="auto"/>
                <w:sz w:val="21"/>
                <w:szCs w:val="21"/>
                <w:lang w:val="en-US"/>
              </w:rPr>
            </w:pPr>
            <w:r>
              <w:rPr>
                <w:rFonts w:hint="eastAsia"/>
                <w:color w:val="auto"/>
                <w:sz w:val="21"/>
                <w:szCs w:val="21"/>
                <w:lang w:val="en-US"/>
              </w:rPr>
              <w:t>0.496</w:t>
            </w:r>
          </w:p>
        </w:tc>
        <w:tc>
          <w:tcPr>
            <w:tcW w:w="570" w:type="pct"/>
            <w:shd w:val="clear" w:color="auto" w:fill="auto"/>
            <w:vAlign w:val="center"/>
          </w:tcPr>
          <w:p w14:paraId="40DF94A5">
            <w:pPr>
              <w:adjustRightInd w:val="0"/>
              <w:snapToGrid w:val="0"/>
              <w:spacing w:line="240" w:lineRule="auto"/>
              <w:jc w:val="center"/>
              <w:rPr>
                <w:color w:val="auto"/>
                <w:kern w:val="2"/>
                <w:sz w:val="21"/>
                <w:szCs w:val="21"/>
              </w:rPr>
            </w:pPr>
            <w:r>
              <w:rPr>
                <w:rFonts w:hint="eastAsia"/>
                <w:color w:val="auto"/>
                <w:kern w:val="2"/>
                <w:sz w:val="21"/>
                <w:szCs w:val="21"/>
              </w:rPr>
              <w:t>/</w:t>
            </w:r>
          </w:p>
        </w:tc>
        <w:tc>
          <w:tcPr>
            <w:tcW w:w="673" w:type="pct"/>
            <w:vAlign w:val="center"/>
          </w:tcPr>
          <w:p w14:paraId="7B185361">
            <w:pPr>
              <w:pStyle w:val="30"/>
              <w:framePr w:hSpace="0" w:wrap="auto" w:vAnchor="margin" w:hAnchor="text" w:xAlign="left" w:yAlign="inline"/>
              <w:rPr>
                <w:color w:val="auto"/>
                <w:sz w:val="21"/>
                <w:szCs w:val="21"/>
                <w:lang w:val="en-US"/>
              </w:rPr>
            </w:pPr>
            <w:r>
              <w:rPr>
                <w:rFonts w:hint="eastAsia"/>
                <w:color w:val="auto"/>
                <w:sz w:val="21"/>
                <w:szCs w:val="21"/>
                <w:lang w:val="en-US"/>
              </w:rPr>
              <w:t>0.496</w:t>
            </w:r>
          </w:p>
        </w:tc>
        <w:tc>
          <w:tcPr>
            <w:tcW w:w="528" w:type="pct"/>
            <w:vAlign w:val="center"/>
          </w:tcPr>
          <w:p w14:paraId="6E842FB6">
            <w:pPr>
              <w:pStyle w:val="30"/>
              <w:framePr w:hSpace="0" w:wrap="auto" w:vAnchor="margin" w:hAnchor="text" w:xAlign="left" w:yAlign="inline"/>
              <w:rPr>
                <w:color w:val="auto"/>
                <w:sz w:val="21"/>
                <w:szCs w:val="21"/>
                <w:lang w:val="en-US"/>
              </w:rPr>
            </w:pPr>
            <w:r>
              <w:rPr>
                <w:rFonts w:hint="eastAsia"/>
                <w:color w:val="auto"/>
                <w:sz w:val="21"/>
                <w:szCs w:val="21"/>
                <w:lang w:val="en-US"/>
              </w:rPr>
              <w:t>+0.496</w:t>
            </w:r>
          </w:p>
        </w:tc>
      </w:tr>
      <w:tr w14:paraId="3E5D57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17" w:type="pct"/>
            <w:vMerge w:val="continue"/>
            <w:vAlign w:val="center"/>
          </w:tcPr>
          <w:p w14:paraId="59295CA5">
            <w:pPr>
              <w:adjustRightInd w:val="0"/>
              <w:snapToGrid w:val="0"/>
              <w:spacing w:line="240" w:lineRule="auto"/>
              <w:jc w:val="center"/>
              <w:rPr>
                <w:color w:val="auto"/>
                <w:kern w:val="2"/>
                <w:sz w:val="21"/>
                <w:szCs w:val="21"/>
              </w:rPr>
            </w:pPr>
          </w:p>
        </w:tc>
        <w:tc>
          <w:tcPr>
            <w:tcW w:w="591" w:type="pct"/>
            <w:tcBorders>
              <w:top w:val="single" w:color="auto" w:sz="4" w:space="0"/>
            </w:tcBorders>
            <w:vAlign w:val="center"/>
          </w:tcPr>
          <w:p w14:paraId="35C12AB3">
            <w:pPr>
              <w:adjustRightInd w:val="0"/>
              <w:snapToGrid w:val="0"/>
              <w:spacing w:line="240" w:lineRule="auto"/>
              <w:jc w:val="center"/>
              <w:rPr>
                <w:color w:val="auto"/>
                <w:kern w:val="2"/>
                <w:sz w:val="21"/>
                <w:szCs w:val="21"/>
              </w:rPr>
            </w:pPr>
            <w:r>
              <w:rPr>
                <w:rFonts w:hint="eastAsia"/>
                <w:color w:val="auto"/>
                <w:kern w:val="2"/>
                <w:sz w:val="21"/>
                <w:szCs w:val="21"/>
              </w:rPr>
              <w:t>氨氮</w:t>
            </w:r>
          </w:p>
        </w:tc>
        <w:tc>
          <w:tcPr>
            <w:tcW w:w="534" w:type="pct"/>
            <w:vAlign w:val="center"/>
          </w:tcPr>
          <w:p w14:paraId="4617B78C">
            <w:pPr>
              <w:adjustRightInd w:val="0"/>
              <w:snapToGrid w:val="0"/>
              <w:spacing w:line="240" w:lineRule="auto"/>
              <w:jc w:val="center"/>
              <w:rPr>
                <w:color w:val="auto"/>
                <w:kern w:val="2"/>
                <w:sz w:val="21"/>
                <w:szCs w:val="21"/>
              </w:rPr>
            </w:pPr>
            <w:r>
              <w:rPr>
                <w:rFonts w:hint="eastAsia"/>
                <w:color w:val="auto"/>
                <w:kern w:val="2"/>
                <w:sz w:val="21"/>
                <w:szCs w:val="21"/>
              </w:rPr>
              <w:t>/</w:t>
            </w:r>
          </w:p>
        </w:tc>
        <w:tc>
          <w:tcPr>
            <w:tcW w:w="445" w:type="pct"/>
            <w:shd w:val="clear" w:color="auto" w:fill="auto"/>
            <w:vAlign w:val="center"/>
          </w:tcPr>
          <w:p w14:paraId="1322D609">
            <w:pPr>
              <w:adjustRightInd w:val="0"/>
              <w:snapToGrid w:val="0"/>
              <w:spacing w:line="240" w:lineRule="auto"/>
              <w:jc w:val="center"/>
              <w:rPr>
                <w:color w:val="auto"/>
                <w:kern w:val="2"/>
                <w:sz w:val="21"/>
                <w:szCs w:val="21"/>
              </w:rPr>
            </w:pPr>
            <w:r>
              <w:rPr>
                <w:rFonts w:hint="eastAsia"/>
                <w:color w:val="auto"/>
                <w:kern w:val="2"/>
                <w:sz w:val="21"/>
                <w:szCs w:val="21"/>
              </w:rPr>
              <w:t>/</w:t>
            </w:r>
          </w:p>
        </w:tc>
        <w:tc>
          <w:tcPr>
            <w:tcW w:w="593" w:type="pct"/>
            <w:shd w:val="clear" w:color="auto" w:fill="auto"/>
            <w:vAlign w:val="center"/>
          </w:tcPr>
          <w:p w14:paraId="59404E90">
            <w:pPr>
              <w:adjustRightInd w:val="0"/>
              <w:snapToGrid w:val="0"/>
              <w:spacing w:line="240" w:lineRule="auto"/>
              <w:jc w:val="center"/>
              <w:rPr>
                <w:color w:val="auto"/>
                <w:kern w:val="2"/>
                <w:sz w:val="21"/>
                <w:szCs w:val="21"/>
              </w:rPr>
            </w:pPr>
            <w:r>
              <w:rPr>
                <w:rFonts w:hint="eastAsia"/>
                <w:color w:val="auto"/>
                <w:kern w:val="2"/>
                <w:sz w:val="21"/>
                <w:szCs w:val="21"/>
              </w:rPr>
              <w:t>/</w:t>
            </w:r>
          </w:p>
        </w:tc>
        <w:tc>
          <w:tcPr>
            <w:tcW w:w="544" w:type="pct"/>
            <w:vAlign w:val="center"/>
          </w:tcPr>
          <w:p w14:paraId="2577C30D">
            <w:pPr>
              <w:pStyle w:val="30"/>
              <w:framePr w:hSpace="0" w:wrap="auto" w:vAnchor="margin" w:hAnchor="text" w:xAlign="left" w:yAlign="inline"/>
              <w:rPr>
                <w:color w:val="auto"/>
                <w:sz w:val="21"/>
                <w:szCs w:val="21"/>
                <w:lang w:val="en-US"/>
              </w:rPr>
            </w:pPr>
            <w:r>
              <w:rPr>
                <w:rFonts w:hint="eastAsia"/>
                <w:color w:val="auto"/>
                <w:sz w:val="21"/>
                <w:szCs w:val="21"/>
                <w:lang w:val="en-US"/>
              </w:rPr>
              <w:t>0.003</w:t>
            </w:r>
          </w:p>
        </w:tc>
        <w:tc>
          <w:tcPr>
            <w:tcW w:w="570" w:type="pct"/>
            <w:shd w:val="clear" w:color="auto" w:fill="auto"/>
            <w:vAlign w:val="center"/>
          </w:tcPr>
          <w:p w14:paraId="5F637F86">
            <w:pPr>
              <w:adjustRightInd w:val="0"/>
              <w:snapToGrid w:val="0"/>
              <w:spacing w:line="240" w:lineRule="auto"/>
              <w:jc w:val="center"/>
              <w:rPr>
                <w:color w:val="auto"/>
                <w:kern w:val="2"/>
                <w:sz w:val="21"/>
                <w:szCs w:val="21"/>
              </w:rPr>
            </w:pPr>
            <w:r>
              <w:rPr>
                <w:rFonts w:hint="eastAsia"/>
                <w:color w:val="auto"/>
                <w:kern w:val="2"/>
                <w:sz w:val="21"/>
                <w:szCs w:val="21"/>
              </w:rPr>
              <w:t>/</w:t>
            </w:r>
          </w:p>
        </w:tc>
        <w:tc>
          <w:tcPr>
            <w:tcW w:w="673" w:type="pct"/>
            <w:vAlign w:val="center"/>
          </w:tcPr>
          <w:p w14:paraId="0374DEBF">
            <w:pPr>
              <w:pStyle w:val="30"/>
              <w:framePr w:hSpace="0" w:wrap="auto" w:vAnchor="margin" w:hAnchor="text" w:xAlign="left" w:yAlign="inline"/>
              <w:rPr>
                <w:color w:val="auto"/>
                <w:sz w:val="21"/>
                <w:szCs w:val="21"/>
                <w:lang w:val="en-US"/>
              </w:rPr>
            </w:pPr>
            <w:r>
              <w:rPr>
                <w:rFonts w:hint="eastAsia"/>
                <w:color w:val="auto"/>
                <w:sz w:val="21"/>
                <w:szCs w:val="21"/>
                <w:lang w:val="en-US"/>
              </w:rPr>
              <w:t>0.003</w:t>
            </w:r>
          </w:p>
        </w:tc>
        <w:tc>
          <w:tcPr>
            <w:tcW w:w="528" w:type="pct"/>
            <w:vAlign w:val="center"/>
          </w:tcPr>
          <w:p w14:paraId="1BA566C5">
            <w:pPr>
              <w:pStyle w:val="30"/>
              <w:framePr w:hSpace="0" w:wrap="auto" w:vAnchor="margin" w:hAnchor="text" w:xAlign="left" w:yAlign="inline"/>
              <w:rPr>
                <w:color w:val="auto"/>
                <w:sz w:val="21"/>
                <w:szCs w:val="21"/>
                <w:lang w:val="en-US"/>
              </w:rPr>
            </w:pPr>
            <w:r>
              <w:rPr>
                <w:rFonts w:hint="eastAsia"/>
                <w:color w:val="auto"/>
                <w:sz w:val="21"/>
                <w:szCs w:val="21"/>
                <w:lang w:val="en-US"/>
              </w:rPr>
              <w:t>+0.003</w:t>
            </w:r>
          </w:p>
        </w:tc>
      </w:tr>
      <w:tr w14:paraId="52AF5C7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17" w:type="pct"/>
            <w:vMerge w:val="continue"/>
            <w:vAlign w:val="center"/>
          </w:tcPr>
          <w:p w14:paraId="75B367A3">
            <w:pPr>
              <w:adjustRightInd w:val="0"/>
              <w:snapToGrid w:val="0"/>
              <w:spacing w:line="240" w:lineRule="auto"/>
              <w:jc w:val="center"/>
              <w:rPr>
                <w:color w:val="auto"/>
                <w:kern w:val="2"/>
                <w:sz w:val="21"/>
                <w:szCs w:val="21"/>
              </w:rPr>
            </w:pPr>
          </w:p>
        </w:tc>
        <w:tc>
          <w:tcPr>
            <w:tcW w:w="591" w:type="pct"/>
            <w:tcBorders>
              <w:top w:val="single" w:color="auto" w:sz="4" w:space="0"/>
            </w:tcBorders>
            <w:vAlign w:val="center"/>
          </w:tcPr>
          <w:p w14:paraId="54145972">
            <w:pPr>
              <w:adjustRightInd w:val="0"/>
              <w:snapToGrid w:val="0"/>
              <w:spacing w:line="240" w:lineRule="auto"/>
              <w:jc w:val="center"/>
              <w:rPr>
                <w:color w:val="auto"/>
                <w:kern w:val="2"/>
                <w:sz w:val="21"/>
                <w:szCs w:val="21"/>
              </w:rPr>
            </w:pPr>
            <w:r>
              <w:rPr>
                <w:rFonts w:hint="eastAsia"/>
                <w:color w:val="auto"/>
                <w:kern w:val="2"/>
                <w:sz w:val="21"/>
                <w:szCs w:val="21"/>
              </w:rPr>
              <w:t>动植物油</w:t>
            </w:r>
          </w:p>
        </w:tc>
        <w:tc>
          <w:tcPr>
            <w:tcW w:w="534" w:type="pct"/>
            <w:vAlign w:val="center"/>
          </w:tcPr>
          <w:p w14:paraId="0F3DDF97">
            <w:pPr>
              <w:adjustRightInd w:val="0"/>
              <w:snapToGrid w:val="0"/>
              <w:spacing w:line="240" w:lineRule="auto"/>
              <w:jc w:val="center"/>
              <w:rPr>
                <w:color w:val="auto"/>
                <w:kern w:val="2"/>
                <w:sz w:val="21"/>
                <w:szCs w:val="21"/>
              </w:rPr>
            </w:pPr>
            <w:r>
              <w:rPr>
                <w:rFonts w:hint="eastAsia"/>
                <w:color w:val="auto"/>
                <w:kern w:val="2"/>
                <w:sz w:val="21"/>
                <w:szCs w:val="21"/>
              </w:rPr>
              <w:t>/</w:t>
            </w:r>
          </w:p>
        </w:tc>
        <w:tc>
          <w:tcPr>
            <w:tcW w:w="445" w:type="pct"/>
            <w:shd w:val="clear" w:color="auto" w:fill="auto"/>
            <w:vAlign w:val="center"/>
          </w:tcPr>
          <w:p w14:paraId="3FAD6416">
            <w:pPr>
              <w:adjustRightInd w:val="0"/>
              <w:snapToGrid w:val="0"/>
              <w:spacing w:line="240" w:lineRule="auto"/>
              <w:jc w:val="center"/>
              <w:rPr>
                <w:color w:val="auto"/>
                <w:kern w:val="2"/>
                <w:sz w:val="21"/>
                <w:szCs w:val="21"/>
              </w:rPr>
            </w:pPr>
            <w:r>
              <w:rPr>
                <w:rFonts w:hint="eastAsia"/>
                <w:color w:val="auto"/>
                <w:kern w:val="2"/>
                <w:sz w:val="21"/>
                <w:szCs w:val="21"/>
              </w:rPr>
              <w:t>/</w:t>
            </w:r>
          </w:p>
        </w:tc>
        <w:tc>
          <w:tcPr>
            <w:tcW w:w="593" w:type="pct"/>
            <w:shd w:val="clear" w:color="auto" w:fill="auto"/>
            <w:vAlign w:val="center"/>
          </w:tcPr>
          <w:p w14:paraId="1190BF23">
            <w:pPr>
              <w:adjustRightInd w:val="0"/>
              <w:snapToGrid w:val="0"/>
              <w:spacing w:line="240" w:lineRule="auto"/>
              <w:jc w:val="center"/>
              <w:rPr>
                <w:color w:val="auto"/>
                <w:kern w:val="2"/>
                <w:sz w:val="21"/>
                <w:szCs w:val="21"/>
              </w:rPr>
            </w:pPr>
            <w:r>
              <w:rPr>
                <w:rFonts w:hint="eastAsia"/>
                <w:color w:val="auto"/>
                <w:kern w:val="2"/>
                <w:sz w:val="21"/>
                <w:szCs w:val="21"/>
              </w:rPr>
              <w:t>/</w:t>
            </w:r>
          </w:p>
        </w:tc>
        <w:tc>
          <w:tcPr>
            <w:tcW w:w="544" w:type="pct"/>
            <w:vAlign w:val="center"/>
          </w:tcPr>
          <w:p w14:paraId="5B740158">
            <w:pPr>
              <w:pStyle w:val="30"/>
              <w:framePr w:hSpace="0" w:wrap="auto" w:vAnchor="margin" w:hAnchor="text" w:xAlign="left" w:yAlign="inline"/>
              <w:rPr>
                <w:color w:val="auto"/>
                <w:sz w:val="21"/>
                <w:szCs w:val="21"/>
                <w:lang w:val="en-US"/>
              </w:rPr>
            </w:pPr>
            <w:r>
              <w:rPr>
                <w:rFonts w:hint="eastAsia"/>
                <w:color w:val="auto"/>
                <w:sz w:val="21"/>
                <w:szCs w:val="21"/>
                <w:lang w:val="en-US"/>
              </w:rPr>
              <w:t>0.014</w:t>
            </w:r>
          </w:p>
        </w:tc>
        <w:tc>
          <w:tcPr>
            <w:tcW w:w="570" w:type="pct"/>
            <w:shd w:val="clear" w:color="auto" w:fill="auto"/>
            <w:vAlign w:val="center"/>
          </w:tcPr>
          <w:p w14:paraId="19419D8F">
            <w:pPr>
              <w:adjustRightInd w:val="0"/>
              <w:snapToGrid w:val="0"/>
              <w:spacing w:line="240" w:lineRule="auto"/>
              <w:jc w:val="center"/>
              <w:rPr>
                <w:color w:val="auto"/>
                <w:kern w:val="2"/>
                <w:sz w:val="21"/>
                <w:szCs w:val="21"/>
              </w:rPr>
            </w:pPr>
            <w:r>
              <w:rPr>
                <w:rFonts w:hint="eastAsia"/>
                <w:color w:val="auto"/>
                <w:kern w:val="2"/>
                <w:sz w:val="21"/>
                <w:szCs w:val="21"/>
              </w:rPr>
              <w:t>/</w:t>
            </w:r>
          </w:p>
        </w:tc>
        <w:tc>
          <w:tcPr>
            <w:tcW w:w="673" w:type="pct"/>
            <w:vAlign w:val="center"/>
          </w:tcPr>
          <w:p w14:paraId="0B34CF99">
            <w:pPr>
              <w:pStyle w:val="30"/>
              <w:framePr w:hSpace="0" w:wrap="auto" w:vAnchor="margin" w:hAnchor="text" w:xAlign="left" w:yAlign="inline"/>
              <w:rPr>
                <w:color w:val="auto"/>
                <w:sz w:val="21"/>
                <w:szCs w:val="21"/>
                <w:lang w:val="en-US"/>
              </w:rPr>
            </w:pPr>
            <w:r>
              <w:rPr>
                <w:rFonts w:hint="eastAsia"/>
                <w:color w:val="auto"/>
                <w:sz w:val="21"/>
                <w:szCs w:val="21"/>
                <w:lang w:val="en-US"/>
              </w:rPr>
              <w:t>0.014</w:t>
            </w:r>
          </w:p>
        </w:tc>
        <w:tc>
          <w:tcPr>
            <w:tcW w:w="528" w:type="pct"/>
            <w:vAlign w:val="center"/>
          </w:tcPr>
          <w:p w14:paraId="7D7A6BC3">
            <w:pPr>
              <w:pStyle w:val="30"/>
              <w:framePr w:hSpace="0" w:wrap="auto" w:vAnchor="margin" w:hAnchor="text" w:xAlign="left" w:yAlign="inline"/>
              <w:rPr>
                <w:color w:val="auto"/>
                <w:sz w:val="21"/>
                <w:szCs w:val="21"/>
                <w:lang w:val="en-US"/>
              </w:rPr>
            </w:pPr>
            <w:r>
              <w:rPr>
                <w:rFonts w:hint="eastAsia"/>
                <w:color w:val="auto"/>
                <w:sz w:val="21"/>
                <w:szCs w:val="21"/>
                <w:lang w:val="en-US"/>
              </w:rPr>
              <w:t>+0.014</w:t>
            </w:r>
          </w:p>
        </w:tc>
      </w:tr>
      <w:tr w14:paraId="2AF834E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17" w:type="pct"/>
            <w:vMerge w:val="restart"/>
            <w:vAlign w:val="center"/>
          </w:tcPr>
          <w:p w14:paraId="5D016772">
            <w:pPr>
              <w:adjustRightInd w:val="0"/>
              <w:snapToGrid w:val="0"/>
              <w:spacing w:line="240" w:lineRule="auto"/>
              <w:jc w:val="center"/>
              <w:rPr>
                <w:color w:val="auto"/>
                <w:kern w:val="2"/>
                <w:sz w:val="21"/>
                <w:szCs w:val="21"/>
              </w:rPr>
            </w:pPr>
            <w:r>
              <w:rPr>
                <w:color w:val="auto"/>
                <w:kern w:val="2"/>
                <w:sz w:val="21"/>
                <w:szCs w:val="21"/>
              </w:rPr>
              <w:t>一般工业固体废物</w:t>
            </w:r>
          </w:p>
        </w:tc>
        <w:tc>
          <w:tcPr>
            <w:tcW w:w="591" w:type="pct"/>
            <w:vAlign w:val="center"/>
          </w:tcPr>
          <w:p w14:paraId="58553626">
            <w:pPr>
              <w:adjustRightInd w:val="0"/>
              <w:snapToGrid w:val="0"/>
              <w:spacing w:line="240" w:lineRule="auto"/>
              <w:jc w:val="center"/>
              <w:rPr>
                <w:color w:val="auto"/>
                <w:kern w:val="2"/>
                <w:sz w:val="21"/>
                <w:szCs w:val="21"/>
              </w:rPr>
            </w:pPr>
            <w:r>
              <w:rPr>
                <w:rFonts w:hint="eastAsia"/>
                <w:color w:val="auto"/>
                <w:kern w:val="2"/>
                <w:sz w:val="21"/>
                <w:szCs w:val="21"/>
              </w:rPr>
              <w:t>废包装材料</w:t>
            </w:r>
          </w:p>
        </w:tc>
        <w:tc>
          <w:tcPr>
            <w:tcW w:w="534" w:type="pct"/>
            <w:vAlign w:val="center"/>
          </w:tcPr>
          <w:p w14:paraId="3E386395">
            <w:pPr>
              <w:adjustRightInd w:val="0"/>
              <w:snapToGrid w:val="0"/>
              <w:spacing w:line="240" w:lineRule="auto"/>
              <w:jc w:val="center"/>
              <w:rPr>
                <w:color w:val="auto"/>
                <w:kern w:val="2"/>
                <w:sz w:val="21"/>
                <w:szCs w:val="21"/>
              </w:rPr>
            </w:pPr>
            <w:r>
              <w:rPr>
                <w:rFonts w:hint="eastAsia"/>
                <w:color w:val="auto"/>
                <w:kern w:val="2"/>
                <w:sz w:val="21"/>
                <w:szCs w:val="21"/>
              </w:rPr>
              <w:t>/</w:t>
            </w:r>
          </w:p>
        </w:tc>
        <w:tc>
          <w:tcPr>
            <w:tcW w:w="445" w:type="pct"/>
            <w:shd w:val="clear" w:color="auto" w:fill="auto"/>
            <w:vAlign w:val="center"/>
          </w:tcPr>
          <w:p w14:paraId="3E0D005A">
            <w:pPr>
              <w:adjustRightInd w:val="0"/>
              <w:snapToGrid w:val="0"/>
              <w:spacing w:line="240" w:lineRule="auto"/>
              <w:jc w:val="center"/>
              <w:rPr>
                <w:color w:val="auto"/>
                <w:kern w:val="2"/>
                <w:sz w:val="21"/>
                <w:szCs w:val="21"/>
              </w:rPr>
            </w:pPr>
            <w:r>
              <w:rPr>
                <w:rFonts w:hint="eastAsia"/>
                <w:color w:val="auto"/>
                <w:kern w:val="2"/>
                <w:sz w:val="21"/>
                <w:szCs w:val="21"/>
              </w:rPr>
              <w:t>/</w:t>
            </w:r>
          </w:p>
        </w:tc>
        <w:tc>
          <w:tcPr>
            <w:tcW w:w="593" w:type="pct"/>
            <w:shd w:val="clear" w:color="auto" w:fill="auto"/>
            <w:vAlign w:val="center"/>
          </w:tcPr>
          <w:p w14:paraId="375A2CB9">
            <w:pPr>
              <w:adjustRightInd w:val="0"/>
              <w:snapToGrid w:val="0"/>
              <w:spacing w:line="240" w:lineRule="auto"/>
              <w:jc w:val="center"/>
              <w:rPr>
                <w:color w:val="auto"/>
                <w:kern w:val="2"/>
                <w:sz w:val="21"/>
                <w:szCs w:val="21"/>
              </w:rPr>
            </w:pPr>
            <w:r>
              <w:rPr>
                <w:rFonts w:hint="eastAsia"/>
                <w:color w:val="auto"/>
                <w:kern w:val="2"/>
                <w:sz w:val="21"/>
                <w:szCs w:val="21"/>
              </w:rPr>
              <w:t>/</w:t>
            </w:r>
          </w:p>
        </w:tc>
        <w:tc>
          <w:tcPr>
            <w:tcW w:w="544" w:type="pct"/>
            <w:shd w:val="clear" w:color="auto" w:fill="auto"/>
            <w:vAlign w:val="center"/>
          </w:tcPr>
          <w:p w14:paraId="39A8A8F2">
            <w:pPr>
              <w:pStyle w:val="30"/>
              <w:framePr w:hSpace="0" w:wrap="auto" w:vAnchor="margin" w:hAnchor="text" w:xAlign="left" w:yAlign="inline"/>
              <w:rPr>
                <w:color w:val="auto"/>
                <w:sz w:val="21"/>
                <w:szCs w:val="21"/>
                <w:lang w:val="en-US"/>
              </w:rPr>
            </w:pPr>
            <w:r>
              <w:rPr>
                <w:rFonts w:hint="eastAsia"/>
                <w:color w:val="auto"/>
                <w:sz w:val="21"/>
                <w:szCs w:val="21"/>
                <w:lang w:val="en-US"/>
              </w:rPr>
              <w:t>13</w:t>
            </w:r>
          </w:p>
        </w:tc>
        <w:tc>
          <w:tcPr>
            <w:tcW w:w="570" w:type="pct"/>
            <w:shd w:val="clear" w:color="auto" w:fill="auto"/>
            <w:vAlign w:val="center"/>
          </w:tcPr>
          <w:p w14:paraId="10CA79F3">
            <w:pPr>
              <w:adjustRightInd w:val="0"/>
              <w:snapToGrid w:val="0"/>
              <w:spacing w:line="240" w:lineRule="auto"/>
              <w:jc w:val="center"/>
              <w:rPr>
                <w:color w:val="auto"/>
                <w:kern w:val="2"/>
                <w:sz w:val="21"/>
                <w:szCs w:val="21"/>
              </w:rPr>
            </w:pPr>
            <w:r>
              <w:rPr>
                <w:rFonts w:hint="eastAsia"/>
                <w:color w:val="auto"/>
                <w:kern w:val="2"/>
                <w:sz w:val="21"/>
                <w:szCs w:val="21"/>
              </w:rPr>
              <w:t>/</w:t>
            </w:r>
          </w:p>
        </w:tc>
        <w:tc>
          <w:tcPr>
            <w:tcW w:w="673" w:type="pct"/>
            <w:shd w:val="clear" w:color="auto" w:fill="auto"/>
            <w:vAlign w:val="center"/>
          </w:tcPr>
          <w:p w14:paraId="73BB34A9">
            <w:pPr>
              <w:pStyle w:val="30"/>
              <w:framePr w:hSpace="0" w:wrap="auto" w:vAnchor="margin" w:hAnchor="text" w:xAlign="left" w:yAlign="inline"/>
              <w:rPr>
                <w:color w:val="auto"/>
                <w:sz w:val="21"/>
                <w:szCs w:val="21"/>
                <w:lang w:val="en-US"/>
              </w:rPr>
            </w:pPr>
            <w:r>
              <w:rPr>
                <w:rFonts w:hint="eastAsia"/>
                <w:color w:val="auto"/>
                <w:sz w:val="21"/>
                <w:szCs w:val="21"/>
                <w:lang w:val="en-US"/>
              </w:rPr>
              <w:t>13</w:t>
            </w:r>
          </w:p>
        </w:tc>
        <w:tc>
          <w:tcPr>
            <w:tcW w:w="528" w:type="pct"/>
            <w:vAlign w:val="center"/>
          </w:tcPr>
          <w:p w14:paraId="59B2F4BD">
            <w:pPr>
              <w:pStyle w:val="30"/>
              <w:framePr w:hSpace="0" w:wrap="auto" w:vAnchor="margin" w:hAnchor="text" w:xAlign="left" w:yAlign="inline"/>
              <w:rPr>
                <w:color w:val="auto"/>
                <w:sz w:val="21"/>
                <w:szCs w:val="21"/>
              </w:rPr>
            </w:pPr>
            <w:r>
              <w:rPr>
                <w:rFonts w:hint="eastAsia"/>
                <w:color w:val="auto"/>
                <w:sz w:val="21"/>
                <w:szCs w:val="21"/>
                <w:lang w:val="en-US"/>
              </w:rPr>
              <w:t>+13</w:t>
            </w:r>
          </w:p>
        </w:tc>
      </w:tr>
      <w:tr w14:paraId="2FCA893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517" w:type="pct"/>
            <w:vMerge w:val="continue"/>
            <w:vAlign w:val="center"/>
          </w:tcPr>
          <w:p w14:paraId="1E7420FC">
            <w:pPr>
              <w:adjustRightInd w:val="0"/>
              <w:snapToGrid w:val="0"/>
              <w:spacing w:line="240" w:lineRule="auto"/>
              <w:jc w:val="center"/>
              <w:rPr>
                <w:color w:val="auto"/>
                <w:kern w:val="2"/>
                <w:sz w:val="21"/>
                <w:szCs w:val="21"/>
              </w:rPr>
            </w:pPr>
          </w:p>
        </w:tc>
        <w:tc>
          <w:tcPr>
            <w:tcW w:w="591" w:type="pct"/>
            <w:vAlign w:val="center"/>
          </w:tcPr>
          <w:p w14:paraId="62AE6EB3">
            <w:pPr>
              <w:adjustRightInd w:val="0"/>
              <w:snapToGrid w:val="0"/>
              <w:spacing w:line="240" w:lineRule="auto"/>
              <w:jc w:val="center"/>
              <w:rPr>
                <w:color w:val="auto"/>
                <w:kern w:val="2"/>
                <w:sz w:val="21"/>
                <w:szCs w:val="21"/>
              </w:rPr>
            </w:pPr>
            <w:r>
              <w:rPr>
                <w:rFonts w:hint="eastAsia"/>
                <w:color w:val="auto"/>
                <w:kern w:val="2"/>
                <w:sz w:val="21"/>
                <w:szCs w:val="21"/>
              </w:rPr>
              <w:t>不合格品</w:t>
            </w:r>
          </w:p>
        </w:tc>
        <w:tc>
          <w:tcPr>
            <w:tcW w:w="534" w:type="pct"/>
            <w:vAlign w:val="center"/>
          </w:tcPr>
          <w:p w14:paraId="282E87E6">
            <w:pPr>
              <w:adjustRightInd w:val="0"/>
              <w:snapToGrid w:val="0"/>
              <w:spacing w:line="240" w:lineRule="auto"/>
              <w:jc w:val="center"/>
              <w:rPr>
                <w:color w:val="auto"/>
                <w:kern w:val="2"/>
                <w:sz w:val="21"/>
                <w:szCs w:val="21"/>
              </w:rPr>
            </w:pPr>
            <w:r>
              <w:rPr>
                <w:rFonts w:hint="eastAsia"/>
                <w:color w:val="auto"/>
                <w:kern w:val="2"/>
                <w:sz w:val="21"/>
                <w:szCs w:val="21"/>
              </w:rPr>
              <w:t>/</w:t>
            </w:r>
          </w:p>
        </w:tc>
        <w:tc>
          <w:tcPr>
            <w:tcW w:w="445" w:type="pct"/>
            <w:shd w:val="clear" w:color="auto" w:fill="auto"/>
            <w:vAlign w:val="center"/>
          </w:tcPr>
          <w:p w14:paraId="78636C56">
            <w:pPr>
              <w:adjustRightInd w:val="0"/>
              <w:snapToGrid w:val="0"/>
              <w:spacing w:line="240" w:lineRule="auto"/>
              <w:jc w:val="center"/>
              <w:rPr>
                <w:color w:val="auto"/>
                <w:kern w:val="2"/>
                <w:sz w:val="21"/>
                <w:szCs w:val="21"/>
              </w:rPr>
            </w:pPr>
            <w:r>
              <w:rPr>
                <w:rFonts w:hint="eastAsia"/>
                <w:color w:val="auto"/>
                <w:kern w:val="2"/>
                <w:sz w:val="21"/>
                <w:szCs w:val="21"/>
              </w:rPr>
              <w:t>/</w:t>
            </w:r>
          </w:p>
        </w:tc>
        <w:tc>
          <w:tcPr>
            <w:tcW w:w="593" w:type="pct"/>
            <w:shd w:val="clear" w:color="auto" w:fill="auto"/>
            <w:vAlign w:val="center"/>
          </w:tcPr>
          <w:p w14:paraId="4DD1A811">
            <w:pPr>
              <w:adjustRightInd w:val="0"/>
              <w:snapToGrid w:val="0"/>
              <w:spacing w:line="240" w:lineRule="auto"/>
              <w:jc w:val="center"/>
              <w:rPr>
                <w:color w:val="auto"/>
                <w:kern w:val="2"/>
                <w:sz w:val="21"/>
                <w:szCs w:val="21"/>
              </w:rPr>
            </w:pPr>
            <w:r>
              <w:rPr>
                <w:rFonts w:hint="eastAsia"/>
                <w:color w:val="auto"/>
                <w:kern w:val="2"/>
                <w:sz w:val="21"/>
                <w:szCs w:val="21"/>
              </w:rPr>
              <w:t>/</w:t>
            </w:r>
          </w:p>
        </w:tc>
        <w:tc>
          <w:tcPr>
            <w:tcW w:w="544" w:type="pct"/>
            <w:shd w:val="clear" w:color="auto" w:fill="auto"/>
            <w:vAlign w:val="center"/>
          </w:tcPr>
          <w:p w14:paraId="780271E8">
            <w:pPr>
              <w:pStyle w:val="30"/>
              <w:framePr w:hSpace="0" w:wrap="auto" w:vAnchor="margin" w:hAnchor="text" w:xAlign="left" w:yAlign="inline"/>
              <w:rPr>
                <w:color w:val="auto"/>
                <w:sz w:val="21"/>
                <w:szCs w:val="21"/>
                <w:lang w:val="en-US"/>
              </w:rPr>
            </w:pPr>
            <w:r>
              <w:rPr>
                <w:rFonts w:hint="eastAsia"/>
                <w:color w:val="auto"/>
                <w:sz w:val="21"/>
                <w:szCs w:val="21"/>
                <w:lang w:val="en-US"/>
              </w:rPr>
              <w:t>0.9</w:t>
            </w:r>
          </w:p>
        </w:tc>
        <w:tc>
          <w:tcPr>
            <w:tcW w:w="570" w:type="pct"/>
            <w:shd w:val="clear" w:color="auto" w:fill="auto"/>
            <w:vAlign w:val="center"/>
          </w:tcPr>
          <w:p w14:paraId="3263FB93">
            <w:pPr>
              <w:adjustRightInd w:val="0"/>
              <w:snapToGrid w:val="0"/>
              <w:spacing w:line="240" w:lineRule="auto"/>
              <w:jc w:val="center"/>
              <w:rPr>
                <w:color w:val="auto"/>
                <w:kern w:val="2"/>
                <w:sz w:val="21"/>
                <w:szCs w:val="21"/>
              </w:rPr>
            </w:pPr>
            <w:r>
              <w:rPr>
                <w:rFonts w:hint="eastAsia"/>
                <w:color w:val="auto"/>
                <w:kern w:val="2"/>
                <w:sz w:val="21"/>
                <w:szCs w:val="21"/>
              </w:rPr>
              <w:t>/</w:t>
            </w:r>
          </w:p>
        </w:tc>
        <w:tc>
          <w:tcPr>
            <w:tcW w:w="673" w:type="pct"/>
            <w:shd w:val="clear" w:color="auto" w:fill="auto"/>
            <w:vAlign w:val="center"/>
          </w:tcPr>
          <w:p w14:paraId="0B9BDAF5">
            <w:pPr>
              <w:pStyle w:val="30"/>
              <w:framePr w:hSpace="0" w:wrap="auto" w:vAnchor="margin" w:hAnchor="text" w:xAlign="left" w:yAlign="inline"/>
              <w:rPr>
                <w:color w:val="auto"/>
                <w:sz w:val="21"/>
                <w:szCs w:val="21"/>
                <w:lang w:val="en-US"/>
              </w:rPr>
            </w:pPr>
            <w:r>
              <w:rPr>
                <w:rFonts w:hint="eastAsia"/>
                <w:color w:val="auto"/>
                <w:sz w:val="21"/>
                <w:szCs w:val="21"/>
                <w:lang w:val="en-US"/>
              </w:rPr>
              <w:t>0.9</w:t>
            </w:r>
          </w:p>
        </w:tc>
        <w:tc>
          <w:tcPr>
            <w:tcW w:w="528" w:type="pct"/>
            <w:vAlign w:val="center"/>
          </w:tcPr>
          <w:p w14:paraId="2911224F">
            <w:pPr>
              <w:pStyle w:val="30"/>
              <w:framePr w:hSpace="0" w:wrap="auto" w:vAnchor="margin" w:hAnchor="text" w:xAlign="left" w:yAlign="inline"/>
              <w:rPr>
                <w:color w:val="auto"/>
                <w:sz w:val="21"/>
                <w:szCs w:val="21"/>
                <w:lang w:val="en-US"/>
              </w:rPr>
            </w:pPr>
            <w:r>
              <w:rPr>
                <w:rFonts w:hint="eastAsia"/>
                <w:color w:val="auto"/>
                <w:sz w:val="21"/>
                <w:szCs w:val="21"/>
                <w:lang w:val="en-US"/>
              </w:rPr>
              <w:t>+0.9</w:t>
            </w:r>
          </w:p>
        </w:tc>
      </w:tr>
      <w:tr w14:paraId="4357F28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517" w:type="pct"/>
            <w:vMerge w:val="continue"/>
            <w:vAlign w:val="center"/>
          </w:tcPr>
          <w:p w14:paraId="3AFEF4A3">
            <w:pPr>
              <w:adjustRightInd w:val="0"/>
              <w:snapToGrid w:val="0"/>
              <w:spacing w:line="240" w:lineRule="auto"/>
              <w:jc w:val="center"/>
              <w:rPr>
                <w:color w:val="auto"/>
                <w:kern w:val="2"/>
                <w:sz w:val="21"/>
                <w:szCs w:val="21"/>
              </w:rPr>
            </w:pPr>
          </w:p>
        </w:tc>
        <w:tc>
          <w:tcPr>
            <w:tcW w:w="591" w:type="pct"/>
            <w:vAlign w:val="center"/>
          </w:tcPr>
          <w:p w14:paraId="4FF806B1">
            <w:pPr>
              <w:adjustRightInd w:val="0"/>
              <w:snapToGrid w:val="0"/>
              <w:spacing w:line="240" w:lineRule="auto"/>
              <w:jc w:val="center"/>
              <w:rPr>
                <w:color w:val="auto"/>
                <w:kern w:val="2"/>
                <w:sz w:val="21"/>
                <w:szCs w:val="21"/>
              </w:rPr>
            </w:pPr>
            <w:r>
              <w:rPr>
                <w:rFonts w:hint="eastAsia"/>
                <w:color w:val="auto"/>
                <w:kern w:val="2"/>
                <w:sz w:val="21"/>
                <w:szCs w:val="21"/>
              </w:rPr>
              <w:t>调味料渣</w:t>
            </w:r>
          </w:p>
        </w:tc>
        <w:tc>
          <w:tcPr>
            <w:tcW w:w="534" w:type="pct"/>
            <w:vAlign w:val="center"/>
          </w:tcPr>
          <w:p w14:paraId="5BF64540">
            <w:pPr>
              <w:adjustRightInd w:val="0"/>
              <w:snapToGrid w:val="0"/>
              <w:spacing w:line="240" w:lineRule="auto"/>
              <w:jc w:val="center"/>
              <w:rPr>
                <w:color w:val="auto"/>
                <w:kern w:val="2"/>
                <w:sz w:val="21"/>
                <w:szCs w:val="21"/>
              </w:rPr>
            </w:pPr>
            <w:r>
              <w:rPr>
                <w:rFonts w:hint="eastAsia"/>
                <w:color w:val="auto"/>
                <w:kern w:val="2"/>
                <w:sz w:val="21"/>
                <w:szCs w:val="21"/>
              </w:rPr>
              <w:t>/</w:t>
            </w:r>
          </w:p>
        </w:tc>
        <w:tc>
          <w:tcPr>
            <w:tcW w:w="445" w:type="pct"/>
            <w:shd w:val="clear" w:color="auto" w:fill="auto"/>
            <w:vAlign w:val="center"/>
          </w:tcPr>
          <w:p w14:paraId="60380504">
            <w:pPr>
              <w:adjustRightInd w:val="0"/>
              <w:snapToGrid w:val="0"/>
              <w:spacing w:line="240" w:lineRule="auto"/>
              <w:jc w:val="center"/>
              <w:rPr>
                <w:color w:val="auto"/>
                <w:kern w:val="2"/>
                <w:sz w:val="21"/>
                <w:szCs w:val="21"/>
              </w:rPr>
            </w:pPr>
            <w:r>
              <w:rPr>
                <w:rFonts w:hint="eastAsia"/>
                <w:color w:val="auto"/>
                <w:kern w:val="2"/>
                <w:sz w:val="21"/>
                <w:szCs w:val="21"/>
              </w:rPr>
              <w:t>/</w:t>
            </w:r>
          </w:p>
        </w:tc>
        <w:tc>
          <w:tcPr>
            <w:tcW w:w="593" w:type="pct"/>
            <w:shd w:val="clear" w:color="auto" w:fill="auto"/>
            <w:vAlign w:val="center"/>
          </w:tcPr>
          <w:p w14:paraId="65765786">
            <w:pPr>
              <w:adjustRightInd w:val="0"/>
              <w:snapToGrid w:val="0"/>
              <w:spacing w:line="240" w:lineRule="auto"/>
              <w:jc w:val="center"/>
              <w:rPr>
                <w:color w:val="auto"/>
                <w:kern w:val="2"/>
                <w:sz w:val="21"/>
                <w:szCs w:val="21"/>
              </w:rPr>
            </w:pPr>
            <w:r>
              <w:rPr>
                <w:rFonts w:hint="eastAsia"/>
                <w:color w:val="auto"/>
                <w:kern w:val="2"/>
                <w:sz w:val="21"/>
                <w:szCs w:val="21"/>
              </w:rPr>
              <w:t>/</w:t>
            </w:r>
          </w:p>
        </w:tc>
        <w:tc>
          <w:tcPr>
            <w:tcW w:w="544" w:type="pct"/>
            <w:shd w:val="clear" w:color="auto" w:fill="auto"/>
            <w:vAlign w:val="center"/>
          </w:tcPr>
          <w:p w14:paraId="584116EF">
            <w:pPr>
              <w:pStyle w:val="30"/>
              <w:framePr w:hSpace="0" w:wrap="auto" w:vAnchor="margin" w:hAnchor="text" w:xAlign="left" w:yAlign="inline"/>
              <w:rPr>
                <w:color w:val="auto"/>
                <w:sz w:val="21"/>
                <w:szCs w:val="21"/>
                <w:lang w:val="en-US"/>
              </w:rPr>
            </w:pPr>
            <w:r>
              <w:rPr>
                <w:rFonts w:hint="eastAsia"/>
                <w:color w:val="auto"/>
                <w:sz w:val="21"/>
                <w:szCs w:val="21"/>
                <w:lang w:val="en-US"/>
              </w:rPr>
              <w:t>209.5</w:t>
            </w:r>
          </w:p>
        </w:tc>
        <w:tc>
          <w:tcPr>
            <w:tcW w:w="570" w:type="pct"/>
            <w:shd w:val="clear" w:color="auto" w:fill="auto"/>
            <w:vAlign w:val="center"/>
          </w:tcPr>
          <w:p w14:paraId="6AB7787C">
            <w:pPr>
              <w:adjustRightInd w:val="0"/>
              <w:snapToGrid w:val="0"/>
              <w:spacing w:line="240" w:lineRule="auto"/>
              <w:jc w:val="center"/>
              <w:rPr>
                <w:color w:val="auto"/>
                <w:kern w:val="2"/>
                <w:sz w:val="21"/>
                <w:szCs w:val="21"/>
              </w:rPr>
            </w:pPr>
            <w:r>
              <w:rPr>
                <w:rFonts w:hint="eastAsia"/>
                <w:color w:val="auto"/>
                <w:kern w:val="2"/>
                <w:sz w:val="21"/>
                <w:szCs w:val="21"/>
              </w:rPr>
              <w:t>/</w:t>
            </w:r>
          </w:p>
        </w:tc>
        <w:tc>
          <w:tcPr>
            <w:tcW w:w="673" w:type="pct"/>
            <w:shd w:val="clear" w:color="auto" w:fill="auto"/>
            <w:vAlign w:val="center"/>
          </w:tcPr>
          <w:p w14:paraId="23218CA2">
            <w:pPr>
              <w:pStyle w:val="30"/>
              <w:framePr w:hSpace="0" w:wrap="auto" w:vAnchor="margin" w:hAnchor="text" w:xAlign="left" w:yAlign="inline"/>
              <w:rPr>
                <w:color w:val="auto"/>
                <w:sz w:val="21"/>
                <w:szCs w:val="21"/>
                <w:lang w:val="en-US"/>
              </w:rPr>
            </w:pPr>
            <w:r>
              <w:rPr>
                <w:rFonts w:hint="eastAsia"/>
                <w:color w:val="auto"/>
                <w:sz w:val="21"/>
                <w:szCs w:val="21"/>
                <w:lang w:val="en-US"/>
              </w:rPr>
              <w:t>209.5</w:t>
            </w:r>
          </w:p>
        </w:tc>
        <w:tc>
          <w:tcPr>
            <w:tcW w:w="528" w:type="pct"/>
            <w:vAlign w:val="center"/>
          </w:tcPr>
          <w:p w14:paraId="64A27C49">
            <w:pPr>
              <w:pStyle w:val="30"/>
              <w:framePr w:hSpace="0" w:wrap="auto" w:vAnchor="margin" w:hAnchor="text" w:xAlign="left" w:yAlign="inline"/>
              <w:rPr>
                <w:color w:val="auto"/>
                <w:sz w:val="21"/>
                <w:szCs w:val="21"/>
              </w:rPr>
            </w:pPr>
            <w:r>
              <w:rPr>
                <w:rFonts w:hint="eastAsia"/>
                <w:color w:val="auto"/>
                <w:sz w:val="21"/>
                <w:szCs w:val="21"/>
                <w:lang w:val="en-US"/>
              </w:rPr>
              <w:t>+209.5</w:t>
            </w:r>
          </w:p>
        </w:tc>
      </w:tr>
      <w:tr w14:paraId="0B1A5CE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517" w:type="pct"/>
            <w:vMerge w:val="continue"/>
            <w:vAlign w:val="center"/>
          </w:tcPr>
          <w:p w14:paraId="358A8713">
            <w:pPr>
              <w:adjustRightInd w:val="0"/>
              <w:snapToGrid w:val="0"/>
              <w:spacing w:line="240" w:lineRule="auto"/>
              <w:jc w:val="center"/>
              <w:rPr>
                <w:color w:val="auto"/>
                <w:kern w:val="2"/>
                <w:sz w:val="21"/>
                <w:szCs w:val="21"/>
              </w:rPr>
            </w:pPr>
          </w:p>
        </w:tc>
        <w:tc>
          <w:tcPr>
            <w:tcW w:w="591" w:type="pct"/>
            <w:vAlign w:val="center"/>
          </w:tcPr>
          <w:p w14:paraId="3D0B2561">
            <w:pPr>
              <w:adjustRightInd w:val="0"/>
              <w:snapToGrid w:val="0"/>
              <w:spacing w:line="240" w:lineRule="auto"/>
              <w:jc w:val="center"/>
              <w:rPr>
                <w:color w:val="auto"/>
                <w:kern w:val="2"/>
                <w:sz w:val="21"/>
                <w:szCs w:val="21"/>
              </w:rPr>
            </w:pPr>
            <w:r>
              <w:rPr>
                <w:rFonts w:hint="eastAsia"/>
                <w:color w:val="auto"/>
                <w:kern w:val="2"/>
                <w:sz w:val="21"/>
                <w:szCs w:val="21"/>
              </w:rPr>
              <w:t>废动植物油</w:t>
            </w:r>
          </w:p>
        </w:tc>
        <w:tc>
          <w:tcPr>
            <w:tcW w:w="534" w:type="pct"/>
            <w:vAlign w:val="center"/>
          </w:tcPr>
          <w:p w14:paraId="52DE2D97">
            <w:pPr>
              <w:adjustRightInd w:val="0"/>
              <w:snapToGrid w:val="0"/>
              <w:spacing w:line="240" w:lineRule="auto"/>
              <w:jc w:val="center"/>
              <w:rPr>
                <w:color w:val="auto"/>
                <w:kern w:val="2"/>
                <w:sz w:val="21"/>
                <w:szCs w:val="21"/>
              </w:rPr>
            </w:pPr>
            <w:r>
              <w:rPr>
                <w:rFonts w:hint="eastAsia"/>
                <w:color w:val="auto"/>
                <w:kern w:val="2"/>
                <w:sz w:val="21"/>
                <w:szCs w:val="21"/>
              </w:rPr>
              <w:t>/</w:t>
            </w:r>
          </w:p>
        </w:tc>
        <w:tc>
          <w:tcPr>
            <w:tcW w:w="445" w:type="pct"/>
            <w:shd w:val="clear" w:color="auto" w:fill="auto"/>
            <w:vAlign w:val="center"/>
          </w:tcPr>
          <w:p w14:paraId="57B2ECB4">
            <w:pPr>
              <w:adjustRightInd w:val="0"/>
              <w:snapToGrid w:val="0"/>
              <w:spacing w:line="240" w:lineRule="auto"/>
              <w:jc w:val="center"/>
              <w:rPr>
                <w:color w:val="auto"/>
                <w:kern w:val="2"/>
                <w:sz w:val="21"/>
                <w:szCs w:val="21"/>
              </w:rPr>
            </w:pPr>
            <w:r>
              <w:rPr>
                <w:rFonts w:hint="eastAsia"/>
                <w:color w:val="auto"/>
                <w:kern w:val="2"/>
                <w:sz w:val="21"/>
                <w:szCs w:val="21"/>
              </w:rPr>
              <w:t>/</w:t>
            </w:r>
          </w:p>
        </w:tc>
        <w:tc>
          <w:tcPr>
            <w:tcW w:w="593" w:type="pct"/>
            <w:shd w:val="clear" w:color="auto" w:fill="auto"/>
            <w:vAlign w:val="center"/>
          </w:tcPr>
          <w:p w14:paraId="6C54E5FF">
            <w:pPr>
              <w:adjustRightInd w:val="0"/>
              <w:snapToGrid w:val="0"/>
              <w:spacing w:line="240" w:lineRule="auto"/>
              <w:jc w:val="center"/>
              <w:rPr>
                <w:color w:val="auto"/>
                <w:kern w:val="2"/>
                <w:sz w:val="21"/>
                <w:szCs w:val="21"/>
              </w:rPr>
            </w:pPr>
            <w:r>
              <w:rPr>
                <w:rFonts w:hint="eastAsia"/>
                <w:color w:val="auto"/>
                <w:kern w:val="2"/>
                <w:sz w:val="21"/>
                <w:szCs w:val="21"/>
              </w:rPr>
              <w:t>/</w:t>
            </w:r>
          </w:p>
        </w:tc>
        <w:tc>
          <w:tcPr>
            <w:tcW w:w="544" w:type="pct"/>
            <w:shd w:val="clear" w:color="auto" w:fill="auto"/>
            <w:vAlign w:val="center"/>
          </w:tcPr>
          <w:p w14:paraId="554B699D">
            <w:pPr>
              <w:pStyle w:val="30"/>
              <w:framePr w:hSpace="0" w:wrap="auto" w:vAnchor="margin" w:hAnchor="text" w:xAlign="left" w:yAlign="inline"/>
              <w:rPr>
                <w:color w:val="auto"/>
                <w:sz w:val="21"/>
                <w:szCs w:val="21"/>
                <w:lang w:val="en-US"/>
              </w:rPr>
            </w:pPr>
            <w:r>
              <w:rPr>
                <w:rFonts w:hint="eastAsia"/>
                <w:color w:val="auto"/>
                <w:sz w:val="21"/>
                <w:szCs w:val="21"/>
                <w:lang w:val="en-US"/>
              </w:rPr>
              <w:t>0.1</w:t>
            </w:r>
          </w:p>
        </w:tc>
        <w:tc>
          <w:tcPr>
            <w:tcW w:w="570" w:type="pct"/>
            <w:shd w:val="clear" w:color="auto" w:fill="auto"/>
            <w:vAlign w:val="center"/>
          </w:tcPr>
          <w:p w14:paraId="323C2017">
            <w:pPr>
              <w:adjustRightInd w:val="0"/>
              <w:snapToGrid w:val="0"/>
              <w:spacing w:line="240" w:lineRule="auto"/>
              <w:jc w:val="center"/>
              <w:rPr>
                <w:color w:val="auto"/>
                <w:kern w:val="2"/>
                <w:sz w:val="21"/>
                <w:szCs w:val="21"/>
              </w:rPr>
            </w:pPr>
            <w:r>
              <w:rPr>
                <w:rFonts w:hint="eastAsia"/>
                <w:color w:val="auto"/>
                <w:kern w:val="2"/>
                <w:sz w:val="21"/>
                <w:szCs w:val="21"/>
              </w:rPr>
              <w:t>/</w:t>
            </w:r>
          </w:p>
        </w:tc>
        <w:tc>
          <w:tcPr>
            <w:tcW w:w="673" w:type="pct"/>
            <w:shd w:val="clear" w:color="auto" w:fill="auto"/>
            <w:vAlign w:val="center"/>
          </w:tcPr>
          <w:p w14:paraId="5CA22811">
            <w:pPr>
              <w:pStyle w:val="30"/>
              <w:framePr w:hSpace="0" w:wrap="auto" w:vAnchor="margin" w:hAnchor="text" w:xAlign="left" w:yAlign="inline"/>
              <w:rPr>
                <w:color w:val="auto"/>
                <w:sz w:val="21"/>
                <w:szCs w:val="21"/>
                <w:lang w:val="en-US"/>
              </w:rPr>
            </w:pPr>
            <w:r>
              <w:rPr>
                <w:rFonts w:hint="eastAsia"/>
                <w:color w:val="auto"/>
                <w:sz w:val="21"/>
                <w:szCs w:val="21"/>
                <w:lang w:val="en-US"/>
              </w:rPr>
              <w:t>0.1</w:t>
            </w:r>
          </w:p>
        </w:tc>
        <w:tc>
          <w:tcPr>
            <w:tcW w:w="528" w:type="pct"/>
            <w:vAlign w:val="center"/>
          </w:tcPr>
          <w:p w14:paraId="2D7E7B5C">
            <w:pPr>
              <w:pStyle w:val="30"/>
              <w:framePr w:hSpace="0" w:wrap="auto" w:vAnchor="margin" w:hAnchor="text" w:xAlign="left" w:yAlign="inline"/>
              <w:rPr>
                <w:color w:val="auto"/>
                <w:sz w:val="21"/>
                <w:szCs w:val="21"/>
                <w:lang w:val="en-US"/>
              </w:rPr>
            </w:pPr>
            <w:r>
              <w:rPr>
                <w:rFonts w:hint="eastAsia"/>
                <w:color w:val="auto"/>
                <w:sz w:val="21"/>
                <w:szCs w:val="21"/>
                <w:lang w:val="en-US"/>
              </w:rPr>
              <w:t>+0.1</w:t>
            </w:r>
          </w:p>
        </w:tc>
      </w:tr>
      <w:tr w14:paraId="6708783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517" w:type="pct"/>
            <w:vMerge w:val="continue"/>
            <w:vAlign w:val="center"/>
          </w:tcPr>
          <w:p w14:paraId="78CFAFD3">
            <w:pPr>
              <w:adjustRightInd w:val="0"/>
              <w:snapToGrid w:val="0"/>
              <w:spacing w:line="240" w:lineRule="auto"/>
              <w:jc w:val="center"/>
              <w:rPr>
                <w:color w:val="auto"/>
                <w:kern w:val="2"/>
                <w:sz w:val="21"/>
                <w:szCs w:val="21"/>
              </w:rPr>
            </w:pPr>
          </w:p>
        </w:tc>
        <w:tc>
          <w:tcPr>
            <w:tcW w:w="591" w:type="pct"/>
            <w:vAlign w:val="center"/>
          </w:tcPr>
          <w:p w14:paraId="6D840135">
            <w:pPr>
              <w:adjustRightInd w:val="0"/>
              <w:snapToGrid w:val="0"/>
              <w:spacing w:line="240" w:lineRule="auto"/>
              <w:jc w:val="center"/>
              <w:rPr>
                <w:color w:val="auto"/>
                <w:kern w:val="2"/>
                <w:sz w:val="21"/>
                <w:szCs w:val="21"/>
              </w:rPr>
            </w:pPr>
            <w:r>
              <w:rPr>
                <w:rFonts w:hint="eastAsia"/>
                <w:color w:val="auto"/>
                <w:kern w:val="2"/>
                <w:sz w:val="21"/>
                <w:szCs w:val="21"/>
              </w:rPr>
              <w:t>废过滤器</w:t>
            </w:r>
          </w:p>
        </w:tc>
        <w:tc>
          <w:tcPr>
            <w:tcW w:w="534" w:type="pct"/>
            <w:vAlign w:val="center"/>
          </w:tcPr>
          <w:p w14:paraId="3DBAF468">
            <w:pPr>
              <w:adjustRightInd w:val="0"/>
              <w:snapToGrid w:val="0"/>
              <w:spacing w:line="240" w:lineRule="auto"/>
              <w:jc w:val="center"/>
              <w:rPr>
                <w:color w:val="auto"/>
                <w:kern w:val="2"/>
                <w:sz w:val="21"/>
                <w:szCs w:val="21"/>
              </w:rPr>
            </w:pPr>
            <w:r>
              <w:rPr>
                <w:rFonts w:hint="eastAsia"/>
                <w:color w:val="auto"/>
                <w:kern w:val="2"/>
                <w:sz w:val="21"/>
                <w:szCs w:val="21"/>
              </w:rPr>
              <w:t>/</w:t>
            </w:r>
          </w:p>
        </w:tc>
        <w:tc>
          <w:tcPr>
            <w:tcW w:w="445" w:type="pct"/>
            <w:shd w:val="clear" w:color="auto" w:fill="auto"/>
            <w:vAlign w:val="center"/>
          </w:tcPr>
          <w:p w14:paraId="0DEFB3DE">
            <w:pPr>
              <w:adjustRightInd w:val="0"/>
              <w:snapToGrid w:val="0"/>
              <w:spacing w:line="240" w:lineRule="auto"/>
              <w:jc w:val="center"/>
              <w:rPr>
                <w:color w:val="auto"/>
                <w:kern w:val="2"/>
                <w:sz w:val="21"/>
                <w:szCs w:val="21"/>
              </w:rPr>
            </w:pPr>
            <w:r>
              <w:rPr>
                <w:rFonts w:hint="eastAsia"/>
                <w:color w:val="auto"/>
                <w:kern w:val="2"/>
                <w:sz w:val="21"/>
                <w:szCs w:val="21"/>
              </w:rPr>
              <w:t>/</w:t>
            </w:r>
          </w:p>
        </w:tc>
        <w:tc>
          <w:tcPr>
            <w:tcW w:w="593" w:type="pct"/>
            <w:shd w:val="clear" w:color="auto" w:fill="auto"/>
            <w:vAlign w:val="center"/>
          </w:tcPr>
          <w:p w14:paraId="5C352AAF">
            <w:pPr>
              <w:adjustRightInd w:val="0"/>
              <w:snapToGrid w:val="0"/>
              <w:spacing w:line="240" w:lineRule="auto"/>
              <w:jc w:val="center"/>
              <w:rPr>
                <w:color w:val="auto"/>
                <w:kern w:val="2"/>
                <w:sz w:val="21"/>
                <w:szCs w:val="21"/>
              </w:rPr>
            </w:pPr>
            <w:r>
              <w:rPr>
                <w:rFonts w:hint="eastAsia"/>
                <w:color w:val="auto"/>
                <w:kern w:val="2"/>
                <w:sz w:val="21"/>
                <w:szCs w:val="21"/>
              </w:rPr>
              <w:t>/</w:t>
            </w:r>
          </w:p>
        </w:tc>
        <w:tc>
          <w:tcPr>
            <w:tcW w:w="544" w:type="pct"/>
            <w:shd w:val="clear" w:color="auto" w:fill="auto"/>
            <w:vAlign w:val="center"/>
          </w:tcPr>
          <w:p w14:paraId="4ACB06BD">
            <w:pPr>
              <w:pStyle w:val="30"/>
              <w:framePr w:hSpace="0" w:wrap="auto" w:vAnchor="margin" w:hAnchor="text" w:xAlign="left" w:yAlign="inline"/>
              <w:rPr>
                <w:color w:val="auto"/>
                <w:sz w:val="21"/>
                <w:szCs w:val="21"/>
                <w:lang w:val="en-US"/>
              </w:rPr>
            </w:pPr>
            <w:r>
              <w:rPr>
                <w:rFonts w:hint="eastAsia"/>
                <w:color w:val="auto"/>
                <w:sz w:val="21"/>
                <w:szCs w:val="21"/>
                <w:lang w:val="en-US"/>
              </w:rPr>
              <w:t>0.3</w:t>
            </w:r>
          </w:p>
        </w:tc>
        <w:tc>
          <w:tcPr>
            <w:tcW w:w="570" w:type="pct"/>
            <w:shd w:val="clear" w:color="auto" w:fill="auto"/>
            <w:vAlign w:val="center"/>
          </w:tcPr>
          <w:p w14:paraId="4A05C5DF">
            <w:pPr>
              <w:adjustRightInd w:val="0"/>
              <w:snapToGrid w:val="0"/>
              <w:spacing w:line="240" w:lineRule="auto"/>
              <w:jc w:val="center"/>
              <w:rPr>
                <w:color w:val="auto"/>
                <w:kern w:val="2"/>
                <w:sz w:val="21"/>
                <w:szCs w:val="21"/>
              </w:rPr>
            </w:pPr>
            <w:r>
              <w:rPr>
                <w:rFonts w:hint="eastAsia"/>
                <w:color w:val="auto"/>
                <w:kern w:val="2"/>
                <w:sz w:val="21"/>
                <w:szCs w:val="21"/>
              </w:rPr>
              <w:t>/</w:t>
            </w:r>
          </w:p>
        </w:tc>
        <w:tc>
          <w:tcPr>
            <w:tcW w:w="673" w:type="pct"/>
            <w:shd w:val="clear" w:color="auto" w:fill="auto"/>
            <w:vAlign w:val="center"/>
          </w:tcPr>
          <w:p w14:paraId="0B7D1D29">
            <w:pPr>
              <w:pStyle w:val="30"/>
              <w:framePr w:hSpace="0" w:wrap="auto" w:vAnchor="margin" w:hAnchor="text" w:xAlign="left" w:yAlign="inline"/>
              <w:rPr>
                <w:color w:val="auto"/>
                <w:sz w:val="21"/>
                <w:szCs w:val="21"/>
                <w:lang w:val="en-US"/>
              </w:rPr>
            </w:pPr>
            <w:r>
              <w:rPr>
                <w:rFonts w:hint="eastAsia"/>
                <w:color w:val="auto"/>
                <w:sz w:val="21"/>
                <w:szCs w:val="21"/>
                <w:lang w:val="en-US"/>
              </w:rPr>
              <w:t>0.3</w:t>
            </w:r>
          </w:p>
        </w:tc>
        <w:tc>
          <w:tcPr>
            <w:tcW w:w="528" w:type="pct"/>
            <w:vAlign w:val="center"/>
          </w:tcPr>
          <w:p w14:paraId="66923292">
            <w:pPr>
              <w:pStyle w:val="30"/>
              <w:framePr w:hSpace="0" w:wrap="auto" w:vAnchor="margin" w:hAnchor="text" w:xAlign="left" w:yAlign="inline"/>
              <w:rPr>
                <w:color w:val="auto"/>
                <w:sz w:val="21"/>
                <w:szCs w:val="21"/>
                <w:lang w:val="en-US"/>
              </w:rPr>
            </w:pPr>
            <w:r>
              <w:rPr>
                <w:rFonts w:hint="eastAsia"/>
                <w:color w:val="auto"/>
                <w:sz w:val="21"/>
                <w:szCs w:val="21"/>
                <w:lang w:val="en-US"/>
              </w:rPr>
              <w:t>+0.3</w:t>
            </w:r>
          </w:p>
        </w:tc>
      </w:tr>
      <w:tr w14:paraId="71675F0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17" w:type="pct"/>
            <w:vAlign w:val="center"/>
          </w:tcPr>
          <w:p w14:paraId="302DAFEC">
            <w:pPr>
              <w:adjustRightInd w:val="0"/>
              <w:snapToGrid w:val="0"/>
              <w:spacing w:line="240" w:lineRule="auto"/>
              <w:jc w:val="center"/>
              <w:rPr>
                <w:color w:val="auto"/>
                <w:kern w:val="2"/>
                <w:sz w:val="21"/>
                <w:szCs w:val="21"/>
              </w:rPr>
            </w:pPr>
            <w:r>
              <w:rPr>
                <w:rFonts w:hint="eastAsia"/>
                <w:color w:val="auto"/>
                <w:kern w:val="2"/>
                <w:sz w:val="21"/>
                <w:szCs w:val="21"/>
              </w:rPr>
              <w:t>危险废物</w:t>
            </w:r>
          </w:p>
        </w:tc>
        <w:tc>
          <w:tcPr>
            <w:tcW w:w="591" w:type="pct"/>
            <w:shd w:val="clear" w:color="auto" w:fill="auto"/>
            <w:vAlign w:val="center"/>
          </w:tcPr>
          <w:p w14:paraId="25ED7AFB">
            <w:pPr>
              <w:adjustRightInd w:val="0"/>
              <w:snapToGrid w:val="0"/>
              <w:spacing w:line="240" w:lineRule="auto"/>
              <w:jc w:val="center"/>
              <w:rPr>
                <w:color w:val="auto"/>
                <w:kern w:val="2"/>
                <w:sz w:val="21"/>
                <w:szCs w:val="21"/>
              </w:rPr>
            </w:pPr>
            <w:r>
              <w:rPr>
                <w:rFonts w:hint="eastAsia"/>
                <w:color w:val="auto"/>
                <w:kern w:val="2"/>
                <w:sz w:val="21"/>
                <w:szCs w:val="21"/>
              </w:rPr>
              <w:t>废荧光灯管</w:t>
            </w:r>
          </w:p>
        </w:tc>
        <w:tc>
          <w:tcPr>
            <w:tcW w:w="534" w:type="pct"/>
            <w:shd w:val="clear" w:color="auto" w:fill="auto"/>
            <w:vAlign w:val="center"/>
          </w:tcPr>
          <w:p w14:paraId="6E3E85A6">
            <w:pPr>
              <w:adjustRightInd w:val="0"/>
              <w:snapToGrid w:val="0"/>
              <w:spacing w:line="240" w:lineRule="auto"/>
              <w:jc w:val="center"/>
              <w:rPr>
                <w:color w:val="auto"/>
                <w:kern w:val="2"/>
                <w:sz w:val="21"/>
                <w:szCs w:val="21"/>
              </w:rPr>
            </w:pPr>
            <w:r>
              <w:rPr>
                <w:rFonts w:hint="eastAsia"/>
                <w:color w:val="auto"/>
                <w:kern w:val="2"/>
                <w:sz w:val="21"/>
                <w:szCs w:val="21"/>
              </w:rPr>
              <w:t>/</w:t>
            </w:r>
          </w:p>
        </w:tc>
        <w:tc>
          <w:tcPr>
            <w:tcW w:w="445" w:type="pct"/>
            <w:shd w:val="clear" w:color="auto" w:fill="auto"/>
            <w:vAlign w:val="center"/>
          </w:tcPr>
          <w:p w14:paraId="26CC2429">
            <w:pPr>
              <w:adjustRightInd w:val="0"/>
              <w:snapToGrid w:val="0"/>
              <w:spacing w:line="240" w:lineRule="auto"/>
              <w:jc w:val="center"/>
              <w:rPr>
                <w:color w:val="auto"/>
                <w:kern w:val="2"/>
                <w:sz w:val="21"/>
                <w:szCs w:val="21"/>
              </w:rPr>
            </w:pPr>
            <w:r>
              <w:rPr>
                <w:rFonts w:hint="eastAsia"/>
                <w:color w:val="auto"/>
                <w:kern w:val="2"/>
                <w:sz w:val="21"/>
                <w:szCs w:val="21"/>
              </w:rPr>
              <w:t>/</w:t>
            </w:r>
          </w:p>
        </w:tc>
        <w:tc>
          <w:tcPr>
            <w:tcW w:w="593" w:type="pct"/>
            <w:shd w:val="clear" w:color="auto" w:fill="auto"/>
            <w:vAlign w:val="center"/>
          </w:tcPr>
          <w:p w14:paraId="439F2007">
            <w:pPr>
              <w:adjustRightInd w:val="0"/>
              <w:snapToGrid w:val="0"/>
              <w:spacing w:line="240" w:lineRule="auto"/>
              <w:jc w:val="center"/>
              <w:rPr>
                <w:color w:val="auto"/>
                <w:kern w:val="2"/>
                <w:sz w:val="21"/>
                <w:szCs w:val="21"/>
              </w:rPr>
            </w:pPr>
            <w:r>
              <w:rPr>
                <w:rFonts w:hint="eastAsia"/>
                <w:color w:val="auto"/>
                <w:kern w:val="2"/>
                <w:sz w:val="21"/>
                <w:szCs w:val="21"/>
              </w:rPr>
              <w:t>/</w:t>
            </w:r>
          </w:p>
        </w:tc>
        <w:tc>
          <w:tcPr>
            <w:tcW w:w="544" w:type="pct"/>
            <w:shd w:val="clear" w:color="auto" w:fill="auto"/>
            <w:vAlign w:val="center"/>
          </w:tcPr>
          <w:p w14:paraId="021293C7">
            <w:pPr>
              <w:pStyle w:val="30"/>
              <w:framePr w:hSpace="0" w:wrap="auto" w:vAnchor="margin" w:hAnchor="text" w:xAlign="left" w:yAlign="inline"/>
              <w:rPr>
                <w:color w:val="auto"/>
                <w:sz w:val="21"/>
                <w:szCs w:val="21"/>
                <w:lang w:val="en-US"/>
              </w:rPr>
            </w:pPr>
            <w:r>
              <w:rPr>
                <w:rFonts w:hint="eastAsia"/>
                <w:color w:val="auto"/>
                <w:sz w:val="21"/>
                <w:szCs w:val="21"/>
                <w:lang w:val="en-US"/>
              </w:rPr>
              <w:t>0.03</w:t>
            </w:r>
          </w:p>
        </w:tc>
        <w:tc>
          <w:tcPr>
            <w:tcW w:w="570" w:type="pct"/>
            <w:shd w:val="clear" w:color="auto" w:fill="auto"/>
            <w:vAlign w:val="center"/>
          </w:tcPr>
          <w:p w14:paraId="4DAB20E5">
            <w:pPr>
              <w:adjustRightInd w:val="0"/>
              <w:snapToGrid w:val="0"/>
              <w:spacing w:line="240" w:lineRule="auto"/>
              <w:jc w:val="center"/>
              <w:rPr>
                <w:color w:val="auto"/>
                <w:kern w:val="2"/>
                <w:sz w:val="21"/>
                <w:szCs w:val="21"/>
              </w:rPr>
            </w:pPr>
            <w:r>
              <w:rPr>
                <w:rFonts w:hint="eastAsia"/>
                <w:color w:val="auto"/>
                <w:kern w:val="2"/>
                <w:sz w:val="21"/>
                <w:szCs w:val="21"/>
              </w:rPr>
              <w:t>/</w:t>
            </w:r>
          </w:p>
        </w:tc>
        <w:tc>
          <w:tcPr>
            <w:tcW w:w="673" w:type="pct"/>
            <w:shd w:val="clear" w:color="auto" w:fill="auto"/>
            <w:vAlign w:val="center"/>
          </w:tcPr>
          <w:p w14:paraId="2B25D6FE">
            <w:pPr>
              <w:pStyle w:val="30"/>
              <w:framePr w:hSpace="0" w:wrap="auto" w:vAnchor="margin" w:hAnchor="text" w:xAlign="left" w:yAlign="inline"/>
              <w:rPr>
                <w:color w:val="auto"/>
                <w:sz w:val="21"/>
                <w:szCs w:val="21"/>
                <w:lang w:val="en-US"/>
              </w:rPr>
            </w:pPr>
            <w:r>
              <w:rPr>
                <w:rFonts w:hint="eastAsia"/>
                <w:color w:val="auto"/>
                <w:sz w:val="21"/>
                <w:szCs w:val="21"/>
                <w:lang w:val="en-US"/>
              </w:rPr>
              <w:t>0.03</w:t>
            </w:r>
          </w:p>
        </w:tc>
        <w:tc>
          <w:tcPr>
            <w:tcW w:w="528" w:type="pct"/>
            <w:shd w:val="clear" w:color="auto" w:fill="auto"/>
            <w:vAlign w:val="center"/>
          </w:tcPr>
          <w:p w14:paraId="790E0FAE">
            <w:pPr>
              <w:pStyle w:val="30"/>
              <w:framePr w:hSpace="0" w:wrap="auto" w:vAnchor="margin" w:hAnchor="text" w:xAlign="left" w:yAlign="inline"/>
              <w:rPr>
                <w:color w:val="auto"/>
                <w:sz w:val="21"/>
                <w:szCs w:val="21"/>
                <w:lang w:val="en-US"/>
              </w:rPr>
            </w:pPr>
            <w:r>
              <w:rPr>
                <w:rFonts w:hint="eastAsia"/>
                <w:color w:val="auto"/>
                <w:sz w:val="21"/>
                <w:szCs w:val="21"/>
                <w:lang w:val="en-US"/>
              </w:rPr>
              <w:t>+0.03</w:t>
            </w:r>
          </w:p>
        </w:tc>
      </w:tr>
      <w:tr w14:paraId="2C99369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17" w:type="pct"/>
            <w:vAlign w:val="center"/>
          </w:tcPr>
          <w:p w14:paraId="7A18BECF">
            <w:pPr>
              <w:adjustRightInd w:val="0"/>
              <w:snapToGrid w:val="0"/>
              <w:spacing w:line="240" w:lineRule="auto"/>
              <w:jc w:val="center"/>
              <w:rPr>
                <w:color w:val="auto"/>
                <w:kern w:val="2"/>
                <w:sz w:val="21"/>
                <w:szCs w:val="21"/>
              </w:rPr>
            </w:pPr>
            <w:r>
              <w:rPr>
                <w:rFonts w:hint="eastAsia"/>
                <w:color w:val="auto"/>
                <w:kern w:val="2"/>
                <w:sz w:val="21"/>
                <w:szCs w:val="21"/>
              </w:rPr>
              <w:t>生活垃圾</w:t>
            </w:r>
          </w:p>
        </w:tc>
        <w:tc>
          <w:tcPr>
            <w:tcW w:w="591" w:type="pct"/>
            <w:vAlign w:val="center"/>
          </w:tcPr>
          <w:p w14:paraId="30AD25E1">
            <w:pPr>
              <w:adjustRightInd w:val="0"/>
              <w:snapToGrid w:val="0"/>
              <w:spacing w:line="240" w:lineRule="auto"/>
              <w:jc w:val="center"/>
              <w:rPr>
                <w:color w:val="auto"/>
                <w:kern w:val="2"/>
                <w:sz w:val="21"/>
                <w:szCs w:val="21"/>
              </w:rPr>
            </w:pPr>
            <w:r>
              <w:rPr>
                <w:rFonts w:hint="eastAsia"/>
                <w:color w:val="auto"/>
                <w:kern w:val="2"/>
                <w:sz w:val="21"/>
                <w:szCs w:val="21"/>
              </w:rPr>
              <w:t>生活垃圾</w:t>
            </w:r>
          </w:p>
        </w:tc>
        <w:tc>
          <w:tcPr>
            <w:tcW w:w="534" w:type="pct"/>
            <w:vAlign w:val="center"/>
          </w:tcPr>
          <w:p w14:paraId="7B95CE37">
            <w:pPr>
              <w:adjustRightInd w:val="0"/>
              <w:snapToGrid w:val="0"/>
              <w:spacing w:line="240" w:lineRule="auto"/>
              <w:jc w:val="center"/>
              <w:rPr>
                <w:color w:val="auto"/>
                <w:kern w:val="2"/>
                <w:sz w:val="21"/>
                <w:szCs w:val="21"/>
              </w:rPr>
            </w:pPr>
            <w:r>
              <w:rPr>
                <w:rFonts w:hint="eastAsia"/>
                <w:color w:val="auto"/>
                <w:kern w:val="2"/>
                <w:sz w:val="21"/>
                <w:szCs w:val="21"/>
              </w:rPr>
              <w:t>/</w:t>
            </w:r>
          </w:p>
        </w:tc>
        <w:tc>
          <w:tcPr>
            <w:tcW w:w="445" w:type="pct"/>
            <w:shd w:val="clear" w:color="auto" w:fill="auto"/>
            <w:vAlign w:val="center"/>
          </w:tcPr>
          <w:p w14:paraId="2431AE40">
            <w:pPr>
              <w:adjustRightInd w:val="0"/>
              <w:snapToGrid w:val="0"/>
              <w:spacing w:line="240" w:lineRule="auto"/>
              <w:jc w:val="center"/>
              <w:rPr>
                <w:color w:val="auto"/>
                <w:kern w:val="2"/>
                <w:sz w:val="21"/>
                <w:szCs w:val="21"/>
              </w:rPr>
            </w:pPr>
            <w:r>
              <w:rPr>
                <w:rFonts w:hint="eastAsia"/>
                <w:color w:val="auto"/>
                <w:kern w:val="2"/>
                <w:sz w:val="21"/>
                <w:szCs w:val="21"/>
              </w:rPr>
              <w:t>/</w:t>
            </w:r>
          </w:p>
        </w:tc>
        <w:tc>
          <w:tcPr>
            <w:tcW w:w="593" w:type="pct"/>
            <w:shd w:val="clear" w:color="auto" w:fill="auto"/>
            <w:vAlign w:val="center"/>
          </w:tcPr>
          <w:p w14:paraId="667517E1">
            <w:pPr>
              <w:adjustRightInd w:val="0"/>
              <w:snapToGrid w:val="0"/>
              <w:spacing w:line="240" w:lineRule="auto"/>
              <w:jc w:val="center"/>
              <w:rPr>
                <w:color w:val="auto"/>
                <w:kern w:val="2"/>
                <w:sz w:val="21"/>
                <w:szCs w:val="21"/>
              </w:rPr>
            </w:pPr>
            <w:r>
              <w:rPr>
                <w:rFonts w:hint="eastAsia"/>
                <w:color w:val="auto"/>
                <w:kern w:val="2"/>
                <w:sz w:val="21"/>
                <w:szCs w:val="21"/>
              </w:rPr>
              <w:t>/</w:t>
            </w:r>
          </w:p>
        </w:tc>
        <w:tc>
          <w:tcPr>
            <w:tcW w:w="544" w:type="pct"/>
            <w:vAlign w:val="center"/>
          </w:tcPr>
          <w:p w14:paraId="2137AB3B">
            <w:pPr>
              <w:pStyle w:val="30"/>
              <w:framePr w:hSpace="0" w:wrap="auto" w:vAnchor="margin" w:hAnchor="text" w:xAlign="left" w:yAlign="inline"/>
              <w:rPr>
                <w:color w:val="auto"/>
                <w:sz w:val="21"/>
                <w:szCs w:val="21"/>
                <w:lang w:val="en-US"/>
              </w:rPr>
            </w:pPr>
            <w:r>
              <w:rPr>
                <w:rFonts w:hint="eastAsia"/>
                <w:color w:val="auto"/>
                <w:sz w:val="21"/>
                <w:szCs w:val="21"/>
                <w:lang w:val="en-US"/>
              </w:rPr>
              <w:t>0.9</w:t>
            </w:r>
          </w:p>
        </w:tc>
        <w:tc>
          <w:tcPr>
            <w:tcW w:w="570" w:type="pct"/>
            <w:shd w:val="clear" w:color="auto" w:fill="auto"/>
            <w:vAlign w:val="center"/>
          </w:tcPr>
          <w:p w14:paraId="76D256FB">
            <w:pPr>
              <w:adjustRightInd w:val="0"/>
              <w:snapToGrid w:val="0"/>
              <w:spacing w:line="240" w:lineRule="auto"/>
              <w:jc w:val="center"/>
              <w:rPr>
                <w:color w:val="auto"/>
                <w:kern w:val="2"/>
                <w:sz w:val="21"/>
                <w:szCs w:val="21"/>
              </w:rPr>
            </w:pPr>
            <w:r>
              <w:rPr>
                <w:rFonts w:hint="eastAsia"/>
                <w:color w:val="auto"/>
                <w:kern w:val="2"/>
                <w:sz w:val="21"/>
                <w:szCs w:val="21"/>
              </w:rPr>
              <w:t>/</w:t>
            </w:r>
          </w:p>
        </w:tc>
        <w:tc>
          <w:tcPr>
            <w:tcW w:w="673" w:type="pct"/>
            <w:shd w:val="clear" w:color="auto" w:fill="auto"/>
            <w:vAlign w:val="center"/>
          </w:tcPr>
          <w:p w14:paraId="04693BEB">
            <w:pPr>
              <w:pStyle w:val="30"/>
              <w:framePr w:hSpace="0" w:wrap="auto" w:vAnchor="margin" w:hAnchor="text" w:xAlign="left" w:yAlign="inline"/>
              <w:rPr>
                <w:color w:val="auto"/>
                <w:sz w:val="21"/>
                <w:szCs w:val="21"/>
                <w:lang w:val="en-US"/>
              </w:rPr>
            </w:pPr>
            <w:r>
              <w:rPr>
                <w:rFonts w:hint="eastAsia"/>
                <w:color w:val="auto"/>
                <w:sz w:val="21"/>
                <w:szCs w:val="21"/>
                <w:lang w:val="en-US"/>
              </w:rPr>
              <w:t>0.9</w:t>
            </w:r>
          </w:p>
        </w:tc>
        <w:tc>
          <w:tcPr>
            <w:tcW w:w="528" w:type="pct"/>
            <w:vAlign w:val="center"/>
          </w:tcPr>
          <w:p w14:paraId="288621BC">
            <w:pPr>
              <w:pStyle w:val="30"/>
              <w:framePr w:hSpace="0" w:wrap="auto" w:vAnchor="margin" w:hAnchor="text" w:xAlign="left" w:yAlign="inline"/>
              <w:rPr>
                <w:color w:val="auto"/>
                <w:sz w:val="21"/>
                <w:szCs w:val="21"/>
              </w:rPr>
            </w:pPr>
            <w:r>
              <w:rPr>
                <w:rFonts w:hint="eastAsia"/>
                <w:color w:val="auto"/>
                <w:sz w:val="21"/>
                <w:szCs w:val="21"/>
                <w:lang w:val="en-US"/>
              </w:rPr>
              <w:t>+0.9</w:t>
            </w:r>
          </w:p>
        </w:tc>
      </w:tr>
      <w:bookmarkEnd w:id="72"/>
    </w:tbl>
    <w:p w14:paraId="0E52039C">
      <w:r>
        <w:t>注：</w:t>
      </w:r>
      <w:r>
        <w:fldChar w:fldCharType="begin"/>
      </w:r>
      <w:r>
        <w:instrText xml:space="preserve"> = 6 \* GB3 \* MERGEFORMAT </w:instrText>
      </w:r>
      <w:r>
        <w:fldChar w:fldCharType="separate"/>
      </w:r>
      <w:r>
        <w:rPr>
          <w:rFonts w:hint="eastAsia"/>
        </w:rPr>
        <w:t>⑥</w:t>
      </w:r>
      <w:r>
        <w:fldChar w:fldCharType="end"/>
      </w:r>
      <w:r>
        <w:t>=</w:t>
      </w:r>
      <w:r>
        <w:fldChar w:fldCharType="begin"/>
      </w:r>
      <w:r>
        <w:instrText xml:space="preserve"> = 1 \* GB3 \* MERGEFORMAT </w:instrText>
      </w:r>
      <w:r>
        <w:fldChar w:fldCharType="separate"/>
      </w:r>
      <w:r>
        <w:rPr>
          <w:rFonts w:hint="eastAsia"/>
        </w:rPr>
        <w:t>①</w:t>
      </w:r>
      <w:r>
        <w:fldChar w:fldCharType="end"/>
      </w:r>
      <w:r>
        <w:t>+</w:t>
      </w:r>
      <w:r>
        <w:fldChar w:fldCharType="begin"/>
      </w:r>
      <w:r>
        <w:instrText xml:space="preserve"> = 3 \* GB3 \* MERGEFORMAT </w:instrText>
      </w:r>
      <w:r>
        <w:fldChar w:fldCharType="separate"/>
      </w:r>
      <w:r>
        <w:rPr>
          <w:rFonts w:hint="eastAsia"/>
        </w:rPr>
        <w:t>③</w:t>
      </w:r>
      <w:r>
        <w:fldChar w:fldCharType="end"/>
      </w:r>
      <w:r>
        <w:t>+</w:t>
      </w:r>
      <w:r>
        <w:fldChar w:fldCharType="begin"/>
      </w:r>
      <w:r>
        <w:instrText xml:space="preserve"> = 4 \* GB3 \* MERGEFORMAT </w:instrText>
      </w:r>
      <w:r>
        <w:fldChar w:fldCharType="separate"/>
      </w:r>
      <w:r>
        <w:rPr>
          <w:rFonts w:hint="eastAsia"/>
        </w:rPr>
        <w:t>④</w:t>
      </w:r>
      <w:r>
        <w:fldChar w:fldCharType="end"/>
      </w:r>
      <w:r>
        <w:t>-</w:t>
      </w:r>
      <w:r>
        <w:fldChar w:fldCharType="begin"/>
      </w:r>
      <w:r>
        <w:instrText xml:space="preserve"> = 5 \* GB3 \* MERGEFORMAT </w:instrText>
      </w:r>
      <w:r>
        <w:fldChar w:fldCharType="separate"/>
      </w:r>
      <w:r>
        <w:rPr>
          <w:rFonts w:hint="eastAsia"/>
        </w:rPr>
        <w:t>⑤</w:t>
      </w:r>
      <w:r>
        <w:fldChar w:fldCharType="end"/>
      </w:r>
      <w:r>
        <w:t>；</w:t>
      </w:r>
      <w:r>
        <w:fldChar w:fldCharType="begin"/>
      </w:r>
      <w:r>
        <w:instrText xml:space="preserve"> = 7 \* GB3 \* MERGEFORMAT </w:instrText>
      </w:r>
      <w:r>
        <w:fldChar w:fldCharType="separate"/>
      </w:r>
      <w:r>
        <w:rPr>
          <w:rFonts w:hint="eastAsia"/>
        </w:rPr>
        <w:t>⑦</w:t>
      </w:r>
      <w:r>
        <w:fldChar w:fldCharType="end"/>
      </w:r>
      <w:r>
        <w:t>=</w:t>
      </w:r>
      <w:r>
        <w:fldChar w:fldCharType="begin"/>
      </w:r>
      <w:r>
        <w:instrText xml:space="preserve"> = 6 \* GB3 \* MERGEFORMAT </w:instrText>
      </w:r>
      <w:r>
        <w:fldChar w:fldCharType="separate"/>
      </w:r>
      <w:r>
        <w:rPr>
          <w:rFonts w:hint="eastAsia"/>
        </w:rPr>
        <w:t>⑥</w:t>
      </w:r>
      <w:r>
        <w:fldChar w:fldCharType="end"/>
      </w:r>
      <w:r>
        <w:t>-</w:t>
      </w:r>
      <w:r>
        <w:fldChar w:fldCharType="begin"/>
      </w:r>
      <w:r>
        <w:instrText xml:space="preserve"> = 1 \* GB3 \* MERGEFORMAT </w:instrText>
      </w:r>
      <w:r>
        <w:fldChar w:fldCharType="separate"/>
      </w:r>
      <w:r>
        <w:rPr>
          <w:rFonts w:hint="eastAsia"/>
        </w:rPr>
        <w:t>①</w:t>
      </w:r>
      <w:r>
        <w:fldChar w:fldCharType="end"/>
      </w:r>
      <w:r>
        <w:t>；单位：t/a</w:t>
      </w:r>
    </w:p>
    <w:p w14:paraId="4E8A64F9">
      <w:pPr>
        <w:rPr>
          <w:color w:val="0000FF"/>
        </w:rPr>
      </w:pPr>
    </w:p>
    <w:sectPr>
      <w:headerReference r:id="rId17" w:type="default"/>
      <w:pgSz w:w="16838" w:h="11906" w:orient="landscape"/>
      <w:pgMar w:top="851" w:right="1701" w:bottom="851" w:left="1701" w:header="567" w:footer="567" w:gutter="0"/>
      <w:cols w:space="720" w:num="1"/>
      <w:docGrid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PMingLiU">
    <w:panose1 w:val="02020500000000000000"/>
    <w:charset w:val="88"/>
    <w:family w:val="auto"/>
    <w:pitch w:val="default"/>
    <w:sig w:usb0="A00002FF" w:usb1="28CFFCFA" w:usb2="00000016" w:usb3="00000000" w:csb0="00100001" w:csb1="00000000"/>
  </w:font>
  <w:font w:name="华文楷体">
    <w:altName w:val="宋体"/>
    <w:panose1 w:val="02010600040101010101"/>
    <w:charset w:val="86"/>
    <w:family w:val="auto"/>
    <w:pitch w:val="default"/>
    <w:sig w:usb0="00000000" w:usb1="00000000" w:usb2="00000010" w:usb3="00000000" w:csb0="0004009F" w:csb1="00000000"/>
  </w:font>
  <w:font w:name="新宋体">
    <w:panose1 w:val="02010609030101010101"/>
    <w:charset w:val="86"/>
    <w:family w:val="modern"/>
    <w:pitch w:val="default"/>
    <w:sig w:usb0="00000003" w:usb1="288F0000" w:usb2="00000006" w:usb3="00000000" w:csb0="00040001" w:csb1="00000000"/>
  </w:font>
  <w:font w:name="Segoe UI Symbol">
    <w:panose1 w:val="020B0502040204020203"/>
    <w:charset w:val="00"/>
    <w:family w:val="swiss"/>
    <w:pitch w:val="default"/>
    <w:sig w:usb0="8000006F" w:usb1="1200FBEF" w:usb2="0004C000" w:usb3="00000000" w:csb0="00000001" w:csb1="40000000"/>
  </w:font>
  <w:font w:name="Segoe UI">
    <w:panose1 w:val="020B0502040204020203"/>
    <w:charset w:val="00"/>
    <w:family w:val="auto"/>
    <w:pitch w:val="default"/>
    <w:sig w:usb0="E10022FF" w:usb1="C000E47F" w:usb2="00000029" w:usb3="00000000" w:csb0="200001DF" w:csb1="20000000"/>
  </w:font>
  <w:font w:name="Gulim">
    <w:panose1 w:val="020B0600000101010101"/>
    <w:charset w:val="81"/>
    <w:family w:val="auto"/>
    <w:pitch w:val="default"/>
    <w:sig w:usb0="B00002AF" w:usb1="69D77CFB" w:usb2="00000030" w:usb3="00000000" w:csb0="4008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A07513">
    <w:pPr>
      <w:pStyle w:val="17"/>
      <w:framePr w:wrap="around" w:vAnchor="text" w:hAnchor="margin" w:xAlign="center" w:y="1"/>
      <w:rPr>
        <w:rStyle w:val="27"/>
      </w:rPr>
    </w:pPr>
    <w:r>
      <w:fldChar w:fldCharType="begin"/>
    </w:r>
    <w:r>
      <w:rPr>
        <w:rStyle w:val="27"/>
      </w:rPr>
      <w:instrText xml:space="preserve">PAGE  </w:instrText>
    </w:r>
    <w:r>
      <w:fldChar w:fldCharType="separate"/>
    </w:r>
    <w:r>
      <w:rPr>
        <w:rStyle w:val="27"/>
      </w:rPr>
      <w:t>- 1 -</w:t>
    </w:r>
    <w:r>
      <w:fldChar w:fldCharType="end"/>
    </w:r>
  </w:p>
  <w:p w14:paraId="7F69DCB7">
    <w:pPr>
      <w:pStyle w:val="17"/>
      <w:ind w:right="360" w:firstLine="360"/>
    </w:pPr>
  </w:p>
  <w:p w14:paraId="774B91E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2E7FE0">
    <w:pPr>
      <w:pStyle w:val="17"/>
    </w:pPr>
  </w:p>
  <w:p w14:paraId="0953C601"/>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FE2B79">
    <w:pPr>
      <w:pStyle w:val="1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EDD3CA">
    <w:pPr>
      <w:pStyle w:val="17"/>
    </w:pPr>
    <w:r>
      <w:pict>
        <v:shape id="_x0000_s2050" o:spid="_x0000_s2050"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path/>
          <v:fill on="f" focussize="0,0"/>
          <v:stroke on="f" weight="0.5pt" joinstyle="miter"/>
          <v:imagedata o:title=""/>
          <o:lock v:ext="edit"/>
          <v:textbox inset="0mm,0mm,0mm,0mm" style="mso-fit-shape-to-text:t;">
            <w:txbxContent>
              <w:p w14:paraId="6DB3DC24">
                <w:pPr>
                  <w:pStyle w:val="17"/>
                </w:pPr>
                <w:r>
                  <w:fldChar w:fldCharType="begin"/>
                </w:r>
                <w:r>
                  <w:instrText xml:space="preserve"> PAGE  \* MERGEFORMAT </w:instrText>
                </w:r>
                <w:r>
                  <w:fldChar w:fldCharType="separate"/>
                </w:r>
                <w:r>
                  <w:t>- 1 -</w:t>
                </w:r>
                <w:r>
                  <w:fldChar w:fldCharType="end"/>
                </w:r>
              </w:p>
            </w:txbxContent>
          </v:textbox>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6A5D1F">
    <w:pPr>
      <w:pStyle w:val="17"/>
      <w:jc w:val="center"/>
    </w:pPr>
    <w:r>
      <w:pict>
        <v:shape id="_x0000_s2049" o:spid="_x0000_s2049"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path/>
          <v:fill on="f" focussize="0,0"/>
          <v:stroke on="f" weight="0.5pt" joinstyle="miter"/>
          <v:imagedata o:title=""/>
          <o:lock v:ext="edit"/>
          <v:textbox inset="0mm,0mm,0mm,0mm" style="mso-fit-shape-to-text:t;">
            <w:txbxContent>
              <w:p w14:paraId="7EF24DC4">
                <w:pPr>
                  <w:pStyle w:val="17"/>
                </w:pPr>
                <w:r>
                  <w:fldChar w:fldCharType="begin"/>
                </w:r>
                <w:r>
                  <w:instrText xml:space="preserve"> PAGE  \* MERGEFORMAT </w:instrText>
                </w:r>
                <w:r>
                  <w:fldChar w:fldCharType="separate"/>
                </w:r>
                <w:r>
                  <w:t>25</w:t>
                </w:r>
                <w:r>
                  <w:fldChar w:fldCharType="end"/>
                </w: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4143BD">
    <w:pPr>
      <w:pStyle w:val="18"/>
    </w:pPr>
  </w:p>
  <w:p w14:paraId="3E62BC53"/>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7780F3">
    <w:pPr>
      <w:pStyle w:val="18"/>
      <w:jc w:val="right"/>
    </w:pPr>
    <w:r>
      <w:rPr>
        <w:rFonts w:hint="eastAsia"/>
      </w:rPr>
      <w:t>一、建设项目基本情况</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F010A7">
    <w:pPr>
      <w:pStyle w:val="18"/>
      <w:jc w:val="right"/>
    </w:pPr>
    <w:r>
      <w:rPr>
        <w:rFonts w:hint="eastAsia"/>
      </w:rPr>
      <w:t>二、建设项目工程分析</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EEA736">
    <w:pPr>
      <w:pStyle w:val="18"/>
      <w:jc w:val="right"/>
    </w:pPr>
    <w:r>
      <w:rPr>
        <w:rFonts w:hint="eastAsia"/>
      </w:rPr>
      <w:t>三、区域环境质量现状、环境保护目标及评价标准</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C6530E">
    <w:pPr>
      <w:pStyle w:val="18"/>
      <w:jc w:val="right"/>
    </w:pPr>
    <w:r>
      <w:rPr>
        <w:rFonts w:hint="eastAsia"/>
      </w:rPr>
      <w:t>四、主要环境影响和保护措施</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FB984A">
    <w:pPr>
      <w:pStyle w:val="18"/>
      <w:pBdr>
        <w:bottom w:val="single" w:color="auto" w:sz="6" w:space="4"/>
      </w:pBdr>
      <w:jc w:val="right"/>
    </w:pPr>
    <w:r>
      <w:t>五、环境保护措施监督检查清单</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418BDC">
    <w:pPr>
      <w:pStyle w:val="18"/>
      <w:pBdr>
        <w:bottom w:val="single" w:color="auto" w:sz="6" w:space="4"/>
      </w:pBdr>
      <w:jc w:val="right"/>
    </w:pPr>
    <w:r>
      <w:rPr>
        <w:rFonts w:hint="eastAsia"/>
      </w:rPr>
      <w:t>六、结论</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EE6C9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A8F4B3C"/>
    <w:multiLevelType w:val="singleLevel"/>
    <w:tmpl w:val="BA8F4B3C"/>
    <w:lvl w:ilvl="0" w:tentative="0">
      <w:start w:val="1"/>
      <w:numFmt w:val="decimal"/>
      <w:suff w:val="nothing"/>
      <w:lvlText w:val="%1"/>
      <w:lvlJc w:val="left"/>
      <w:pPr>
        <w:ind w:left="425" w:hanging="425"/>
      </w:pPr>
      <w:rPr>
        <w:rFonts w:hint="default"/>
      </w:rPr>
    </w:lvl>
  </w:abstractNum>
  <w:abstractNum w:abstractNumId="1">
    <w:nsid w:val="19F6469A"/>
    <w:multiLevelType w:val="singleLevel"/>
    <w:tmpl w:val="19F6469A"/>
    <w:lvl w:ilvl="0" w:tentative="0">
      <w:start w:val="1"/>
      <w:numFmt w:val="decimal"/>
      <w:suff w:val="nothing"/>
      <w:lvlText w:val="%1"/>
      <w:lvlJc w:val="left"/>
      <w:pPr>
        <w:ind w:left="425" w:hanging="425"/>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6"/>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rsids>
    <w:rsidRoot w:val="61A16AD5"/>
    <w:rsid w:val="001A3A71"/>
    <w:rsid w:val="00305D3B"/>
    <w:rsid w:val="003407BF"/>
    <w:rsid w:val="004B2AE8"/>
    <w:rsid w:val="005F314D"/>
    <w:rsid w:val="00657105"/>
    <w:rsid w:val="006C2729"/>
    <w:rsid w:val="007C3521"/>
    <w:rsid w:val="00A231AF"/>
    <w:rsid w:val="00A67BEF"/>
    <w:rsid w:val="00C73BEB"/>
    <w:rsid w:val="00F95864"/>
    <w:rsid w:val="028952BB"/>
    <w:rsid w:val="064C24EF"/>
    <w:rsid w:val="0E1772C9"/>
    <w:rsid w:val="11557601"/>
    <w:rsid w:val="19567DD4"/>
    <w:rsid w:val="1B35142F"/>
    <w:rsid w:val="1D9C4CF6"/>
    <w:rsid w:val="1E2957AD"/>
    <w:rsid w:val="22C60F96"/>
    <w:rsid w:val="22D64D0C"/>
    <w:rsid w:val="24184304"/>
    <w:rsid w:val="2A5D673F"/>
    <w:rsid w:val="322617AD"/>
    <w:rsid w:val="3D411BF3"/>
    <w:rsid w:val="410B1C2B"/>
    <w:rsid w:val="44DC5666"/>
    <w:rsid w:val="52EA7162"/>
    <w:rsid w:val="54DE36FB"/>
    <w:rsid w:val="5AA63A38"/>
    <w:rsid w:val="5F394AA8"/>
    <w:rsid w:val="61A16AD5"/>
    <w:rsid w:val="62D8195A"/>
    <w:rsid w:val="725A53C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iPriority="99" w:semiHidden="0" w:name="Salutation"/>
    <w:lsdException w:unhideWhenUsed="0" w:uiPriority="0" w:semiHidden="0" w:name="Date"/>
    <w:lsdException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460" w:lineRule="exact"/>
      <w:jc w:val="both"/>
    </w:pPr>
    <w:rPr>
      <w:rFonts w:ascii="Times New Roman" w:hAnsi="Times New Roman" w:eastAsia="宋体" w:cs="Times New Roman"/>
      <w:sz w:val="24"/>
      <w:szCs w:val="24"/>
      <w:lang w:val="en-US" w:eastAsia="zh-CN" w:bidi="ar-SA"/>
    </w:rPr>
  </w:style>
  <w:style w:type="paragraph" w:styleId="2">
    <w:name w:val="heading 1"/>
    <w:basedOn w:val="1"/>
    <w:next w:val="1"/>
    <w:qFormat/>
    <w:uiPriority w:val="99"/>
    <w:pPr>
      <w:framePr w:hSpace="180" w:wrap="around" w:vAnchor="text" w:hAnchor="text" w:xAlign="center" w:y="1"/>
      <w:pBdr>
        <w:top w:val="none" w:color="auto" w:sz="0" w:space="1"/>
        <w:left w:val="none" w:color="auto" w:sz="0" w:space="4"/>
        <w:bottom w:val="none" w:color="auto" w:sz="0" w:space="1"/>
        <w:right w:val="none" w:color="auto" w:sz="0" w:space="4"/>
      </w:pBdr>
      <w:tabs>
        <w:tab w:val="left" w:pos="0"/>
      </w:tabs>
      <w:spacing w:line="360" w:lineRule="auto"/>
      <w:jc w:val="center"/>
      <w:textAlignment w:val="center"/>
      <w:outlineLvl w:val="0"/>
    </w:pPr>
    <w:rPr>
      <w:sz w:val="28"/>
      <w:szCs w:val="28"/>
      <w:lang w:val="zh-CN"/>
    </w:rPr>
  </w:style>
  <w:style w:type="paragraph" w:styleId="3">
    <w:name w:val="heading 2"/>
    <w:basedOn w:val="1"/>
    <w:next w:val="1"/>
    <w:unhideWhenUsed/>
    <w:qFormat/>
    <w:uiPriority w:val="0"/>
    <w:pPr>
      <w:keepNext/>
      <w:keepLines/>
      <w:outlineLvl w:val="1"/>
    </w:pPr>
    <w:rPr>
      <w:b/>
    </w:rPr>
  </w:style>
  <w:style w:type="character" w:default="1" w:styleId="25">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styleId="4">
    <w:name w:val="Normal Indent"/>
    <w:basedOn w:val="1"/>
    <w:next w:val="5"/>
    <w:qFormat/>
    <w:uiPriority w:val="0"/>
    <w:pPr>
      <w:ind w:firstLine="420"/>
    </w:pPr>
    <w:rPr>
      <w:szCs w:val="20"/>
    </w:rPr>
  </w:style>
  <w:style w:type="paragraph" w:styleId="5">
    <w:name w:val="Body Text First Indent 2"/>
    <w:basedOn w:val="1"/>
    <w:next w:val="1"/>
    <w:unhideWhenUsed/>
    <w:qFormat/>
    <w:uiPriority w:val="0"/>
    <w:pPr>
      <w:spacing w:line="480" w:lineRule="exact"/>
      <w:ind w:firstLine="420" w:firstLineChars="200"/>
    </w:pPr>
    <w:rPr>
      <w:b/>
      <w:sz w:val="28"/>
      <w:szCs w:val="20"/>
    </w:rPr>
  </w:style>
  <w:style w:type="paragraph" w:styleId="6">
    <w:name w:val="caption"/>
    <w:basedOn w:val="1"/>
    <w:next w:val="1"/>
    <w:qFormat/>
    <w:uiPriority w:val="0"/>
    <w:pPr>
      <w:spacing w:line="240" w:lineRule="auto"/>
      <w:jc w:val="center"/>
    </w:pPr>
    <w:rPr>
      <w:b/>
      <w:bCs/>
      <w:sz w:val="21"/>
      <w:szCs w:val="21"/>
    </w:rPr>
  </w:style>
  <w:style w:type="paragraph" w:styleId="7">
    <w:name w:val="annotation text"/>
    <w:basedOn w:val="1"/>
    <w:link w:val="37"/>
    <w:qFormat/>
    <w:uiPriority w:val="0"/>
    <w:pPr>
      <w:jc w:val="left"/>
    </w:pPr>
  </w:style>
  <w:style w:type="paragraph" w:styleId="8">
    <w:name w:val="Salutation"/>
    <w:basedOn w:val="1"/>
    <w:next w:val="1"/>
    <w:unhideWhenUsed/>
    <w:qFormat/>
    <w:uiPriority w:val="99"/>
    <w:rPr>
      <w:sz w:val="21"/>
    </w:rPr>
  </w:style>
  <w:style w:type="paragraph" w:styleId="9">
    <w:name w:val="Body Text"/>
    <w:basedOn w:val="1"/>
    <w:next w:val="10"/>
    <w:qFormat/>
    <w:uiPriority w:val="1"/>
    <w:pPr>
      <w:widowControl/>
      <w:snapToGrid w:val="0"/>
      <w:spacing w:before="60" w:line="259" w:lineRule="auto"/>
      <w:ind w:right="113"/>
    </w:pPr>
    <w:rPr>
      <w:sz w:val="18"/>
      <w:lang w:val="zh-CN"/>
    </w:rPr>
  </w:style>
  <w:style w:type="paragraph" w:customStyle="1" w:styleId="10">
    <w:name w:val="xl27"/>
    <w:basedOn w:val="1"/>
    <w:next w:val="1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hint="eastAsia" w:ascii="PMingLiU" w:eastAsia="PMingLiU"/>
      <w:sz w:val="16"/>
      <w:szCs w:val="16"/>
      <w:lang w:eastAsia="zh-TW"/>
    </w:rPr>
  </w:style>
  <w:style w:type="paragraph" w:customStyle="1" w:styleId="11">
    <w:name w:val="A正文"/>
    <w:basedOn w:val="12"/>
    <w:next w:val="9"/>
    <w:qFormat/>
    <w:uiPriority w:val="0"/>
    <w:pPr>
      <w:overflowPunct w:val="0"/>
      <w:autoSpaceDE w:val="0"/>
      <w:autoSpaceDN w:val="0"/>
      <w:textAlignment w:val="baseline"/>
    </w:pPr>
  </w:style>
  <w:style w:type="paragraph" w:customStyle="1" w:styleId="12">
    <w:name w:val="正文格式"/>
    <w:basedOn w:val="1"/>
    <w:next w:val="13"/>
    <w:qFormat/>
    <w:uiPriority w:val="0"/>
    <w:pPr>
      <w:widowControl/>
      <w:ind w:firstLine="482"/>
      <w:jc w:val="left"/>
    </w:pPr>
    <w:rPr>
      <w:rFonts w:ascii="宋体" w:hAnsi="Calibri"/>
    </w:rPr>
  </w:style>
  <w:style w:type="paragraph" w:styleId="13">
    <w:name w:val="List Paragraph"/>
    <w:basedOn w:val="1"/>
    <w:qFormat/>
    <w:uiPriority w:val="0"/>
    <w:pPr>
      <w:ind w:firstLine="420"/>
    </w:pPr>
    <w:rPr>
      <w:rFonts w:ascii="Calibri" w:hAnsi="Calibri"/>
    </w:rPr>
  </w:style>
  <w:style w:type="paragraph" w:styleId="14">
    <w:name w:val="Body Text Indent"/>
    <w:basedOn w:val="1"/>
    <w:qFormat/>
    <w:uiPriority w:val="0"/>
    <w:pPr>
      <w:spacing w:after="120"/>
      <w:ind w:left="420" w:leftChars="200"/>
    </w:pPr>
    <w:rPr>
      <w:szCs w:val="20"/>
    </w:rPr>
  </w:style>
  <w:style w:type="paragraph" w:styleId="15">
    <w:name w:val="Plain Text"/>
    <w:basedOn w:val="1"/>
    <w:next w:val="8"/>
    <w:qFormat/>
    <w:uiPriority w:val="0"/>
    <w:rPr>
      <w:rFonts w:ascii="宋体" w:hAnsi="Courier New"/>
      <w:sz w:val="21"/>
    </w:rPr>
  </w:style>
  <w:style w:type="paragraph" w:styleId="16">
    <w:name w:val="Balloon Text"/>
    <w:basedOn w:val="1"/>
    <w:link w:val="36"/>
    <w:qFormat/>
    <w:uiPriority w:val="0"/>
    <w:pPr>
      <w:spacing w:line="240" w:lineRule="auto"/>
    </w:pPr>
    <w:rPr>
      <w:sz w:val="18"/>
      <w:szCs w:val="18"/>
    </w:rPr>
  </w:style>
  <w:style w:type="paragraph" w:styleId="17">
    <w:name w:val="footer"/>
    <w:basedOn w:val="1"/>
    <w:qFormat/>
    <w:uiPriority w:val="0"/>
    <w:pPr>
      <w:tabs>
        <w:tab w:val="center" w:pos="4153"/>
        <w:tab w:val="right" w:pos="8306"/>
      </w:tabs>
      <w:snapToGrid w:val="0"/>
      <w:jc w:val="left"/>
    </w:pPr>
    <w:rPr>
      <w:sz w:val="18"/>
      <w:lang w:val="zh-CN"/>
    </w:rPr>
  </w:style>
  <w:style w:type="paragraph" w:styleId="18">
    <w:name w:val="header"/>
    <w:basedOn w:val="1"/>
    <w:qFormat/>
    <w:uiPriority w:val="0"/>
    <w:pPr>
      <w:pBdr>
        <w:bottom w:val="single" w:color="auto" w:sz="6" w:space="1"/>
      </w:pBdr>
      <w:tabs>
        <w:tab w:val="center" w:pos="4153"/>
        <w:tab w:val="right" w:pos="8306"/>
      </w:tabs>
      <w:snapToGrid w:val="0"/>
      <w:jc w:val="center"/>
    </w:pPr>
    <w:rPr>
      <w:sz w:val="18"/>
      <w:lang w:val="zh-CN"/>
    </w:rPr>
  </w:style>
  <w:style w:type="paragraph" w:styleId="19">
    <w:name w:val="toc 1"/>
    <w:basedOn w:val="1"/>
    <w:next w:val="1"/>
    <w:qFormat/>
    <w:uiPriority w:val="39"/>
  </w:style>
  <w:style w:type="paragraph" w:styleId="20">
    <w:name w:val="toc 2"/>
    <w:basedOn w:val="1"/>
    <w:next w:val="1"/>
    <w:qFormat/>
    <w:uiPriority w:val="0"/>
    <w:pPr>
      <w:ind w:left="420" w:leftChars="200"/>
    </w:pPr>
  </w:style>
  <w:style w:type="paragraph" w:styleId="21">
    <w:name w:val="Normal (Web)"/>
    <w:basedOn w:val="1"/>
    <w:qFormat/>
    <w:uiPriority w:val="0"/>
    <w:pPr>
      <w:widowControl/>
      <w:spacing w:before="100" w:beforeAutospacing="1" w:after="100" w:afterAutospacing="1"/>
      <w:jc w:val="left"/>
    </w:pPr>
    <w:rPr>
      <w:rFonts w:ascii="宋体" w:hAnsi="宋体"/>
      <w:lang w:val="zh-CN"/>
    </w:rPr>
  </w:style>
  <w:style w:type="paragraph" w:styleId="22">
    <w:name w:val="annotation subject"/>
    <w:basedOn w:val="7"/>
    <w:next w:val="7"/>
    <w:link w:val="38"/>
    <w:qFormat/>
    <w:uiPriority w:val="0"/>
    <w:rPr>
      <w:b/>
      <w:bCs/>
    </w:rPr>
  </w:style>
  <w:style w:type="table" w:styleId="24">
    <w:name w:val="Table Grid"/>
    <w:basedOn w:val="23"/>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6">
    <w:name w:val="Strong"/>
    <w:basedOn w:val="25"/>
    <w:qFormat/>
    <w:uiPriority w:val="0"/>
    <w:rPr>
      <w:b/>
    </w:rPr>
  </w:style>
  <w:style w:type="character" w:styleId="27">
    <w:name w:val="page number"/>
    <w:qFormat/>
    <w:uiPriority w:val="0"/>
  </w:style>
  <w:style w:type="character" w:styleId="28">
    <w:name w:val="Hyperlink"/>
    <w:qFormat/>
    <w:uiPriority w:val="99"/>
    <w:rPr>
      <w:color w:val="136EC2"/>
      <w:u w:val="single"/>
    </w:rPr>
  </w:style>
  <w:style w:type="character" w:styleId="29">
    <w:name w:val="annotation reference"/>
    <w:basedOn w:val="25"/>
    <w:qFormat/>
    <w:uiPriority w:val="0"/>
    <w:rPr>
      <w:sz w:val="21"/>
      <w:szCs w:val="21"/>
    </w:rPr>
  </w:style>
  <w:style w:type="paragraph" w:customStyle="1" w:styleId="30">
    <w:name w:val="0表内"/>
    <w:qFormat/>
    <w:uiPriority w:val="0"/>
    <w:pPr>
      <w:framePr w:hSpace="180" w:wrap="around" w:vAnchor="text" w:hAnchor="text" w:xAlign="center" w:y="1"/>
      <w:suppressOverlap/>
      <w:adjustRightInd w:val="0"/>
      <w:snapToGrid w:val="0"/>
      <w:jc w:val="center"/>
    </w:pPr>
    <w:rPr>
      <w:rFonts w:ascii="Times New Roman" w:hAnsi="Times New Roman" w:eastAsia="宋体" w:cs="Times New Roman"/>
      <w:kern w:val="2"/>
      <w:sz w:val="18"/>
      <w:szCs w:val="18"/>
      <w:lang w:val="zh-CN" w:eastAsia="zh-CN" w:bidi="ar-SA"/>
    </w:rPr>
  </w:style>
  <w:style w:type="table" w:customStyle="1" w:styleId="31">
    <w:name w:val="Table Normal"/>
    <w:basedOn w:val="23"/>
    <w:autoRedefine/>
    <w:qFormat/>
    <w:uiPriority w:val="0"/>
    <w:tblPr>
      <w:tblCellMar>
        <w:top w:w="0" w:type="dxa"/>
        <w:left w:w="0" w:type="dxa"/>
        <w:bottom w:w="0" w:type="dxa"/>
        <w:right w:w="0" w:type="dxa"/>
      </w:tblCellMar>
    </w:tblPr>
  </w:style>
  <w:style w:type="table" w:customStyle="1" w:styleId="32">
    <w:name w:val="报告书表格"/>
    <w:basedOn w:val="23"/>
    <w:qFormat/>
    <w:uiPriority w:val="99"/>
    <w:pPr>
      <w:adjustRightInd w:val="0"/>
      <w:snapToGrid w:val="0"/>
    </w:pPr>
    <w:tblPr>
      <w:jc w:val="center"/>
      <w:tblBorders>
        <w:top w:val="single" w:color="auto" w:sz="12" w:space="0"/>
        <w:bottom w:val="single" w:color="auto" w:sz="12" w:space="0"/>
        <w:insideH w:val="single" w:color="auto" w:sz="6" w:space="0"/>
        <w:insideV w:val="single" w:color="auto" w:sz="6" w:space="0"/>
      </w:tblBorders>
      <w:tblCellMar>
        <w:top w:w="0" w:type="dxa"/>
        <w:left w:w="57" w:type="dxa"/>
        <w:bottom w:w="0" w:type="dxa"/>
        <w:right w:w="57" w:type="dxa"/>
      </w:tblCellMar>
    </w:tblPr>
    <w:trPr>
      <w:jc w:val="center"/>
    </w:trPr>
    <w:tcPr>
      <w:vAlign w:val="center"/>
    </w:tcPr>
  </w:style>
  <w:style w:type="paragraph" w:customStyle="1" w:styleId="33">
    <w:name w:val="Default"/>
    <w:basedOn w:val="34"/>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34">
    <w:name w:val="纯文本1"/>
    <w:basedOn w:val="1"/>
    <w:qFormat/>
    <w:uiPriority w:val="0"/>
    <w:pPr>
      <w:adjustRightInd w:val="0"/>
    </w:pPr>
    <w:rPr>
      <w:rFonts w:ascii="宋体" w:hAnsi="Courier New"/>
      <w:szCs w:val="20"/>
    </w:rPr>
  </w:style>
  <w:style w:type="paragraph" w:customStyle="1" w:styleId="35">
    <w:name w:val="表格"/>
    <w:basedOn w:val="15"/>
    <w:autoRedefine/>
    <w:qFormat/>
    <w:uiPriority w:val="0"/>
    <w:pPr>
      <w:adjustRightInd w:val="0"/>
      <w:snapToGrid w:val="0"/>
      <w:spacing w:line="240" w:lineRule="auto"/>
      <w:jc w:val="center"/>
    </w:pPr>
    <w:rPr>
      <w:rFonts w:ascii="Times New Roman" w:hAnsi="Times New Roman"/>
      <w:sz w:val="18"/>
      <w:szCs w:val="18"/>
    </w:rPr>
  </w:style>
  <w:style w:type="character" w:customStyle="1" w:styleId="36">
    <w:name w:val="批注框文本 Char"/>
    <w:basedOn w:val="25"/>
    <w:link w:val="16"/>
    <w:qFormat/>
    <w:uiPriority w:val="0"/>
    <w:rPr>
      <w:sz w:val="18"/>
      <w:szCs w:val="18"/>
    </w:rPr>
  </w:style>
  <w:style w:type="character" w:customStyle="1" w:styleId="37">
    <w:name w:val="批注文字 Char"/>
    <w:basedOn w:val="25"/>
    <w:link w:val="7"/>
    <w:qFormat/>
    <w:uiPriority w:val="0"/>
    <w:rPr>
      <w:sz w:val="24"/>
      <w:szCs w:val="24"/>
    </w:rPr>
  </w:style>
  <w:style w:type="character" w:customStyle="1" w:styleId="38">
    <w:name w:val="批注主题 Char"/>
    <w:basedOn w:val="37"/>
    <w:link w:val="22"/>
    <w:qFormat/>
    <w:uiPriority w:val="0"/>
  </w:style>
  <w:style w:type="paragraph" w:customStyle="1" w:styleId="39">
    <w:name w:val="表"/>
    <w:basedOn w:val="1"/>
    <w:qFormat/>
    <w:uiPriority w:val="0"/>
    <w:pPr>
      <w:widowControl w:val="0"/>
      <w:snapToGrid w:val="0"/>
      <w:jc w:val="center"/>
    </w:pPr>
    <w:rPr>
      <w:rFonts w:ascii="Times New Roman" w:hAnsi="Times New Roman" w:cs="Times New Roman"/>
      <w:spacing w:val="2"/>
      <w:kern w:val="2"/>
      <w:szCs w:val="22"/>
    </w:rPr>
  </w:style>
  <w:style w:type="paragraph" w:customStyle="1" w:styleId="40">
    <w:name w:val="表格内文字"/>
    <w:basedOn w:val="1"/>
    <w:autoRedefine/>
    <w:qFormat/>
    <w:uiPriority w:val="0"/>
    <w:pPr>
      <w:adjustRightInd w:val="0"/>
      <w:snapToGrid w:val="0"/>
      <w:spacing w:line="240" w:lineRule="auto"/>
      <w:ind w:firstLine="0" w:firstLineChars="0"/>
      <w:jc w:val="center"/>
    </w:pPr>
    <w:rPr>
      <w:color w:val="000000"/>
      <w:sz w:val="21"/>
    </w:rPr>
  </w:style>
  <w:style w:type="paragraph" w:customStyle="1" w:styleId="41">
    <w:name w:val="表头"/>
    <w:basedOn w:val="1"/>
    <w:unhideWhenUsed/>
    <w:qFormat/>
    <w:uiPriority w:val="0"/>
    <w:pPr>
      <w:spacing w:line="240" w:lineRule="auto"/>
      <w:ind w:firstLine="0" w:firstLineChars="0"/>
      <w:jc w:val="center"/>
    </w:pPr>
    <w:rPr>
      <w:b/>
      <w:kern w:val="0"/>
      <w:sz w:val="21"/>
      <w:szCs w:val="21"/>
    </w:rPr>
  </w:style>
  <w:style w:type="paragraph" w:customStyle="1" w:styleId="42">
    <w:name w:val="表内最终版"/>
    <w:basedOn w:val="43"/>
    <w:unhideWhenUsed/>
    <w:qFormat/>
    <w:uiPriority w:val="0"/>
    <w:pPr>
      <w:adjustRightInd w:val="0"/>
      <w:snapToGrid w:val="0"/>
      <w:spacing w:line="240" w:lineRule="auto"/>
      <w:ind w:firstLine="0" w:firstLineChars="0"/>
      <w:jc w:val="center"/>
      <w:textAlignment w:val="baseline"/>
    </w:pPr>
    <w:rPr>
      <w:rFonts w:ascii="Times New Roman" w:hAnsi="Times New Roman" w:eastAsia="宋体"/>
      <w:sz w:val="21"/>
    </w:rPr>
  </w:style>
  <w:style w:type="paragraph" w:customStyle="1" w:styleId="43">
    <w:name w:val="正文最终"/>
    <w:qFormat/>
    <w:uiPriority w:val="0"/>
    <w:pPr>
      <w:widowControl w:val="0"/>
      <w:snapToGrid w:val="0"/>
      <w:spacing w:line="360" w:lineRule="auto"/>
      <w:ind w:firstLine="200" w:firstLineChars="200"/>
    </w:pPr>
    <w:rPr>
      <w:rFonts w:ascii="Times New Roman" w:hAnsi="Times New Roman" w:eastAsia="宋体" w:cs="Times New Roman"/>
      <w:kern w:val="2"/>
      <w:sz w:val="24"/>
      <w:szCs w:val="24"/>
      <w:lang w:val="en-US" w:eastAsia="zh-CN" w:bidi="ar-SA"/>
    </w:rPr>
  </w:style>
  <w:style w:type="paragraph" w:customStyle="1" w:styleId="44">
    <w:name w:val="表格标题"/>
    <w:basedOn w:val="15"/>
    <w:next w:val="45"/>
    <w:autoRedefine/>
    <w:qFormat/>
    <w:uiPriority w:val="0"/>
    <w:pPr>
      <w:spacing w:before="50" w:beforeLines="50"/>
      <w:ind w:firstLine="0" w:firstLineChars="0"/>
      <w:jc w:val="center"/>
    </w:pPr>
    <w:rPr>
      <w:rFonts w:ascii="Times New Roman" w:hAnsi="Times New Roman" w:eastAsia="宋体" w:cs="Times New Roman"/>
      <w:b/>
      <w:sz w:val="21"/>
    </w:rPr>
  </w:style>
  <w:style w:type="paragraph" w:customStyle="1" w:styleId="45">
    <w:name w:val="表格内容"/>
    <w:basedOn w:val="44"/>
    <w:next w:val="1"/>
    <w:qFormat/>
    <w:uiPriority w:val="0"/>
    <w:pPr>
      <w:spacing w:before="50" w:line="240" w:lineRule="auto"/>
    </w:pPr>
    <w:rPr>
      <w:rFonts w:ascii="Times New Roman" w:hAnsi="Times New Roman" w:cs="Times New Roman"/>
      <w:b w:val="0"/>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3" Type="http://schemas.openxmlformats.org/officeDocument/2006/relationships/fontTable" Target="fontTable.xml"/><Relationship Id="rId42" Type="http://schemas.openxmlformats.org/officeDocument/2006/relationships/customXml" Target="../customXml/item2.xml"/><Relationship Id="rId41" Type="http://schemas.openxmlformats.org/officeDocument/2006/relationships/numbering" Target="numbering.xml"/><Relationship Id="rId40" Type="http://schemas.openxmlformats.org/officeDocument/2006/relationships/customXml" Target="../customXml/item1.xml"/><Relationship Id="rId4" Type="http://schemas.openxmlformats.org/officeDocument/2006/relationships/endnotes" Target="endnotes.xml"/><Relationship Id="rId39" Type="http://schemas.openxmlformats.org/officeDocument/2006/relationships/image" Target="media/image19.png"/><Relationship Id="rId38" Type="http://schemas.openxmlformats.org/officeDocument/2006/relationships/image" Target="media/image18.wmf"/><Relationship Id="rId37" Type="http://schemas.openxmlformats.org/officeDocument/2006/relationships/image" Target="media/image17.wmf"/><Relationship Id="rId36" Type="http://schemas.openxmlformats.org/officeDocument/2006/relationships/image" Target="media/image16.wmf"/><Relationship Id="rId35" Type="http://schemas.openxmlformats.org/officeDocument/2006/relationships/oleObject" Target="embeddings/oleObject1.bin"/><Relationship Id="rId34" Type="http://schemas.openxmlformats.org/officeDocument/2006/relationships/image" Target="media/image15.wmf"/><Relationship Id="rId33" Type="http://schemas.openxmlformats.org/officeDocument/2006/relationships/image" Target="media/image14.wmf"/><Relationship Id="rId32" Type="http://schemas.openxmlformats.org/officeDocument/2006/relationships/image" Target="media/image13.png"/><Relationship Id="rId31" Type="http://schemas.openxmlformats.org/officeDocument/2006/relationships/image" Target="media/image12.png"/><Relationship Id="rId30" Type="http://schemas.openxmlformats.org/officeDocument/2006/relationships/image" Target="media/image11.png"/><Relationship Id="rId3" Type="http://schemas.openxmlformats.org/officeDocument/2006/relationships/footnotes" Target="footnotes.xml"/><Relationship Id="rId29" Type="http://schemas.openxmlformats.org/officeDocument/2006/relationships/image" Target="media/image10.png"/><Relationship Id="rId28" Type="http://schemas.openxmlformats.org/officeDocument/2006/relationships/image" Target="media/image9.png"/><Relationship Id="rId27" Type="http://schemas.openxmlformats.org/officeDocument/2006/relationships/image" Target="file:///C:\Users\&#26446;&#38738;&#38738;\AppData\Roaming\Tencent\Users\403002229\QQ\WinTemp\RichOle\030%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UR9BYU3GM772(UBEC80.png" TargetMode="External"/><Relationship Id="rId26" Type="http://schemas.openxmlformats.org/officeDocument/2006/relationships/image" Target="media/image8.png"/><Relationship Id="rId25" Type="http://schemas.openxmlformats.org/officeDocument/2006/relationships/image" Target="media/image7.png"/><Relationship Id="rId24" Type="http://schemas.openxmlformats.org/officeDocument/2006/relationships/image" Target="media/image6.png"/><Relationship Id="rId23" Type="http://schemas.openxmlformats.org/officeDocument/2006/relationships/image" Target="media/image5.png"/><Relationship Id="rId22" Type="http://schemas.openxmlformats.org/officeDocument/2006/relationships/image" Target="media/image4.png"/><Relationship Id="rId21" Type="http://schemas.openxmlformats.org/officeDocument/2006/relationships/image" Target="media/image3.jpeg"/><Relationship Id="rId20" Type="http://schemas.openxmlformats.org/officeDocument/2006/relationships/image" Target="media/image2.png"/><Relationship Id="rId2" Type="http://schemas.openxmlformats.org/officeDocument/2006/relationships/settings" Target="settings.xml"/><Relationship Id="rId19" Type="http://schemas.openxmlformats.org/officeDocument/2006/relationships/image" Target="media/image1.png"/><Relationship Id="rId18" Type="http://schemas.openxmlformats.org/officeDocument/2006/relationships/theme" Target="theme/theme1.xml"/><Relationship Id="rId17" Type="http://schemas.openxmlformats.org/officeDocument/2006/relationships/header" Target="header8.xml"/><Relationship Id="rId16" Type="http://schemas.openxmlformats.org/officeDocument/2006/relationships/header" Target="header7.xml"/><Relationship Id="rId15" Type="http://schemas.openxmlformats.org/officeDocument/2006/relationships/header" Target="header6.xml"/><Relationship Id="rId14" Type="http://schemas.openxmlformats.org/officeDocument/2006/relationships/header" Target="header5.xml"/><Relationship Id="rId13" Type="http://schemas.openxmlformats.org/officeDocument/2006/relationships/header" Target="header4.xml"/><Relationship Id="rId12" Type="http://schemas.openxmlformats.org/officeDocument/2006/relationships/header" Target="header3.xml"/><Relationship Id="rId11" Type="http://schemas.openxmlformats.org/officeDocument/2006/relationships/footer" Target="footer5.xml"/><Relationship Id="rId10" Type="http://schemas.openxmlformats.org/officeDocument/2006/relationships/header" Target="header2.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2050"/>
    <customShpInfo spid="_x0000_s2049"/>
  </customShpExts>
  <extobjs>
    <extobj name="E657119C-6982-421D-8BA7-E74DEB70A7D9-1">
      <extobjdata type="E657119C-6982-421D-8BA7-E74DEB70A7D9" data="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"/>
    </extobj>
    <extobj name="E657119C-6982-421D-8BA7-E74DEB70A7D9-2">
      <extobjdata type="E657119C-6982-421D-8BA7-E74DEB70A7D9" data="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"/>
    </extobj>
    <extobj name="E657119C-6982-421D-8BA7-E74DEB70A7D9-3">
      <extobjdata type="E657119C-6982-421D-8BA7-E74DEB70A7D9" data="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"/>
    </extobj>
    <extobj name="E657119C-6982-421D-8BA7-E74DEB70A7D9-4">
      <extobjdata type="E657119C-6982-421D-8BA7-E74DEB70A7D9" data="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"/>
    </extobj>
  </extobjs>
</s:customData>
</file>

<file path=customXml/item2.xml><?xml version="1.0" encoding="utf-8"?>
<contractReview xmlns="http://schemas.wps.cn/vas-ai-hub/contract-review">
  <reviewItems>
    <reviewItem>
      <errorID>9b5351a6-f5f7-42f0-94e2-8ec22be9a8f3</errorID>
      <errorWord>(</errorWord>
      <group>L1_Format</group>
      <groupName>格式问题</groupName>
      <ability>L2_HalfPunc_CN</ability>
      <abilityName>全半角问题</abilityName>
      <candidateList>
        <item>（</item>
      </candidateList>
      <explain>文本全半角错误。</explain>
      <paraID>4B1B06F1</paraID>
      <start>14</start>
      <end>15</end>
      <status>ignored</status>
      <modifiedWord/>
      <trackRevisions>false</trackRevisions>
    </reviewItem>
    <reviewItem>
      <errorID>4e6caa60-9c71-44ba-a5d6-ca6237a740c7</errorID>
      <errorWord>)</errorWord>
      <group>L1_Format</group>
      <groupName>格式问题</groupName>
      <ability>L2_HalfPunc_CN</ability>
      <abilityName>全半角问题</abilityName>
      <candidateList>
        <item>）</item>
      </candidateList>
      <explain>文本全半角错误。</explain>
      <paraID>4B1B06F1</paraID>
      <start>17</start>
      <end>18</end>
      <status>ignored</status>
      <modifiedWord/>
      <trackRevisions>false</trackRevisions>
    </reviewItem>
    <reviewItem>
      <errorID>160475fe-4284-4b2d-a2a3-c4279591d6f0</errorID>
      <errorWord>（</errorWord>
      <group>L1_Format</group>
      <groupName>格式问题</groupName>
      <ability>L2_HalfPunc_CN</ability>
      <abilityName>全半角问题</abilityName>
      <candidateList>
        <item>(</item>
      </candidateList>
      <explain>文本全半角错误。</explain>
      <paraID>7CC76C7A</paraID>
      <start>0</start>
      <end>1</end>
      <status>ignored</status>
      <modifiedWord/>
      <trackRevisions>false</trackRevisions>
    </reviewItem>
    <reviewItem>
      <errorID>9f317ce4-6ece-44c9-8876-6458068794e0</errorID>
      <errorWord>，</errorWord>
      <group>L1_Format</group>
      <groupName>格式问题</groupName>
      <ability>L2_HalfPunc_CN</ability>
      <abilityName>全半角问题</abilityName>
      <candidateList>
        <item>,</item>
      </candidateList>
      <explain>文本全半角错误。</explain>
      <paraID>7CC76C7A</paraID>
      <start>16</start>
      <end>17</end>
      <status>ignored</status>
      <modifiedWord/>
      <trackRevisions>false</trackRevisions>
    </reviewItem>
    <reviewItem>
      <errorID>f2bfa47b-3eed-4c22-9c27-5017f0260c34</errorID>
      <errorWord>）</errorWord>
      <group>L1_Format</group>
      <groupName>格式问题</groupName>
      <ability>L2_HalfPunc_CN</ability>
      <abilityName>全半角问题</abilityName>
      <candidateList>
        <item>)</item>
      </candidateList>
      <explain>文本全半角错误。</explain>
      <paraID>7CC76C7A</paraID>
      <start>31</start>
      <end>32</end>
      <status>ignored</status>
      <modifiedWord/>
      <trackRevisions>false</trackRevisions>
    </reviewItem>
    <reviewItem>
      <errorID>49b332a5-6504-4e97-9ba2-7fcc3bacce34</errorID>
      <errorWord>-</errorWord>
      <group>L1_Format</group>
      <groupName>格式问题</groupName>
      <ability>L2_HalfPunc_CN</ability>
      <abilityName>全半角问题</abilityName>
      <candidateList>
        <item>－</item>
      </candidateList>
      <explain>文本全半角错误。</explain>
      <paraID>4C580134</paraID>
      <start>22</start>
      <end>23</end>
      <status>ignored</status>
      <modifiedWord/>
      <trackRevisions>false</trackRevisions>
    </reviewItem>
    <reviewItem>
      <errorID>66fe13cf-c913-45c4-a221-c706cb354d60</errorID>
      <errorWord>》（试行）</errorWord>
      <group>L1_Word</group>
      <groupName>字词问题</groupName>
      <ability>L2_Typo</ability>
      <abilityName>字词错误</abilityName>
      <candidateList>
        <item>（试行）》</item>
      </candidateList>
      <explain/>
      <paraID> 34EA8DB</paraID>
      <start>27</start>
      <end>32</end>
      <status>ignored</status>
      <modifiedWord/>
      <trackRevisions>false</trackRevisions>
    </reviewItem>
    <reviewItem>
      <errorID>eb3132c9-9dc6-4d9d-b10d-67e302013207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437A8155</paraID>
      <start>0</start>
      <end>2</end>
      <status>ignored</status>
      <modifiedWord/>
      <trackRevisions>false</trackRevisions>
    </reviewItem>
    <reviewItem>
      <errorID>643dbea6-495b-4346-9ca5-dfeafd866d0d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437A8155</paraID>
      <start>25</start>
      <end>26</end>
      <status>ignored</status>
      <modifiedWord/>
      <trackRevisions>false</trackRevisions>
    </reviewItem>
    <reviewItem>
      <errorID>86c5def6-4f88-4bb7-8df9-648fc9fc6059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1D8B645F</paraID>
      <start>0</start>
      <end>2</end>
      <status>ignored</status>
      <modifiedWord/>
      <trackRevisions>false</trackRevisions>
    </reviewItem>
    <reviewItem>
      <errorID>4f8f1632-afa6-4877-855b-1cbcf52e05a3</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4EDB19FA</paraID>
      <start>29</start>
      <end>30</end>
      <status>ignored</status>
      <modifiedWord/>
      <trackRevisions>false</trackRevisions>
    </reviewItem>
    <reviewItem>
      <errorID>6a8eb768-4de7-481a-9f98-8746f365f728</errorID>
      <errorWord>(</errorWord>
      <group>L1_Format</group>
      <groupName>格式问题</groupName>
      <ability>L2_HalfPunc_CN</ability>
      <abilityName>全半角问题</abilityName>
      <candidateList>
        <item>（</item>
      </candidateList>
      <explain>文本全半角错误。</explain>
      <paraID>69E49E31</paraID>
      <start>29</start>
      <end>30</end>
      <status>ignored</status>
      <modifiedWord/>
      <trackRevisions>false</trackRevisions>
    </reviewItem>
    <reviewItem>
      <errorID>a2b5bc1d-31a7-474f-93ec-50f5d7036994</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69E49E31</paraID>
      <start>34</start>
      <end>35</end>
      <status>ignored</status>
      <modifiedWord/>
      <trackRevisions>false</trackRevisions>
    </reviewItem>
    <reviewItem>
      <errorID>183b2d15-9280-4f05-8f04-c9c97fdef832</errorID>
      <errorWord>)</errorWord>
      <group>L1_Format</group>
      <groupName>格式问题</groupName>
      <ability>L2_HalfPunc_CN</ability>
      <abilityName>全半角问题</abilityName>
      <candidateList>
        <item>）</item>
      </candidateList>
      <explain>文本全半角错误。</explain>
      <paraID>69E49E31</paraID>
      <start>40</start>
      <end>41</end>
      <status>ignored</status>
      <modifiedWord/>
      <trackRevisions>false</trackRevisions>
    </reviewItem>
    <reviewItem>
      <errorID>819ecea9-7dbf-4d0a-87d3-97b1e661e527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566CBB02</paraID>
      <start>0</start>
      <end>2</end>
      <status>ignored</status>
      <modifiedWord/>
      <trackRevisions>false</trackRevisions>
    </reviewItem>
    <reviewItem>
      <errorID>414aaa97-cbce-474f-b732-9b717c5d782a</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566CBB02</paraID>
      <start>20</start>
      <end>21</end>
      <status>ignored</status>
      <modifiedWord/>
      <trackRevisions>false</trackRevisions>
    </reviewItem>
    <reviewItem>
      <errorID>dbfbb057-7a55-4b8a-98fc-9a7ce57fee94</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7D69FC3</paraID>
      <start>56</start>
      <end>57</end>
      <status>ignored</status>
      <modifiedWord/>
      <trackRevisions>false</trackRevisions>
    </reviewItem>
    <reviewItem>
      <errorID>f0da1b8a-6694-496e-8706-0827a5180cd3</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7288040</paraID>
      <start>64</start>
      <end>65</end>
      <status>ignored</status>
      <modifiedWord/>
      <trackRevisions>false</trackRevisions>
    </reviewItem>
    <reviewItem>
      <errorID>7198935a-9d12-4151-8577-dfc4d3c9c09e</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66CD98C7</paraID>
      <start>52</start>
      <end>53</end>
      <status>ignored</status>
      <modifiedWord/>
      <trackRevisions>false</trackRevisions>
    </reviewItem>
    <reviewItem>
      <errorID>65950692-3dbb-45f2-b5c7-a46321cc9ead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4087F177</paraID>
      <start>0</start>
      <end>2</end>
      <status>ignored</status>
      <modifiedWord/>
      <trackRevisions>false</trackRevisions>
    </reviewItem>
    <reviewItem>
      <errorID>16684380-6a62-4654-8019-c6f047361005</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4087F177</paraID>
      <start>27</start>
      <end>28</end>
      <status>ignored</status>
      <modifiedWord/>
      <trackRevisions>false</trackRevisions>
    </reviewItem>
    <reviewItem>
      <errorID>9c524a2e-44da-479b-aea7-6027f43e3ab0</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4AE832A</paraID>
      <start>47</start>
      <end>48</end>
      <status>ignored</status>
      <modifiedWord/>
      <trackRevisions>false</trackRevisions>
    </reviewItem>
    <reviewItem>
      <errorID>7712504a-9df8-4e71-96f4-58f90616bf10</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3B64AADC</paraID>
      <start>0</start>
      <end>3</end>
      <status>ignored</status>
      <modifiedWord/>
      <trackRevisions>false</trackRevisions>
    </reviewItem>
    <reviewItem>
      <errorID>a86436d1-0a41-4ac7-a578-d6dd300fd36b</errorID>
      <errorWord>坚持绿色协调发展</errorWord>
      <group>L1_Political</group>
      <groupName>政治性问题</groupName>
      <ability>L2_Keyword</ability>
      <abilityName>固定表述</abilityName>
      <candidateList>
        <item>坚持绿色低碳发展</item>
      </candidateList>
      <explain>词汇“坚持绿色低碳发展”在特定场景下为固定表述形式，请确认此处的“坚持绿色协调发展”是否存在不当。</explain>
      <paraID>3B64AADC</paraID>
      <start>12</start>
      <end>20</end>
      <status>ignored</status>
      <modifiedWord/>
      <trackRevisions>false</trackRevisions>
    </reviewItem>
    <reviewItem>
      <errorID>688a71bc-07ca-4818-942a-9abfce957e22</errorID>
      <errorWord>生态红线</errorWord>
      <group>L1_Political</group>
      <groupName>政治性问题</groupName>
      <ability>L2_Unpolitical</ability>
      <abilityName>政治敏感错误</abilityName>
      <candidateList>
        <item>生态保护红线</item>
      </candidateList>
      <explain/>
      <paraID>7BFB4BF0</paraID>
      <start>59</start>
      <end>63</end>
      <status>ignored</status>
      <modifiedWord/>
      <trackRevisions>false</trackRevisions>
    </reviewItem>
    <reviewItem>
      <errorID>0f8a0910-625b-4c1e-95a4-c7a4653ae49a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2B23DCA9</paraID>
      <start>0</start>
      <end>2</end>
      <status>ignored</status>
      <modifiedWord/>
      <trackRevisions>false</trackRevisions>
    </reviewItem>
    <reviewItem>
      <errorID>04b78af5-9ec5-4e75-a007-61353d56fd38</errorID>
      <errorWord>《产业结构调整指导目录》（2024年本）</errorWord>
      <group>L1_Knowledge</group>
      <groupName>知识性问题</groupName>
      <ability>L2_Knowledge</ability>
      <abilityName>其他知识</abilityName>
      <candidateList>
        <item>《产业结构调整指导目录（2024年本）》</item>
      </candidateList>
      <explain>疑似政策文件、法律法规名称等书写不规范，请注意检查。</explain>
      <paraID>24723390</paraID>
      <start>20</start>
      <end>40</end>
      <status>ignored</status>
      <modifiedWord/>
      <trackRevisions>false</trackRevisions>
    </reviewItem>
    <reviewItem>
      <errorID>cd3d95e0-75ba-4098-ba8d-4d7d5ba154a3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6E876131</paraID>
      <start>0</start>
      <end>2</end>
      <status>ignored</status>
      <modifiedWord/>
      <trackRevisions>false</trackRevisions>
    </reviewItem>
    <reviewItem>
      <errorID>5604e731-c64d-4634-a370-750969cae31b</errorID>
      <errorWord>生态红线</errorWord>
      <group>L1_Political</group>
      <groupName>政治性问题</groupName>
      <ability>L2_Unpolitical</ability>
      <abilityName>政治敏感错误</abilityName>
      <candidateList>
        <item>生态保护红线</item>
      </candidateList>
      <explain/>
      <paraID>50E4A878</paraID>
      <start>69</start>
      <end>73</end>
      <status>ignored</status>
      <modifiedWord/>
      <trackRevisions>false</trackRevisions>
    </reviewItem>
    <reviewItem>
      <errorID>c368901d-95c2-4c30-9d38-983caa3fd49a</errorID>
      <errorWord>上线</errorWord>
      <group>L1_Word</group>
      <groupName>字词问题</groupName>
      <ability>L2_Typo</ability>
      <abilityName>字词错误</abilityName>
      <candidateList>
        <item>上限</item>
      </candidateList>
      <explain>存在发音相同字词的误用。</explain>
      <paraID>77D90C39</paraID>
      <start>4</start>
      <end>6</end>
      <status>ignored</status>
      <modifiedWord/>
      <trackRevisions>false</trackRevisions>
    </reviewItem>
    <reviewItem>
      <errorID>c70a7807-f8b1-4f40-9393-c9b2ea20ed93</errorID>
      <errorWord>上线</errorWord>
      <group>L1_Word</group>
      <groupName>字词问题</groupName>
      <ability>L2_Typo</ability>
      <abilityName>字词错误</abilityName>
      <candidateList>
        <item>上限</item>
      </candidateList>
      <explain/>
      <paraID>45A01598</paraID>
      <start>54</start>
      <end>56</end>
      <status>ignored</status>
      <modifiedWord/>
      <trackRevisions>false</trackRevisions>
    </reviewItem>
    <reviewItem>
      <errorID>fdc269ee-8c07-4e12-aea6-e9d94ae4af06</errorID>
      <errorWord>《产业结构调整指导目录》（2024年本）</errorWord>
      <group>L1_Knowledge</group>
      <groupName>知识性问题</groupName>
      <ability>L2_Knowledge</ability>
      <abilityName>其他知识</abilityName>
      <candidateList>
        <item>《产业结构调整指导目录（2024年本）》</item>
      </candidateList>
      <explain>疑似政策文件、法律法规名称等书写不规范，请注意检查。</explain>
      <paraID>25099B05</paraID>
      <start>75</start>
      <end>95</end>
      <status>ignored</status>
      <modifiedWord/>
      <trackRevisions>false</trackRevisions>
    </reviewItem>
    <reviewItem>
      <errorID>bc9d0c22-f18c-441a-8589-9f9bf0c33fbd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213B004D</paraID>
      <start>0</start>
      <end>2</end>
      <status>ignored</status>
      <modifiedWord/>
      <trackRevisions>false</trackRevisions>
    </reviewItem>
    <reviewItem>
      <errorID>30eb079b-d8a7-4842-a809-e3e9d7dcf1a9</errorID>
      <errorWord>三线一单</errorWord>
      <group>L1_Political</group>
      <groupName>政治性问题</groupName>
      <ability>L2_Keyword</ability>
      <abilityName>固定表述</abilityName>
      <candidateList>
        <item>‘三线一单’</item>
      </candidateList>
      <explain>注意检查当前固定表述标点是否使用规范。</explain>
      <paraID>7F9FFBF9</paraID>
      <start>38</start>
      <end>42</end>
      <status>ignored</status>
      <modifiedWord/>
      <trackRevisions>false</trackRevisions>
    </reviewItem>
    <reviewItem>
      <errorID>32c92084-dfa4-45ea-ae1e-87c894c583c5</errorID>
      <errorWord>胶粘剂</errorWord>
      <group>L1_Word</group>
      <groupName>字词问题</groupName>
      <ability>L2_Typo</ability>
      <abilityName>字词错误</abilityName>
      <candidateList>
        <item>胶黏剂</item>
      </candidateList>
      <explain/>
      <paraID> 910CF8E</paraID>
      <start>24</start>
      <end>27</end>
      <status>ignored</status>
      <modifiedWord/>
      <trackRevisions>false</trackRevisions>
    </reviewItem>
    <reviewItem>
      <errorID>58e8ba44-1da8-4ca2-8d35-50074939cf9e</errorID>
      <errorWord>胶粘剂</errorWord>
      <group>L1_Word</group>
      <groupName>字词问题</groupName>
      <ability>L2_Typo</ability>
      <abilityName>字词错误</abilityName>
      <candidateList>
        <item>胶黏剂</item>
      </candidateList>
      <explain/>
      <paraID>6BB3E62F</paraID>
      <start>9</start>
      <end>12</end>
      <status>ignored</status>
      <modifiedWord/>
      <trackRevisions>false</trackRevisions>
    </reviewItem>
    <reviewItem>
      <errorID>698f2e88-2159-4e46-86c2-e8922e37e875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55BD200A</paraID>
      <start>0</start>
      <end>2</end>
      <status>ignored</status>
      <modifiedWord/>
      <trackRevisions>false</trackRevisions>
    </reviewItem>
    <reviewItem>
      <errorID>560b811d-9815-4763-a766-c59bfd3c65a1</errorID>
      <errorWord>孳生</errorWord>
      <group>L1_Word</group>
      <groupName>字词问题</groupName>
      <ability>L2_Alias</ability>
      <abilityName>也作/曾用词</abilityName>
      <candidateList>
        <item>滋生</item>
      </candidateList>
      <explain>词汇[孳生]为不规范表述或旧称，其规范书面表述为[滋生]。</explain>
      <paraID>47DD8735</paraID>
      <start>14</start>
      <end>16</end>
      <status>ignored</status>
      <modifiedWord/>
      <trackRevisions>false</trackRevisions>
    </reviewItem>
    <reviewItem>
      <errorID>0e53ea0e-5932-41cf-882a-06eca73e88ed</errorID>
      <errorWord>孳生</errorWord>
      <group>L1_Word</group>
      <groupName>字词问题</groupName>
      <ability>L2_Alias</ability>
      <abilityName>也作/曾用词</abilityName>
      <candidateList>
        <item>滋生</item>
      </candidateList>
      <explain>词汇[孳生]为不规范表述或旧称，其规范书面表述为[滋生]。</explain>
      <paraID>4F696358</paraID>
      <start>113</start>
      <end>115</end>
      <status>ignored</status>
      <modifiedWord/>
      <trackRevisions>false</trackRevisions>
    </reviewItem>
    <reviewItem>
      <errorID>36e5cd76-9bca-4898-bb7d-9e2195a1a132</errorID>
      <errorWord>、或者</errorWord>
      <group>L1_Word</group>
      <groupName>字词问题</groupName>
      <ability>L2_Typo</ability>
      <abilityName>字词错误</abilityName>
      <candidateList>
        <item>，或者</item>
      </candidateList>
      <explain/>
      <paraID>23F94D58</paraID>
      <start>18</start>
      <end>21</end>
      <status>ignored</status>
      <modifiedWord/>
      <trackRevisions>false</trackRevisions>
    </reviewItem>
    <reviewItem>
      <errorID>60522f20-8cf8-49d0-b519-7491ebbb71b7</errorID>
      <errorWord>孳生</errorWord>
      <group>L1_Word</group>
      <groupName>字词问题</groupName>
      <ability>L2_Alias</ability>
      <abilityName>也作/曾用词</abilityName>
      <candidateList>
        <item>滋生</item>
      </candidateList>
      <explain>词汇[孳生]为不规范表述或旧称，其规范书面表述为[滋生]。</explain>
      <paraID>2109FA3D</paraID>
      <start>34</start>
      <end>36</end>
      <status>ignored</status>
      <modifiedWord/>
      <trackRevisions>false</trackRevisions>
    </reviewItem>
    <reviewItem>
      <errorID>e90b317d-c5bd-40ed-b403-ab438f8c6b09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14442344</paraID>
      <start>0</start>
      <end>2</end>
      <status>ignored</status>
      <modifiedWord/>
      <trackRevisions>false</trackRevisions>
    </reviewItem>
    <reviewItem>
      <errorID>8fde6daf-2f00-42ec-b24b-ce6d432ea81f</errorID>
      <errorWord>具</errorWord>
      <group>L1_Word</group>
      <groupName>字词问题</groupName>
      <ability>L2_Typo</ability>
      <abilityName>字词错误</abilityName>
      <candidateList>
        <item>具有</item>
      </candidateList>
      <explain/>
      <paraID>33968454</paraID>
      <start>70</start>
      <end>71</end>
      <status>ignored</status>
      <modifiedWord/>
      <trackRevisions>false</trackRevisions>
    </reviewItem>
    <reviewItem>
      <errorID>aba88aed-38e6-47d2-a508-daf43beeac8f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7BF86BAE</paraID>
      <start>0</start>
      <end>2</end>
      <status>ignored</status>
      <modifiedWord/>
      <trackRevisions>false</trackRevisions>
    </reviewItem>
    <reviewItem>
      <errorID>c00271cf-80e3-43f8-91cb-52ab13e2093b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5C7F5821</paraID>
      <start>0</start>
      <end>2</end>
      <status>ignored</status>
      <modifiedWord/>
      <trackRevisions>false</trackRevisions>
    </reviewItem>
    <reviewItem>
      <errorID>315bc064-62f8-42c4-8ac6-27ae83a9b760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203A25C6</paraID>
      <start>0</start>
      <end>2</end>
      <status>ignored</status>
      <modifiedWord/>
      <trackRevisions>false</trackRevisions>
    </reviewItem>
    <reviewItem>
      <errorID>da044ad4-f863-41bd-8ac5-fcebd309f550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7ABF2D75</paraID>
      <start>0</start>
      <end>2</end>
      <status>ignored</status>
      <modifiedWord/>
      <trackRevisions>false</trackRevisions>
    </reviewItem>
    <reviewItem>
      <errorID>215ed61a-21c5-42cb-a1ac-af9cf4da334d</errorID>
      <errorWord>建</errorWord>
      <group>L1_Word</group>
      <groupName>字词问题</groupName>
      <ability>L2_Typo</ability>
      <abilityName>字词错误</abilityName>
      <candidateList>
        <item>建标</item>
      </candidateList>
      <explain/>
      <paraID>4CB3A0A8</paraID>
      <start>3</start>
      <end>4</end>
      <status>unmodified</status>
      <modifiedWord/>
      <trackRevisions>false</trackRevisions>
    </reviewItem>
    <reviewItem>
      <errorID>9ff8ff68-1a7b-4c0e-8f09-36df3937ca51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16F1DD75</paraID>
      <start>0</start>
      <end>2</end>
      <status>ignored</status>
      <modifiedWord/>
      <trackRevisions>false</trackRevisions>
    </reviewItem>
    <reviewItem>
      <errorID>8c3151ff-dbbd-4f24-888e-e1c45a8f9895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26ED6275</paraID>
      <start>0</start>
      <end>2</end>
      <status>ignored</status>
      <modifiedWord/>
      <trackRevisions>false</trackRevisions>
    </reviewItem>
    <reviewItem>
      <errorID>37cb8b33-6c14-4050-8998-475791e6ac13</errorID>
      <errorWord>-</errorWord>
      <group>L1_Format</group>
      <groupName>格式问题</groupName>
      <ability>L2_HalfPunc_CN</ability>
      <abilityName>全半角问题</abilityName>
      <candidateList>
        <item>－</item>
      </candidateList>
      <explain>文本全半角错误。</explain>
      <paraID>7F25FD26</paraID>
      <start>32</start>
      <end>33</end>
      <status>unmodified</status>
      <modifiedWord/>
      <trackRevisions>false</trackRevisions>
    </reviewItem>
    <reviewItem>
      <errorID>27717dc3-46b6-4b6b-8771-42a20ce4b4e8</errorID>
      <errorWord>-</errorWord>
      <group>L1_Format</group>
      <groupName>格式问题</groupName>
      <ability>L2_HalfPunc_CN</ability>
      <abilityName>全半角问题</abilityName>
      <candidateList>
        <item>－</item>
      </candidateList>
      <explain>文本全半角错误。</explain>
      <paraID>7F25FD26</paraID>
      <start>63</start>
      <end>64</end>
      <status>unmodified</status>
      <modifiedWord/>
      <trackRevisions>false</trackRevisions>
    </reviewItem>
    <reviewItem>
      <errorID>c21f8243-553a-4195-bc0b-b6383bdf9f51</errorID>
      <errorWord>化学成份</errorWord>
      <group>L1_Word</group>
      <groupName>字词问题</groupName>
      <ability>L2_Variant</ability>
      <abilityName>异形词</abilityName>
      <candidateList>
        <item>化学成分</item>
      </candidateList>
      <explain>词汇[化学成份]的规范词形写作[化学成分]。</explain>
      <paraID>7C7CC58C</paraID>
      <start>14</start>
      <end>18</end>
      <status>modified</status>
      <modifiedWord>化学成分</modifiedWord>
      <trackRevisions>false</trackRevisions>
    </reviewItem>
    <reviewItem>
      <errorID>6bf5a782-abb6-4abb-a6c6-822bbabd8f7e</errorID>
      <errorWord>三氟乙烷</errorWord>
      <group>L1_Knowledge</group>
      <groupName>知识性问题</groupName>
      <ability>L2_Term</ability>
      <abilityName>专业术语</abilityName>
      <candidateList>
        <item>氟烷</item>
      </candidateList>
      <explain>医学名词[三氟乙烷]为不规范表述或旧称，其规范书面表述为[氟烷]。</explain>
      <paraID>7C7CC58C</paraID>
      <start>150</start>
      <end>154</end>
      <status>ignored</status>
      <modifiedWord/>
      <trackRevisions>false</trackRevisions>
    </reviewItem>
    <reviewItem>
      <errorID>8336ca74-4c6d-4448-be85-6d7397275b5d</errorID>
      <errorWord>(</errorWord>
      <group>L1_Format</group>
      <groupName>格式问题</groupName>
      <ability>L2_HalfPunc_CN</ability>
      <abilityName>全半角问题</abilityName>
      <candidateList>
        <item>（</item>
      </candidateList>
      <explain>文本全半角错误。</explain>
      <paraID>2D1C4F93</paraID>
      <start>2</start>
      <end>3</end>
      <status>ignored</status>
      <modifiedWord/>
      <trackRevisions>false</trackRevisions>
    </reviewItem>
    <reviewItem>
      <errorID>9b325373-a3f1-4218-a62e-d58d56ff06ec</errorID>
      <errorWord>)</errorWord>
      <group>L1_Format</group>
      <groupName>格式问题</groupName>
      <ability>L2_HalfPunc_CN</ability>
      <abilityName>全半角问题</abilityName>
      <candidateList>
        <item>）</item>
      </candidateList>
      <explain>文本全半角错误。</explain>
      <paraID>2D1C4F93</paraID>
      <start>6</start>
      <end>7</end>
      <status>ignored</status>
      <modifiedWord/>
      <trackRevisions>false</trackRevisions>
    </reviewItem>
    <reviewItem>
      <errorID>994ede17-d4ea-44af-865a-5c699f894a9c</errorID>
      <errorWord>噪音</errorWord>
      <group>L1_Word</group>
      <groupName>字词问题</groupName>
      <ability>L2_Alias</ability>
      <abilityName>也作/曾用词</abilityName>
      <candidateList>
        <item>噪声</item>
      </candidateList>
      <explain>词汇[噪音]为不规范表述或旧称，其规范书面表述为[噪声]。</explain>
      <paraID>52869427</paraID>
      <start>220</start>
      <end>222</end>
      <status>modified</status>
      <modifiedWord>噪声</modifiedWord>
      <trackRevisions>false</trackRevisions>
    </reviewItem>
    <reviewItem>
      <errorID>0fc486ff-0379-40f0-afe7-81915f23158f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53800501</paraID>
      <start>0</start>
      <end>2</end>
      <status>ignored</status>
      <modifiedWord/>
      <trackRevisions>false</trackRevisions>
    </reviewItem>
    <reviewItem>
      <errorID>c48c33a5-52fe-4fa9-af40-0f2e663f6ee8</errorID>
      <errorWord>：</errorWord>
      <group>L1_Format</group>
      <groupName>格式问题</groupName>
      <ability>L2_HalfPunc_CN</ability>
      <abilityName>全半角问题</abilityName>
      <candidateList>
        <item>:</item>
      </candidateList>
      <explain>文本全半角错误。</explain>
      <paraID>2598DB5C</paraID>
      <start>25</start>
      <end>26</end>
      <status>ignored</status>
      <modifiedWord/>
      <trackRevisions>false</trackRevisions>
    </reviewItem>
    <reviewItem>
      <errorID>c990513d-992f-4168-bc68-7cd5c2c17a55</errorID>
      <errorWord>60%~70%</errorWord>
      <group>L1_Knowledge</group>
      <groupName>知识性问题</groupName>
      <ability>L2_Knowledge</ability>
      <abilityName>其他知识</abilityName>
      <candidateList>
        <item>60%～70%</item>
      </candidateList>
      <explain>1. “60%~70%”中的单位“%”仅出现在后一个数字上，容易引起歧义；根据《现代汉语标点符号数字用法规范手册》，数字表示范围两边需要使用统一的格式。2. 根据标点国标 4.13 中的规则，数字、时间或地域连接符应使用（视觉上更长的）“—”或“～”。</explain>
      <paraID>4859CD3E</paraID>
      <start>84</start>
      <end>91</end>
      <status>unmodified</status>
      <modifiedWord/>
      <trackRevisions>false</trackRevisions>
    </reviewItem>
    <reviewItem>
      <errorID>f0c32dd6-4c03-4b43-b6b4-47746fc1d5e9</errorID>
      <errorWord>(</errorWord>
      <group>L1_Format</group>
      <groupName>格式问题</groupName>
      <ability>L2_HalfPunc_CN</ability>
      <abilityName>全半角问题</abilityName>
      <candidateList>
        <item>（</item>
      </candidateList>
      <explain>文本全半角错误。</explain>
      <paraID> 2F1FB9A</paraID>
      <start>2</start>
      <end>3</end>
      <status>ignored</status>
      <modifiedWord/>
      <trackRevisions>false</trackRevisions>
    </reviewItem>
    <reviewItem>
      <errorID>383a3af2-29dc-4da0-be1b-87d01720fcfa</errorID>
      <errorWord>)</errorWord>
      <group>L1_Format</group>
      <groupName>格式问题</groupName>
      <ability>L2_HalfPunc_CN</ability>
      <abilityName>全半角问题</abilityName>
      <candidateList>
        <item>）</item>
      </candidateList>
      <explain>文本全半角错误。</explain>
      <paraID> 2F1FB9A</paraID>
      <start>6</start>
      <end>7</end>
      <status>ignored</status>
      <modifiedWord/>
      <trackRevisions>false</trackRevisions>
    </reviewItem>
    <reviewItem>
      <errorID>9a40f177-e0e6-4a75-851e-bedb867b9fce</errorID>
      <errorWord>(</errorWord>
      <group>L1_Format</group>
      <groupName>格式问题</groupName>
      <ability>L2_HalfPunc_CN</ability>
      <abilityName>全半角问题</abilityName>
      <candidateList>
        <item>（</item>
      </candidateList>
      <explain>文本全半角错误。</explain>
      <paraID>1FA4ABBB</paraID>
      <start>2</start>
      <end>3</end>
      <status>ignored</status>
      <modifiedWord/>
      <trackRevisions>false</trackRevisions>
    </reviewItem>
    <reviewItem>
      <errorID>f62abe1d-d6d4-4aaa-902b-5f51f5384846</errorID>
      <errorWord>)</errorWord>
      <group>L1_Format</group>
      <groupName>格式问题</groupName>
      <ability>L2_HalfPunc_CN</ability>
      <abilityName>全半角问题</abilityName>
      <candidateList>
        <item>）</item>
      </candidateList>
      <explain>文本全半角错误。</explain>
      <paraID>1FA4ABBB</paraID>
      <start>6</start>
      <end>7</end>
      <status>ignored</status>
      <modifiedWord/>
      <trackRevisions>false</trackRevisions>
    </reviewItem>
    <reviewItem>
      <errorID>2ded4c6c-fb11-4d78-a7d5-fe3555ef8f5c</errorID>
      <errorWord>(</errorWord>
      <group>L1_Format</group>
      <groupName>格式问题</groupName>
      <ability>L2_HalfPunc_CN</ability>
      <abilityName>全半角问题</abilityName>
      <candidateList>
        <item>（</item>
      </candidateList>
      <explain>文本全半角错误。</explain>
      <paraID>724E46B3</paraID>
      <start>2</start>
      <end>3</end>
      <status>ignored</status>
      <modifiedWord/>
      <trackRevisions>false</trackRevisions>
    </reviewItem>
    <reviewItem>
      <errorID>16e8d090-6b7b-48de-b8a9-1584388bd7e7</errorID>
      <errorWord>)</errorWord>
      <group>L1_Format</group>
      <groupName>格式问题</groupName>
      <ability>L2_HalfPunc_CN</ability>
      <abilityName>全半角问题</abilityName>
      <candidateList>
        <item>）</item>
      </candidateList>
      <explain>文本全半角错误。</explain>
      <paraID>724E46B3</paraID>
      <start>6</start>
      <end>7</end>
      <status>ignored</status>
      <modifiedWord/>
      <trackRevisions>false</trackRevisions>
    </reviewItem>
    <reviewItem>
      <errorID>03755801-6cb2-4f97-8016-23abc7404a4d</errorID>
      <errorWord>(</errorWord>
      <group>L1_Format</group>
      <groupName>格式问题</groupName>
      <ability>L2_HalfPunc_CN</ability>
      <abilityName>全半角问题</abilityName>
      <candidateList>
        <item>（</item>
      </candidateList>
      <explain>文本全半角错误。</explain>
      <paraID>16CC71D9</paraID>
      <start>2</start>
      <end>3</end>
      <status>ignored</status>
      <modifiedWord/>
      <trackRevisions>false</trackRevisions>
    </reviewItem>
    <reviewItem>
      <errorID>7f3c1a37-55da-4922-8f38-28f31bf53e2a</errorID>
      <errorWord>)</errorWord>
      <group>L1_Format</group>
      <groupName>格式问题</groupName>
      <ability>L2_HalfPunc_CN</ability>
      <abilityName>全半角问题</abilityName>
      <candidateList>
        <item>）</item>
      </candidateList>
      <explain>文本全半角错误。</explain>
      <paraID>16CC71D9</paraID>
      <start>6</start>
      <end>7</end>
      <status>ignored</status>
      <modifiedWord/>
      <trackRevisions>false</trackRevisions>
    </reviewItem>
    <reviewItem>
      <errorID>511020cf-b82b-42ba-a25c-f64a2e20295b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410F692A</paraID>
      <start>0</start>
      <end>2</end>
      <status>ignored</status>
      <modifiedWord/>
      <trackRevisions>false</trackRevisions>
    </reviewItem>
    <reviewItem>
      <errorID>11f29a30-80c0-45b2-b978-143558a0f2da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5B5EC145</paraID>
      <start>0</start>
      <end>2</end>
      <status>ignored</status>
      <modifiedWord/>
      <trackRevisions>false</trackRevisions>
    </reviewItem>
    <reviewItem>
      <errorID>f9cfc969-0910-4106-9a14-a1b30d44c1de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95A6CE3</paraID>
      <start>0</start>
      <end>2</end>
      <status>ignored</status>
      <modifiedWord/>
      <trackRevisions>false</trackRevisions>
    </reviewItem>
    <reviewItem>
      <errorID>e2b58dbd-55eb-4d48-9ff4-0c4977ea1aef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670469F</paraID>
      <start>0</start>
      <end>2</end>
      <status>ignored</status>
      <modifiedWord/>
      <trackRevisions>false</trackRevisions>
    </reviewItem>
    <reviewItem>
      <errorID>f08d01db-36fd-4f06-8e9d-88af2e167b08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334A2DAA</paraID>
      <start>0</start>
      <end>2</end>
      <status>ignored</status>
      <modifiedWord/>
      <trackRevisions>false</trackRevisions>
    </reviewItem>
    <reviewItem>
      <errorID>706d8530-e5b7-4478-ac73-b4d559f5d717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414AF357</paraID>
      <start>0</start>
      <end>2</end>
      <status>ignored</status>
      <modifiedWord/>
      <trackRevisions>false</trackRevisions>
    </reviewItem>
    <reviewItem>
      <errorID>a8c3c216-e4c9-4298-88a6-640cd0dc2ed2</errorID>
      <errorWord>承重</errorWord>
      <group>L1_Word</group>
      <groupName>字词问题</groupName>
      <ability>L2_Typo</ability>
      <abilityName>字词错误</abilityName>
      <candidateList>
        <item>称重</item>
      </candidateList>
      <explain>存在发音相同字词的误用。</explain>
      <paraID>17448EF4</paraID>
      <start>20</start>
      <end>22</end>
      <status>modified</status>
      <modifiedWord>称重</modifiedWord>
      <trackRevisions>false</trackRevisions>
    </reviewItem>
    <reviewItem>
      <errorID>712c5479-1db8-4d76-a452-0ec7699c8e8a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3F644EB</paraID>
      <start>0</start>
      <end>2</end>
      <status>ignored</status>
      <modifiedWord/>
      <trackRevisions>false</trackRevisions>
    </reviewItem>
    <reviewItem>
      <errorID>2aa13b6f-0ab1-4b6c-bbb7-c35aa66cc04c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1A2E17A0</paraID>
      <start>0</start>
      <end>2</end>
      <status>ignored</status>
      <modifiedWord/>
      <trackRevisions>false</trackRevisions>
    </reviewItem>
    <reviewItem>
      <errorID>b318ef12-6013-4e1a-9e93-9c461d86d656</errorID>
      <errorWord>（</errorWord>
      <group>L1_Format</group>
      <groupName>格式问题</groupName>
      <ability>L2_HalfPunc_CN</ability>
      <abilityName>全半角问题</abilityName>
      <candidateList>
        <item>(</item>
      </candidateList>
      <explain>文本全半角错误。</explain>
      <paraID>651D8C59</paraID>
      <start>0</start>
      <end>1</end>
      <status>ignored</status>
      <modifiedWord/>
      <trackRevisions>false</trackRevisions>
    </reviewItem>
    <reviewItem>
      <errorID>c1374f3d-9d1f-4dcf-9719-c3a022cb3a70</errorID>
      <errorWord>）</errorWord>
      <group>L1_Format</group>
      <groupName>格式问题</groupName>
      <ability>L2_HalfPunc_CN</ability>
      <abilityName>全半角问题</abilityName>
      <candidateList>
        <item>)</item>
      </candidateList>
      <explain>文本全半角错误。</explain>
      <paraID>651D8C59</paraID>
      <start>6</start>
      <end>7</end>
      <status>ignored</status>
      <modifiedWord/>
      <trackRevisions>false</trackRevisions>
    </reviewItem>
    <reviewItem>
      <errorID>aa2e0ac5-9515-4908-9741-5a6b0575c809</errorID>
      <errorWord>（</errorWord>
      <group>L1_Format</group>
      <groupName>格式问题</groupName>
      <ability>L2_HalfPunc_CN</ability>
      <abilityName>全半角问题</abilityName>
      <candidateList>
        <item>(</item>
      </candidateList>
      <explain>文本全半角错误。</explain>
      <paraID> D7E1134</paraID>
      <start>0</start>
      <end>1</end>
      <status>ignored</status>
      <modifiedWord/>
      <trackRevisions>false</trackRevisions>
    </reviewItem>
    <reviewItem>
      <errorID>3dc270a6-45a3-4b1b-9ec1-f8df0f8706e1</errorID>
      <errorWord>）</errorWord>
      <group>L1_Format</group>
      <groupName>格式问题</groupName>
      <ability>L2_HalfPunc_CN</ability>
      <abilityName>全半角问题</abilityName>
      <candidateList>
        <item>)</item>
      </candidateList>
      <explain>文本全半角错误。</explain>
      <paraID> D7E1134</paraID>
      <start>6</start>
      <end>7</end>
      <status>ignored</status>
      <modifiedWord/>
      <trackRevisions>false</trackRevisions>
    </reviewItem>
    <reviewItem>
      <errorID>700e4be8-8190-4ba5-953e-bf1f49ac3d88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72FDBF93</paraID>
      <start>0</start>
      <end>2</end>
      <status>ignored</status>
      <modifiedWord/>
      <trackRevisions>false</trackRevisions>
    </reviewItem>
    <reviewItem>
      <errorID>12765241-ade1-46a1-9ff0-3ce7d8939325</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91AC8E7</paraID>
      <start>105</start>
      <end>106</end>
      <status>unmodified</status>
      <modifiedWord/>
      <trackRevisions>false</trackRevisions>
    </reviewItem>
    <reviewItem>
      <errorID>96f58b3b-c6a1-4481-927a-d33e1d6b59a3</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91AC8E7</paraID>
      <start>127</start>
      <end>128</end>
      <status>unmodified</status>
      <modifiedWord/>
      <trackRevisions>false</trackRevisions>
    </reviewItem>
    <reviewItem>
      <errorID>af7e963a-2ae3-4c37-a261-c5249bb19c66</errorID>
      <errorWord>III类</errorWord>
      <group>L1_Knowledge</group>
      <groupName>知识性问题</groupName>
      <ability>L2_Knowledge</ability>
      <abilityName>其他知识</abilityName>
      <candidateList>
        <item>Ⅲ类</item>
      </candidateList>
      <explain>中文环境下罗马数字格式错误。</explain>
      <paraID>16D9AB7F</paraID>
      <start>67</start>
      <end>69</end>
      <status>modified</status>
      <modifiedWord>Ⅲ类</modifiedWord>
      <trackRevisions>false</trackRevisions>
    </reviewItem>
    <reviewItem>
      <errorID>66e5aa71-f1db-44be-863a-4b3908586f8a</errorID>
      <errorWord>IV类</errorWord>
      <group>L1_Knowledge</group>
      <groupName>知识性问题</groupName>
      <ability>L2_Knowledge</ability>
      <abilityName>其他知识</abilityName>
      <candidateList>
        <item>Ⅳ类</item>
      </candidateList>
      <explain>中文环境下罗马数字格式错误。</explain>
      <paraID>16D9AB7F</paraID>
      <start>152</start>
      <end>154</end>
      <status>modified</status>
      <modifiedWord>Ⅳ类</modifiedWord>
      <trackRevisions>false</trackRevisions>
    </reviewItem>
    <reviewItem>
      <errorID>e59f0315-686f-4407-aac4-54138293acb8</errorID>
      <errorWord>IV类</errorWord>
      <group>L1_Knowledge</group>
      <groupName>知识性问题</groupName>
      <ability>L2_Knowledge</ability>
      <abilityName>其他知识</abilityName>
      <candidateList>
        <item>Ⅳ类</item>
      </candidateList>
      <explain>中文环境下罗马数字格式错误。</explain>
      <paraID>2C693F24</paraID>
      <start>20</start>
      <end>22</end>
      <status>modified</status>
      <modifiedWord>Ⅳ类</modifiedWord>
      <trackRevisions>false</trackRevisions>
    </reviewItem>
    <reviewItem>
      <errorID>bbe40b26-1aeb-4019-a86b-2cb949bf4cd5</errorID>
      <errorWord>II类</errorWord>
      <group>L1_Knowledge</group>
      <groupName>知识性问题</groupName>
      <ability>L2_Knowledge</ability>
      <abilityName>其他知识</abilityName>
      <candidateList>
        <item>Ⅱ类</item>
      </candidateList>
      <explain>中文环境下罗马数字格式错误。</explain>
      <paraID>50772B67</paraID>
      <start>128</start>
      <end>130</end>
      <status>modified</status>
      <modifiedWord>Ⅱ类</modifiedWord>
      <trackRevisions>false</trackRevisions>
    </reviewItem>
    <reviewItem>
      <errorID>40706f4b-ec93-40d2-a20f-98074c94e49d</errorID>
      <errorWord>II类</errorWord>
      <group>L1_Knowledge</group>
      <groupName>知识性问题</groupName>
      <ability>L2_Knowledge</ability>
      <abilityName>其他知识</abilityName>
      <candidateList>
        <item>Ⅱ类</item>
      </candidateList>
      <explain>中文环境下罗马数字格式错误。</explain>
      <paraID>50772B67</paraID>
      <start>141</start>
      <end>143</end>
      <status>modified</status>
      <modifiedWord>Ⅱ类</modifiedWord>
      <trackRevisions>false</trackRevisions>
    </reviewItem>
    <reviewItem>
      <errorID>f74a5730-9c38-4275-bbe1-f7a7453b972b</errorID>
      <errorWord>IV类</errorWord>
      <group>L1_Knowledge</group>
      <groupName>知识性问题</groupName>
      <ability>L2_Knowledge</ability>
      <abilityName>其他知识</abilityName>
      <candidateList>
        <item>Ⅳ类</item>
      </candidateList>
      <explain>中文环境下罗马数字格式错误。</explain>
      <paraID>3FB162B5</paraID>
      <start>48</start>
      <end>50</end>
      <status>modified</status>
      <modifiedWord>Ⅳ类</modifiedWord>
      <trackRevisions>false</trackRevisions>
    </reviewItem>
    <reviewItem>
      <errorID>1f803118-5add-4e47-b599-95f4f92282ea</errorID>
      <errorWord>IV类</errorWord>
      <group>L1_Knowledge</group>
      <groupName>知识性问题</groupName>
      <ability>L2_Knowledge</ability>
      <abilityName>其他知识</abilityName>
      <candidateList>
        <item>Ⅳ类</item>
      </candidateList>
      <explain>中文环境下罗马数字格式错误。</explain>
      <paraID>3FB162B5</paraID>
      <start>126</start>
      <end>128</end>
      <status>modified</status>
      <modifiedWord>Ⅳ类</modifiedWord>
      <trackRevisions>false</trackRevisions>
    </reviewItem>
    <reviewItem>
      <errorID>bf0c8736-152f-494b-bd12-d30f04ad6fce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4651852E</paraID>
      <start>0</start>
      <end>2</end>
      <status>ignored</status>
      <modifiedWord/>
      <trackRevisions>false</trackRevisions>
    </reviewItem>
    <reviewItem>
      <errorID>8ef6243d-896f-4405-bd28-0c3788db693c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71F80180</paraID>
      <start>0</start>
      <end>2</end>
      <status>ignored</status>
      <modifiedWord/>
      <trackRevisions>false</trackRevisions>
    </reviewItem>
    <reviewItem>
      <errorID>2c82f91c-a99a-4ab1-b2c0-b08e8addad8c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582E34A1</paraID>
      <start>0</start>
      <end>2</end>
      <status>ignored</status>
      <modifiedWord/>
      <trackRevisions>false</trackRevisions>
    </reviewItem>
    <reviewItem>
      <errorID>736f8b49-60ca-4e23-8fb2-9be89fb0206e</errorID>
      <errorWord>、和</errorWord>
      <group>L1_Punc</group>
      <groupName>标点问题</groupName>
      <ability>L2_Punc_CN</ability>
      <abilityName>标点符号问题</abilityName>
      <candidateList>
        <item>和</item>
      </candidateList>
      <explain>“及”“和”“等”连词前不宜使用顿号，建议删除（或使用逗号）。</explain>
      <paraID>6081DE2A</paraID>
      <start>70</start>
      <end>72</end>
      <status>unmodified</status>
      <modifiedWord/>
      <trackRevisions>false</trackRevisions>
    </reviewItem>
    <reviewItem>
      <errorID>021e59b7-709f-4a7f-b476-458d20850b6f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41BBD957</paraID>
      <start>0</start>
      <end>2</end>
      <status>ignored</status>
      <modifiedWord/>
      <trackRevisions>false</trackRevisions>
    </reviewItem>
    <reviewItem>
      <errorID>1568ad15-a19e-4a74-92fa-cb115ee95fb6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611EC27C</paraID>
      <start>0</start>
      <end>2</end>
      <status>ignored</status>
      <modifiedWord/>
      <trackRevisions>false</trackRevisions>
    </reviewItem>
    <reviewItem>
      <errorID>35a3074c-f4f8-4967-a499-036e7f1735b1</errorID>
      <errorWord>(</errorWord>
      <group>L1_Format</group>
      <groupName>格式问题</groupName>
      <ability>L2_HalfPunc_CN</ability>
      <abilityName>全半角问题</abilityName>
      <candidateList>
        <item>（</item>
      </candidateList>
      <explain>文本全半角错误。</explain>
      <paraID>342EAD51</paraID>
      <start>42</start>
      <end>43</end>
      <status>ignored</status>
      <modifiedWord/>
      <trackRevisions>false</trackRevisions>
    </reviewItem>
    <reviewItem>
      <errorID>330743e5-d25b-4455-9e23-93fd67c1a9a5</errorID>
      <errorWord>)</errorWord>
      <group>L1_Format</group>
      <groupName>格式问题</groupName>
      <ability>L2_HalfPunc_CN</ability>
      <abilityName>全半角问题</abilityName>
      <candidateList>
        <item>）</item>
      </candidateList>
      <explain>文本全半角错误。</explain>
      <paraID>342EAD51</paraID>
      <start>56</start>
      <end>57</end>
      <status>ignored</status>
      <modifiedWord/>
      <trackRevisions>false</trackRevisions>
    </reviewItem>
    <reviewItem>
      <errorID>2787ca29-58cf-4da7-ac25-d58b291fa7a5</errorID>
      <errorWord>(</errorWord>
      <group>L1_Format</group>
      <groupName>格式问题</groupName>
      <ability>L2_HalfPunc_CN</ability>
      <abilityName>全半角问题</abilityName>
      <candidateList>
        <item>（</item>
      </candidateList>
      <explain>文本全半角错误。</explain>
      <paraID>342EAD51</paraID>
      <start>92</start>
      <end>93</end>
      <status>ignored</status>
      <modifiedWord/>
      <trackRevisions>false</trackRevisions>
    </reviewItem>
    <reviewItem>
      <errorID>08c8c5e5-7faa-4ca8-8b45-52559ae731ad</errorID>
      <errorWord>)</errorWord>
      <group>L1_Format</group>
      <groupName>格式问题</groupName>
      <ability>L2_HalfPunc_CN</ability>
      <abilityName>全半角问题</abilityName>
      <candidateList>
        <item>）</item>
      </candidateList>
      <explain>文本全半角错误。</explain>
      <paraID>342EAD51</paraID>
      <start>104</start>
      <end>105</end>
      <status>ignored</status>
      <modifiedWord/>
      <trackRevisions>false</trackRevisions>
    </reviewItem>
    <reviewItem>
      <errorID>7e520924-e354-4636-aa23-146fe289c8f7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3F4FAE79</paraID>
      <start>0</start>
      <end>2</end>
      <status>ignored</status>
      <modifiedWord/>
      <trackRevisions>false</trackRevisions>
    </reviewItem>
    <reviewItem>
      <errorID>5e772524-b641-4fe9-a68c-b15b912d2ea6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33E35850</paraID>
      <start>0</start>
      <end>2</end>
      <status>ignored</status>
      <modifiedWord/>
      <trackRevisions>false</trackRevisions>
    </reviewItem>
    <reviewItem>
      <errorID>12dd3359-ce99-4598-b75c-236cfed030e2</errorID>
      <errorWord>60%~70%</errorWord>
      <group>L1_Knowledge</group>
      <groupName>知识性问题</groupName>
      <ability>L2_Knowledge</ability>
      <abilityName>其他知识</abilityName>
      <candidateList>
        <item>60%～70%</item>
      </candidateList>
      <explain>1. “60%~70%”中的单位“%”仅出现在后一个数字上，容易引起歧义；根据《现代汉语标点符号数字用法规范手册》，数字表示范围两边需要使用统一的格式。2. 根据标点国标 4.13 中的规则，数字、时间或地域连接符应使用（视觉上更长的）“—”或“～”。</explain>
      <paraID>5F23C1EA</paraID>
      <start>75</start>
      <end>82</end>
      <status>unmodified</status>
      <modifiedWord/>
      <trackRevisions>false</trackRevisions>
    </reviewItem>
    <reviewItem>
      <errorID>5bf73f0e-79b9-4088-918e-f3c060e2e813</errorID>
      <errorWord>-</errorWord>
      <group>L1_Format</group>
      <groupName>格式问题</groupName>
      <ability>L2_HalfPunc_CN</ability>
      <abilityName>全半角问题</abilityName>
      <candidateList>
        <item>－</item>
      </candidateList>
      <explain>文本全半角错误。</explain>
      <paraID>6B237969</paraID>
      <start>2</start>
      <end>3</end>
      <status>unmodified</status>
      <modifiedWord/>
      <trackRevisions>false</trackRevisions>
    </reviewItem>
    <reviewItem>
      <errorID>97ba7181-db0f-4bef-9051-8a85e95fdb29</errorID>
      <errorWord>-</errorWord>
      <group>L1_Format</group>
      <groupName>格式问题</groupName>
      <ability>L2_HalfPunc_CN</ability>
      <abilityName>全半角问题</abilityName>
      <candidateList>
        <item>－</item>
      </candidateList>
      <explain>文本全半角错误。</explain>
      <paraID>6B237969</paraID>
      <start>5</start>
      <end>6</end>
      <status>unmodified</status>
      <modifiedWord/>
      <trackRevisions>false</trackRevisions>
    </reviewItem>
    <reviewItem>
      <errorID>07280baa-58b5-4f82-bedd-9583c487259a</errorID>
      <errorWord>-</errorWord>
      <group>L1_Format</group>
      <groupName>格式问题</groupName>
      <ability>L2_HalfPunc_CN</ability>
      <abilityName>全半角问题</abilityName>
      <candidateList>
        <item>－</item>
      </candidateList>
      <explain>文本全半角错误。</explain>
      <paraID>6B237969</paraID>
      <start>13</start>
      <end>14</end>
      <status>unmodified</status>
      <modifiedWord/>
      <trackRevisions>false</trackRevisions>
    </reviewItem>
    <reviewItem>
      <errorID>6ec80e6c-6216-4d92-b1fd-d18340948b23</errorID>
      <errorWord>~</errorWord>
      <group>L1_Format</group>
      <groupName>格式问题</groupName>
      <ability>L2_HalfPunc_CN</ability>
      <abilityName>全半角问题</abilityName>
      <candidateList>
        <item>～</item>
      </candidateList>
      <explain>文本全半角错误。</explain>
      <paraID>7F98E315</paraID>
      <start>112</start>
      <end>113</end>
      <status>unmodified</status>
      <modifiedWord/>
      <trackRevisions>false</trackRevisions>
    </reviewItem>
    <reviewItem>
      <errorID>db0761cd-2aa4-4c41-a24b-b331d8c738ea</errorID>
      <errorWord>~</errorWord>
      <group>L1_Format</group>
      <groupName>格式问题</groupName>
      <ability>L2_HalfPunc_CN</ability>
      <abilityName>全半角问题</abilityName>
      <candidateList>
        <item>～</item>
      </candidateList>
      <explain>文本全半角错误。</explain>
      <paraID>7F98E315</paraID>
      <start>130</start>
      <end>131</end>
      <status>unmodified</status>
      <modifiedWord/>
      <trackRevisions>false</trackRevisions>
    </reviewItem>
    <reviewItem>
      <errorID>ee9b2870-f242-4680-9ec5-5902ec2a7c5c</errorID>
      <errorWord>~</errorWord>
      <group>L1_Format</group>
      <groupName>格式问题</groupName>
      <ability>L2_HalfPunc_CN</ability>
      <abilityName>全半角问题</abilityName>
      <candidateList>
        <item>～</item>
      </candidateList>
      <explain>文本全半角错误。</explain>
      <paraID>7F98E315</paraID>
      <start>148</start>
      <end>149</end>
      <status>unmodified</status>
      <modifiedWord/>
      <trackRevisions>false</trackRevisions>
    </reviewItem>
    <reviewItem>
      <errorID>0e734871-eabd-4da5-a879-4236a13b415b</errorID>
      <errorWord>~</errorWord>
      <group>L1_Format</group>
      <groupName>格式问题</groupName>
      <ability>L2_HalfPunc_CN</ability>
      <abilityName>全半角问题</abilityName>
      <candidateList>
        <item>～</item>
      </candidateList>
      <explain>文本全半角错误。</explain>
      <paraID>7F98E315</paraID>
      <start>165</start>
      <end>166</end>
      <status>unmodified</status>
      <modifiedWord/>
      <trackRevisions>false</trackRevisions>
    </reviewItem>
    <reviewItem>
      <errorID>17545d30-e3fc-44c0-8e9c-191f451b63b6</errorID>
      <errorWord>~</errorWord>
      <group>L1_Format</group>
      <groupName>格式问题</groupName>
      <ability>L2_HalfPunc_CN</ability>
      <abilityName>全半角问题</abilityName>
      <candidateList>
        <item>～</item>
      </candidateList>
      <explain>文本全半角错误。</explain>
      <paraID>7F98E315</paraID>
      <start>183</start>
      <end>184</end>
      <status>unmodified</status>
      <modifiedWord/>
      <trackRevisions>false</trackRevisions>
    </reviewItem>
    <reviewItem>
      <errorID>b1d043c9-bede-4422-bdda-2aff2b5eb20b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45F2CB3F</paraID>
      <start>0</start>
      <end>2</end>
      <status>ignored</status>
      <modifiedWord/>
      <trackRevisions>false</trackRevisions>
    </reviewItem>
    <reviewItem>
      <errorID>f22a2166-ef09-4158-b561-46d81ba5fa49</errorID>
      <errorWord>15%~20%</errorWord>
      <group>L1_Knowledge</group>
      <groupName>知识性问题</groupName>
      <ability>L2_Knowledge</ability>
      <abilityName>其他知识</abilityName>
      <candidateList>
        <item>15%～20%</item>
      </candidateList>
      <explain>1. “15%~20%”中的单位“%”仅出现在后一个数字上，容易引起歧义；根据《现代汉语标点符号数字用法规范手册》，数字表示范围两边需要使用统一的格式。2. 根据标点国标 4.13 中的规则，数字、时间或地域连接符应使用（视觉上更长的）“—”或“～”。</explain>
      <paraID>5926317E</paraID>
      <start>0</start>
      <end>7</end>
      <status>unmodified</status>
      <modifiedWord/>
      <trackRevisions>false</trackRevisions>
    </reviewItem>
    <reviewItem>
      <errorID>cf1318af-f842-481b-b995-2377fef42b2f</errorID>
      <errorWord>10%~15%</errorWord>
      <group>L1_Knowledge</group>
      <groupName>知识性问题</groupName>
      <ability>L2_Knowledge</ability>
      <abilityName>其他知识</abilityName>
      <candidateList>
        <item>10%～15%</item>
      </candidateList>
      <explain>1. “10%~15%”中的单位“%”仅出现在后一个数字上，容易引起歧义；根据《现代汉语标点符号数字用法规范手册》，数字表示范围两边需要使用统一的格式。2. 根据标点国标 4.13 中的规则，数字、时间或地域连接符应使用（视觉上更长的）“—”或“～”。</explain>
      <paraID>14F48A6B</paraID>
      <start>0</start>
      <end>7</end>
      <status>unmodified</status>
      <modifiedWord/>
      <trackRevisions>false</trackRevisions>
    </reviewItem>
    <reviewItem>
      <errorID>11c5116c-1ad7-403b-a0ec-b0abdbd17de6</errorID>
      <errorWord>40%~50%</errorWord>
      <group>L1_Knowledge</group>
      <groupName>知识性问题</groupName>
      <ability>L2_Knowledge</ability>
      <abilityName>其他知识</abilityName>
      <candidateList>
        <item>40%～50%</item>
      </candidateList>
      <explain>1. “40%~50%”中的单位“%”仅出现在后一个数字上，容易引起歧义；根据《现代汉语标点符号数字用法规范手册》，数字表示范围两边需要使用统一的格式。2. 根据标点国标 4.13 中的规则，数字、时间或地域连接符应使用（视觉上更长的）“—”或“～”。</explain>
      <paraID>259AC670</paraID>
      <start>0</start>
      <end>7</end>
      <status>unmodified</status>
      <modifiedWord/>
      <trackRevisions>false</trackRevisions>
    </reviewItem>
    <reviewItem>
      <errorID>08a24264-3888-48e1-ac03-3ff6d6566d31</errorID>
      <errorWord>80%~90%</errorWord>
      <group>L1_Knowledge</group>
      <groupName>知识性问题</groupName>
      <ability>L2_Knowledge</ability>
      <abilityName>其他知识</abilityName>
      <candidateList>
        <item>80%～90%</item>
      </candidateList>
      <explain>1. “80%~90%”中的单位“%”仅出现在后一个数字上，容易引起歧义；根据《现代汉语标点符号数字用法规范手册》，数字表示范围两边需要使用统一的格式。2. 根据标点国标 4.13 中的规则，数字、时间或地域连接符应使用（视觉上更长的）“—”或“～”。</explain>
      <paraID>208DDABB</paraID>
      <start>0</start>
      <end>7</end>
      <status>unmodified</status>
      <modifiedWord/>
      <trackRevisions>false</trackRevisions>
    </reviewItem>
    <reviewItem>
      <errorID>e17945dc-9d61-4e75-a60d-94a5da4271ef</errorID>
      <errorWord>20%~30%</errorWord>
      <group>L1_Knowledge</group>
      <groupName>知识性问题</groupName>
      <ability>L2_Knowledge</ability>
      <abilityName>其他知识</abilityName>
      <candidateList>
        <item>20%～30%</item>
      </candidateList>
      <explain>1. “20%~30%”中的单位“%”仅出现在后一个数字上，容易引起歧义；根据《现代汉语标点符号数字用法规范手册》，数字表示范围两边需要使用统一的格式。2. 根据标点国标 4.13 中的规则，数字、时间或地域连接符应使用（视觉上更长的）“—”或“～”。</explain>
      <paraID>33028BE8</paraID>
      <start>0</start>
      <end>7</end>
      <status>unmodified</status>
      <modifiedWord/>
      <trackRevisions>false</trackRevisions>
    </reviewItem>
    <reviewItem>
      <errorID>9f71d539-4fef-4ffa-8177-04e150fe7bbb</errorID>
      <errorWord>15%~25%</errorWord>
      <group>L1_Knowledge</group>
      <groupName>知识性问题</groupName>
      <ability>L2_Knowledge</ability>
      <abilityName>其他知识</abilityName>
      <candidateList>
        <item>15%～25%</item>
      </candidateList>
      <explain>1. “15%~25%”中的单位“%”仅出现在后一个数字上，容易引起歧义；根据《现代汉语标点符号数字用法规范手册》，数字表示范围两边需要使用统一的格式。2. 根据标点国标 4.13 中的规则，数字、时间或地域连接符应使用（视觉上更长的）“—”或“～”。</explain>
      <paraID>76EF45D4</paraID>
      <start>0</start>
      <end>7</end>
      <status>unmodified</status>
      <modifiedWord/>
      <trackRevisions>false</trackRevisions>
    </reviewItem>
    <reviewItem>
      <errorID>b87a4522-3e39-4b2e-ac43-664d717549e1</errorID>
      <errorWord>85%~90%</errorWord>
      <group>L1_Knowledge</group>
      <groupName>知识性问题</groupName>
      <ability>L2_Knowledge</ability>
      <abilityName>其他知识</abilityName>
      <candidateList>
        <item>85%～90%</item>
      </candidateList>
      <explain>1. “85%~90%”中的单位“%”仅出现在后一个数字上，容易引起歧义；根据《现代汉语标点符号数字用法规范手册》，数字表示范围两边需要使用统一的格式。2. 根据标点国标 4.13 中的规则，数字、时间或地域连接符应使用（视觉上更长的）“—”或“～”。</explain>
      <paraID>68F5F9E5</paraID>
      <start>0</start>
      <end>7</end>
      <status>unmodified</status>
      <modifiedWord/>
      <trackRevisions>false</trackRevisions>
    </reviewItem>
    <reviewItem>
      <errorID>812d6098-038b-4b72-a558-ca94648e3d43</errorID>
      <errorWord>85%~90%</errorWord>
      <group>L1_Knowledge</group>
      <groupName>知识性问题</groupName>
      <ability>L2_Knowledge</ability>
      <abilityName>其他知识</abilityName>
      <candidateList>
        <item>85%～90%</item>
      </candidateList>
      <explain>1. “85%~90%”中的单位“%”仅出现在后一个数字上，容易引起歧义；根据《现代汉语标点符号数字用法规范手册》，数字表示范围两边需要使用统一的格式。2. 根据标点国标 4.13 中的规则，数字、时间或地域连接符应使用（视觉上更长的）“—”或“～”。</explain>
      <paraID>12250E73</paraID>
      <start>0</start>
      <end>7</end>
      <status>unmodified</status>
      <modifiedWord/>
      <trackRevisions>false</trackRevisions>
    </reviewItem>
    <reviewItem>
      <errorID>2ba5eedf-7f45-441f-a40f-f5623e7cc2b4</errorID>
      <errorWord>70%~80%</errorWord>
      <group>L1_Knowledge</group>
      <groupName>知识性问题</groupName>
      <ability>L2_Knowledge</ability>
      <abilityName>其他知识</abilityName>
      <candidateList>
        <item>70%～80%</item>
      </candidateList>
      <explain>1. “70%~80%”中的单位“%”仅出现在后一个数字上，容易引起歧义；根据《现代汉语标点符号数字用法规范手册》，数字表示范围两边需要使用统一的格式。2. 根据标点国标 4.13 中的规则，数字、时间或地域连接符应使用（视觉上更长的）“—”或“～”。</explain>
      <paraID>610106D2</paraID>
      <start>0</start>
      <end>7</end>
      <status>unmodified</status>
      <modifiedWord/>
      <trackRevisions>false</trackRevisions>
    </reviewItem>
    <reviewItem>
      <errorID>a8d0dafd-2b0f-4ca1-8f6d-fdbb6b5501e5</errorID>
      <errorWord>60%~75%</errorWord>
      <group>L1_Knowledge</group>
      <groupName>知识性问题</groupName>
      <ability>L2_Knowledge</ability>
      <abilityName>其他知识</abilityName>
      <candidateList>
        <item>60%～75%</item>
      </candidateList>
      <explain>1. “60%~75%”中的单位“%”仅出现在后一个数字上，容易引起歧义；根据《现代汉语标点符号数字用法规范手册》，数字表示范围两边需要使用统一的格式。2. 根据标点国标 4.13 中的规则，数字、时间或地域连接符应使用（视觉上更长的）“—”或“～”。</explain>
      <paraID>705F2447</paraID>
      <start>0</start>
      <end>7</end>
      <status>unmodified</status>
      <modifiedWord/>
      <trackRevisions>false</trackRevisions>
    </reviewItem>
    <reviewItem>
      <errorID>381e23e5-933f-4b1b-b3fc-c28661fbcbfc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24E79E1E</paraID>
      <start>0</start>
      <end>2</end>
      <status>ignored</status>
      <modifiedWord/>
      <trackRevisions>false</trackRevisions>
    </reviewItem>
    <reviewItem>
      <errorID>120ca6ca-a71f-45a5-ac52-ae83e30a88b9</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620D13DF</paraID>
      <start>63</start>
      <end>64</end>
      <status>unmodified</status>
      <modifiedWord/>
      <trackRevisions>false</trackRevisions>
    </reviewItem>
    <reviewItem>
      <errorID>5286e24d-ef1f-4d7b-87dd-cd000c85bb66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3BD7830D</paraID>
      <start>0</start>
      <end>2</end>
      <status>ignored</status>
      <modifiedWord/>
      <trackRevisions>false</trackRevisions>
    </reviewItem>
    <reviewItem>
      <errorID>364b181a-c04c-4991-b8f6-8f97a59919ff</errorID>
      <errorWord>釆</errorWord>
      <group>L1_Word</group>
      <groupName>字词问题</groupName>
      <ability>L2_Typo</ability>
      <abilityName>字词错误</abilityName>
      <candidateList>
        <item>采</item>
      </candidateList>
      <explain/>
      <paraID>2BF0EB0D</paraID>
      <start>45</start>
      <end>46</end>
      <status>unmodified</status>
      <modifiedWord/>
      <trackRevisions>false</trackRevisions>
    </reviewItem>
    <reviewItem>
      <errorID>16b6bca3-6e51-48e1-8e9f-632eec1fc057</errorID>
      <errorWord>、</errorWord>
      <group>L1_Punc</group>
      <groupName>标点问题</groupName>
      <ability>L2_Punc_CN</ability>
      <abilityName>标点符号问题</abilityName>
      <candidateList>
        <item>.</item>
      </candidateList>
      <explain/>
      <paraID>2EE182F9</paraID>
      <start>1</start>
      <end>2</end>
      <status>unmodified</status>
      <modifiedWord/>
      <trackRevisions>false</trackRevisions>
    </reviewItem>
    <reviewItem>
      <errorID>f5657aa6-d651-45d5-a423-5fac98f18ebe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282E0170</paraID>
      <start>0</start>
      <end>2</end>
      <status>ignored</status>
      <modifiedWord/>
      <trackRevisions>false</trackRevisions>
    </reviewItem>
    <reviewItem>
      <errorID>65ca5ca8-d1cb-4bbb-85c9-3505e115f52f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47EF7204</paraID>
      <start>0</start>
      <end>2</end>
      <status>ignored</status>
      <modifiedWord/>
      <trackRevisions>false</trackRevisions>
    </reviewItem>
    <reviewItem>
      <errorID>61de245c-d32e-4f86-8fd9-183d49dc64cc</errorID>
      <errorWord>（</errorWord>
      <group>L1_Punc</group>
      <groupName>标点问题</groupName>
      <ability>L2_Punc_CN</ability>
      <abilityName>标点符号问题</abilityName>
      <candidateList/>
      <explain>同一形式括号套用。</explain>
      <paraID>208EE00E</paraID>
      <start>6</start>
      <end>7</end>
      <status>unmodified</status>
      <modifiedWord/>
      <trackRevisions>false</trackRevisions>
    </reviewItem>
    <reviewItem>
      <errorID>42430ef6-effb-43df-9466-99fb46e7e918</errorID>
      <errorWord>）</errorWord>
      <group>L1_Punc</group>
      <groupName>标点问题</groupName>
      <ability>L2_Punc_CN</ability>
      <abilityName>标点符号问题</abilityName>
      <candidateList/>
      <explain>同一形式括号套用。</explain>
      <paraID>208EE00E</paraID>
      <start>8</start>
      <end>9</end>
      <status>unmodified</status>
      <modifiedWord/>
      <trackRevisions>false</trackRevisions>
    </reviewItem>
    <reviewItem>
      <errorID>91c6c286-0e9f-4fc8-8649-cfe1267a3afc</errorID>
      <errorWord>（</errorWord>
      <group>L1_Punc</group>
      <groupName>标点问题</groupName>
      <ability>L2_Punc_CN</ability>
      <abilityName>标点符号问题</abilityName>
      <candidateList/>
      <explain>同一形式括号套用。</explain>
      <paraID> 78F52CB</paraID>
      <start>7</start>
      <end>8</end>
      <status>unmodified</status>
      <modifiedWord/>
      <trackRevisions>false</trackRevisions>
    </reviewItem>
    <reviewItem>
      <errorID>2d77ce7f-dd2d-40e5-b0f5-185134fbed8c</errorID>
      <errorWord>）</errorWord>
      <group>L1_Punc</group>
      <groupName>标点问题</groupName>
      <ability>L2_Punc_CN</ability>
      <abilityName>标点符号问题</abilityName>
      <candidateList/>
      <explain>同一形式括号套用。</explain>
      <paraID> 78F52CB</paraID>
      <start>9</start>
      <end>10</end>
      <status>unmodified</status>
      <modifiedWord/>
      <trackRevisions>false</trackRevisions>
    </reviewItem>
    <reviewItem>
      <errorID>042bdb1c-115d-4dc0-9ada-d96edac93310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1B697072</paraID>
      <start>0</start>
      <end>2</end>
      <status>ignored</status>
      <modifiedWord/>
      <trackRevisions>false</trackRevisions>
    </reviewItem>
    <reviewItem>
      <errorID>154d7880-5674-4e4c-bc5a-bae3c70e1fac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47658A3D</paraID>
      <start>0</start>
      <end>2</end>
      <status>ignored</status>
      <modifiedWord/>
      <trackRevisions>false</trackRevisions>
    </reviewItem>
    <reviewItem>
      <errorID>944a2b26-b8fe-4cbf-bc7e-831d9cad4ccb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25DBDB90</paraID>
      <start>0</start>
      <end>2</end>
      <status>ignored</status>
      <modifiedWord/>
      <trackRevisions>false</trackRevisions>
    </reviewItem>
    <reviewItem>
      <errorID>c17f24a7-af61-4d55-a71b-69a5ee6fba15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403E0BAF</paraID>
      <start>0</start>
      <end>2</end>
      <status>ignored</status>
      <modifiedWord/>
      <trackRevisions>false</trackRevisions>
    </reviewItem>
    <reviewItem>
      <errorID>c6fbabf1-3109-475d-ae1d-92454820d9ac</errorID>
      <errorWord>紫外光</errorWord>
      <group>L1_Word</group>
      <groupName>字词问题</groupName>
      <ability>L2_Typo</ability>
      <abilityName>字词错误</abilityName>
      <candidateList>
        <item>紫外线</item>
      </candidateList>
      <explain/>
      <paraID>77316389</paraID>
      <start>8</start>
      <end>11</end>
      <status>unmodified</status>
      <modifiedWord/>
      <trackRevisions>false</trackRevisions>
    </reviewItem>
    <reviewItem>
      <errorID>17ce7f62-482f-4cc0-934d-e66f28c77182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6D9810DA</paraID>
      <start>0</start>
      <end>2</end>
      <status>ignored</status>
      <modifiedWord/>
      <trackRevisions>false</trackRevisions>
    </reviewItem>
    <reviewItem>
      <errorID>7256087b-68ff-4414-9cec-9ef4789fb410</errorID>
      <errorWord>须</errorWord>
      <group>L1_Word</group>
      <groupName>字词问题</groupName>
      <ability>L2_Typo</ability>
      <abilityName>字词错误</abilityName>
      <candidateList>
        <item>需</item>
      </candidateList>
      <explain>存在发音相同字词的误用。</explain>
      <paraID>399F1827</paraID>
      <start>26</start>
      <end>27</end>
      <status>unmodified</status>
      <modifiedWord/>
      <trackRevisions>false</trackRevisions>
    </reviewItem>
    <reviewItem>
      <errorID>e3bed2b4-efe6-4434-bcd4-ce279ef2d931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694AB501</paraID>
      <start>0</start>
      <end>2</end>
      <status>unmodified</status>
      <modifiedWord/>
      <trackRevisions>false</trackRevisions>
    </reviewItem>
    <reviewItem>
      <errorID>976e54a5-73ba-4de2-8dda-8a020d953740</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4FF7FC07</paraID>
      <start>0</start>
      <end>2</end>
      <status>unmodified</status>
      <modifiedWord/>
      <trackRevisions>false</trackRevisions>
    </reviewItem>
    <reviewItem>
      <errorID>74a19216-016a-4822-8e45-4ec1a6f99dfc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5F51F5D8</paraID>
      <start>0</start>
      <end>2</end>
      <status>ignored</status>
      <modifiedWord/>
      <trackRevisions>false</trackRevisions>
    </reviewItem>
    <reviewItem>
      <errorID>6d17a4ae-023c-4bbf-8bef-336f1edeeb8e</errorID>
      <errorWord>应</errorWord>
      <group>L1_Word</group>
      <groupName>字词问题</groupName>
      <ability>L2_Typo</ability>
      <abilityName>字词错误</abilityName>
      <candidateList>
        <item>应当</item>
      </candidateList>
      <explain/>
      <paraID>151EC79C</paraID>
      <start>141</start>
      <end>143</end>
      <status>modified</status>
      <modifiedWord>应当</modifiedWord>
      <trackRevisions>false</trackRevisions>
    </reviewItem>
    <reviewItem>
      <errorID>d28729a0-1a1a-4432-a10d-b6d2cd2d5dae</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673CDCBC</paraID>
      <start>24</start>
      <end>25</end>
      <status>ignored</status>
      <modifiedWord/>
      <trackRevisions>false</trackRevisions>
    </reviewItem>
    <reviewItem>
      <errorID>cef75733-fd2f-430d-ae7a-ef7e8d025ecd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1F51520F</paraID>
      <start>79</start>
      <end>80</end>
      <status>ignored</status>
      <modifiedWord/>
      <trackRevisions>false</trackRevisions>
    </reviewItem>
    <reviewItem>
      <errorID>d0cbe4ad-c2b2-4c9f-8a0c-99e07bb05c8f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410EA396</paraID>
      <start>0</start>
      <end>2</end>
      <status>ignored</status>
      <modifiedWord/>
      <trackRevisions>false</trackRevisions>
    </reviewItem>
    <reviewItem>
      <errorID>f7d4b076-410d-4786-bd37-07c9c9364528</errorID>
      <errorWord>-</errorWord>
      <group>L1_Format</group>
      <groupName>格式问题</groupName>
      <ability>L2_HalfPunc_CN</ability>
      <abilityName>全半角问题</abilityName>
      <candidateList>
        <item>－</item>
      </candidateList>
      <explain>文本全半角错误。</explain>
      <paraID>7123463F</paraID>
      <start>11</start>
      <end>12</end>
      <status>ignored</status>
      <modifiedWord/>
      <trackRevisions>false</trackRevisions>
    </reviewItem>
    <reviewItem>
      <errorID>1ca74bd2-40d1-46ed-aca4-82d2241f7256</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3841D0C7</paraID>
      <start>45</start>
      <end>46</end>
      <status>ignored</status>
      <modifiedWord/>
      <trackRevisions>false</trackRevisions>
    </reviewItem>
    <reviewItem>
      <errorID>3cfa104c-1521-4d9c-88d7-2117d3d34a08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3841D0C7</paraID>
      <start>101</start>
      <end>102</end>
      <status>ignored</status>
      <modifiedWord/>
      <trackRevisions>false</trackRevisions>
    </reviewItem>
    <reviewItem>
      <errorID>d0c2a186-3a1a-4529-82f4-3588ace3c443</errorID>
      <errorWord>其它人工</errorWord>
      <group>L1_Word</group>
      <groupName>字词问题</groupName>
      <ability>L2_Alias</ability>
      <abilityName>也作/曾用词</abilityName>
      <candidateList>
        <item>其他人工</item>
      </candidateList>
      <explain>词汇[其它人工]为不规范表述或旧称，其规范书面表述为[其他人工]。</explain>
      <paraID>6CFA9CEB</paraID>
      <start>36</start>
      <end>40</end>
      <status>ignored</status>
      <modifiedWord/>
      <trackRevisions>false</trackRevisions>
    </reviewItem>
    <reviewItem>
      <errorID>442238c8-01a8-467c-88f7-35c65e30db5b</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6CFA9CEB</paraID>
      <start>52</start>
      <end>53</end>
      <status>ignored</status>
      <modifiedWord/>
      <trackRevisions>false</trackRevisions>
    </reviewItem>
    <reviewItem>
      <errorID>87cb497b-a5b6-4998-aa5a-7b01a0a7d836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B63C771</paraID>
      <start>0</start>
      <end>2</end>
      <status>ignored</status>
      <modifiedWord/>
      <trackRevisions>false</trackRevisions>
    </reviewItem>
    <reviewItem>
      <errorID>ead49134-c512-41ef-9955-40b589d5b4ee</errorID>
      <errorWord>，…，</errorWord>
      <group>L1_Punc</group>
      <groupName>标点问题</groupName>
      <ability>L2_Punc_CN</ability>
      <abilityName>标点符号问题</abilityName>
      <candidateList>
        <item>，</item>
      </candidateList>
      <explain/>
      <paraID>3724B167</paraID>
      <start>8</start>
      <end>11</end>
      <status>unmodified</status>
      <modifiedWord/>
      <trackRevisions>false</trackRevisions>
    </reviewItem>
    <reviewItem>
      <errorID>3eb0013e-f2c6-4498-928a-2ccbb7f26849</errorID>
      <errorWord>，…，</errorWord>
      <group>L1_Punc</group>
      <groupName>标点问题</groupName>
      <ability>L2_Punc_CN</ability>
      <abilityName>标点符号问题</abilityName>
      <candidateList>
        <item>，</item>
      </candidateList>
      <explain/>
      <paraID>6001D70E</paraID>
      <start>8</start>
      <end>11</end>
      <status>unmodified</status>
      <modifiedWord/>
      <trackRevisions>false</trackRevisions>
    </reviewItem>
    <reviewItem>
      <errorID>1dd6e3d0-5749-4709-b77a-b52ef81c013f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F694A16</paraID>
      <start>0</start>
      <end>2</end>
      <status>ignored</status>
      <modifiedWord/>
      <trackRevisions>false</trackRevisions>
    </reviewItem>
    <reviewItem>
      <errorID>704d4316-5a09-4f4d-a59b-e21e01b97273</errorID>
      <errorWord>程</errorWord>
      <group>L1_Word</group>
      <groupName>字词问题</groupName>
      <ability>L2_Typo</ability>
      <abilityName>字词错误</abilityName>
      <candidateList>
        <item>程中</item>
      </candidateList>
      <explain/>
      <paraID>7630277F</paraID>
      <start>70</start>
      <end>71</end>
      <status>unmodified</status>
      <modifiedWord/>
      <trackRevisions>false</trackRevisions>
    </reviewItem>
    <reviewItem>
      <errorID>dc4d0a8c-f218-4dd5-b1bb-366ee416d222</errorID>
      <errorWord>泄露</errorWord>
      <group>L1_Word</group>
      <groupName>字词问题</groupName>
      <ability>L2_Typo</ability>
      <abilityName>字词错误</abilityName>
      <candidateList>
        <item>泄漏</item>
      </candidateList>
      <explain/>
      <paraID>48B03F20</paraID>
      <start>5</start>
      <end>7</end>
      <status>modified</status>
      <modifiedWord>泄漏</modifiedWord>
      <trackRevisions>false</trackRevisions>
    </reviewItem>
    <reviewItem>
      <errorID>50251755-279c-46be-9632-8791a7b705cd</errorID>
      <errorWord>泄露</errorWord>
      <group>L1_Word</group>
      <groupName>字词问题</groupName>
      <ability>L2_Typo</ability>
      <abilityName>字词错误</abilityName>
      <candidateList>
        <item>泄漏</item>
      </candidateList>
      <explain/>
      <paraID>48B03F20</paraID>
      <start>29</start>
      <end>31</end>
      <status>modified</status>
      <modifiedWord>泄漏</modifiedWord>
      <trackRevisions>false</trackRevisions>
    </reviewItem>
    <reviewItem>
      <errorID>fe6e0650-18ad-4a17-b5e7-7841a3dab59b</errorID>
      <errorWord>(</errorWord>
      <group>L1_Format</group>
      <groupName>格式问题</groupName>
      <ability>L2_HalfPunc_CN</ability>
      <abilityName>全半角问题</abilityName>
      <candidateList>
        <item>（</item>
      </candidateList>
      <explain>文本全半角错误。</explain>
      <paraID>6C7A7786</paraID>
      <start>39</start>
      <end>40</end>
      <status>ignored</status>
      <modifiedWord/>
      <trackRevisions>false</trackRevisions>
    </reviewItem>
    <reviewItem>
      <errorID>68ca67b3-72b2-4b95-b528-a58bd38590f8</errorID>
      <errorWord>)</errorWord>
      <group>L1_Format</group>
      <groupName>格式问题</groupName>
      <ability>L2_HalfPunc_CN</ability>
      <abilityName>全半角问题</abilityName>
      <candidateList>
        <item>）</item>
      </candidateList>
      <explain>文本全半角错误。</explain>
      <paraID>6C7A7786</paraID>
      <start>47</start>
      <end>48</end>
      <status>ignored</status>
      <modifiedWord/>
      <trackRevisions>false</trackRevisions>
    </reviewItem>
    <reviewItem>
      <errorID>e5f1fc5d-b10f-423b-a3f1-a30063ebfb00</errorID>
      <errorWord>(</errorWord>
      <group>L1_Format</group>
      <groupName>格式问题</groupName>
      <ability>L2_HalfPunc_CN</ability>
      <abilityName>全半角问题</abilityName>
      <candidateList>
        <item>（</item>
      </candidateList>
      <explain>文本全半角错误。</explain>
      <paraID>6C7A7786</paraID>
      <start>89</start>
      <end>90</end>
      <status>ignored</status>
      <modifiedWord/>
      <trackRevisions>false</trackRevisions>
    </reviewItem>
    <reviewItem>
      <errorID>c130ad13-e89b-4c7b-89ac-c566497248bf</errorID>
      <errorWord>)</errorWord>
      <group>L1_Format</group>
      <groupName>格式问题</groupName>
      <ability>L2_HalfPunc_CN</ability>
      <abilityName>全半角问题</abilityName>
      <candidateList>
        <item>）</item>
      </candidateList>
      <explain>文本全半角错误。</explain>
      <paraID>6C7A7786</paraID>
      <start>96</start>
      <end>97</end>
      <status>ignored</status>
      <modifiedWord/>
      <trackRevisions>false</trackRevisions>
    </reviewItem>
    <reviewItem>
      <errorID>f00c6d94-7124-42ba-8ad0-044b1b937ba8</errorID>
      <errorWord>，，</errorWord>
      <group>L1_Punc</group>
      <groupName>标点问题</groupName>
      <ability>L2_Punc_CN</ability>
      <abilityName>标点符号问题</abilityName>
      <candidateList>
        <item>，</item>
      </candidateList>
      <explain/>
      <paraID>720683B2</paraID>
      <start>48</start>
      <end>49</end>
      <status>modified</status>
      <modifiedWord>，</modifiedWord>
      <trackRevisions>false</trackRevisions>
    </reviewItem>
    <reviewItem>
      <errorID>38e4fbf7-94d6-4afb-8c92-24aa798869e2</errorID>
      <errorWord>》</errorWord>
      <group>L1_Word</group>
      <groupName>字词问题</groupName>
      <ability>L2_Typo</ability>
      <abilityName>字词错误</abilityName>
      <candidateList>
        <item>》等</item>
      </candidateList>
      <explain/>
      <paraID>7138C23C</paraID>
      <start>59</start>
      <end>61</end>
      <status>modified</status>
      <modifiedWord>》等</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c365200-4811-4aa8-8e38-9f8fdb252385}">
  <ds:schemaRefs/>
</ds:datastoreItem>
</file>

<file path=docProps/app.xml><?xml version="1.0" encoding="utf-8"?>
<Properties xmlns="http://schemas.openxmlformats.org/officeDocument/2006/extended-properties" xmlns:vt="http://schemas.openxmlformats.org/officeDocument/2006/docPropsVTypes">
  <Template>Normal.dotm</Template>
  <Pages>65</Pages>
  <Words>16534</Words>
  <Characters>18234</Characters>
  <Lines>329</Lines>
  <Paragraphs>92</Paragraphs>
  <TotalTime>7</TotalTime>
  <ScaleCrop>false</ScaleCrop>
  <LinksUpToDate>false</LinksUpToDate>
  <CharactersWithSpaces>18320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2026-06-25T06:38:00Z</dcterms:created>
  <dc:creator>盐汽水</dc:creator>
  <cp:lastModifiedBy>盐汽水</cp:lastModifiedBy>
  <cp:lastPrinted>2026-07-01T08:25:00Z</cp:lastPrinted>
  <dcterms:modified xsi:type="dcterms:W3CDTF">2026-07-28T03:20:23Z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0CFFB250330440AD8D936F094D3F8E4E_13</vt:lpwstr>
  </property>
  <property fmtid="{D5CDD505-2E9C-101B-9397-08002B2CF9AE}" pid="4" name="KSOTemplateDocerSaveRecord">
    <vt:lpwstr>eyJoZGlkIjoiNTQxZjNhMjYzN2JhZDM5NzQyZDdjMWNjN2RjMzY2ZjUiLCJ1c2VySWQiOiIxMTM5OTE5OTk1In0=</vt:lpwstr>
  </property>
</Properties>
</file>